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2F" w:rsidRPr="00727E17" w:rsidRDefault="006F3DF4" w:rsidP="002B50C0">
      <w:pPr>
        <w:pStyle w:val="Nagwek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>R</w:t>
      </w:r>
      <w:r w:rsidR="008C6721" w:rsidRPr="00727E17">
        <w:rPr>
          <w:rFonts w:ascii="Times New Roman" w:hAnsi="Times New Roman" w:cs="Times New Roman"/>
          <w:b/>
          <w:color w:val="auto"/>
          <w:sz w:val="22"/>
          <w:szCs w:val="22"/>
        </w:rPr>
        <w:t>aport z postępu rzeczowo-finansowego projektu informatycznego</w:t>
      </w:r>
      <w:r w:rsidR="00137E4F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137E4F" w:rsidRPr="00727E17">
        <w:rPr>
          <w:rFonts w:ascii="Times New Roman" w:hAnsi="Times New Roman" w:cs="Times New Roman"/>
          <w:b/>
          <w:color w:val="auto"/>
          <w:sz w:val="22"/>
          <w:szCs w:val="22"/>
        </w:rPr>
        <w:br/>
        <w:t xml:space="preserve">pn. „System obsługi wsparcia finansowego ze środków PFRON” </w:t>
      </w:r>
      <w:r w:rsidR="00137E4F" w:rsidRPr="00727E17">
        <w:rPr>
          <w:rFonts w:ascii="Times New Roman" w:hAnsi="Times New Roman" w:cs="Times New Roman"/>
          <w:b/>
          <w:color w:val="auto"/>
          <w:sz w:val="22"/>
          <w:szCs w:val="22"/>
        </w:rPr>
        <w:br/>
        <w:t>nr POPC.02.01.00-00-012/15</w:t>
      </w:r>
      <w:r w:rsidR="008C6721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8C6721" w:rsidRPr="00727E17" w:rsidRDefault="008C6721" w:rsidP="002B50C0">
      <w:pPr>
        <w:pStyle w:val="Nagwek1"/>
        <w:spacing w:before="0" w:after="12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 </w:t>
      </w:r>
      <w:r w:rsidR="006F3DF4" w:rsidRPr="00727E17">
        <w:rPr>
          <w:rFonts w:ascii="Times New Roman" w:hAnsi="Times New Roman" w:cs="Times New Roman"/>
          <w:b/>
          <w:color w:val="auto"/>
          <w:sz w:val="22"/>
          <w:szCs w:val="22"/>
        </w:rPr>
        <w:t>I</w:t>
      </w: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kwartał</w:t>
      </w:r>
      <w:r w:rsidR="006F3DF4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201</w:t>
      </w:r>
      <w:r w:rsidR="00811EC1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6F3DF4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2"/>
      </w:tblGrid>
      <w:tr w:rsidR="00BD1E6F" w:rsidRPr="00727E17" w:rsidTr="00C113B2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E6F" w:rsidRPr="00727E17" w:rsidRDefault="00BD1E6F" w:rsidP="00BD1E6F">
            <w:pPr>
              <w:spacing w:line="276" w:lineRule="auto"/>
              <w:rPr>
                <w:rFonts w:ascii="Times New Roman" w:hAnsi="Times New Roman" w:cs="Times New Roman"/>
                <w:i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„System obsługi wsparcia finansowanego ze środków PFRON”</w:t>
            </w: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E6F" w:rsidRPr="00784FAC" w:rsidRDefault="00775D73" w:rsidP="00784FAC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84FAC">
              <w:rPr>
                <w:rFonts w:ascii="Times New Roman" w:hAnsi="Times New Roman" w:cs="Times New Roman"/>
              </w:rPr>
              <w:t>Minister</w:t>
            </w:r>
            <w:r w:rsidR="00784FAC" w:rsidRPr="00784FAC">
              <w:rPr>
                <w:rFonts w:ascii="Times New Roman" w:hAnsi="Times New Roman" w:cs="Times New Roman"/>
              </w:rPr>
              <w:t xml:space="preserve"> </w:t>
            </w:r>
            <w:r w:rsidRPr="00784FAC">
              <w:rPr>
                <w:rFonts w:ascii="Times New Roman" w:hAnsi="Times New Roman" w:cs="Times New Roman"/>
              </w:rPr>
              <w:t xml:space="preserve">Rodziny, Pracy i Polityki Społecznej </w:t>
            </w: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E6F" w:rsidRPr="00727E17" w:rsidRDefault="00775D73" w:rsidP="00BD1E6F">
            <w:pPr>
              <w:spacing w:line="276" w:lineRule="auto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Państwowy Fundusz Rehabilitacji Osób Niepełnosprawnych</w:t>
            </w: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1E6F" w:rsidRPr="00727E17" w:rsidRDefault="00775D73" w:rsidP="00BD1E6F">
            <w:pPr>
              <w:spacing w:line="276" w:lineRule="auto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Nie dotyczy</w:t>
            </w: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07ED" w:rsidRPr="00727E17" w:rsidRDefault="00DE07ED" w:rsidP="00DE07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7E17">
              <w:rPr>
                <w:rFonts w:ascii="Times New Roman" w:hAnsi="Times New Roman" w:cs="Times New Roman"/>
              </w:rPr>
              <w:t xml:space="preserve">Projekt współfinansowany ze środków Unii Europejskiej z Europejskiego Funduszu Rozwoju Regionalnego z Programu Operacyjnego Polska Cyfrowa na lata 2014 – 2020, Oś Priorytetowa nr 2 </w:t>
            </w:r>
            <w:r w:rsidR="005131B6">
              <w:rPr>
                <w:rFonts w:ascii="Times New Roman" w:hAnsi="Times New Roman" w:cs="Times New Roman"/>
              </w:rPr>
              <w:br/>
            </w:r>
            <w:r w:rsidRPr="00727E17">
              <w:rPr>
                <w:rFonts w:ascii="Times New Roman" w:hAnsi="Times New Roman" w:cs="Times New Roman"/>
              </w:rPr>
              <w:t>„E-administracja i otwarty rząd”, Działanie nr 2.1 „Wysoka dostępność i jakość e-usług publicznych” oraz budżetu Państwa</w:t>
            </w:r>
            <w:r w:rsidR="002B42C2">
              <w:rPr>
                <w:rFonts w:ascii="Times New Roman" w:hAnsi="Times New Roman" w:cs="Times New Roman"/>
              </w:rPr>
              <w:t xml:space="preserve"> – część budżetowa nr 27.</w:t>
            </w:r>
          </w:p>
          <w:p w:rsidR="00BD1E6F" w:rsidRPr="00727E17" w:rsidRDefault="00BD1E6F" w:rsidP="00DE07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 xml:space="preserve">Całkowity koszt </w:t>
            </w:r>
          </w:p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E6F" w:rsidRPr="00727E17" w:rsidRDefault="00DE07ED" w:rsidP="00BD1E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7E17">
              <w:rPr>
                <w:rFonts w:ascii="Times New Roman" w:hAnsi="Times New Roman" w:cs="Times New Roman"/>
              </w:rPr>
              <w:t xml:space="preserve">Pierwotna wartość projektu wynosiła </w:t>
            </w:r>
            <w:r w:rsidR="00E9293C" w:rsidRPr="00727E17">
              <w:rPr>
                <w:rFonts w:ascii="Times New Roman" w:hAnsi="Times New Roman" w:cs="Times New Roman"/>
              </w:rPr>
              <w:t>26 6</w:t>
            </w:r>
            <w:r w:rsidR="004168B0" w:rsidRPr="00727E17">
              <w:rPr>
                <w:rFonts w:ascii="Times New Roman" w:hAnsi="Times New Roman" w:cs="Times New Roman"/>
              </w:rPr>
              <w:t>48</w:t>
            </w:r>
            <w:r w:rsidR="00E9293C" w:rsidRPr="00727E17">
              <w:rPr>
                <w:rFonts w:ascii="Times New Roman" w:hAnsi="Times New Roman" w:cs="Times New Roman"/>
              </w:rPr>
              <w:t> 826,50 zł</w:t>
            </w:r>
          </w:p>
          <w:p w:rsidR="00E9293C" w:rsidRPr="00727E17" w:rsidRDefault="00E9293C" w:rsidP="00BD1E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27E17">
              <w:rPr>
                <w:rFonts w:ascii="Times New Roman" w:hAnsi="Times New Roman" w:cs="Times New Roman"/>
              </w:rPr>
              <w:t>Aktualna wartość projektu wynosi 18 914 379,99 zł</w:t>
            </w:r>
          </w:p>
        </w:tc>
      </w:tr>
      <w:tr w:rsidR="00BD1E6F" w:rsidRPr="00727E1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D1E6F" w:rsidRPr="00727E17" w:rsidRDefault="00BD1E6F" w:rsidP="00BD1E6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 xml:space="preserve">Okres realizacji </w:t>
            </w:r>
          </w:p>
          <w:p w:rsidR="00BD1E6F" w:rsidRPr="00727E17" w:rsidRDefault="00BD1E6F" w:rsidP="00BD1E6F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E6F" w:rsidRPr="00727E17" w:rsidRDefault="00E9293C" w:rsidP="00E9293C">
            <w:pPr>
              <w:spacing w:after="0"/>
              <w:rPr>
                <w:rFonts w:ascii="Times New Roman" w:hAnsi="Times New Roman" w:cs="Times New Roman"/>
                <w:i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01.03.2016 r. – 28.02.2019 r.</w:t>
            </w:r>
          </w:p>
        </w:tc>
      </w:tr>
    </w:tbl>
    <w:p w:rsidR="00CA516B" w:rsidRPr="00727E17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>Otoczenie</w:t>
      </w:r>
      <w:r w:rsidR="00CA516B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prawne</w:t>
      </w:r>
      <w:r w:rsidR="00DC39A9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4C1D48" w:rsidRPr="00727E17" w:rsidRDefault="004C1D48" w:rsidP="0062054D">
      <w:pPr>
        <w:pStyle w:val="Nagwek3"/>
        <w:spacing w:after="360"/>
        <w:ind w:left="284" w:hanging="284"/>
        <w:rPr>
          <w:rFonts w:ascii="Times New Roman" w:eastAsiaTheme="minorHAnsi" w:hAnsi="Times New Roman" w:cs="Times New Roman"/>
          <w:i/>
          <w:color w:val="auto"/>
          <w:sz w:val="22"/>
          <w:szCs w:val="22"/>
        </w:rPr>
      </w:pPr>
      <w:r w:rsidRPr="00727E17">
        <w:rPr>
          <w:rFonts w:ascii="Times New Roman" w:hAnsi="Times New Roman" w:cs="Times New Roman"/>
          <w:sz w:val="22"/>
          <w:szCs w:val="22"/>
        </w:rPr>
        <w:t xml:space="preserve"> </w:t>
      </w:r>
      <w:r w:rsidR="00F2008A" w:rsidRPr="00727E17">
        <w:rPr>
          <w:rFonts w:ascii="Times New Roman" w:hAnsi="Times New Roman" w:cs="Times New Roman"/>
          <w:i/>
          <w:color w:val="auto"/>
          <w:sz w:val="22"/>
          <w:szCs w:val="22"/>
        </w:rPr>
        <w:tab/>
      </w:r>
      <w:r w:rsidR="0064482C" w:rsidRPr="00727E17">
        <w:rPr>
          <w:rFonts w:ascii="Times New Roman" w:hAnsi="Times New Roman" w:cs="Times New Roman"/>
          <w:i/>
          <w:color w:val="auto"/>
          <w:sz w:val="22"/>
          <w:szCs w:val="22"/>
        </w:rPr>
        <w:t>Nie dotyczy</w:t>
      </w:r>
      <w:r w:rsidR="007C4710" w:rsidRPr="00727E17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</w:p>
    <w:p w:rsidR="003C7325" w:rsidRPr="00727E17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Times New Roman" w:eastAsiaTheme="minorHAnsi" w:hAnsi="Times New Roman" w:cs="Times New Roman"/>
          <w:b/>
          <w:i/>
          <w:color w:val="auto"/>
          <w:sz w:val="22"/>
          <w:szCs w:val="22"/>
        </w:rPr>
      </w:pP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>Postęp</w:t>
      </w:r>
      <w:r w:rsidR="00F2008A" w:rsidRPr="00727E1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727E17">
        <w:rPr>
          <w:rFonts w:ascii="Times New Roman" w:hAnsi="Times New Roman" w:cs="Times New Roman"/>
          <w:b/>
          <w:color w:val="auto"/>
          <w:sz w:val="22"/>
          <w:szCs w:val="22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402"/>
      </w:tblGrid>
      <w:tr w:rsidR="00907F6D" w:rsidRPr="00727E1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07F6D" w:rsidRPr="00727E17" w:rsidRDefault="00795AFA" w:rsidP="0058666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907F6D" w:rsidRPr="00727E17" w:rsidRDefault="00795AFA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:rsidR="00907F6D" w:rsidRPr="00727E17" w:rsidRDefault="00795AFA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Wartość środków zaangażowanych</w:t>
            </w:r>
          </w:p>
        </w:tc>
      </w:tr>
      <w:tr w:rsidR="00076864" w:rsidRPr="00727E17" w:rsidTr="00795AFA">
        <w:tc>
          <w:tcPr>
            <w:tcW w:w="2972" w:type="dxa"/>
          </w:tcPr>
          <w:p w:rsidR="00076864" w:rsidRPr="001666A8" w:rsidRDefault="00ED06B8" w:rsidP="00076864">
            <w:pPr>
              <w:rPr>
                <w:rFonts w:ascii="Times New Roman" w:hAnsi="Times New Roman" w:cs="Times New Roman"/>
                <w:color w:val="0070C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4C6C94" w:rsidRPr="004C6C9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260" w:type="dxa"/>
          </w:tcPr>
          <w:p w:rsidR="00076864" w:rsidRPr="00ED06B8" w:rsidRDefault="008104E7" w:rsidP="00675669">
            <w:pPr>
              <w:rPr>
                <w:rFonts w:ascii="Times New Roman" w:hAnsi="Times New Roman" w:cs="Times New Roman"/>
                <w:color w:val="0070C0"/>
                <w:highlight w:val="yellow"/>
              </w:rPr>
            </w:pPr>
            <w:r w:rsidRPr="002F046F">
              <w:rPr>
                <w:rFonts w:ascii="Times New Roman" w:hAnsi="Times New Roman" w:cs="Times New Roman"/>
              </w:rPr>
              <w:t>73,84</w:t>
            </w:r>
            <w:r w:rsidR="00076864" w:rsidRPr="002F046F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3402" w:type="dxa"/>
          </w:tcPr>
          <w:p w:rsidR="000E2F53" w:rsidRPr="00ED06B8" w:rsidRDefault="00AC4501" w:rsidP="00675669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80,01</w:t>
            </w:r>
            <w:r w:rsidR="000E2F53" w:rsidRPr="00FD3AA8">
              <w:rPr>
                <w:rFonts w:ascii="Times New Roman" w:hAnsi="Times New Roman" w:cs="Times New Roman"/>
              </w:rPr>
              <w:t>%</w:t>
            </w:r>
          </w:p>
        </w:tc>
      </w:tr>
    </w:tbl>
    <w:p w:rsidR="00A057C1" w:rsidRPr="00727E17" w:rsidRDefault="00A057C1" w:rsidP="00A057C1">
      <w:pPr>
        <w:rPr>
          <w:rFonts w:ascii="Times New Roman" w:hAnsi="Times New Roman" w:cs="Times New Roman"/>
        </w:rPr>
      </w:pPr>
    </w:p>
    <w:p w:rsidR="00E42938" w:rsidRPr="00727E17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Times New Roman" w:eastAsiaTheme="minorHAnsi" w:hAnsi="Times New Roman" w:cs="Times New Roman"/>
          <w:color w:val="767171" w:themeColor="background2" w:themeShade="80"/>
          <w:sz w:val="22"/>
          <w:szCs w:val="22"/>
        </w:rPr>
      </w:pPr>
      <w:r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P</w:t>
      </w:r>
      <w:r w:rsidR="00241B5E"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ostęp rzeczowy</w:t>
      </w:r>
      <w:r w:rsidR="00DA34DF" w:rsidRPr="00727E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CF2E64" w:rsidRPr="00727E17" w:rsidRDefault="00CF2E64" w:rsidP="00141A92">
      <w:pPr>
        <w:spacing w:after="120" w:line="240" w:lineRule="auto"/>
        <w:rPr>
          <w:rFonts w:ascii="Times New Roman" w:hAnsi="Times New Roman" w:cs="Times New Roman"/>
          <w:b/>
        </w:rPr>
      </w:pPr>
      <w:r w:rsidRPr="00727E17">
        <w:rPr>
          <w:rFonts w:ascii="Times New Roman" w:hAnsi="Times New Roman" w:cs="Times New Roman"/>
          <w:b/>
        </w:rPr>
        <w:t>Kamienie milowe</w:t>
      </w:r>
    </w:p>
    <w:tbl>
      <w:tblPr>
        <w:tblpPr w:leftFromText="141" w:rightFromText="141" w:vertAnchor="text" w:horzAnchor="margin" w:tblpY="428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559"/>
        <w:gridCol w:w="1276"/>
        <w:gridCol w:w="1842"/>
        <w:gridCol w:w="2835"/>
      </w:tblGrid>
      <w:tr w:rsidR="00E9293C" w:rsidRPr="00727E17" w:rsidTr="00E9293C">
        <w:trPr>
          <w:trHeight w:val="1290"/>
        </w:trPr>
        <w:tc>
          <w:tcPr>
            <w:tcW w:w="2117" w:type="dxa"/>
            <w:shd w:val="clear" w:color="000000" w:fill="DFDFDF"/>
            <w:vAlign w:val="center"/>
            <w:hideMark/>
          </w:tcPr>
          <w:p w:rsidR="00E9293C" w:rsidRPr="00727E17" w:rsidRDefault="00E9293C" w:rsidP="00E9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559" w:type="dxa"/>
            <w:shd w:val="clear" w:color="000000" w:fill="DFDFDF"/>
            <w:vAlign w:val="center"/>
            <w:hideMark/>
          </w:tcPr>
          <w:p w:rsidR="00E9293C" w:rsidRPr="00727E17" w:rsidRDefault="00E9293C" w:rsidP="00E9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/>
              </w:rPr>
              <w:t xml:space="preserve">Powiązane wskaźniki projektu </w:t>
            </w:r>
            <w:r w:rsidRPr="00727E17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1276" w:type="dxa"/>
            <w:shd w:val="clear" w:color="000000" w:fill="DFDFDF"/>
            <w:vAlign w:val="center"/>
            <w:hideMark/>
          </w:tcPr>
          <w:p w:rsidR="00E9293C" w:rsidRPr="00727E17" w:rsidRDefault="00E9293C" w:rsidP="00E9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/>
              </w:rPr>
              <w:t>Planowany termin osiągnięcia</w:t>
            </w:r>
          </w:p>
        </w:tc>
        <w:tc>
          <w:tcPr>
            <w:tcW w:w="1842" w:type="dxa"/>
            <w:shd w:val="clear" w:color="000000" w:fill="DFDFDF"/>
            <w:vAlign w:val="center"/>
            <w:hideMark/>
          </w:tcPr>
          <w:p w:rsidR="00E9293C" w:rsidRPr="00727E17" w:rsidRDefault="00E9293C" w:rsidP="00E9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/>
              </w:rPr>
              <w:t>Rzeczywisty termin osiągnięcia</w:t>
            </w:r>
          </w:p>
        </w:tc>
        <w:tc>
          <w:tcPr>
            <w:tcW w:w="2835" w:type="dxa"/>
            <w:shd w:val="clear" w:color="000000" w:fill="DFDFDF"/>
            <w:vAlign w:val="center"/>
          </w:tcPr>
          <w:p w:rsidR="00E9293C" w:rsidRPr="00727E17" w:rsidRDefault="00E9293C" w:rsidP="00E929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/>
              </w:rPr>
              <w:t>Status realizacji kamienia milowego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FFFFFF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Przygotowanie wstępnego opisu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Default="00342397" w:rsidP="00C411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342397" w:rsidRPr="00727E17" w:rsidRDefault="00342397" w:rsidP="00C4113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5131B6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color w:val="000000"/>
              </w:rPr>
              <w:t>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5131B6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color w:val="000000"/>
              </w:rPr>
              <w:t>5-</w:t>
            </w:r>
            <w:r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FFFFFF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Przygotowanie wstępnego opisu wdrożenia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5131B6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color w:val="000000"/>
              </w:rPr>
              <w:t>5-</w:t>
            </w:r>
            <w:r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5131B6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color w:val="000000"/>
              </w:rPr>
              <w:t>5-</w:t>
            </w:r>
            <w:r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FFFFFF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(usługi doradcze)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5131B6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color w:val="000000"/>
              </w:rPr>
              <w:t>5-</w:t>
            </w:r>
            <w:r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5131B6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(usługi doradcze)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5131B6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5131B6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(system)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FD2FB2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097E84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D2FB2">
              <w:rPr>
                <w:rFonts w:ascii="Times New Roman" w:hAnsi="Times New Roman" w:cs="Times New Roman"/>
                <w:color w:val="000000"/>
              </w:rPr>
              <w:t>0-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Przedłużające się prace związane z opracowaniem opisu przedmiotu zamówienia oraz całości dokumentacji niezbędnej do ogłoszenia postępowania przetargowego, wynikające ze zmian organizacyjnych związanych z likwidacją Centrum RZL (dotychczasowego lidera projektu)</w:t>
            </w:r>
            <w:r w:rsidR="00097E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>w dniu 31.08.2016r. oraz</w:t>
            </w:r>
            <w:r w:rsidR="00097E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>z przejęcie praw i obowiązków Beneficjenta przez Ministerstwo Rodziny, Pracy</w:t>
            </w:r>
            <w:r w:rsidR="00097E8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>i Polityki Społecznej.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(system)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(infolinia)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W dniu 13.10.2017 r.  Beneficjent złożył do IP Formularz zmian wprowadzający do projektu dodatkowe zadania oraz modyfikacje budżetu szczegółowego projektu, które służą celowi głównemu projektu.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W dokumencie zaproponowano zmianę zasad funkcjonowania infolinii projektu. Pierwotny wniosek przewidywał jedynie zakup infrastruktury infolinii i zatrudnienie operatorów infolinii jako personel projektu. W </w:t>
            </w:r>
            <w:r w:rsidR="00727E17" w:rsidRPr="00727E17">
              <w:rPr>
                <w:rFonts w:ascii="Times New Roman" w:hAnsi="Times New Roman" w:cs="Times New Roman"/>
                <w:color w:val="000000"/>
              </w:rPr>
              <w:t>formularzu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zaproponowano zakup kompletnej usługi związanej z uruchomieniem i prowadzeniem infolinii przez podmiot zewnętrzny. Biorąc pod uwagę zakres zmian, Beneficjent wskazał również na potrzebę zmiany terminu publikacji informacji o postępowaniu. Opublikowanie informacji o postępowaniu wraz ze zmianami nastąpiło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z opóźnieniem wynikającym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z potrzeb Beneficjenta.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Podpisanie umowy (infolinia)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przedłużające się procedury postępowania przetargowego niezależne od Beneficjenta, skomplikowany charakter prowadzonej sprawy, szereg wyjaśnień, jak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i zapytań zarówno składanych ze strony potencjalnych Wykonawców jak i Zamawiającego, umowa na świadczenie usługi Infolinii nie została podpisana w terminie określonym, jako "planowana data zakończenia" oraz "data punktu krytycznego". Niniejsze nie </w:t>
            </w:r>
            <w:r w:rsidR="006975B0">
              <w:rPr>
                <w:rFonts w:ascii="Times New Roman" w:hAnsi="Times New Roman" w:cs="Times New Roman"/>
                <w:color w:val="000000"/>
              </w:rPr>
              <w:t>spowodowało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ryzyka niezrealizowania kluczowych prac projektowych, dalszych zadań merytorycznych oraz nieosiągnięcia zaplanowanych wartości wskaźników.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(e-learning)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W wyniku przeprowadzonego szacowania rynku, nastąpiła zmiana trybu prowadzonego postępowania na przetarg nieograniczony pow. 30 </w:t>
            </w:r>
            <w:r w:rsidR="00727E17" w:rsidRPr="00727E17">
              <w:rPr>
                <w:rFonts w:ascii="Times New Roman" w:hAnsi="Times New Roman" w:cs="Times New Roman"/>
                <w:color w:val="000000"/>
              </w:rPr>
              <w:t>tys.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euro. Z uwagi na przedłużające się prace związane z opracowaniem opisu przedmiotu zamówienia oraz całości dokumentacji niezbędnej do ogłoszenia postępowania przetargowego,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przy uwzględnieniu specjalistycznych warunków technicznych szkoleń e-learningowych, publikacja informacji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o postępowaniu nie </w:t>
            </w:r>
            <w:r w:rsidR="00727E17" w:rsidRPr="00727E17">
              <w:rPr>
                <w:rFonts w:ascii="Times New Roman" w:hAnsi="Times New Roman" w:cs="Times New Roman"/>
                <w:color w:val="000000"/>
              </w:rPr>
              <w:t>nastąpiła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w planowanym terminie oraz w dacie punktu krytycznego. Niniejsze nie </w:t>
            </w:r>
            <w:r w:rsidR="006975B0">
              <w:rPr>
                <w:rFonts w:ascii="Times New Roman" w:hAnsi="Times New Roman" w:cs="Times New Roman"/>
                <w:color w:val="000000"/>
              </w:rPr>
              <w:t>spowodowało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ryzyka niezrealizowania kluczowych prac projektowych, dalszych zadań merytorycznych oraz nieosiągnięcia zaplanowanych wartości wskaźników.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Podpisanie umowy (e-learning)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  <w:r w:rsidR="009435DC" w:rsidRPr="00727E1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W wyniku przeprowadzonego szacowania rynku, nastąpiła zmiana trybu prowadzonego postępowania na przetarg nieograniczony pow. 30 </w:t>
            </w:r>
            <w:r w:rsidR="00727E17" w:rsidRPr="00727E17">
              <w:rPr>
                <w:rFonts w:ascii="Times New Roman" w:hAnsi="Times New Roman" w:cs="Times New Roman"/>
                <w:color w:val="000000"/>
              </w:rPr>
              <w:t>tys.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euro. Z uwagi na przedłużające się prace związane z opracowaniem opisu przedmiotu zamówienia oraz całości dokumentacji niezbędnej do ogłoszenia postępowania przetargowego, przy uwzględnieniu specjalistycznych warunków technicznych szkoleń e-learningowych, publikacja informacji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o postępowaniu nie nastąpiła w planowanym terminie oraz w dacie punktu krytycznego. Niniejsze nie </w:t>
            </w:r>
            <w:r w:rsidR="006975B0">
              <w:rPr>
                <w:rFonts w:ascii="Times New Roman" w:hAnsi="Times New Roman" w:cs="Times New Roman"/>
                <w:color w:val="000000"/>
              </w:rPr>
              <w:t>spowodowało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ryzyka niezrealizowania kluczowych prac projektowych, dalszych zadań merytorycznych oraz nieosiągnięcia zaplanowanych wartości wskaźników.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(szkolenia)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A007E" w:rsidRDefault="008A007E" w:rsidP="008A00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C41134" w:rsidRPr="00727E17" w:rsidRDefault="008A007E" w:rsidP="008A00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435DC" w:rsidRPr="00727E17" w:rsidRDefault="00C41134" w:rsidP="0082253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(szkolenia)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A007E" w:rsidRDefault="008A007E" w:rsidP="008A007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C41134" w:rsidRPr="00727E17" w:rsidRDefault="008A007E" w:rsidP="008A007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435DC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przedłużające się procedury postępowania przetargowego niezależne od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Beneficjenta, skomplikowany charakter prowadzonej sprawy, szereg wyjaśnień, jak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i zapytań zarówno składanych ze strony potencjalnych Wykonawców jak</w:t>
            </w:r>
            <w:r w:rsidR="00300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i Zamawiającego, umowa na szkolenia dla pracowników JST nie została podpisana w terminie określonym, jako "planowana data zakończenia", "data punktu krytycznego", "data punktu ostatecznego". Niniejsze nie </w:t>
            </w:r>
            <w:r w:rsidR="006975B0">
              <w:rPr>
                <w:rFonts w:ascii="Times New Roman" w:hAnsi="Times New Roman" w:cs="Times New Roman"/>
                <w:color w:val="000000"/>
              </w:rPr>
              <w:t>spowodowało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ryzyka niezrealizowania kluczowych prac projektowych, dalszych zadań merytorycznych.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(hosting)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435DC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Prace nad przygotowaniem Specyfikacji Istotnych Warunków Zamówienia rozpoczęły się w III kwartale br. Przedłużają się z uwagi na zaplanowaną formułę usługi hostingu - przedmiotem zamówienia będzie świadczenie usług IaaS dotyczących środowiska teleinformatycznego w architekturze chmury wraz z usługami zarządzania i administrowania infrastrukturą IT. Jest to rozwiązanie zgodne z aktualnymi trendami w zakresie wirtualizacji zasobów, jednak wymagające szerszego opisu w zakresie sposobu świadczenia usługi, w szczególności odnośnie zabezpieczenia wrażliwych danych osobowych.</w:t>
            </w:r>
            <w:r w:rsidR="009210FA">
              <w:rPr>
                <w:rFonts w:ascii="Times New Roman" w:hAnsi="Times New Roman" w:cs="Times New Roman"/>
                <w:color w:val="000000"/>
              </w:rPr>
              <w:t xml:space="preserve"> Mając na uwadze powyższe publikacja informacji o postępowaniu na usługę hostingu nie nastąpiła w terminie wskazanym, jako</w:t>
            </w:r>
            <w:r w:rsidR="000F0C03">
              <w:rPr>
                <w:rFonts w:ascii="Times New Roman" w:hAnsi="Times New Roman" w:cs="Times New Roman"/>
                <w:color w:val="000000"/>
              </w:rPr>
              <w:t>: „</w:t>
            </w:r>
            <w:r w:rsidR="009210FA">
              <w:rPr>
                <w:rFonts w:ascii="Times New Roman" w:hAnsi="Times New Roman" w:cs="Times New Roman"/>
                <w:color w:val="000000"/>
              </w:rPr>
              <w:t>planowana data zakończenia” oraz „data punktu krytycznego”.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(hosting)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</w:t>
            </w:r>
            <w:r w:rsidR="00DF6D39" w:rsidRPr="00727E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Z uwagi na przedłużające się procedury postępowania przetargowego niezależne od Beneficjenta, skomplikowany charakter prowadzonej sprawy, szereg wyjaśnień, jak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i zapytań zarówno składanych ze strony potencjalnych Wykonawców jak</w:t>
            </w:r>
            <w:r w:rsidR="0030090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i Zamawiającego, umowa na usługę hostingu nie została podpisana </w:t>
            </w:r>
            <w:r w:rsidR="006975B0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w terminie określonym, jako "planowana data zakończenia", "data punktu krytycznego", "data punktu ostatecznego".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(usługi doradcze prawne)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wewnętrzne regulacje Beneficjenta, zawiłość dokumentacji merytorycznej, co spowodowało konieczność powtórnego przeprowadzenia postępowania oraz przedłużające się procedury związane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z akceptacją formularza zmian do projektu uwzględniającego zawarcie umowy z Wykonawca na usługi doradcze-prawne, publikacja informacji o postępowaniu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(usługi doradcze prawne)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</w:t>
            </w:r>
            <w:r w:rsidR="00DF6D39" w:rsidRPr="00727E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przedłużające się procedury postępowania niezależne od Beneficjenta, skomplikowany charakter prowadzonej sprawy, szereg wyjaśnień, jak i zapytań zarówno składanych ze strony potencjalnych Wykonawców jak </w:t>
            </w:r>
            <w:r w:rsidR="00097E84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i Zamawiającego, umowa na usługi doradcze prawne nie została podpisana</w:t>
            </w:r>
            <w:r w:rsidR="001666A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w terminie określonym, jako "planowana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data zakończenia",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(Centrum Monitorowania Systemu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wewnętrzne regulacje Beneficjenta oraz zawiłość dokumentacji przetargowej, publikacja informacji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o postępowaniu na Centrum Monitorowania Systemu SOW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(Centrum Monitorowania Systemu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 uwagi na przedłużające się procedury postępowania niezależne od Beneficjenta, skomplikowany charakter prowadzonej sprawy, szereg wyjaśnień, jak i zapytań zarówno składanych ze strony potencjalnych Wykonawców jak i Zamawiającego, umowa na Centrum Monitorowania Systemu SOW nie została podpisana w terminie określonym, jako "planowana data zakończenia",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(System wspierający proces obsługi incydentów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B7E7F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(System wspierający proces obsługi incydentów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B7E7F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(Zakup oprogramowania do analizy danych wraz ze wsparciem)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6D1F61" w:rsidP="006D1F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6D1F61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0B4EE2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63ECA" w:rsidRPr="00727E17" w:rsidRDefault="000B4EE2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C41134" w:rsidRPr="00727E17" w:rsidRDefault="006A2696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wydłużone testy wersji produkcyjnej wersji systemu SOW, publikacja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informacji o postępowaniu na zakup oprogramowania do analizy danych wraz ze wsparciem nie nastąpiła </w:t>
            </w:r>
            <w:r w:rsidR="000F0C03"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="000F0C03" w:rsidRPr="00727E17">
              <w:rPr>
                <w:rFonts w:ascii="Times New Roman" w:hAnsi="Times New Roman" w:cs="Times New Roman"/>
                <w:color w:val="000000"/>
              </w:rPr>
              <w:lastRenderedPageBreak/>
              <w:t>w</w:t>
            </w:r>
            <w:r w:rsidR="000F0C03">
              <w:rPr>
                <w:rFonts w:ascii="Times New Roman" w:hAnsi="Times New Roman" w:cs="Times New Roman"/>
                <w:color w:val="000000"/>
              </w:rPr>
              <w:t xml:space="preserve"> terminie określonym, jako:</w:t>
            </w:r>
            <w:r w:rsidR="000F0C03"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0C03">
              <w:rPr>
                <w:rFonts w:ascii="Times New Roman" w:hAnsi="Times New Roman" w:cs="Times New Roman"/>
                <w:color w:val="000000"/>
              </w:rPr>
              <w:t>„</w:t>
            </w:r>
            <w:r w:rsidR="000F0C03" w:rsidRPr="00727E17">
              <w:rPr>
                <w:rFonts w:ascii="Times New Roman" w:hAnsi="Times New Roman" w:cs="Times New Roman"/>
                <w:color w:val="000000"/>
              </w:rPr>
              <w:t>planowany termin</w:t>
            </w:r>
            <w:r w:rsidR="000F0C03">
              <w:rPr>
                <w:rFonts w:ascii="Times New Roman" w:hAnsi="Times New Roman" w:cs="Times New Roman"/>
                <w:color w:val="000000"/>
              </w:rPr>
              <w:t xml:space="preserve"> zakończenia” oraz „data punktu krytycznego”.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Podpisanie umowy (Zakup oprogramowania do analizy danych wraz ze wsparciem)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4E790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09-</w:t>
            </w:r>
            <w:r w:rsidR="007D0E87" w:rsidRPr="007D0E8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7D0E87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0E87">
              <w:rPr>
                <w:rFonts w:ascii="Times New Roman" w:hAnsi="Times New Roman" w:cs="Times New Roman"/>
                <w:color w:val="000000"/>
              </w:rPr>
              <w:t xml:space="preserve">Zakup oprogramowania do analizy danych wraz ze wsparciem ma na celu pobieranie danych z wewnętrznych systemów PFRON (m.in. SOW), a następnie poddawanie ich weryfikacji oraz centralnemu raportowaniu.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D0E87">
              <w:rPr>
                <w:rFonts w:ascii="Times New Roman" w:hAnsi="Times New Roman" w:cs="Times New Roman"/>
                <w:color w:val="000000"/>
              </w:rPr>
              <w:t xml:space="preserve">Z uwagi na brak rekordów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D0E87">
              <w:rPr>
                <w:rFonts w:ascii="Times New Roman" w:hAnsi="Times New Roman" w:cs="Times New Roman"/>
                <w:color w:val="000000"/>
              </w:rPr>
              <w:t>w Systemie SOW, niniejsze nie stanowi ryzyka projektowego. Podpisanie umowy nastąpiło 11.09.2018 r.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(Testerzy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4E790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6127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wewnętrzne regulacje Beneficjenta oraz zawiłość dokumentacji przetargowej, publikacja informacji </w:t>
            </w:r>
            <w:r w:rsidR="001666A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o postępowaniu na usługę Testowania SOW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(Testerzy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42397" w:rsidRDefault="00342397" w:rsidP="0034239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342397" w:rsidP="003423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</w:t>
            </w:r>
            <w:r w:rsidR="000354DE" w:rsidRPr="00727E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4E790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przedłużające się procedury postępowania niezależne od Beneficjenta, skomplikowany charakter prowadzonej sprawy, brak </w:t>
            </w:r>
            <w:r w:rsidR="00727E17" w:rsidRPr="00727E17">
              <w:rPr>
                <w:rFonts w:ascii="Times New Roman" w:hAnsi="Times New Roman" w:cs="Times New Roman"/>
                <w:color w:val="000000"/>
              </w:rPr>
              <w:t>złożonych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ofert w pierwszym postępowaniu, co spowodował konieczność powtórnego przeprowadzenia postępowania, a także szereg wyjaśnień, jak i zapytań zarówno składanych ze strony potencjalnych Wykonawców jak </w:t>
            </w:r>
            <w:r w:rsidR="0061274A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i Zamawiającego, umowa na usługę Testerów SOW, nie została podpisana w terminie określonym, jako "planowana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data zakończenia", "data punktu krytycznego", "data punktu ostatecznego"</w:t>
            </w:r>
            <w:r w:rsidR="005D2F73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(Mentorzy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4E790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Z uwagi na wewnętrzne regulacje Beneficjenta oraz zawiłość dokumentacji przetargowej, publikacja informacji </w:t>
            </w:r>
            <w:r w:rsidR="00727E17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>o postępowaniu na usługę Mentorów SOW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(Mentorzy SOW)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3,4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4E790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B7E7F" w:rsidRPr="005B0300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Publikacja informacji o postępowaniu (Konsultacje merytoryczne pracowników JST)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4E790B" w:rsidP="004E790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Z uwagi na wewnętrzne regulacje Beneficjenta oraz zawiłość dokumentacji przetargowej, publikacja informacji </w:t>
            </w:r>
            <w:r w:rsidR="00727E17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>o postępowaniu na organizacje spotkań konsultacyjnych dla przedstawicieli JST nie nastąpiła w terminie określonym, jako "planowana data zakończenia".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(Konsultacje merytoryczne pracowników JST)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0354DE" w:rsidRPr="00727E1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Z uwagi na przedłużające się procedury postępowania niezależne od Beneficjenta, skomplikowany charakter prowadzonej sprawy, co spowodował konieczność powtórnego przeprowadzenia postępowania, a także szereg wyjaśnień, jak i zapytań zarówno składanych ze strony potencjalnych Wykonawców jak </w:t>
            </w:r>
            <w:r w:rsidR="00097E84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i Zamawiającego, umowa na organizacje spotkań konsultacyjnych dla przedstawicieli JST nie została podpisana </w:t>
            </w:r>
            <w:r w:rsidR="00097E84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w terminie określonym, jako "planowana data </w:t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lastRenderedPageBreak/>
              <w:t>zakończenia",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(Kampania informacyjno-promocyjna)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</w:t>
            </w:r>
            <w:r w:rsidR="000354DE" w:rsidRPr="00727E17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Z uwagi na wewnętrzne regulacje Beneficjenta oraz zawiłość dokumentacji przetargowej, publikacja informacji </w:t>
            </w:r>
            <w:r w:rsidR="00727E17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>o postępowaniu na przeprowadzenie kampanii informacyjno-promocyjnej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(Kampania informacyjno-promocyjna)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27E17">
              <w:rPr>
                <w:rFonts w:ascii="Times New Roman" w:hAnsi="Times New Roman" w:cs="Times New Roman"/>
                <w:bCs/>
                <w:color w:val="000000"/>
              </w:rPr>
              <w:t xml:space="preserve">Z uwagi na przedłużające się procedury postępowania niezależne od Beneficjenta, skomplikowany charakter prowadzonej sprawy, szereg wyjaśnień, jak i zapytań zarówno składanych ze strony potencjalnych Wykonawców jak </w:t>
            </w:r>
            <w:r w:rsidR="00097E84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bCs/>
                <w:color w:val="000000"/>
              </w:rPr>
              <w:t>i Zamawiającego, umowa na Kampanię informacyjno-promocyjną nie została podpisana w terminie określonym, jako "planowana data zakończenia",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Publikacja informacji o postępowaniu (Zakup urządzeń mobilnych dla pracowników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MOPSów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GOPSów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9210FA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63ECA" w:rsidRPr="00727E17" w:rsidRDefault="008513BB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C41134" w:rsidRPr="00727E17" w:rsidRDefault="006A2696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 uwagi na konieczność przeprowadzenia kolejnego szacowania ofert, ze względu na zbyt wysokie ceny przekraczające budżet projektu oraz zweryfikowania wymagań technicznych, publikacja informacji o postępowaniu nie nastąpiła w</w:t>
            </w:r>
            <w:r w:rsidR="000F0C03">
              <w:rPr>
                <w:rFonts w:ascii="Times New Roman" w:hAnsi="Times New Roman" w:cs="Times New Roman"/>
                <w:color w:val="000000"/>
              </w:rPr>
              <w:t xml:space="preserve"> terminie określonym, jako: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0C03">
              <w:rPr>
                <w:rFonts w:ascii="Times New Roman" w:hAnsi="Times New Roman" w:cs="Times New Roman"/>
                <w:color w:val="000000"/>
              </w:rPr>
              <w:t>„</w:t>
            </w:r>
            <w:r w:rsidRPr="00727E17">
              <w:rPr>
                <w:rFonts w:ascii="Times New Roman" w:hAnsi="Times New Roman" w:cs="Times New Roman"/>
                <w:color w:val="000000"/>
              </w:rPr>
              <w:t>planowany termin</w:t>
            </w:r>
            <w:r w:rsidR="000F0C03">
              <w:rPr>
                <w:rFonts w:ascii="Times New Roman" w:hAnsi="Times New Roman" w:cs="Times New Roman"/>
                <w:color w:val="000000"/>
              </w:rPr>
              <w:t xml:space="preserve"> zakończenia” oraz</w:t>
            </w:r>
            <w:r w:rsidR="009210F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0C03">
              <w:rPr>
                <w:rFonts w:ascii="Times New Roman" w:hAnsi="Times New Roman" w:cs="Times New Roman"/>
                <w:color w:val="000000"/>
              </w:rPr>
              <w:t>„data</w:t>
            </w:r>
            <w:r w:rsidR="009210FA">
              <w:rPr>
                <w:rFonts w:ascii="Times New Roman" w:hAnsi="Times New Roman" w:cs="Times New Roman"/>
                <w:color w:val="000000"/>
              </w:rPr>
              <w:t xml:space="preserve"> punktu krytycznego</w:t>
            </w:r>
            <w:r w:rsidR="000F0C03">
              <w:rPr>
                <w:rFonts w:ascii="Times New Roman" w:hAnsi="Times New Roman" w:cs="Times New Roman"/>
                <w:color w:val="000000"/>
              </w:rPr>
              <w:t>”</w:t>
            </w:r>
            <w:r w:rsidR="009210F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Podpisanie umowy (Zakup urządzeń mobilnych dla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pracowników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MOPSów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GOPSów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08-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5905F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Default="005905F8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7D0E8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0E87">
              <w:rPr>
                <w:rFonts w:ascii="Times New Roman" w:hAnsi="Times New Roman" w:cs="Times New Roman"/>
                <w:color w:val="000000"/>
              </w:rPr>
              <w:t xml:space="preserve">W trakcie prowadzonego postępowania przetargowego. </w:t>
            </w:r>
            <w:r w:rsidRPr="007D0E87">
              <w:rPr>
                <w:rFonts w:ascii="Times New Roman" w:hAnsi="Times New Roman" w:cs="Times New Roman"/>
                <w:color w:val="000000"/>
              </w:rPr>
              <w:lastRenderedPageBreak/>
              <w:t>Członkowie Komisji przetargowej dokonują weryfikacji ofert potencjalnych Wykonawców. Podpisanie umowy planowane jest na dzień 09.10.2018 r.</w:t>
            </w:r>
          </w:p>
          <w:p w:rsidR="007D0E87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0E87">
              <w:rPr>
                <w:rFonts w:ascii="Times New Roman" w:hAnsi="Times New Roman" w:cs="Times New Roman"/>
                <w:color w:val="000000"/>
              </w:rPr>
              <w:t>Dystrybu</w:t>
            </w: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7D0E87">
              <w:rPr>
                <w:rFonts w:ascii="Times New Roman" w:hAnsi="Times New Roman" w:cs="Times New Roman"/>
                <w:color w:val="000000"/>
              </w:rPr>
              <w:t xml:space="preserve">ja urządzeń mobilnych planowana jest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7D0E87">
              <w:rPr>
                <w:rFonts w:ascii="Times New Roman" w:hAnsi="Times New Roman" w:cs="Times New Roman"/>
                <w:color w:val="000000"/>
              </w:rPr>
              <w:t>w chwili rozpoczęcia wdrożeń Systemu SOW w JST. Niniejsze nie stanowi</w:t>
            </w:r>
            <w:r w:rsidR="006975B0">
              <w:rPr>
                <w:rFonts w:ascii="Times New Roman" w:hAnsi="Times New Roman" w:cs="Times New Roman"/>
                <w:color w:val="000000"/>
              </w:rPr>
              <w:t>ło</w:t>
            </w:r>
            <w:r w:rsidRPr="007D0E87">
              <w:rPr>
                <w:rFonts w:ascii="Times New Roman" w:hAnsi="Times New Roman" w:cs="Times New Roman"/>
                <w:color w:val="000000"/>
              </w:rPr>
              <w:t xml:space="preserve"> ryzyka projektowego oraz niezrealizowania kluczowych zadań merytorycznych.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Publikacja informacji o postępowaniu (Zakup skanerów sieciowych dla JST)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9B7E7F" w:rsidRPr="00727E17" w:rsidRDefault="009B7E7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 uwagi na wewnętrzne regulacje Beneficjenta oraz zawiłość dokumentacji przetargowej, publikacja informacji </w:t>
            </w:r>
            <w:r w:rsidR="005905F8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o postępowaniu na zakup skanerów sieciowych dla JST nie nastąpiła w terminie określonym, jako "planowana data zakończenia" oraz "data punktu krytycznego".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Podpisanie umowy (Zakup skanerów sieciowych dla JST)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Opracowanie dokumentacji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Uruchomienie wersji alfa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12-20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Uruchomienie wersji beta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41134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Akceptacja wersji produkcyjnej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7D0E87" w:rsidRPr="007D0E8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63ECA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C41134" w:rsidRPr="00727E17" w:rsidRDefault="006A2696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Beneficjent podjął decyzję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o wydłużeniu testów wersji produkcyjnej Systemu SOW. Zgodnie z decyzją Członków Komitetu Sterującego, </w:t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nastąpiła zmiana Harmonogramu Podstawowego i Szczegółowego w ramach umowy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>nr 2017/05/170 z dn. 31 maja 2017 r. polegająca na przesunięciu terminów Etapów 4,5,6 oraz terminów ich podzadań w celu umożliwienia przeprowadzenia pełnych testów odbioru wersji produkcyjnej oraz dodatkowych testów przez PFRON.</w:t>
            </w:r>
            <w:r w:rsidR="009210FA">
              <w:rPr>
                <w:rFonts w:ascii="Times New Roman" w:hAnsi="Times New Roman" w:cs="Times New Roman"/>
                <w:color w:val="000000"/>
              </w:rPr>
              <w:t xml:space="preserve">  Mając na uwadze powyższe akceptacja wersji produkcyjnej systemu nie nastąpiła w terminie wskazanym, jako: „planowana data zakończenia”, „data punktu krytycznego” oraz „data punktu krytycznego”.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Uruchomienie wersji produkcyjnej systemu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07-</w:t>
            </w:r>
            <w:r w:rsidR="007D0E87" w:rsidRPr="007D0E8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A2696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C41134" w:rsidRPr="00727E17" w:rsidRDefault="006A2696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Beneficjent podjął decyzję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o wydłużeniu testów wersji produkcyjnej Systemu SOW. Zgodnie z decyzją Członków Komitetu Sterującego, nastąpiła zmiana Harmonogramu Podstawowego i Szczegółowego w ramach umowy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nr 2017/05/170 z dn. 31 maja 2017 r. polegająca na przesunięciu terminów Etapów 4,5,6 oraz terminów ich podzadań </w:t>
            </w:r>
            <w:r w:rsid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w celu umożliwienia przeprowadzenia pełnych testów odbioru wersji produkcyjnej oraz dodatkowych testów przez PFRON</w:t>
            </w:r>
            <w:r w:rsidR="009210FA">
              <w:rPr>
                <w:rFonts w:ascii="Times New Roman" w:hAnsi="Times New Roman" w:cs="Times New Roman"/>
                <w:color w:val="000000"/>
              </w:rPr>
              <w:t>.  Mając na uwadze powyższe uruchomienie wersji produkcyjnej systemu nie nastąpiło w terminie wskazanym, jako: „planowana data zakończenia” oraz „data punktu krytycznego”.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Odbiór dokumentacji powykonawczej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</w:t>
            </w:r>
            <w:r w:rsidR="008B6C7B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7D0E87" w:rsidRDefault="008B6C7B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Osiągnięty.</w:t>
            </w:r>
          </w:p>
          <w:p w:rsidR="00C41134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0E87">
              <w:rPr>
                <w:rFonts w:ascii="Times New Roman" w:hAnsi="Times New Roman" w:cs="Times New Roman"/>
                <w:color w:val="000000"/>
              </w:rPr>
              <w:t xml:space="preserve">Z uwagi na przedłużone testy wersji produkcyjnej Systemu SOW oraz niedotrzymanie należnych terminów przez </w:t>
            </w:r>
            <w:r w:rsidRPr="007D0E87">
              <w:rPr>
                <w:rFonts w:ascii="Times New Roman" w:hAnsi="Times New Roman" w:cs="Times New Roman"/>
                <w:color w:val="000000"/>
              </w:rPr>
              <w:lastRenderedPageBreak/>
              <w:t>Wykonawcę aplikacji, odbiór dokumentacji powykonawczej nie nastąpił w terminie określonym, jako "planowana data zakończenia" oraz "data punktu krytycznego".</w:t>
            </w:r>
          </w:p>
          <w:p w:rsidR="007D0E87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D0E87">
              <w:rPr>
                <w:rFonts w:ascii="Times New Roman" w:hAnsi="Times New Roman" w:cs="Times New Roman"/>
                <w:color w:val="000000"/>
              </w:rPr>
              <w:t>Zespół projektowy przy wsparciu ekspertów zewnętrznych prowadzi</w:t>
            </w:r>
            <w:r w:rsidR="008B6C7B">
              <w:rPr>
                <w:rFonts w:ascii="Times New Roman" w:hAnsi="Times New Roman" w:cs="Times New Roman"/>
                <w:color w:val="000000"/>
              </w:rPr>
              <w:t>ł</w:t>
            </w:r>
            <w:r w:rsidRPr="007D0E87">
              <w:rPr>
                <w:rFonts w:ascii="Times New Roman" w:hAnsi="Times New Roman" w:cs="Times New Roman"/>
                <w:color w:val="000000"/>
              </w:rPr>
              <w:t xml:space="preserve"> zintensyfikowane prace związane z weryfikacją dokumentacji odbiorczej oprogramowania SOW.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Uruchomienie szkoleń e-learningowych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A8235B" w:rsidP="00A823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A8235B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08-</w:t>
            </w:r>
            <w:r w:rsidR="007D0E87" w:rsidRPr="007D0E8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567897" w:rsidRPr="00727E17" w:rsidRDefault="007D0E8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C41134" w:rsidRPr="00727E17" w:rsidRDefault="00931255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Kamień milowy nie został osiągnięty w terminie określonym, jako „planowana data zakończenia” oraz „data punktu krytycznego”. 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 xml:space="preserve">Z uwagi na harmonogram realizacji zadań, rentowność zaplanowanych działań oraz zapisy umowy z Wykonawcą platformy, uruchomienie szkoleń e-learningowych planowane jest </w:t>
            </w:r>
            <w:r w:rsidR="000B4EE2">
              <w:rPr>
                <w:rFonts w:ascii="Times New Roman" w:hAnsi="Times New Roman" w:cs="Times New Roman"/>
                <w:color w:val="000000"/>
              </w:rPr>
              <w:t>na przełomie</w:t>
            </w:r>
            <w:r w:rsidR="00826AD0"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lipca</w:t>
            </w:r>
            <w:r w:rsidR="000B4EE2">
              <w:rPr>
                <w:rFonts w:ascii="Times New Roman" w:hAnsi="Times New Roman" w:cs="Times New Roman"/>
                <w:color w:val="000000"/>
              </w:rPr>
              <w:t>/sierpnia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 xml:space="preserve"> 2018 r. </w:t>
            </w:r>
          </w:p>
        </w:tc>
      </w:tr>
      <w:tr w:rsidR="00FE52FF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FE52FF" w:rsidRPr="00727E17" w:rsidRDefault="00FE52FF" w:rsidP="00FE52FF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Zakończenie Szkoleń mentorów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363EF" w:rsidRDefault="007363EF" w:rsidP="00736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FE52FF" w:rsidRPr="00727E17" w:rsidRDefault="007363EF" w:rsidP="007363E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E52FF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04-</w:t>
            </w:r>
            <w:r w:rsidR="00FE52FF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FE52FF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FE52FF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E52FF" w:rsidRDefault="00FE52FF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  <w:p w:rsidR="000B4EE2" w:rsidRPr="00727E17" w:rsidRDefault="00931255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Kamień milowy nie został osiągnięty w terminie określonym, jako „planowana data zakończenia”, „data punktu krytycznego” oraz „data ostateczna”. </w:t>
            </w:r>
            <w:r w:rsidR="000B4EE2" w:rsidRPr="000B4EE2">
              <w:rPr>
                <w:rFonts w:ascii="Times New Roman" w:hAnsi="Times New Roman" w:cs="Times New Roman"/>
                <w:color w:val="000000"/>
              </w:rPr>
              <w:t xml:space="preserve">Z uwagi na harmonogram realizacji zadań, rentowność zaplanowanych działań oraz zapisy umowy z Wykonawcą Systemu SOW, zakończenie szkoleń dla Mentorów planowane jest na koniec maja </w:t>
            </w:r>
            <w:r w:rsidR="000B4EE2">
              <w:rPr>
                <w:rFonts w:ascii="Times New Roman" w:hAnsi="Times New Roman" w:cs="Times New Roman"/>
                <w:color w:val="000000"/>
              </w:rPr>
              <w:br/>
            </w:r>
            <w:r w:rsidR="000B4EE2" w:rsidRPr="000B4EE2">
              <w:rPr>
                <w:rFonts w:ascii="Times New Roman" w:hAnsi="Times New Roman" w:cs="Times New Roman"/>
                <w:color w:val="000000"/>
              </w:rPr>
              <w:t>2018 r.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Zakończenie Szkoleń pracowników infolinii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78690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56789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Zakończenie konsultacji merytorycznych z pracownikami JST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86901" w:rsidRDefault="00786901" w:rsidP="007869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86901" w:rsidP="007869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56789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Zakończony pierwszy etap szkolenia pracowników JST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86901" w:rsidRDefault="00786901" w:rsidP="007869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C41134" w:rsidRPr="00727E17" w:rsidRDefault="00786901" w:rsidP="007869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56789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52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995A8A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Zakończony drugi etap szkolenia pracowników JST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86901" w:rsidRDefault="00786901" w:rsidP="007869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3, 4</w:t>
            </w:r>
          </w:p>
          <w:p w:rsidR="00C41134" w:rsidRPr="00727E17" w:rsidRDefault="00786901" w:rsidP="007869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1200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</w:t>
            </w:r>
            <w:r w:rsidR="00DD6579" w:rsidRPr="00727E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11-</w:t>
            </w:r>
            <w:r w:rsidR="00C22E68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AC0E91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Uruchomienie infolinii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567897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Dystrybucja urządzeń mobilnych dla pracowników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MOPSów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GOPSów</w:t>
            </w:r>
            <w:proofErr w:type="spellEnd"/>
          </w:p>
        </w:tc>
        <w:tc>
          <w:tcPr>
            <w:tcW w:w="1559" w:type="dxa"/>
            <w:shd w:val="clear" w:color="000000" w:fill="FFFFFF"/>
            <w:vAlign w:val="center"/>
          </w:tcPr>
          <w:p w:rsidR="00786901" w:rsidRDefault="00786901" w:rsidP="007869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86901" w:rsidP="007869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4D067C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ED06B8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02-2019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ED06B8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315"/>
        </w:trPr>
        <w:tc>
          <w:tcPr>
            <w:tcW w:w="2117" w:type="dxa"/>
            <w:shd w:val="clear" w:color="000000" w:fill="auto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Dystrybucja skanerów sieciowych dla JST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786901" w:rsidRDefault="00786901" w:rsidP="0078690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L.p. – 7</w:t>
            </w:r>
          </w:p>
          <w:p w:rsidR="00C41134" w:rsidRPr="00727E17" w:rsidRDefault="00786901" w:rsidP="0078690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Wart. docelowa – 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1945FA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10-</w:t>
            </w:r>
            <w:r w:rsidR="00C22E6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727E17" w:rsidRDefault="00C22E68" w:rsidP="00727E1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</w:p>
        </w:tc>
      </w:tr>
      <w:tr w:rsidR="00C41134" w:rsidRPr="00727E17" w:rsidTr="00C113B2">
        <w:trPr>
          <w:trHeight w:val="488"/>
        </w:trPr>
        <w:tc>
          <w:tcPr>
            <w:tcW w:w="2117" w:type="dxa"/>
            <w:shd w:val="clear" w:color="000000" w:fill="auto"/>
            <w:vAlign w:val="center"/>
            <w:hideMark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Przygotowana dokumentacja finansowej – rozlicznie projektu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C41134" w:rsidRPr="00727E17" w:rsidRDefault="00C41134" w:rsidP="00C4113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C41134" w:rsidRPr="00727E17" w:rsidRDefault="001945FA" w:rsidP="001945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</w:t>
            </w:r>
            <w:r w:rsidR="00C41134" w:rsidRPr="00727E17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C41134" w:rsidRPr="00727E17" w:rsidRDefault="00ED06B8" w:rsidP="008A10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02-2019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C41134" w:rsidRPr="001B5F75" w:rsidRDefault="00ED06B8" w:rsidP="001B5F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Osiągnięty</w:t>
            </w:r>
            <w:r w:rsidR="00C22E68" w:rsidRPr="001B5F7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9293C" w:rsidRPr="00727E17" w:rsidRDefault="00E9293C" w:rsidP="00E9293C">
      <w:pPr>
        <w:rPr>
          <w:rFonts w:ascii="Times New Roman" w:hAnsi="Times New Roman" w:cs="Times New Roman"/>
        </w:rPr>
      </w:pPr>
    </w:p>
    <w:p w:rsidR="00141A92" w:rsidRPr="00727E17" w:rsidRDefault="00CF2E64" w:rsidP="00E9293C">
      <w:pPr>
        <w:rPr>
          <w:rFonts w:ascii="Times New Roman" w:hAnsi="Times New Roman" w:cs="Times New Roman"/>
          <w:b/>
        </w:rPr>
      </w:pPr>
      <w:r w:rsidRPr="00727E17">
        <w:rPr>
          <w:rFonts w:ascii="Times New Roman" w:hAnsi="Times New Roman" w:cs="Times New Roman"/>
          <w:b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2545"/>
        <w:gridCol w:w="1278"/>
        <w:gridCol w:w="1842"/>
        <w:gridCol w:w="1701"/>
        <w:gridCol w:w="2268"/>
      </w:tblGrid>
      <w:tr w:rsidR="00047D9D" w:rsidRPr="00727E1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:rsidR="00047D9D" w:rsidRPr="00727E17" w:rsidRDefault="00586664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N</w:t>
            </w:r>
            <w:r w:rsidR="00047D9D" w:rsidRPr="00727E17">
              <w:rPr>
                <w:rFonts w:ascii="Times New Roman" w:hAnsi="Times New Roman" w:cs="Times New Roman"/>
                <w:b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:rsidR="00047D9D" w:rsidRPr="00727E17" w:rsidRDefault="00586664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J</w:t>
            </w:r>
            <w:r w:rsidR="00047D9D" w:rsidRPr="00727E17">
              <w:rPr>
                <w:rFonts w:ascii="Times New Roman" w:hAnsi="Times New Roman" w:cs="Times New Roman"/>
                <w:b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DC39A9" w:rsidRPr="00727E17" w:rsidRDefault="00586664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W</w:t>
            </w:r>
            <w:r w:rsidR="00047D9D" w:rsidRPr="00727E17">
              <w:rPr>
                <w:rFonts w:ascii="Times New Roman" w:hAnsi="Times New Roman" w:cs="Times New Roman"/>
                <w:b/>
              </w:rPr>
              <w:t xml:space="preserve">artość </w:t>
            </w:r>
          </w:p>
          <w:p w:rsidR="00047D9D" w:rsidRPr="00727E17" w:rsidRDefault="00047D9D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047D9D" w:rsidRPr="00727E17" w:rsidRDefault="00586664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</w:t>
            </w:r>
            <w:r w:rsidR="005734CE" w:rsidRPr="00727E17">
              <w:rPr>
                <w:rFonts w:ascii="Times New Roman" w:hAnsi="Times New Roman" w:cs="Times New Roman"/>
                <w:b/>
              </w:rPr>
              <w:t xml:space="preserve">lanowany </w:t>
            </w:r>
            <w:r w:rsidR="00047D9D" w:rsidRPr="00727E17">
              <w:rPr>
                <w:rFonts w:ascii="Times New Roman" w:hAnsi="Times New Roman" w:cs="Times New Roman"/>
                <w:b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:rsidR="00047D9D" w:rsidRPr="00727E17" w:rsidRDefault="006B5117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Wartość osiągnięta od początku realizacji projektu (narastająco)</w:t>
            </w:r>
          </w:p>
        </w:tc>
      </w:tr>
      <w:tr w:rsidR="00745D38" w:rsidRPr="00727E17" w:rsidTr="008A1020">
        <w:tc>
          <w:tcPr>
            <w:tcW w:w="2545" w:type="dxa"/>
          </w:tcPr>
          <w:p w:rsidR="00745D38" w:rsidRPr="00727E17" w:rsidRDefault="00745D38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usług publicznych udostępnionych on-line o stopniu dojrzałości 3 – dwustronna interakcja</w:t>
            </w:r>
          </w:p>
        </w:tc>
        <w:tc>
          <w:tcPr>
            <w:tcW w:w="1278" w:type="dxa"/>
          </w:tcPr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745D38" w:rsidRPr="00727E17" w:rsidRDefault="00745D38" w:rsidP="00100773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842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09-2018</w:t>
            </w:r>
          </w:p>
        </w:tc>
        <w:tc>
          <w:tcPr>
            <w:tcW w:w="2268" w:type="dxa"/>
          </w:tcPr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5D38" w:rsidRPr="00100773" w:rsidRDefault="0093787C" w:rsidP="00B616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7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45D38" w:rsidRPr="00727E17" w:rsidTr="008A1020">
        <w:tc>
          <w:tcPr>
            <w:tcW w:w="2545" w:type="dxa"/>
          </w:tcPr>
          <w:p w:rsidR="00745D38" w:rsidRPr="00727E17" w:rsidRDefault="00745D38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usług publicznych udostępnionych on-line o stopniu dojrzałości co najmniej 4 - transakcja</w:t>
            </w:r>
          </w:p>
        </w:tc>
        <w:tc>
          <w:tcPr>
            <w:tcW w:w="1278" w:type="dxa"/>
          </w:tcPr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745D38" w:rsidRPr="00727E17" w:rsidRDefault="00745D38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842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09-2018</w:t>
            </w:r>
          </w:p>
        </w:tc>
        <w:tc>
          <w:tcPr>
            <w:tcW w:w="2268" w:type="dxa"/>
          </w:tcPr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45D38" w:rsidRPr="00100773" w:rsidRDefault="0093787C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0773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45D38" w:rsidRPr="00727E17" w:rsidTr="00BE732C">
        <w:tc>
          <w:tcPr>
            <w:tcW w:w="2545" w:type="dxa"/>
          </w:tcPr>
          <w:p w:rsidR="00745D38" w:rsidRPr="00727E17" w:rsidRDefault="00745D38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pracowników podmiotów wykonujących zadania publiczne niebędących pracownikami IT, objętych wsparciem szkoleniowym - kobiety</w:t>
            </w:r>
          </w:p>
        </w:tc>
        <w:tc>
          <w:tcPr>
            <w:tcW w:w="1278" w:type="dxa"/>
            <w:vAlign w:val="center"/>
          </w:tcPr>
          <w:p w:rsidR="00745D38" w:rsidRPr="00727E17" w:rsidRDefault="00745D38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osoby</w:t>
            </w:r>
          </w:p>
        </w:tc>
        <w:tc>
          <w:tcPr>
            <w:tcW w:w="1842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780</w:t>
            </w:r>
          </w:p>
        </w:tc>
        <w:tc>
          <w:tcPr>
            <w:tcW w:w="1701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01-2019</w:t>
            </w:r>
          </w:p>
        </w:tc>
        <w:tc>
          <w:tcPr>
            <w:tcW w:w="2268" w:type="dxa"/>
            <w:vAlign w:val="center"/>
          </w:tcPr>
          <w:p w:rsidR="00745D38" w:rsidRPr="00100773" w:rsidRDefault="00F66BB4" w:rsidP="001007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7E84">
              <w:rPr>
                <w:rFonts w:ascii="Times New Roman" w:hAnsi="Times New Roman" w:cs="Times New Roman"/>
              </w:rPr>
              <w:t>067</w:t>
            </w:r>
          </w:p>
        </w:tc>
      </w:tr>
      <w:tr w:rsidR="00745D38" w:rsidRPr="00727E17" w:rsidTr="00BE732C">
        <w:tc>
          <w:tcPr>
            <w:tcW w:w="2545" w:type="dxa"/>
          </w:tcPr>
          <w:p w:rsidR="00745D38" w:rsidRPr="00727E17" w:rsidRDefault="00745D38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lastRenderedPageBreak/>
              <w:t>Liczba pracowników podmiotów wykonujących zadania publiczne niebędących pracownikami IT, objętych wsparciem szkoleniowym – mężczyźni</w:t>
            </w:r>
          </w:p>
        </w:tc>
        <w:tc>
          <w:tcPr>
            <w:tcW w:w="1278" w:type="dxa"/>
            <w:vAlign w:val="center"/>
          </w:tcPr>
          <w:p w:rsidR="00745D38" w:rsidRPr="00727E17" w:rsidRDefault="00745D38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osoby</w:t>
            </w:r>
          </w:p>
        </w:tc>
        <w:tc>
          <w:tcPr>
            <w:tcW w:w="1842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420</w:t>
            </w:r>
          </w:p>
        </w:tc>
        <w:tc>
          <w:tcPr>
            <w:tcW w:w="1701" w:type="dxa"/>
            <w:vAlign w:val="center"/>
          </w:tcPr>
          <w:p w:rsidR="00745D38" w:rsidRPr="00727E17" w:rsidRDefault="00745D38" w:rsidP="00100773">
            <w:pPr>
              <w:jc w:val="center"/>
              <w:rPr>
                <w:rFonts w:ascii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01-2019</w:t>
            </w:r>
          </w:p>
        </w:tc>
        <w:tc>
          <w:tcPr>
            <w:tcW w:w="2268" w:type="dxa"/>
            <w:vAlign w:val="center"/>
          </w:tcPr>
          <w:p w:rsidR="00745D38" w:rsidRPr="00100773" w:rsidRDefault="00F66BB4" w:rsidP="00100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97E84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AF6417" w:rsidRPr="00727E17" w:rsidTr="00736C58">
        <w:tc>
          <w:tcPr>
            <w:tcW w:w="2545" w:type="dxa"/>
          </w:tcPr>
          <w:p w:rsidR="00AF6417" w:rsidRPr="00727E17" w:rsidRDefault="00AF6417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wniosków składanych za pomocą systemu</w:t>
            </w:r>
          </w:p>
        </w:tc>
        <w:tc>
          <w:tcPr>
            <w:tcW w:w="1278" w:type="dxa"/>
          </w:tcPr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AF6417" w:rsidRPr="00727E17" w:rsidRDefault="00AF6417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842" w:type="dxa"/>
            <w:vAlign w:val="center"/>
          </w:tcPr>
          <w:p w:rsidR="00AF6417" w:rsidRPr="00727E17" w:rsidRDefault="00AF6417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50000</w:t>
            </w:r>
          </w:p>
        </w:tc>
        <w:tc>
          <w:tcPr>
            <w:tcW w:w="1701" w:type="dxa"/>
            <w:vAlign w:val="center"/>
          </w:tcPr>
          <w:p w:rsidR="00AF6417" w:rsidRPr="00727E17" w:rsidRDefault="00AF6417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02-20</w:t>
            </w:r>
            <w:r w:rsidR="00D2748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268" w:type="dxa"/>
          </w:tcPr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6417" w:rsidRPr="00100773" w:rsidRDefault="004D067C" w:rsidP="00100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436</w:t>
            </w:r>
          </w:p>
        </w:tc>
      </w:tr>
      <w:tr w:rsidR="00AF6417" w:rsidRPr="00727E17" w:rsidTr="00736C58">
        <w:tc>
          <w:tcPr>
            <w:tcW w:w="2545" w:type="dxa"/>
          </w:tcPr>
          <w:p w:rsidR="00AF6417" w:rsidRPr="00727E17" w:rsidRDefault="00AF6417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urzędów, które dokonały awansu cyfrowego</w:t>
            </w:r>
          </w:p>
        </w:tc>
        <w:tc>
          <w:tcPr>
            <w:tcW w:w="1278" w:type="dxa"/>
          </w:tcPr>
          <w:p w:rsidR="00B61679" w:rsidRDefault="00B61679" w:rsidP="00100773">
            <w:pPr>
              <w:rPr>
                <w:rFonts w:ascii="Times New Roman" w:eastAsia="Calibri" w:hAnsi="Times New Roman" w:cs="Times New Roman"/>
              </w:rPr>
            </w:pPr>
          </w:p>
          <w:p w:rsidR="00AF6417" w:rsidRPr="00727E17" w:rsidRDefault="00AF6417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842" w:type="dxa"/>
            <w:vAlign w:val="center"/>
          </w:tcPr>
          <w:p w:rsidR="00AF6417" w:rsidRPr="00727E17" w:rsidRDefault="00AF6417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:rsidR="00AF6417" w:rsidRPr="00100773" w:rsidRDefault="00C565BC" w:rsidP="0010077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="00AF6417" w:rsidRPr="00727E17">
              <w:rPr>
                <w:rFonts w:ascii="Times New Roman" w:hAnsi="Times New Roman" w:cs="Times New Roman"/>
                <w:color w:val="000000"/>
              </w:rPr>
              <w:t>-2018</w:t>
            </w:r>
          </w:p>
        </w:tc>
        <w:tc>
          <w:tcPr>
            <w:tcW w:w="2268" w:type="dxa"/>
          </w:tcPr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6417" w:rsidRPr="00100773" w:rsidRDefault="00C22E68" w:rsidP="00B6167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996B1E" w:rsidRPr="00727E17" w:rsidTr="007B5C0C">
        <w:tc>
          <w:tcPr>
            <w:tcW w:w="2545" w:type="dxa"/>
          </w:tcPr>
          <w:p w:rsidR="00996B1E" w:rsidRPr="00727E17" w:rsidRDefault="00996B1E" w:rsidP="00100773">
            <w:pPr>
              <w:pStyle w:val="Akapitzlist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Liczba uruchomionych systemów teleinformatycznych w podmiotach wykonujących zadania publiczne</w:t>
            </w:r>
          </w:p>
        </w:tc>
        <w:tc>
          <w:tcPr>
            <w:tcW w:w="1278" w:type="dxa"/>
            <w:vAlign w:val="center"/>
          </w:tcPr>
          <w:p w:rsidR="00996B1E" w:rsidRPr="00727E17" w:rsidRDefault="00996B1E" w:rsidP="00100773">
            <w:pPr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szt.</w:t>
            </w:r>
          </w:p>
        </w:tc>
        <w:tc>
          <w:tcPr>
            <w:tcW w:w="1842" w:type="dxa"/>
            <w:vAlign w:val="center"/>
          </w:tcPr>
          <w:p w:rsidR="00996B1E" w:rsidRPr="00727E17" w:rsidRDefault="00996B1E" w:rsidP="0010077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7E1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61679" w:rsidRDefault="00B61679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6B1E" w:rsidRPr="00727E17" w:rsidRDefault="00100773" w:rsidP="0010077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09-2018</w:t>
            </w:r>
          </w:p>
        </w:tc>
        <w:tc>
          <w:tcPr>
            <w:tcW w:w="2268" w:type="dxa"/>
          </w:tcPr>
          <w:p w:rsidR="00B61679" w:rsidRDefault="00B61679" w:rsidP="00100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61679" w:rsidRDefault="00B61679" w:rsidP="00100773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B61679" w:rsidRDefault="00B61679" w:rsidP="00B61679">
            <w:pPr>
              <w:rPr>
                <w:rFonts w:ascii="Times New Roman" w:eastAsia="Calibri" w:hAnsi="Times New Roman" w:cs="Times New Roman"/>
              </w:rPr>
            </w:pPr>
          </w:p>
          <w:p w:rsidR="00996B1E" w:rsidRPr="00727E17" w:rsidRDefault="00100773" w:rsidP="00B61679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7D2C34" w:rsidRPr="00727E17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 xml:space="preserve">E-usługi </w:t>
      </w:r>
      <w:r w:rsidR="009967CA"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A2A, A2B, A2C</w:t>
      </w:r>
      <w:r w:rsidRPr="00727E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937"/>
        <w:gridCol w:w="1311"/>
        <w:gridCol w:w="1276"/>
        <w:gridCol w:w="4110"/>
      </w:tblGrid>
      <w:tr w:rsidR="007D38BD" w:rsidRPr="00727E17" w:rsidTr="005B0300">
        <w:trPr>
          <w:trHeight w:val="1017"/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:rsidR="007D38BD" w:rsidRPr="00727E17" w:rsidRDefault="00517F12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N</w:t>
            </w:r>
            <w:r w:rsidR="007D38BD" w:rsidRPr="00727E17">
              <w:rPr>
                <w:rFonts w:ascii="Times New Roman" w:hAnsi="Times New Roman" w:cs="Times New Roman"/>
                <w:b/>
              </w:rPr>
              <w:t>azwa</w:t>
            </w:r>
          </w:p>
        </w:tc>
        <w:tc>
          <w:tcPr>
            <w:tcW w:w="1311" w:type="dxa"/>
            <w:shd w:val="clear" w:color="auto" w:fill="D0CECE" w:themeFill="background2" w:themeFillShade="E6"/>
            <w:vAlign w:val="center"/>
          </w:tcPr>
          <w:p w:rsidR="007D38BD" w:rsidRPr="00727E17" w:rsidRDefault="00517F12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Planowana d</w:t>
            </w:r>
            <w:r w:rsidR="007D38BD" w:rsidRPr="00727E17">
              <w:rPr>
                <w:rFonts w:ascii="Times New Roman" w:hAnsi="Times New Roman" w:cs="Times New Roman"/>
                <w:b/>
              </w:rPr>
              <w:t>ata wdrożenia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7D38BD" w:rsidRPr="00727E17" w:rsidRDefault="00517F12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Rzeczywista data wdrożenia</w:t>
            </w:r>
          </w:p>
        </w:tc>
        <w:tc>
          <w:tcPr>
            <w:tcW w:w="4110" w:type="dxa"/>
            <w:shd w:val="clear" w:color="auto" w:fill="D0CECE" w:themeFill="background2" w:themeFillShade="E6"/>
            <w:vAlign w:val="center"/>
          </w:tcPr>
          <w:p w:rsidR="007D38BD" w:rsidRPr="00727E17" w:rsidRDefault="007D38BD" w:rsidP="00586664">
            <w:pPr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Opis zmian</w:t>
            </w:r>
          </w:p>
        </w:tc>
      </w:tr>
      <w:tr w:rsidR="003B493A" w:rsidRPr="00727E17" w:rsidTr="00C62883">
        <w:tc>
          <w:tcPr>
            <w:tcW w:w="2937" w:type="dxa"/>
          </w:tcPr>
          <w:p w:rsidR="003B493A" w:rsidRPr="00727E17" w:rsidRDefault="003B493A" w:rsidP="003B493A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 xml:space="preserve">E-usługa: obsługa wsparcia finansowanego ze środków PFRON – programy Rady Nadzorczej PFRON. Usługa </w:t>
            </w:r>
            <w:r w:rsidR="00675669" w:rsidRPr="00727E17">
              <w:rPr>
                <w:rFonts w:ascii="Times New Roman" w:hAnsi="Times New Roman" w:cs="Times New Roman"/>
              </w:rPr>
              <w:br/>
            </w:r>
            <w:r w:rsidRPr="00727E17">
              <w:rPr>
                <w:rFonts w:ascii="Times New Roman" w:hAnsi="Times New Roman" w:cs="Times New Roman"/>
              </w:rPr>
              <w:t xml:space="preserve">o stopniu dojrzałości 4 – transakcja. Usługa jest skierowana do osób niepełnosprawnych </w:t>
            </w:r>
            <w:r w:rsidR="00675669" w:rsidRPr="00727E17">
              <w:rPr>
                <w:rFonts w:ascii="Times New Roman" w:hAnsi="Times New Roman" w:cs="Times New Roman"/>
              </w:rPr>
              <w:br/>
            </w:r>
            <w:r w:rsidRPr="00727E17">
              <w:rPr>
                <w:rFonts w:ascii="Times New Roman" w:hAnsi="Times New Roman" w:cs="Times New Roman"/>
              </w:rPr>
              <w:t>i organizacji pozarządowych działających na ich rzecz (A2C), przedsiębiorców zatrudniających osoby niepełnosprawne (A2B).</w:t>
            </w:r>
          </w:p>
        </w:tc>
        <w:tc>
          <w:tcPr>
            <w:tcW w:w="1311" w:type="dxa"/>
          </w:tcPr>
          <w:p w:rsidR="003B493A" w:rsidRPr="00727E17" w:rsidRDefault="005B0300" w:rsidP="005B0300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08-</w:t>
            </w:r>
            <w:r w:rsidR="003B493A" w:rsidRPr="00727E17">
              <w:rPr>
                <w:rFonts w:ascii="Times New Roman" w:hAnsi="Times New Roman" w:cs="Times New Roman"/>
                <w:lang w:eastAsia="pl-PL"/>
              </w:rPr>
              <w:t>2018</w:t>
            </w:r>
          </w:p>
        </w:tc>
        <w:tc>
          <w:tcPr>
            <w:tcW w:w="1276" w:type="dxa"/>
          </w:tcPr>
          <w:p w:rsidR="003B493A" w:rsidRPr="00727E17" w:rsidRDefault="005B0300" w:rsidP="005B0300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07-</w:t>
            </w:r>
            <w:r w:rsidR="00100773">
              <w:rPr>
                <w:rFonts w:ascii="Times New Roman" w:hAnsi="Times New Roman" w:cs="Times New Roman"/>
                <w:lang w:eastAsia="pl-PL"/>
              </w:rPr>
              <w:t>2018</w:t>
            </w:r>
          </w:p>
        </w:tc>
        <w:tc>
          <w:tcPr>
            <w:tcW w:w="4110" w:type="dxa"/>
          </w:tcPr>
          <w:p w:rsidR="003B493A" w:rsidRPr="00727E17" w:rsidRDefault="00342397" w:rsidP="00C1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493A" w:rsidRPr="00727E17" w:rsidTr="00C62883">
        <w:tc>
          <w:tcPr>
            <w:tcW w:w="2937" w:type="dxa"/>
          </w:tcPr>
          <w:p w:rsidR="003B493A" w:rsidRPr="00727E17" w:rsidRDefault="003B493A" w:rsidP="003B493A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 xml:space="preserve">E-usługa: obsługa wsparcia finansowanego ze środków PFRON – zadania inne niż programy Rady Nadzorczej PFRON. Usługa o stopniu dojrzałości 3 – dwustronna interakcja. Usługa jest skierowana do osób niepełnosprawnych </w:t>
            </w:r>
            <w:r w:rsidR="00675669" w:rsidRPr="00727E17">
              <w:rPr>
                <w:rFonts w:ascii="Times New Roman" w:hAnsi="Times New Roman" w:cs="Times New Roman"/>
              </w:rPr>
              <w:br/>
            </w:r>
            <w:r w:rsidRPr="00727E17">
              <w:rPr>
                <w:rFonts w:ascii="Times New Roman" w:hAnsi="Times New Roman" w:cs="Times New Roman"/>
              </w:rPr>
              <w:lastRenderedPageBreak/>
              <w:t>i organizacji pozarządowych działających na ich rzecz (A2C), przedsiębiorców zatrudniających osoby niepełnosprawne (A2B).</w:t>
            </w:r>
          </w:p>
        </w:tc>
        <w:tc>
          <w:tcPr>
            <w:tcW w:w="1311" w:type="dxa"/>
          </w:tcPr>
          <w:p w:rsidR="003B493A" w:rsidRPr="00727E17" w:rsidRDefault="005B0300" w:rsidP="005B0300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08-</w:t>
            </w:r>
            <w:r w:rsidR="003B493A" w:rsidRPr="00727E17">
              <w:rPr>
                <w:rFonts w:ascii="Times New Roman" w:hAnsi="Times New Roman" w:cs="Times New Roman"/>
                <w:lang w:eastAsia="pl-PL"/>
              </w:rPr>
              <w:t>2018</w:t>
            </w:r>
          </w:p>
        </w:tc>
        <w:tc>
          <w:tcPr>
            <w:tcW w:w="1276" w:type="dxa"/>
          </w:tcPr>
          <w:p w:rsidR="003B493A" w:rsidRPr="00727E17" w:rsidRDefault="005B0300" w:rsidP="005B0300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07-</w:t>
            </w:r>
            <w:r w:rsidR="00100773">
              <w:rPr>
                <w:rFonts w:ascii="Times New Roman" w:hAnsi="Times New Roman" w:cs="Times New Roman"/>
                <w:lang w:eastAsia="pl-PL"/>
              </w:rPr>
              <w:t>2018</w:t>
            </w:r>
          </w:p>
        </w:tc>
        <w:tc>
          <w:tcPr>
            <w:tcW w:w="4110" w:type="dxa"/>
          </w:tcPr>
          <w:p w:rsidR="003B493A" w:rsidRPr="00727E17" w:rsidRDefault="00342397" w:rsidP="00C11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A1020" w:rsidRPr="00727E17" w:rsidRDefault="00933BEC" w:rsidP="00675669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Times New Roman" w:eastAsiaTheme="minorHAnsi" w:hAnsi="Times New Roman" w:cs="Times New Roman"/>
          <w:b/>
          <w:color w:val="auto"/>
          <w:sz w:val="22"/>
          <w:szCs w:val="22"/>
        </w:rPr>
      </w:pPr>
      <w:r w:rsidRPr="00727E17">
        <w:rPr>
          <w:rStyle w:val="Nagwek3Znak"/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Udostępnione informacje sektora publicznego i </w:t>
      </w:r>
      <w:proofErr w:type="spellStart"/>
      <w:r w:rsidRPr="00727E17">
        <w:rPr>
          <w:rStyle w:val="Nagwek3Znak"/>
          <w:rFonts w:ascii="Times New Roman" w:eastAsiaTheme="minorHAnsi" w:hAnsi="Times New Roman" w:cs="Times New Roman"/>
          <w:b/>
          <w:color w:val="auto"/>
          <w:sz w:val="22"/>
          <w:szCs w:val="22"/>
        </w:rPr>
        <w:t>zdigitalizowane</w:t>
      </w:r>
      <w:proofErr w:type="spellEnd"/>
      <w:r w:rsidRPr="00727E17">
        <w:rPr>
          <w:rStyle w:val="Nagwek3Znak"/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zasoby</w:t>
      </w:r>
      <w:r w:rsidR="00B41415" w:rsidRPr="00727E17">
        <w:rPr>
          <w:rStyle w:val="Nagwek3Znak"/>
          <w:rFonts w:ascii="Times New Roman" w:eastAsiaTheme="minorHAnsi" w:hAnsi="Times New Roman" w:cs="Times New Roman"/>
          <w:b/>
          <w:color w:val="auto"/>
          <w:sz w:val="22"/>
          <w:szCs w:val="22"/>
        </w:rPr>
        <w:t xml:space="preserve"> </w:t>
      </w:r>
    </w:p>
    <w:p w:rsidR="008A1020" w:rsidRPr="00727E17" w:rsidRDefault="008A1020" w:rsidP="008A1020">
      <w:pPr>
        <w:ind w:left="284"/>
        <w:rPr>
          <w:rFonts w:ascii="Times New Roman" w:hAnsi="Times New Roman" w:cs="Times New Roman"/>
          <w:i/>
        </w:rPr>
      </w:pPr>
      <w:r w:rsidRPr="00727E17">
        <w:rPr>
          <w:rFonts w:ascii="Times New Roman" w:hAnsi="Times New Roman" w:cs="Times New Roman"/>
          <w:i/>
        </w:rPr>
        <w:t>Nie dotyczy</w:t>
      </w:r>
    </w:p>
    <w:p w:rsidR="00A175E8" w:rsidRDefault="008A1020" w:rsidP="00A175E8">
      <w:pPr>
        <w:pStyle w:val="Nagwek2"/>
        <w:numPr>
          <w:ilvl w:val="0"/>
          <w:numId w:val="19"/>
        </w:numPr>
        <w:spacing w:before="360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4C1D48"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Produkty końcowe projektu</w:t>
      </w:r>
      <w:r w:rsidR="004C1D48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 xml:space="preserve"> (inne niż wskazane w pkt </w:t>
      </w:r>
      <w:r w:rsidR="00B64B3C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>4</w:t>
      </w:r>
      <w:r w:rsidR="004C1D48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256F2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B64B3C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>5</w:t>
      </w:r>
      <w:r w:rsidR="00E1688D" w:rsidRPr="00727E17">
        <w:rPr>
          <w:rStyle w:val="Nagwek2Znak"/>
          <w:rFonts w:ascii="Times New Roman" w:hAnsi="Times New Roman" w:cs="Times New Roman"/>
          <w:color w:val="auto"/>
          <w:sz w:val="22"/>
          <w:szCs w:val="22"/>
        </w:rPr>
        <w:t>)</w:t>
      </w:r>
      <w:r w:rsidR="004C1D48" w:rsidRPr="00727E1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96B1E" w:rsidRDefault="00996B1E" w:rsidP="00A175E8">
      <w:pPr>
        <w:rPr>
          <w:rFonts w:ascii="Times New Roman" w:hAnsi="Times New Roman" w:cs="Times New Roman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3543"/>
      </w:tblGrid>
      <w:tr w:rsidR="00217406" w:rsidTr="00217406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17406" w:rsidRDefault="00217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17406" w:rsidRDefault="00217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17406" w:rsidRDefault="00217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17406" w:rsidRDefault="002174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Komplementarność względem produktów innych projektów </w:t>
            </w:r>
          </w:p>
          <w:p w:rsidR="00217406" w:rsidRDefault="002174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7406" w:rsidTr="00D62682">
        <w:trPr>
          <w:trHeight w:val="175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06" w:rsidRPr="00217406" w:rsidRDefault="00217406">
            <w:pPr>
              <w:rPr>
                <w:rFonts w:ascii="Times New Roman" w:hAnsi="Times New Roman" w:cs="Times New Roman"/>
              </w:rPr>
            </w:pPr>
            <w:r w:rsidRPr="00217406">
              <w:rPr>
                <w:rFonts w:ascii="Times New Roman" w:hAnsi="Times New Roman" w:cs="Times New Roman"/>
              </w:rPr>
              <w:t xml:space="preserve">System obsługi wsparcia finansowanego ze środków PFRON </w:t>
            </w:r>
          </w:p>
          <w:p w:rsidR="00217406" w:rsidRDefault="002174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06" w:rsidRPr="00217406" w:rsidRDefault="00217406" w:rsidP="005B0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406">
              <w:rPr>
                <w:rFonts w:ascii="Times New Roman" w:hAnsi="Times New Roman" w:cs="Times New Roman"/>
                <w:lang w:eastAsia="pl-PL"/>
              </w:rPr>
              <w:t>06-2018</w:t>
            </w:r>
          </w:p>
          <w:p w:rsidR="00217406" w:rsidRDefault="002174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06" w:rsidRPr="00217406" w:rsidRDefault="00217406" w:rsidP="005B03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406">
              <w:rPr>
                <w:rFonts w:ascii="Times New Roman" w:hAnsi="Times New Roman" w:cs="Times New Roman"/>
                <w:lang w:eastAsia="pl-PL"/>
              </w:rPr>
              <w:t>0</w:t>
            </w:r>
            <w:r w:rsidR="00342397">
              <w:rPr>
                <w:rFonts w:ascii="Times New Roman" w:hAnsi="Times New Roman" w:cs="Times New Roman"/>
                <w:lang w:eastAsia="pl-PL"/>
              </w:rPr>
              <w:t>7</w:t>
            </w:r>
            <w:r w:rsidRPr="00217406">
              <w:rPr>
                <w:rFonts w:ascii="Times New Roman" w:hAnsi="Times New Roman" w:cs="Times New Roman"/>
                <w:lang w:eastAsia="pl-PL"/>
              </w:rPr>
              <w:t>-2018</w:t>
            </w:r>
          </w:p>
          <w:p w:rsidR="00217406" w:rsidRDefault="00217406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06" w:rsidRPr="00217406" w:rsidRDefault="00217406">
            <w:pPr>
              <w:rPr>
                <w:rFonts w:ascii="Times New Roman" w:hAnsi="Times New Roman" w:cs="Times New Roman"/>
              </w:rPr>
            </w:pPr>
            <w:r w:rsidRPr="00217406">
              <w:rPr>
                <w:rFonts w:ascii="Times New Roman" w:hAnsi="Times New Roman" w:cs="Times New Roman"/>
              </w:rPr>
              <w:t>Nie dotyczy</w:t>
            </w:r>
          </w:p>
        </w:tc>
      </w:tr>
    </w:tbl>
    <w:p w:rsidR="00217406" w:rsidRPr="00A175E8" w:rsidRDefault="00217406" w:rsidP="00DF0046">
      <w:pPr>
        <w:spacing w:line="240" w:lineRule="auto"/>
        <w:rPr>
          <w:rFonts w:ascii="Times New Roman" w:hAnsi="Times New Roman" w:cs="Times New Roman"/>
        </w:rPr>
      </w:pPr>
    </w:p>
    <w:p w:rsidR="00BB059E" w:rsidRPr="00727E17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Times New Roman" w:hAnsi="Times New Roman" w:cs="Times New Roman"/>
        </w:rPr>
      </w:pPr>
      <w:r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R</w:t>
      </w:r>
      <w:r w:rsidR="00304D04"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yzyka</w:t>
      </w:r>
      <w:r w:rsidR="00B41415" w:rsidRPr="00727E17">
        <w:rPr>
          <w:rStyle w:val="Nagwek3Znak"/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A34DF" w:rsidRPr="00727E17">
        <w:rPr>
          <w:rFonts w:ascii="Times New Roman" w:hAnsi="Times New Roman" w:cs="Times New Roman"/>
          <w:color w:val="0070C0"/>
        </w:rPr>
        <w:t xml:space="preserve"> </w:t>
      </w:r>
      <w:r w:rsidR="00B41415" w:rsidRPr="00727E17">
        <w:rPr>
          <w:rFonts w:ascii="Times New Roman" w:hAnsi="Times New Roman" w:cs="Times New Roman"/>
          <w:color w:val="0070C0"/>
        </w:rPr>
        <w:t xml:space="preserve"> </w:t>
      </w:r>
    </w:p>
    <w:p w:rsidR="00CF2E64" w:rsidRPr="00727E17" w:rsidRDefault="00CF2E64" w:rsidP="00F25348">
      <w:pPr>
        <w:spacing w:after="120"/>
        <w:rPr>
          <w:rFonts w:ascii="Times New Roman" w:hAnsi="Times New Roman" w:cs="Times New Roman"/>
        </w:rPr>
      </w:pPr>
      <w:r w:rsidRPr="00727E17">
        <w:rPr>
          <w:rFonts w:ascii="Times New Roman" w:hAnsi="Times New Roman" w:cs="Times New Roman"/>
          <w:b/>
        </w:rPr>
        <w:t>Ryzyka wpływające na realizację projektu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2410"/>
        <w:gridCol w:w="3118"/>
      </w:tblGrid>
      <w:tr w:rsidR="00D62682" w:rsidRPr="00727E17" w:rsidTr="003C0E74">
        <w:trPr>
          <w:tblHeader/>
        </w:trPr>
        <w:tc>
          <w:tcPr>
            <w:tcW w:w="2978" w:type="dxa"/>
            <w:shd w:val="clear" w:color="auto" w:fill="D0CECE" w:themeFill="background2" w:themeFillShade="E6"/>
            <w:vAlign w:val="center"/>
          </w:tcPr>
          <w:p w:rsidR="00322614" w:rsidRPr="00727E17" w:rsidRDefault="00322614" w:rsidP="0058666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Nazwa ryzyka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:rsidR="00322614" w:rsidRPr="00727E17" w:rsidRDefault="00322614" w:rsidP="0058666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 xml:space="preserve">Siła oddziaływania 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322614" w:rsidRPr="00727E17" w:rsidRDefault="00322614" w:rsidP="0058666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Prawdopodobieństwo wystąpienia ryzyka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:rsidR="00322614" w:rsidRPr="00727E17" w:rsidRDefault="00322614" w:rsidP="0058666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27E17">
              <w:rPr>
                <w:rFonts w:ascii="Times New Roman" w:hAnsi="Times New Roman" w:cs="Times New Roman"/>
                <w:b/>
              </w:rPr>
              <w:t>Sposób zarzadzania ryzykiem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Opóźnienia w realizacji harmonogramu, niewywiązanie się z zapisów umowy o dofinansowanie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Bieżące monitorowanie postępu prac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Zmiany przepisów prawnych wpływające na wymagania funkcjonalne systemu, nieosiągnięcie oczekiwanych rezultatów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niskie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Monitorowanie planowanych zmian prawnych i zaplanowanie budżetu zmian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System informatyczny nie spełnia wymagań zdefiniowanych w projekcie.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Uzyskanie zewnętrznego wsparcia merytorycznego dla zlecającego w zakresie nadzoru nad projektowaniem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>i wdrożeniem sytemu informatycznego</w:t>
            </w:r>
            <w:r w:rsidR="005C0F00" w:rsidRPr="00727E17">
              <w:rPr>
                <w:rFonts w:ascii="Times New Roman" w:hAnsi="Times New Roman" w:cs="Times New Roman"/>
                <w:color w:val="000000"/>
              </w:rPr>
              <w:t>.</w:t>
            </w:r>
            <w:r w:rsidR="0061274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C0F00" w:rsidRPr="00727E17">
              <w:rPr>
                <w:rFonts w:ascii="Times New Roman" w:hAnsi="Times New Roman" w:cs="Times New Roman"/>
                <w:color w:val="000000"/>
              </w:rPr>
              <w:t xml:space="preserve">Dodatkowe 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 xml:space="preserve">tury testów przed odbiorem wersji produkcyjnej systemu. Outsourcing testów systemu 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lastRenderedPageBreak/>
              <w:t>wyspecjalizowanemu podmiotowi zewnętrznemu.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Udostępnione w systemie e-usługi nie będą posiadały ułatwień dla osób niepełnosprawnych, nieosiągnięcie wskaźników rezultatu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niskie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Wprowadzenie zapisów do kontraktu z Wykonawcą systemu, obligujących go do wprowadzenia takich ułatwień</w:t>
            </w:r>
            <w:r w:rsidR="005C0F00" w:rsidRPr="00727E17">
              <w:rPr>
                <w:rFonts w:ascii="Times New Roman" w:hAnsi="Times New Roman" w:cs="Times New Roman"/>
                <w:color w:val="000000"/>
              </w:rPr>
              <w:t>. Powołanie zespołu ds. dostępności którego zadaniem jest testowanie systemu pod kątem ułatwień dla osób niepełnosprawnych.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Brak kompetencji w zespole projektowym, problemy w dostarczeniu wymaganych produktów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niskie</w:t>
            </w:r>
          </w:p>
        </w:tc>
        <w:tc>
          <w:tcPr>
            <w:tcW w:w="3118" w:type="dxa"/>
          </w:tcPr>
          <w:p w:rsidR="002B1E86" w:rsidRPr="00727E17" w:rsidRDefault="006F10E3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Outsourcing zadań i zasobów do realizacji od firm posiadających odpowiednie kompetencje. </w:t>
            </w:r>
            <w:r w:rsidR="00AF6417" w:rsidRPr="00727E17">
              <w:rPr>
                <w:rFonts w:ascii="Times New Roman" w:hAnsi="Times New Roman" w:cs="Times New Roman"/>
                <w:color w:val="000000"/>
              </w:rPr>
              <w:t>Zespół projektowy pozyskał do swojego skł</w:t>
            </w:r>
            <w:r w:rsidR="00736C58" w:rsidRPr="00727E17">
              <w:rPr>
                <w:rFonts w:ascii="Times New Roman" w:hAnsi="Times New Roman" w:cs="Times New Roman"/>
                <w:color w:val="000000"/>
              </w:rPr>
              <w:t>a</w:t>
            </w:r>
            <w:r w:rsidR="00AF6417" w:rsidRPr="00727E17">
              <w:rPr>
                <w:rFonts w:ascii="Times New Roman" w:hAnsi="Times New Roman" w:cs="Times New Roman"/>
                <w:color w:val="000000"/>
              </w:rPr>
              <w:t>du szereg kompetentnych specjalistów.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Brak wystarczającego zainteresowania udostępnionymi e-usługami, nieosiągnięcie wskaźników rezultatu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Prowadzenie akcji informacyjnej i promocyjnej na poziomie krajowym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>i regionalnym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Złe zapisy w kontrakcie, problemy w dostarczeniu wymaganych produktów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niskie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Konsultacje zapisów kontraktu przed jego podpisaniem (dział prawny, firma zewnętrzna)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>. Bieżąca obsługa kwestii kontraktowych w oparciu o usługę kancelarii zewnętrznej.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Opóźnienia w rozstrzygnięciu postępowań o udzielenie zamówienia publicznego, opóźnienie realizacji projektu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Staranne 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 xml:space="preserve">zaplanowanie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 xml:space="preserve">i 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określenie przedmiotu zamówienia, </w:t>
            </w:r>
            <w:r w:rsidR="006F10E3" w:rsidRPr="00727E17">
              <w:rPr>
                <w:rFonts w:ascii="Times New Roman" w:hAnsi="Times New Roman" w:cs="Times New Roman"/>
                <w:color w:val="000000"/>
              </w:rPr>
              <w:t>przygotowanie postępowań z wyprzedzeniem.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10-osobowy zespół obsługujący helpdesk okaże się niewystarczający ze względu na dużą liczbę zgłoszeń w początkowym etapie realizacji projektu, zniechęcenie potencjalnych użytkowników, nieosiągnięcie oczekiwanego poziomu wniosków składanych elektronicznie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niskie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 xml:space="preserve">Stałe monitorowanie oraz prowadzenie testów obejmujących analizę jakości wytwarzanego oprogramowania (System). Weryfikacja zgodności interfejsu  Systemu SOW z wymogami WCAG 2.0 </w:t>
            </w:r>
            <w:r w:rsidR="00D62682">
              <w:rPr>
                <w:rFonts w:ascii="Times New Roman" w:hAnsi="Times New Roman" w:cs="Times New Roman"/>
              </w:rPr>
              <w:t xml:space="preserve"> </w:t>
            </w:r>
            <w:r w:rsidRPr="00727E17">
              <w:rPr>
                <w:rFonts w:ascii="Times New Roman" w:hAnsi="Times New Roman" w:cs="Times New Roman"/>
              </w:rPr>
              <w:t>na poziomie AA</w:t>
            </w:r>
            <w:r w:rsidR="006F10E3" w:rsidRPr="00727E17">
              <w:rPr>
                <w:rFonts w:ascii="Times New Roman" w:hAnsi="Times New Roman" w:cs="Times New Roman"/>
              </w:rPr>
              <w:t>. Wdrożenie systemu obsługi incydentów.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</w:rPr>
              <w:t>Problemy w komunikacji pomiędzy Beneficjentem -</w:t>
            </w:r>
            <w:r w:rsidR="00735C44" w:rsidRPr="00727E17">
              <w:rPr>
                <w:rFonts w:ascii="Times New Roman" w:hAnsi="Times New Roman" w:cs="Times New Roman"/>
              </w:rPr>
              <w:t xml:space="preserve"> </w:t>
            </w:r>
            <w:r w:rsidRPr="00727E17">
              <w:rPr>
                <w:rFonts w:ascii="Times New Roman" w:hAnsi="Times New Roman" w:cs="Times New Roman"/>
              </w:rPr>
              <w:t xml:space="preserve">JST 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</w:rPr>
              <w:t>wysokie</w:t>
            </w:r>
          </w:p>
        </w:tc>
        <w:tc>
          <w:tcPr>
            <w:tcW w:w="3118" w:type="dxa"/>
          </w:tcPr>
          <w:p w:rsidR="002B1E86" w:rsidRPr="00727E17" w:rsidRDefault="00B90A5D" w:rsidP="00B90A5D">
            <w:pPr>
              <w:ind w:right="-113"/>
              <w:jc w:val="both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F10E3" w:rsidRPr="00727E17">
              <w:rPr>
                <w:rFonts w:ascii="Times New Roman" w:hAnsi="Times New Roman" w:cs="Times New Roman"/>
              </w:rPr>
              <w:t xml:space="preserve">Powołanie zespołów konsultacyjnych </w:t>
            </w:r>
            <w:r w:rsidR="002B1E86" w:rsidRPr="00727E17">
              <w:rPr>
                <w:rFonts w:ascii="Times New Roman" w:hAnsi="Times New Roman" w:cs="Times New Roman"/>
              </w:rPr>
              <w:t>PFRON-JST.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B1E86" w:rsidRPr="00727E17">
              <w:rPr>
                <w:rFonts w:ascii="Times New Roman" w:hAnsi="Times New Roman" w:cs="Times New Roman"/>
              </w:rPr>
              <w:t xml:space="preserve">Prowadzenie </w:t>
            </w:r>
            <w:r w:rsidR="006F10E3" w:rsidRPr="00727E17">
              <w:rPr>
                <w:rFonts w:ascii="Times New Roman" w:hAnsi="Times New Roman" w:cs="Times New Roman"/>
              </w:rPr>
              <w:t xml:space="preserve">szerokiego programu </w:t>
            </w:r>
            <w:r w:rsidR="002B1E86" w:rsidRPr="00727E17">
              <w:rPr>
                <w:rFonts w:ascii="Times New Roman" w:hAnsi="Times New Roman" w:cs="Times New Roman"/>
              </w:rPr>
              <w:t>szkoleń</w:t>
            </w:r>
            <w:r w:rsidR="006F10E3" w:rsidRPr="00727E17">
              <w:rPr>
                <w:rFonts w:ascii="Times New Roman" w:hAnsi="Times New Roman" w:cs="Times New Roman"/>
              </w:rPr>
              <w:t xml:space="preserve"> stacjonarnych, webin</w:t>
            </w:r>
            <w:r w:rsidR="00C231E7" w:rsidRPr="00727E17">
              <w:rPr>
                <w:rFonts w:ascii="Times New Roman" w:hAnsi="Times New Roman" w:cs="Times New Roman"/>
              </w:rPr>
              <w:t xml:space="preserve">ariów </w:t>
            </w:r>
            <w:r w:rsidR="006F10E3" w:rsidRPr="00727E17">
              <w:rPr>
                <w:rFonts w:ascii="Times New Roman" w:hAnsi="Times New Roman" w:cs="Times New Roman"/>
              </w:rPr>
              <w:t>online</w:t>
            </w:r>
            <w:r w:rsidR="00C231E7" w:rsidRPr="00727E17">
              <w:rPr>
                <w:rFonts w:ascii="Times New Roman" w:hAnsi="Times New Roman" w:cs="Times New Roman"/>
              </w:rPr>
              <w:t xml:space="preserve"> oraz szkoleń elearningowych</w:t>
            </w:r>
            <w:r w:rsidR="002B1E86" w:rsidRPr="00727E17">
              <w:rPr>
                <w:rFonts w:ascii="Times New Roman" w:hAnsi="Times New Roman" w:cs="Times New Roman"/>
              </w:rPr>
              <w:t xml:space="preserve"> dla przedstawicieli JST.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Problemy związane z testowaniem produktu - zbyt mała liczba testujących, zbyt krótki czas na wprowadzenie zmian w oparciu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o błędy, które zostały na etapie testowania wyłapane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mała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Włączenie w etapy testowania jak największej liczby podmiotów deklarujących swoje chęci do udziału w  testach, włączenie w testowanie </w:t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t xml:space="preserve">wewnętrznych struktur PFRON (departamenty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lastRenderedPageBreak/>
              <w:t>i oddziały) oraz outsourcing</w:t>
            </w:r>
            <w:r w:rsidR="00D6268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t>usług testowania przez</w:t>
            </w:r>
            <w:r w:rsidR="005916C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1274A" w:rsidRPr="00727E17">
              <w:rPr>
                <w:rFonts w:ascii="Times New Roman" w:hAnsi="Times New Roman" w:cs="Times New Roman"/>
                <w:color w:val="000000"/>
              </w:rPr>
              <w:t>wyspecjalizowany</w:t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t xml:space="preserve"> podmiot zewnętrzny.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>Sytuacja na rynku w czasie prowadzenia postępowania przetargowego na wybór Wykonawcy Systemu powoduje, że poszczególni Wykonawcy stosują agresywną politykę cenową. W konsekwencji w czasie realizacji zamówienia wybrany Wykonawca będzie próbował ograniczać zakres (koszt) swoich działań poprzez dostarczanie produktów niskiej jakości lub poprzez wskazywanie zadań koniecznych do wykonania jako leżące poza zakresem zamówienia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wysokie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Zintensyfikowanie działań nadzorczych nad wybranym Wykonawcą. Przydzielenie członkom zespołu projektowego dodatkowych obowiązków w zakresie analizy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>i testowania produktów dostarczanych przez Wykonawcę.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Wyczerpanie możliwości zespołu projektowego w zakresie działań nadzorczych związanych z zapewnieniem prawidłowej realizacji umowy z Wykonawcą Systemu.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wysokie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Wzmocnienie zespołu Zamawiającego o dodatkowy personel, który zapewni nadzór nad prawidłową realizacją umowy </w:t>
            </w:r>
            <w:r w:rsidR="0061274A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z Wykonawcą.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Bardzo krótki czas na przygotowanie dokumentacji </w:t>
            </w:r>
            <w:r w:rsidR="003C0E7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>systemu przez Wykonawcę. Opóźnienia w dostarczeniu dokumentacji systemu przez Wykonawcę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wysokie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Bieżące monitorowanie postępu prac przez Zespół projektowy.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t>K</w:t>
            </w:r>
            <w:r w:rsidRPr="00727E17">
              <w:rPr>
                <w:rFonts w:ascii="Times New Roman" w:hAnsi="Times New Roman" w:cs="Times New Roman"/>
                <w:color w:val="000000"/>
              </w:rPr>
              <w:t>onsultowanie sposobu realizacji w SOW poszczególnych zadań i programów</w:t>
            </w:r>
            <w:r w:rsidR="00C231E7" w:rsidRPr="00727E17">
              <w:rPr>
                <w:rFonts w:ascii="Times New Roman" w:hAnsi="Times New Roman" w:cs="Times New Roman"/>
                <w:color w:val="000000"/>
              </w:rPr>
              <w:t xml:space="preserve"> z JST,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>z uwzględnieniem zapisów OPZ i aktualnie obowiązujących aktów prawnych.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Wykonawca nie wywiązuje się z zobowiązań wynikających z zapisów umowy. Nie angażuje zasobów wystarczających do realizacji poszczególnych etapów zamówienia.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wysokie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Bieżące monitorowanie sposobu realizacji przez Wykonawcę poszczególnych etapów zamówienia. </w:t>
            </w:r>
          </w:p>
        </w:tc>
      </w:tr>
      <w:tr w:rsidR="00D62682" w:rsidRPr="00727E17" w:rsidTr="003C0E74">
        <w:tc>
          <w:tcPr>
            <w:tcW w:w="297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 xml:space="preserve">Odmowa przyjęcia w użytkowanie urządzeń mobilnych oraz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digitalizujących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 xml:space="preserve"> przez Jednostki Samorządu Terytorialnego, a także braku prawnej możliwości zobowiązania tych instytucji do przyjęcia zakupionego sprzętu. </w:t>
            </w:r>
          </w:p>
        </w:tc>
        <w:tc>
          <w:tcPr>
            <w:tcW w:w="1417" w:type="dxa"/>
          </w:tcPr>
          <w:p w:rsidR="002B1E86" w:rsidRPr="00727E17" w:rsidRDefault="002B1E86" w:rsidP="002B1E86">
            <w:pPr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duża</w:t>
            </w:r>
          </w:p>
        </w:tc>
        <w:tc>
          <w:tcPr>
            <w:tcW w:w="2410" w:type="dxa"/>
          </w:tcPr>
          <w:p w:rsidR="002B1E86" w:rsidRPr="00727E17" w:rsidRDefault="002B1E86" w:rsidP="002B1E86">
            <w:pPr>
              <w:rPr>
                <w:rFonts w:ascii="Times New Roman" w:eastAsia="Times New Roman" w:hAnsi="Times New Roman" w:cs="Times New Roman"/>
                <w:color w:val="0070C0"/>
                <w:lang w:eastAsia="pl-PL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średnie</w:t>
            </w:r>
          </w:p>
        </w:tc>
        <w:tc>
          <w:tcPr>
            <w:tcW w:w="3118" w:type="dxa"/>
          </w:tcPr>
          <w:p w:rsidR="002B1E86" w:rsidRPr="00727E17" w:rsidRDefault="002B1E86" w:rsidP="002B1E86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727E17">
              <w:rPr>
                <w:rFonts w:ascii="Times New Roman" w:hAnsi="Times New Roman" w:cs="Times New Roman"/>
                <w:color w:val="000000"/>
              </w:rPr>
              <w:t>Plan naprawczy uwzględnia zmianę założeń postępowania. Planuje się zakup i dystrybucję: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1. urządzeń mobilnych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w ramach umowy, która będzie przewidywała zakup minimalnej ilości 1000 sztuk urządzeń przy możliwości zwiększenia ilość zakupionych urządzeń o kolejnych 500 sztuk w przypadku powodzenia dystrybucji pierwszej partii urządzeń,                                   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lastRenderedPageBreak/>
              <w:t xml:space="preserve">2. urządzeń </w:t>
            </w:r>
            <w:proofErr w:type="spellStart"/>
            <w:r w:rsidRPr="00727E17">
              <w:rPr>
                <w:rFonts w:ascii="Times New Roman" w:hAnsi="Times New Roman" w:cs="Times New Roman"/>
                <w:color w:val="000000"/>
              </w:rPr>
              <w:t>digitalizujących</w:t>
            </w:r>
            <w:proofErr w:type="spellEnd"/>
            <w:r w:rsidRPr="00727E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6624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w ramach umowy, która będzie przewidywała zakup minimalnej ilości około 200 sztuk urządzeń przy możliwości zwiększenia ilość zakupionych urządzeń </w:t>
            </w:r>
            <w:r w:rsidRPr="00727E17">
              <w:rPr>
                <w:rFonts w:ascii="Times New Roman" w:hAnsi="Times New Roman" w:cs="Times New Roman"/>
                <w:color w:val="000000"/>
              </w:rPr>
              <w:br/>
              <w:t xml:space="preserve">o kolejnych 75 sztuk </w:t>
            </w:r>
            <w:r w:rsidR="00881D3C" w:rsidRPr="00727E17">
              <w:rPr>
                <w:rFonts w:ascii="Times New Roman" w:hAnsi="Times New Roman" w:cs="Times New Roman"/>
                <w:color w:val="000000"/>
              </w:rPr>
              <w:br/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w przypadku </w:t>
            </w:r>
            <w:r w:rsidR="0061274A" w:rsidRPr="00727E17">
              <w:rPr>
                <w:rFonts w:ascii="Times New Roman" w:hAnsi="Times New Roman" w:cs="Times New Roman"/>
                <w:color w:val="000000"/>
              </w:rPr>
              <w:t>powodzenia</w:t>
            </w:r>
            <w:r w:rsidR="003629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17">
              <w:rPr>
                <w:rFonts w:ascii="Times New Roman" w:hAnsi="Times New Roman" w:cs="Times New Roman"/>
                <w:color w:val="000000"/>
              </w:rPr>
              <w:t xml:space="preserve">dystrybucji pierwszej partii urządzeń. </w:t>
            </w:r>
          </w:p>
        </w:tc>
      </w:tr>
    </w:tbl>
    <w:p w:rsidR="00141A92" w:rsidRDefault="00141A92" w:rsidP="00141A92">
      <w:pPr>
        <w:spacing w:before="240" w:after="120"/>
        <w:rPr>
          <w:rFonts w:ascii="Times New Roman" w:hAnsi="Times New Roman" w:cs="Times New Roman"/>
          <w:b/>
        </w:rPr>
      </w:pPr>
    </w:p>
    <w:p w:rsidR="0061274A" w:rsidRPr="00727E17" w:rsidRDefault="0061274A" w:rsidP="00141A92">
      <w:pPr>
        <w:spacing w:before="240" w:after="120"/>
        <w:rPr>
          <w:rFonts w:ascii="Times New Roman" w:hAnsi="Times New Roman" w:cs="Times New Roman"/>
          <w:b/>
        </w:rPr>
      </w:pPr>
    </w:p>
    <w:p w:rsidR="00CF2E64" w:rsidRPr="00727E17" w:rsidRDefault="00CF2E64" w:rsidP="00141A92">
      <w:pPr>
        <w:spacing w:before="240" w:after="120"/>
        <w:rPr>
          <w:rFonts w:ascii="Times New Roman" w:hAnsi="Times New Roman" w:cs="Times New Roman"/>
          <w:b/>
        </w:rPr>
      </w:pPr>
      <w:r w:rsidRPr="00727E17">
        <w:rPr>
          <w:rFonts w:ascii="Times New Roman" w:hAnsi="Times New Roman" w:cs="Times New Roman"/>
          <w:b/>
        </w:rPr>
        <w:t>Ryzyka wpływające na utrzymanie efektów projektu</w:t>
      </w:r>
      <w:r w:rsidR="00A561A7" w:rsidRPr="00727E17">
        <w:rPr>
          <w:rFonts w:ascii="Times New Roman" w:hAnsi="Times New Roman" w:cs="Times New Roman"/>
          <w:b/>
        </w:rPr>
        <w:t xml:space="preserve"> </w:t>
      </w:r>
    </w:p>
    <w:p w:rsidR="0091332C" w:rsidRPr="00727E17" w:rsidRDefault="008A1020" w:rsidP="00141A92">
      <w:pPr>
        <w:spacing w:before="240" w:after="120"/>
        <w:rPr>
          <w:rFonts w:ascii="Times New Roman" w:hAnsi="Times New Roman" w:cs="Times New Roman"/>
          <w:i/>
        </w:rPr>
      </w:pPr>
      <w:r w:rsidRPr="00727E17">
        <w:rPr>
          <w:rFonts w:ascii="Times New Roman" w:hAnsi="Times New Roman" w:cs="Times New Roman"/>
          <w:i/>
        </w:rPr>
        <w:t>Nie dotyczy.</w:t>
      </w:r>
    </w:p>
    <w:p w:rsidR="00BB059E" w:rsidRPr="00727E17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Times New Roman" w:hAnsi="Times New Roman" w:cs="Times New Roman"/>
          <w:color w:val="0070C0"/>
        </w:rPr>
      </w:pPr>
      <w:r w:rsidRPr="00727E17">
        <w:rPr>
          <w:rStyle w:val="Nagwek2Znak"/>
          <w:rFonts w:ascii="Times New Roman" w:hAnsi="Times New Roman" w:cs="Times New Roman"/>
          <w:b/>
          <w:color w:val="auto"/>
          <w:sz w:val="22"/>
          <w:szCs w:val="22"/>
        </w:rPr>
        <w:t>Dane kontaktowe:</w:t>
      </w:r>
      <w:r w:rsidRPr="00727E17">
        <w:rPr>
          <w:rFonts w:ascii="Times New Roman" w:hAnsi="Times New Roman" w:cs="Times New Roman"/>
          <w:b/>
        </w:rPr>
        <w:t xml:space="preserve"> </w:t>
      </w:r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Departament ds. Programów</w:t>
      </w:r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Wydział ds. projektu „System obsługi wsparcia finansowanego ze środków PFRON”</w:t>
      </w:r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07CA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Kinga Rolnicka-Zemła (Asystent kierownika projektu)</w:t>
      </w:r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8" w:history="1">
        <w:r w:rsidR="005B0300" w:rsidRPr="008102A6">
          <w:rPr>
            <w:rStyle w:val="Hipercze"/>
            <w:rFonts w:ascii="Times New Roman" w:hAnsi="Times New Roman" w:cs="Times New Roman"/>
          </w:rPr>
          <w:t>krolnicka-zemla@pfron.org.pl</w:t>
        </w:r>
      </w:hyperlink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Tel.: 22 50 55 386</w:t>
      </w:r>
    </w:p>
    <w:p w:rsidR="00A561A7" w:rsidRPr="00224BA0" w:rsidRDefault="00A561A7" w:rsidP="00224BA0">
      <w:pPr>
        <w:rPr>
          <w:rFonts w:ascii="Times New Roman" w:hAnsi="Times New Roman" w:cs="Times New Roman"/>
          <w:color w:val="000000" w:themeColor="text1"/>
        </w:rPr>
      </w:pPr>
    </w:p>
    <w:p w:rsidR="00A561A7" w:rsidRPr="00727E17" w:rsidRDefault="00A561A7" w:rsidP="002207CA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Marta Wiśniewska (Specjalista ds. rozliczeń)</w:t>
      </w:r>
    </w:p>
    <w:p w:rsidR="00A561A7" w:rsidRPr="00727E17" w:rsidRDefault="00A561A7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 xml:space="preserve">e-mail: </w:t>
      </w:r>
      <w:hyperlink r:id="rId9" w:history="1">
        <w:r w:rsidR="005B0300" w:rsidRPr="008102A6">
          <w:rPr>
            <w:rStyle w:val="Hipercze"/>
            <w:rFonts w:ascii="Times New Roman" w:hAnsi="Times New Roman" w:cs="Times New Roman"/>
          </w:rPr>
          <w:t>mwisniewska@pfron.org.pl</w:t>
        </w:r>
      </w:hyperlink>
    </w:p>
    <w:p w:rsidR="00A561A7" w:rsidRDefault="00A561A7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27E17">
        <w:rPr>
          <w:rFonts w:ascii="Times New Roman" w:hAnsi="Times New Roman" w:cs="Times New Roman"/>
          <w:color w:val="000000" w:themeColor="text1"/>
        </w:rPr>
        <w:t>tel.: 22 50 55</w:t>
      </w:r>
      <w:r w:rsidR="00224BA0">
        <w:rPr>
          <w:rFonts w:ascii="Times New Roman" w:hAnsi="Times New Roman" w:cs="Times New Roman"/>
          <w:color w:val="000000" w:themeColor="text1"/>
        </w:rPr>
        <w:t> </w:t>
      </w:r>
      <w:r w:rsidRPr="00727E17">
        <w:rPr>
          <w:rFonts w:ascii="Times New Roman" w:hAnsi="Times New Roman" w:cs="Times New Roman"/>
          <w:color w:val="000000" w:themeColor="text1"/>
        </w:rPr>
        <w:t>479</w:t>
      </w: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:rsidR="00224BA0" w:rsidRPr="00727E17" w:rsidRDefault="00224BA0" w:rsidP="00A561A7">
      <w:pPr>
        <w:pStyle w:val="Akapitzlist"/>
        <w:spacing w:before="36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sectPr w:rsidR="00224BA0" w:rsidRPr="00727E17" w:rsidSect="00505BBC">
      <w:footerReference w:type="default" r:id="rId10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01" w:rsidRDefault="00AC4501" w:rsidP="00BB2420">
      <w:pPr>
        <w:spacing w:after="0" w:line="240" w:lineRule="auto"/>
      </w:pPr>
      <w:r>
        <w:separator/>
      </w:r>
    </w:p>
  </w:endnote>
  <w:endnote w:type="continuationSeparator" w:id="0">
    <w:p w:rsidR="00AC4501" w:rsidRDefault="00AC4501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501" w:rsidRDefault="00AC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01" w:rsidRDefault="00AC4501" w:rsidP="00BB2420">
      <w:pPr>
        <w:spacing w:after="0" w:line="240" w:lineRule="auto"/>
      </w:pPr>
      <w:r>
        <w:separator/>
      </w:r>
    </w:p>
  </w:footnote>
  <w:footnote w:type="continuationSeparator" w:id="0">
    <w:p w:rsidR="00AC4501" w:rsidRDefault="00AC4501" w:rsidP="00BB2420">
      <w:pPr>
        <w:spacing w:after="0" w:line="240" w:lineRule="auto"/>
      </w:pPr>
      <w:r>
        <w:continuationSeparator/>
      </w:r>
    </w:p>
  </w:footnote>
  <w:footnote w:id="1">
    <w:p w:rsidR="00AC4501" w:rsidRDefault="00AC4501" w:rsidP="00E9293C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1DB"/>
    <w:multiLevelType w:val="hybridMultilevel"/>
    <w:tmpl w:val="10AE4026"/>
    <w:lvl w:ilvl="0" w:tplc="62FAAE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7"/>
  </w:num>
  <w:num w:numId="17">
    <w:abstractNumId w:val="12"/>
  </w:num>
  <w:num w:numId="18">
    <w:abstractNumId w:val="10"/>
  </w:num>
  <w:num w:numId="19">
    <w:abstractNumId w:val="8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0"/>
    <w:rsid w:val="00003CB0"/>
    <w:rsid w:val="00006E59"/>
    <w:rsid w:val="00010AA8"/>
    <w:rsid w:val="000354DE"/>
    <w:rsid w:val="00043DD9"/>
    <w:rsid w:val="00044D68"/>
    <w:rsid w:val="00047D9D"/>
    <w:rsid w:val="00070663"/>
    <w:rsid w:val="00076864"/>
    <w:rsid w:val="00084E5B"/>
    <w:rsid w:val="00087231"/>
    <w:rsid w:val="00095944"/>
    <w:rsid w:val="00097E84"/>
    <w:rsid w:val="000A1DFB"/>
    <w:rsid w:val="000A2F32"/>
    <w:rsid w:val="000A3938"/>
    <w:rsid w:val="000B3E49"/>
    <w:rsid w:val="000B4EE2"/>
    <w:rsid w:val="000E0060"/>
    <w:rsid w:val="000E1828"/>
    <w:rsid w:val="000E2F53"/>
    <w:rsid w:val="000E4BF8"/>
    <w:rsid w:val="000F0C03"/>
    <w:rsid w:val="000F20A9"/>
    <w:rsid w:val="000F307B"/>
    <w:rsid w:val="000F30B9"/>
    <w:rsid w:val="00100773"/>
    <w:rsid w:val="00107FD3"/>
    <w:rsid w:val="0011095B"/>
    <w:rsid w:val="0011693F"/>
    <w:rsid w:val="00122388"/>
    <w:rsid w:val="00124C3D"/>
    <w:rsid w:val="00137E4F"/>
    <w:rsid w:val="00141A92"/>
    <w:rsid w:val="00145E84"/>
    <w:rsid w:val="0015102C"/>
    <w:rsid w:val="00151B25"/>
    <w:rsid w:val="00155C3F"/>
    <w:rsid w:val="001666A8"/>
    <w:rsid w:val="00176FBB"/>
    <w:rsid w:val="00181E97"/>
    <w:rsid w:val="00182A08"/>
    <w:rsid w:val="001945FA"/>
    <w:rsid w:val="001A2EF2"/>
    <w:rsid w:val="001B5F75"/>
    <w:rsid w:val="001C2D74"/>
    <w:rsid w:val="001C7FAC"/>
    <w:rsid w:val="001E0CAC"/>
    <w:rsid w:val="001E16A3"/>
    <w:rsid w:val="001E1DEA"/>
    <w:rsid w:val="001E2F98"/>
    <w:rsid w:val="001E7199"/>
    <w:rsid w:val="001F24A0"/>
    <w:rsid w:val="001F67EC"/>
    <w:rsid w:val="0020330A"/>
    <w:rsid w:val="00217406"/>
    <w:rsid w:val="002207CA"/>
    <w:rsid w:val="00224BA0"/>
    <w:rsid w:val="00237279"/>
    <w:rsid w:val="00240D69"/>
    <w:rsid w:val="00241B5E"/>
    <w:rsid w:val="00252087"/>
    <w:rsid w:val="00276C00"/>
    <w:rsid w:val="002A3C02"/>
    <w:rsid w:val="002A5452"/>
    <w:rsid w:val="002A7C26"/>
    <w:rsid w:val="002B1E86"/>
    <w:rsid w:val="002B42C2"/>
    <w:rsid w:val="002B4889"/>
    <w:rsid w:val="002B50C0"/>
    <w:rsid w:val="002B6F21"/>
    <w:rsid w:val="002D3D4A"/>
    <w:rsid w:val="002D7ADA"/>
    <w:rsid w:val="002F046F"/>
    <w:rsid w:val="0030090C"/>
    <w:rsid w:val="0030196F"/>
    <w:rsid w:val="00302775"/>
    <w:rsid w:val="00304D04"/>
    <w:rsid w:val="00310D8E"/>
    <w:rsid w:val="00312E0B"/>
    <w:rsid w:val="003221F2"/>
    <w:rsid w:val="00322614"/>
    <w:rsid w:val="00334A24"/>
    <w:rsid w:val="003410FE"/>
    <w:rsid w:val="00342397"/>
    <w:rsid w:val="003508E7"/>
    <w:rsid w:val="003542F1"/>
    <w:rsid w:val="00356A3E"/>
    <w:rsid w:val="003629CC"/>
    <w:rsid w:val="003642B8"/>
    <w:rsid w:val="00391064"/>
    <w:rsid w:val="003A4115"/>
    <w:rsid w:val="003B493A"/>
    <w:rsid w:val="003B5B7A"/>
    <w:rsid w:val="003B6B4C"/>
    <w:rsid w:val="003C0E74"/>
    <w:rsid w:val="003C7325"/>
    <w:rsid w:val="003D7DD0"/>
    <w:rsid w:val="003E3144"/>
    <w:rsid w:val="00405EA4"/>
    <w:rsid w:val="0041034F"/>
    <w:rsid w:val="004118A3"/>
    <w:rsid w:val="004168B0"/>
    <w:rsid w:val="00423A26"/>
    <w:rsid w:val="00423AB7"/>
    <w:rsid w:val="00425046"/>
    <w:rsid w:val="004350B8"/>
    <w:rsid w:val="00444AAB"/>
    <w:rsid w:val="00450089"/>
    <w:rsid w:val="004C1D48"/>
    <w:rsid w:val="004C6C94"/>
    <w:rsid w:val="004D067C"/>
    <w:rsid w:val="004D65CA"/>
    <w:rsid w:val="004E790B"/>
    <w:rsid w:val="004F040B"/>
    <w:rsid w:val="004F0ACE"/>
    <w:rsid w:val="004F4257"/>
    <w:rsid w:val="004F6E89"/>
    <w:rsid w:val="00505BBC"/>
    <w:rsid w:val="005110AE"/>
    <w:rsid w:val="005131B6"/>
    <w:rsid w:val="00517F12"/>
    <w:rsid w:val="0052102C"/>
    <w:rsid w:val="005227C5"/>
    <w:rsid w:val="00524E6C"/>
    <w:rsid w:val="005332D6"/>
    <w:rsid w:val="00544DFE"/>
    <w:rsid w:val="00555374"/>
    <w:rsid w:val="00567897"/>
    <w:rsid w:val="005734CE"/>
    <w:rsid w:val="0057798D"/>
    <w:rsid w:val="00586664"/>
    <w:rsid w:val="005905F8"/>
    <w:rsid w:val="005916CB"/>
    <w:rsid w:val="00593290"/>
    <w:rsid w:val="005A12F7"/>
    <w:rsid w:val="005A1B30"/>
    <w:rsid w:val="005B0300"/>
    <w:rsid w:val="005B1A32"/>
    <w:rsid w:val="005B271C"/>
    <w:rsid w:val="005B5135"/>
    <w:rsid w:val="005C0469"/>
    <w:rsid w:val="005C0F00"/>
    <w:rsid w:val="005C6116"/>
    <w:rsid w:val="005C77BB"/>
    <w:rsid w:val="005D17CF"/>
    <w:rsid w:val="005D2F73"/>
    <w:rsid w:val="005D5AAB"/>
    <w:rsid w:val="005D6E12"/>
    <w:rsid w:val="005E0ED8"/>
    <w:rsid w:val="005E6ABD"/>
    <w:rsid w:val="005F41FA"/>
    <w:rsid w:val="00600AE4"/>
    <w:rsid w:val="006054AA"/>
    <w:rsid w:val="0061274A"/>
    <w:rsid w:val="0062054D"/>
    <w:rsid w:val="00627D02"/>
    <w:rsid w:val="006334BF"/>
    <w:rsid w:val="00635A54"/>
    <w:rsid w:val="00635DAC"/>
    <w:rsid w:val="0064482C"/>
    <w:rsid w:val="00661A62"/>
    <w:rsid w:val="006731D9"/>
    <w:rsid w:val="00675669"/>
    <w:rsid w:val="006822BC"/>
    <w:rsid w:val="006975B0"/>
    <w:rsid w:val="006A2696"/>
    <w:rsid w:val="006A60AA"/>
    <w:rsid w:val="006B034F"/>
    <w:rsid w:val="006B5117"/>
    <w:rsid w:val="006D1F61"/>
    <w:rsid w:val="006E0CFA"/>
    <w:rsid w:val="006E6205"/>
    <w:rsid w:val="006F10E3"/>
    <w:rsid w:val="006F3DF4"/>
    <w:rsid w:val="00701800"/>
    <w:rsid w:val="00725708"/>
    <w:rsid w:val="00727E17"/>
    <w:rsid w:val="00735C44"/>
    <w:rsid w:val="007363EF"/>
    <w:rsid w:val="00736624"/>
    <w:rsid w:val="00736C58"/>
    <w:rsid w:val="00740A47"/>
    <w:rsid w:val="00741690"/>
    <w:rsid w:val="00745D38"/>
    <w:rsid w:val="00746ABD"/>
    <w:rsid w:val="00773B30"/>
    <w:rsid w:val="0077418F"/>
    <w:rsid w:val="00775C44"/>
    <w:rsid w:val="00775D73"/>
    <w:rsid w:val="007769D2"/>
    <w:rsid w:val="00784FAC"/>
    <w:rsid w:val="00786901"/>
    <w:rsid w:val="007924CE"/>
    <w:rsid w:val="00795AFA"/>
    <w:rsid w:val="007A4742"/>
    <w:rsid w:val="007B0251"/>
    <w:rsid w:val="007B5C0C"/>
    <w:rsid w:val="007C2F7E"/>
    <w:rsid w:val="007C3F18"/>
    <w:rsid w:val="007C4710"/>
    <w:rsid w:val="007C6235"/>
    <w:rsid w:val="007D0E87"/>
    <w:rsid w:val="007D1990"/>
    <w:rsid w:val="007D2C34"/>
    <w:rsid w:val="007D38BD"/>
    <w:rsid w:val="007D3F21"/>
    <w:rsid w:val="007E341A"/>
    <w:rsid w:val="007F126F"/>
    <w:rsid w:val="007F5CAE"/>
    <w:rsid w:val="00806134"/>
    <w:rsid w:val="00806DD7"/>
    <w:rsid w:val="008104E7"/>
    <w:rsid w:val="00811EC1"/>
    <w:rsid w:val="0082253C"/>
    <w:rsid w:val="008245E8"/>
    <w:rsid w:val="00826AD0"/>
    <w:rsid w:val="00830B70"/>
    <w:rsid w:val="00840749"/>
    <w:rsid w:val="0085034A"/>
    <w:rsid w:val="008513BB"/>
    <w:rsid w:val="00871E6B"/>
    <w:rsid w:val="0087452F"/>
    <w:rsid w:val="00875528"/>
    <w:rsid w:val="00881D3C"/>
    <w:rsid w:val="00884686"/>
    <w:rsid w:val="008A007E"/>
    <w:rsid w:val="008A1020"/>
    <w:rsid w:val="008A332F"/>
    <w:rsid w:val="008A52F6"/>
    <w:rsid w:val="008B6BB1"/>
    <w:rsid w:val="008B6C7B"/>
    <w:rsid w:val="008C4BCD"/>
    <w:rsid w:val="008C6721"/>
    <w:rsid w:val="008D3826"/>
    <w:rsid w:val="008F2D9B"/>
    <w:rsid w:val="008F752C"/>
    <w:rsid w:val="00900963"/>
    <w:rsid w:val="00907F6D"/>
    <w:rsid w:val="00911190"/>
    <w:rsid w:val="0091332C"/>
    <w:rsid w:val="009210FA"/>
    <w:rsid w:val="009256F2"/>
    <w:rsid w:val="00931255"/>
    <w:rsid w:val="00933BEC"/>
    <w:rsid w:val="00936729"/>
    <w:rsid w:val="0093787C"/>
    <w:rsid w:val="009435DC"/>
    <w:rsid w:val="0095183B"/>
    <w:rsid w:val="00952126"/>
    <w:rsid w:val="00952617"/>
    <w:rsid w:val="009663A6"/>
    <w:rsid w:val="00971A40"/>
    <w:rsid w:val="00971C9B"/>
    <w:rsid w:val="00976434"/>
    <w:rsid w:val="00992EA3"/>
    <w:rsid w:val="00995A8A"/>
    <w:rsid w:val="009967CA"/>
    <w:rsid w:val="00996B1E"/>
    <w:rsid w:val="009A17FF"/>
    <w:rsid w:val="009B4423"/>
    <w:rsid w:val="009B7E7F"/>
    <w:rsid w:val="009C6140"/>
    <w:rsid w:val="009D2FA4"/>
    <w:rsid w:val="009D7D8A"/>
    <w:rsid w:val="009E4C67"/>
    <w:rsid w:val="009F09BF"/>
    <w:rsid w:val="009F1DC8"/>
    <w:rsid w:val="009F437E"/>
    <w:rsid w:val="00A057C1"/>
    <w:rsid w:val="00A06B54"/>
    <w:rsid w:val="00A11788"/>
    <w:rsid w:val="00A175E8"/>
    <w:rsid w:val="00A30847"/>
    <w:rsid w:val="00A36AE2"/>
    <w:rsid w:val="00A43E49"/>
    <w:rsid w:val="00A44EA2"/>
    <w:rsid w:val="00A561A7"/>
    <w:rsid w:val="00A56D63"/>
    <w:rsid w:val="00A67685"/>
    <w:rsid w:val="00A728AE"/>
    <w:rsid w:val="00A804AE"/>
    <w:rsid w:val="00A8235B"/>
    <w:rsid w:val="00A86224"/>
    <w:rsid w:val="00A86449"/>
    <w:rsid w:val="00A87C1C"/>
    <w:rsid w:val="00AA4CAB"/>
    <w:rsid w:val="00AA51AD"/>
    <w:rsid w:val="00AB2E01"/>
    <w:rsid w:val="00AC0E91"/>
    <w:rsid w:val="00AC4501"/>
    <w:rsid w:val="00AC7E26"/>
    <w:rsid w:val="00AD45BB"/>
    <w:rsid w:val="00AE1643"/>
    <w:rsid w:val="00AE3A6C"/>
    <w:rsid w:val="00AF09B8"/>
    <w:rsid w:val="00AF567D"/>
    <w:rsid w:val="00AF6417"/>
    <w:rsid w:val="00AF6BC7"/>
    <w:rsid w:val="00B04A57"/>
    <w:rsid w:val="00B17709"/>
    <w:rsid w:val="00B41415"/>
    <w:rsid w:val="00B440C3"/>
    <w:rsid w:val="00B50560"/>
    <w:rsid w:val="00B576B5"/>
    <w:rsid w:val="00B61679"/>
    <w:rsid w:val="00B64B3C"/>
    <w:rsid w:val="00B673C6"/>
    <w:rsid w:val="00B74859"/>
    <w:rsid w:val="00B84609"/>
    <w:rsid w:val="00B87D3D"/>
    <w:rsid w:val="00B90A5D"/>
    <w:rsid w:val="00B96F01"/>
    <w:rsid w:val="00BA481C"/>
    <w:rsid w:val="00BB059E"/>
    <w:rsid w:val="00BB2420"/>
    <w:rsid w:val="00BB5ACE"/>
    <w:rsid w:val="00BC1BD2"/>
    <w:rsid w:val="00BC6BE4"/>
    <w:rsid w:val="00BD1E6F"/>
    <w:rsid w:val="00BD4F05"/>
    <w:rsid w:val="00BE47CD"/>
    <w:rsid w:val="00BE5BF9"/>
    <w:rsid w:val="00BE732C"/>
    <w:rsid w:val="00C1106C"/>
    <w:rsid w:val="00C113B2"/>
    <w:rsid w:val="00C22E68"/>
    <w:rsid w:val="00C231E7"/>
    <w:rsid w:val="00C26361"/>
    <w:rsid w:val="00C302F1"/>
    <w:rsid w:val="00C36E6F"/>
    <w:rsid w:val="00C41134"/>
    <w:rsid w:val="00C42AEA"/>
    <w:rsid w:val="00C565BC"/>
    <w:rsid w:val="00C57985"/>
    <w:rsid w:val="00C62883"/>
    <w:rsid w:val="00C63ECA"/>
    <w:rsid w:val="00C6751B"/>
    <w:rsid w:val="00C801EF"/>
    <w:rsid w:val="00CA516B"/>
    <w:rsid w:val="00CB04A9"/>
    <w:rsid w:val="00CC7E21"/>
    <w:rsid w:val="00CE74F9"/>
    <w:rsid w:val="00CE7777"/>
    <w:rsid w:val="00CF2E64"/>
    <w:rsid w:val="00D25CFE"/>
    <w:rsid w:val="00D2748A"/>
    <w:rsid w:val="00D40ECC"/>
    <w:rsid w:val="00D4607F"/>
    <w:rsid w:val="00D57025"/>
    <w:rsid w:val="00D57765"/>
    <w:rsid w:val="00D62682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D6579"/>
    <w:rsid w:val="00DE006A"/>
    <w:rsid w:val="00DE07ED"/>
    <w:rsid w:val="00DE6249"/>
    <w:rsid w:val="00DE731D"/>
    <w:rsid w:val="00DF0046"/>
    <w:rsid w:val="00DF6D39"/>
    <w:rsid w:val="00E0076D"/>
    <w:rsid w:val="00E11B44"/>
    <w:rsid w:val="00E11F5B"/>
    <w:rsid w:val="00E15DEB"/>
    <w:rsid w:val="00E1688D"/>
    <w:rsid w:val="00E203EB"/>
    <w:rsid w:val="00E35401"/>
    <w:rsid w:val="00E375DB"/>
    <w:rsid w:val="00E42938"/>
    <w:rsid w:val="00E45548"/>
    <w:rsid w:val="00E47508"/>
    <w:rsid w:val="00E55EB0"/>
    <w:rsid w:val="00E57BB7"/>
    <w:rsid w:val="00E61CB0"/>
    <w:rsid w:val="00E65BCB"/>
    <w:rsid w:val="00E71256"/>
    <w:rsid w:val="00E71BCF"/>
    <w:rsid w:val="00E81D7C"/>
    <w:rsid w:val="00E83FA4"/>
    <w:rsid w:val="00E86020"/>
    <w:rsid w:val="00E9293C"/>
    <w:rsid w:val="00EA0B4F"/>
    <w:rsid w:val="00EC2AFC"/>
    <w:rsid w:val="00ED06B8"/>
    <w:rsid w:val="00EE0BF5"/>
    <w:rsid w:val="00EE5E4F"/>
    <w:rsid w:val="00EF5D01"/>
    <w:rsid w:val="00F138F7"/>
    <w:rsid w:val="00F17C72"/>
    <w:rsid w:val="00F2008A"/>
    <w:rsid w:val="00F21D9E"/>
    <w:rsid w:val="00F25348"/>
    <w:rsid w:val="00F417DD"/>
    <w:rsid w:val="00F433E6"/>
    <w:rsid w:val="00F45506"/>
    <w:rsid w:val="00F60062"/>
    <w:rsid w:val="00F613CC"/>
    <w:rsid w:val="00F66BB4"/>
    <w:rsid w:val="00F76777"/>
    <w:rsid w:val="00F83F2F"/>
    <w:rsid w:val="00F86555"/>
    <w:rsid w:val="00F924C6"/>
    <w:rsid w:val="00FC208B"/>
    <w:rsid w:val="00FC3B03"/>
    <w:rsid w:val="00FD2FB2"/>
    <w:rsid w:val="00FD3AA8"/>
    <w:rsid w:val="00FD688F"/>
    <w:rsid w:val="00FE52FF"/>
    <w:rsid w:val="00FF03A2"/>
    <w:rsid w:val="00FF22C4"/>
    <w:rsid w:val="00FF3166"/>
    <w:rsid w:val="00FF68E0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747A1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"/>
    <w:basedOn w:val="Normalny"/>
    <w:link w:val="AkapitzlistZnak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AkapitzlistZnak">
    <w:name w:val="Akapit z listą Znak"/>
    <w:aliases w:val="Numerowanie Znak,List Paragraph Znak,L1 Znak,Akapit z listą5 Znak"/>
    <w:link w:val="Akapitzlist"/>
    <w:uiPriority w:val="34"/>
    <w:rsid w:val="00775D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7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561A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61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45D3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B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olnicka-zemla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wisniewsk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1607-6367-4862-8605-C947C26A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3888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2019-05-14T09:08:00Z</dcterms:created>
  <dcterms:modified xsi:type="dcterms:W3CDTF">2019-05-14T09:11:00Z</dcterms:modified>
</cp:coreProperties>
</file>