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4BDE" w14:textId="77777777" w:rsidR="00A62D15" w:rsidRPr="00A62D15" w:rsidRDefault="00A62D15" w:rsidP="00A62D15">
      <w:pPr>
        <w:pStyle w:val="Teksttreci20"/>
        <w:shd w:val="clear" w:color="auto" w:fill="auto"/>
        <w:spacing w:after="291"/>
        <w:ind w:right="-11" w:firstLine="0"/>
        <w:jc w:val="right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443E">
        <w:rPr>
          <w:rFonts w:asciiTheme="minorHAnsi" w:hAnsiTheme="minorHAnsi"/>
          <w:sz w:val="22"/>
          <w:szCs w:val="22"/>
        </w:rPr>
        <w:t>Załącznik nr 5</w:t>
      </w:r>
      <w:r w:rsidRPr="00A62D15">
        <w:rPr>
          <w:rFonts w:asciiTheme="minorHAnsi" w:hAnsiTheme="minorHAnsi"/>
          <w:sz w:val="22"/>
          <w:szCs w:val="22"/>
        </w:rPr>
        <w:t xml:space="preserve"> do </w:t>
      </w:r>
      <w:r w:rsidR="00AA3BB6">
        <w:rPr>
          <w:rFonts w:asciiTheme="minorHAnsi" w:hAnsiTheme="minorHAnsi"/>
          <w:sz w:val="22"/>
          <w:szCs w:val="22"/>
        </w:rPr>
        <w:t>U</w:t>
      </w:r>
      <w:r w:rsidRPr="00A62D15">
        <w:rPr>
          <w:rFonts w:asciiTheme="minorHAnsi" w:hAnsiTheme="minorHAnsi"/>
          <w:sz w:val="22"/>
          <w:szCs w:val="22"/>
        </w:rPr>
        <w:t xml:space="preserve">mowy </w:t>
      </w:r>
    </w:p>
    <w:p w14:paraId="6166589E" w14:textId="77777777" w:rsidR="00A62D15" w:rsidRPr="00A62D15" w:rsidRDefault="00A62D15" w:rsidP="00A62D15">
      <w:pPr>
        <w:pStyle w:val="Teksttreci20"/>
        <w:shd w:val="clear" w:color="auto" w:fill="auto"/>
        <w:spacing w:after="291"/>
        <w:ind w:right="-11" w:firstLine="0"/>
        <w:jc w:val="right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nr……</w:t>
      </w:r>
      <w:r w:rsidRPr="00A62D15">
        <w:rPr>
          <w:rFonts w:asciiTheme="minorHAnsi" w:hAnsiTheme="minorHAnsi"/>
          <w:sz w:val="22"/>
          <w:szCs w:val="22"/>
        </w:rPr>
        <w:tab/>
        <w:t>z dnia ……….</w:t>
      </w:r>
    </w:p>
    <w:p w14:paraId="2E627E7D" w14:textId="77777777" w:rsidR="00A62D15" w:rsidRPr="00A62D15" w:rsidRDefault="00A62D15" w:rsidP="00A62D15">
      <w:pPr>
        <w:pStyle w:val="Teksttreci30"/>
        <w:shd w:val="clear" w:color="auto" w:fill="auto"/>
        <w:spacing w:before="0" w:after="253" w:line="200" w:lineRule="exact"/>
        <w:ind w:left="1040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ISTOTNE POSTANOWIENIA UMOWY POWIERZENIA PRZETWARZANIA DANYCH OSOBOWYCH</w:t>
      </w:r>
    </w:p>
    <w:p w14:paraId="139B5A21" w14:textId="77777777" w:rsidR="00A62D15" w:rsidRPr="00A62D15" w:rsidRDefault="00A62D15" w:rsidP="00A62D15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Pojęciom pisanym wielką literą nadaje się następujące znacznie:</w:t>
      </w:r>
    </w:p>
    <w:p w14:paraId="49DD59DD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ind w:left="851" w:right="660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Dane osobowe </w:t>
      </w:r>
      <w:r w:rsidRPr="00A62D15">
        <w:rPr>
          <w:rFonts w:asciiTheme="minorHAnsi" w:hAnsiTheme="minorHAnsi"/>
          <w:sz w:val="22"/>
          <w:szCs w:val="22"/>
        </w:rPr>
        <w:t>- informacje o zidentyfikowanej lub możliwej do zidentyfikowania osobie fizycznej (osobie, której dane dotyczą), powierzone do przetwarzania na podstawie Umowy;</w:t>
      </w:r>
    </w:p>
    <w:p w14:paraId="4BCD3DC3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Dni Robocze </w:t>
      </w:r>
      <w:r w:rsidRPr="00A62D15">
        <w:rPr>
          <w:rFonts w:asciiTheme="minorHAnsi" w:hAnsiTheme="minorHAnsi"/>
          <w:sz w:val="22"/>
          <w:szCs w:val="22"/>
        </w:rPr>
        <w:t>- dni od poniedziałku do piątku, w godz. 8:00 - 16:00, z wyłączeniem dni ustawowo wolnych od pracy w Polsce;</w:t>
      </w:r>
    </w:p>
    <w:p w14:paraId="1BC750D0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Naruszenie ochrony Danych osobowych </w:t>
      </w:r>
      <w:r w:rsidRPr="00A62D15">
        <w:rPr>
          <w:rFonts w:asciiTheme="minorHAnsi" w:hAnsiTheme="minorHAnsi"/>
          <w:sz w:val="22"/>
          <w:szCs w:val="22"/>
        </w:rPr>
        <w:t xml:space="preserve">lub </w:t>
      </w: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Naruszenie </w:t>
      </w:r>
      <w:r w:rsidRPr="00A62D15">
        <w:rPr>
          <w:rFonts w:asciiTheme="minorHAnsi" w:hAnsiTheme="minorHAnsi"/>
          <w:sz w:val="22"/>
          <w:szCs w:val="22"/>
        </w:rPr>
        <w:t>- naruszenie bezpieczeństwa prowadzące do przypadkowego lub niezgodnego z prawem zniszczenia, utracenia, zmodyfikowania, nieuprawnionego ujawnienia lub nieuprawnionego dostępu do Danych osobowych;</w:t>
      </w:r>
    </w:p>
    <w:p w14:paraId="4873EF6A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Podmiot danych </w:t>
      </w:r>
      <w:r w:rsidRPr="00A62D15">
        <w:rPr>
          <w:rFonts w:asciiTheme="minorHAnsi" w:hAnsiTheme="minorHAnsi"/>
          <w:sz w:val="22"/>
          <w:szCs w:val="22"/>
        </w:rPr>
        <w:t>- osoba, której dotyczą Dane osobowe będące przedmiotem Umowy;</w:t>
      </w:r>
    </w:p>
    <w:p w14:paraId="22B483A9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right="660" w:hanging="284"/>
        <w:rPr>
          <w:rFonts w:asciiTheme="minorHAnsi" w:hAnsiTheme="minorHAnsi"/>
          <w:sz w:val="22"/>
          <w:szCs w:val="22"/>
        </w:rPr>
      </w:pPr>
      <w:proofErr w:type="spellStart"/>
      <w:r w:rsidRPr="00A62D15">
        <w:rPr>
          <w:rStyle w:val="Teksttreci2Pogrubienie"/>
          <w:rFonts w:asciiTheme="minorHAnsi" w:hAnsiTheme="minorHAnsi"/>
          <w:sz w:val="22"/>
          <w:szCs w:val="22"/>
        </w:rPr>
        <w:t>Podprzetwarzający</w:t>
      </w:r>
      <w:proofErr w:type="spellEnd"/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 </w:t>
      </w:r>
      <w:r w:rsidRPr="00A62D15">
        <w:rPr>
          <w:rFonts w:asciiTheme="minorHAnsi" w:hAnsiTheme="minorHAnsi"/>
          <w:sz w:val="22"/>
          <w:szCs w:val="22"/>
        </w:rPr>
        <w:t>- podmiot z którym Procesor zawarł umowę dalszego powierzenia przetwarzania Danych osobowych;</w:t>
      </w:r>
    </w:p>
    <w:p w14:paraId="022BAF2F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Przepisy o ochronie danych osobowych </w:t>
      </w:r>
      <w:r w:rsidRPr="00A62D15">
        <w:rPr>
          <w:rFonts w:asciiTheme="minorHAnsi" w:hAnsiTheme="minorHAnsi"/>
          <w:sz w:val="22"/>
          <w:szCs w:val="22"/>
        </w:rPr>
        <w:t>- RODO, ustawa z dnia 10 maja 2018 r. o ochronie danych osobowych (Dz. U. z 2019 r. poz. 1781, z późn.zm.) oraz inne właściwe sektorowe akty prawne regulujące przetwarzanie danych osobowych;</w:t>
      </w:r>
    </w:p>
    <w:p w14:paraId="60EC47CF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RODO </w:t>
      </w:r>
      <w:r w:rsidRPr="00A62D15">
        <w:rPr>
          <w:rFonts w:asciiTheme="minorHAnsi" w:hAnsiTheme="minorHAnsi"/>
          <w:sz w:val="22"/>
          <w:szCs w:val="22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638BB0B5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</w:tabs>
        <w:ind w:left="851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Umowa </w:t>
      </w:r>
      <w:r w:rsidRPr="00A62D15">
        <w:rPr>
          <w:rFonts w:asciiTheme="minorHAnsi" w:hAnsiTheme="minorHAnsi"/>
          <w:sz w:val="22"/>
          <w:szCs w:val="22"/>
        </w:rPr>
        <w:t>- niniejsza umowa powierzenia przetwarzania danych osobowych;</w:t>
      </w:r>
    </w:p>
    <w:p w14:paraId="0106FECD" w14:textId="77777777" w:rsidR="00A62D15" w:rsidRPr="00A62D15" w:rsidRDefault="00A62D15" w:rsidP="00A62D15">
      <w:pPr>
        <w:pStyle w:val="Teksttreci20"/>
        <w:numPr>
          <w:ilvl w:val="0"/>
          <w:numId w:val="16"/>
        </w:numPr>
        <w:shd w:val="clear" w:color="auto" w:fill="auto"/>
        <w:tabs>
          <w:tab w:val="left" w:pos="1261"/>
          <w:tab w:val="left" w:leader="dot" w:pos="5125"/>
        </w:tabs>
        <w:ind w:left="851" w:hanging="284"/>
        <w:rPr>
          <w:rFonts w:asciiTheme="minorHAnsi" w:hAnsiTheme="minorHAnsi"/>
          <w:sz w:val="22"/>
          <w:szCs w:val="22"/>
        </w:rPr>
      </w:pPr>
      <w:r w:rsidRPr="00A62D15">
        <w:rPr>
          <w:rStyle w:val="Teksttreci2Pogrubienie"/>
          <w:rFonts w:asciiTheme="minorHAnsi" w:hAnsiTheme="minorHAnsi"/>
          <w:sz w:val="22"/>
          <w:szCs w:val="22"/>
        </w:rPr>
        <w:t xml:space="preserve">Umowa główna </w:t>
      </w:r>
      <w:r w:rsidRPr="00A62D15">
        <w:rPr>
          <w:rFonts w:asciiTheme="minorHAnsi" w:hAnsiTheme="minorHAnsi"/>
          <w:sz w:val="22"/>
          <w:szCs w:val="22"/>
        </w:rPr>
        <w:t>- umowa nr .... z dnia</w:t>
      </w:r>
      <w:r w:rsidRPr="00A62D15">
        <w:rPr>
          <w:rFonts w:asciiTheme="minorHAnsi" w:hAnsiTheme="minorHAnsi"/>
          <w:sz w:val="22"/>
          <w:szCs w:val="22"/>
        </w:rPr>
        <w:tab/>
        <w:t xml:space="preserve"> , której przedmiot obejmuje przetwarzania Danych</w:t>
      </w:r>
    </w:p>
    <w:p w14:paraId="0469B94C" w14:textId="77777777" w:rsidR="00A62D15" w:rsidRPr="00A62D15" w:rsidRDefault="00A62D15" w:rsidP="00A62D15">
      <w:pPr>
        <w:pStyle w:val="Teksttreci20"/>
        <w:shd w:val="clear" w:color="auto" w:fill="auto"/>
        <w:ind w:left="851" w:hanging="284"/>
        <w:jc w:val="left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osobowych.</w:t>
      </w:r>
    </w:p>
    <w:p w14:paraId="66F63C46" w14:textId="77777777" w:rsidR="00A62D15" w:rsidRPr="00A62D15" w:rsidRDefault="00A62D15" w:rsidP="00A62D15">
      <w:pPr>
        <w:pStyle w:val="Teksttreci20"/>
        <w:numPr>
          <w:ilvl w:val="0"/>
          <w:numId w:val="15"/>
        </w:numPr>
        <w:shd w:val="clear" w:color="auto" w:fill="auto"/>
        <w:tabs>
          <w:tab w:val="left" w:pos="-851"/>
        </w:tabs>
        <w:ind w:left="426" w:right="660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Na podstawie Umowy Administrator powierza Procesorowi przetwarzanie następujących Danych osobowych w następującym zakresie:</w:t>
      </w:r>
    </w:p>
    <w:p w14:paraId="0F734074" w14:textId="77777777" w:rsidR="00A62D15" w:rsidRPr="00A62D15" w:rsidRDefault="00252E9D" w:rsidP="00A62D15">
      <w:pPr>
        <w:pStyle w:val="Teksttreci20"/>
        <w:shd w:val="clear" w:color="auto" w:fill="auto"/>
        <w:ind w:left="851" w:hanging="2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 w:rsidR="00A62D15" w:rsidRPr="00A62D15">
        <w:rPr>
          <w:rFonts w:asciiTheme="minorHAnsi" w:hAnsiTheme="minorHAnsi"/>
          <w:sz w:val="22"/>
          <w:szCs w:val="22"/>
        </w:rPr>
        <w:t xml:space="preserve"> czas trwania przetwarzania: okres obowiązywania Umowy;</w:t>
      </w:r>
    </w:p>
    <w:p w14:paraId="537C4F65" w14:textId="77777777" w:rsidR="00A62D15" w:rsidRPr="00A62D15" w:rsidRDefault="00A62D15" w:rsidP="00A62D15">
      <w:pPr>
        <w:pStyle w:val="Teksttreci20"/>
        <w:numPr>
          <w:ilvl w:val="0"/>
          <w:numId w:val="17"/>
        </w:numPr>
        <w:shd w:val="clear" w:color="auto" w:fill="auto"/>
        <w:tabs>
          <w:tab w:val="left" w:pos="1381"/>
        </w:tabs>
        <w:ind w:left="851" w:hanging="280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charakter przetwarzania ciągły;</w:t>
      </w:r>
    </w:p>
    <w:p w14:paraId="62FECACD" w14:textId="77777777" w:rsidR="00A62D15" w:rsidRPr="00A62D15" w:rsidRDefault="00A62D15" w:rsidP="00A62D15">
      <w:pPr>
        <w:pStyle w:val="Teksttreci20"/>
        <w:numPr>
          <w:ilvl w:val="0"/>
          <w:numId w:val="17"/>
        </w:numPr>
        <w:shd w:val="clear" w:color="auto" w:fill="auto"/>
        <w:tabs>
          <w:tab w:val="left" w:pos="1381"/>
        </w:tabs>
        <w:ind w:left="851" w:hanging="280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sposób przetwarzania: zautomatyzowany, niezautomatyzowany;</w:t>
      </w:r>
    </w:p>
    <w:p w14:paraId="63B71700" w14:textId="77777777" w:rsidR="00A62D15" w:rsidRPr="00A62D15" w:rsidRDefault="00A62D15" w:rsidP="00A62D15">
      <w:pPr>
        <w:pStyle w:val="Teksttreci20"/>
        <w:numPr>
          <w:ilvl w:val="0"/>
          <w:numId w:val="17"/>
        </w:numPr>
        <w:shd w:val="clear" w:color="auto" w:fill="auto"/>
        <w:tabs>
          <w:tab w:val="left" w:pos="1381"/>
        </w:tabs>
        <w:ind w:left="851" w:right="660" w:hanging="280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rodzaje danych osobowych dane osobowe zwykłe (w szczególności: imię, nazwisko, stanowisko, reprezentowana jednostka organizacyjna, adres poczty elektronicznej, wyniki testu, nazwa szkolenia);</w:t>
      </w:r>
    </w:p>
    <w:p w14:paraId="01FA56DC" w14:textId="77777777" w:rsidR="00A62D15" w:rsidRPr="00A62D15" w:rsidRDefault="00A62D15" w:rsidP="00A62D15">
      <w:pPr>
        <w:pStyle w:val="Teksttreci20"/>
        <w:numPr>
          <w:ilvl w:val="0"/>
          <w:numId w:val="17"/>
        </w:numPr>
        <w:shd w:val="clear" w:color="auto" w:fill="auto"/>
        <w:tabs>
          <w:tab w:val="left" w:pos="1381"/>
        </w:tabs>
        <w:ind w:left="851" w:hanging="280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kategorie osób, których dotyczą dane osobowe: uczestnicy szkoleń.</w:t>
      </w:r>
    </w:p>
    <w:p w14:paraId="7BE2F30F" w14:textId="77777777" w:rsidR="00A62D15" w:rsidRPr="00A62D15" w:rsidRDefault="00A62D15" w:rsidP="00A62D15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Powierzenie Danych osobowych Procesorowi następuje w celu wykonania Umowy głównej.</w:t>
      </w:r>
    </w:p>
    <w:p w14:paraId="4C938F0C" w14:textId="77777777" w:rsidR="00A62D15" w:rsidRDefault="00A62D15" w:rsidP="00A62D15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Zakres powierzenia może zostać w każdym momencie rozszerzony lub ograniczony przez Administratora. Zmiana zakresu powierzenia przetwarzania nie wymaga aneksu, a jedynie zgody obu Stron wyrażonej w postaci papierowej albo elektronicznej (w tym e-mailowej) przez osoby uprawnione do składania oświadczeń na podstawie Umowy głównej.</w:t>
      </w:r>
    </w:p>
    <w:p w14:paraId="53E38EDB" w14:textId="77777777" w:rsidR="00A62D15" w:rsidRDefault="00A62D15" w:rsidP="00A62D15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>Procesor może przetwarzać Dane osobowe wyłącznie w zakresie i celu określonym w Umowie oraz</w:t>
      </w:r>
      <w:r>
        <w:rPr>
          <w:rFonts w:asciiTheme="minorHAnsi" w:hAnsiTheme="minorHAnsi"/>
          <w:sz w:val="22"/>
          <w:szCs w:val="22"/>
        </w:rPr>
        <w:t xml:space="preserve"> </w:t>
      </w:r>
      <w:r w:rsidRPr="00A62D15">
        <w:rPr>
          <w:rFonts w:asciiTheme="minorHAnsi" w:hAnsiTheme="minorHAnsi"/>
          <w:sz w:val="22"/>
          <w:szCs w:val="22"/>
        </w:rPr>
        <w:t xml:space="preserve">w celu i zakresie niezbędnym do świadczenia usług określonych w Umowie głównej. </w:t>
      </w:r>
    </w:p>
    <w:p w14:paraId="5BEC5D0B" w14:textId="77777777" w:rsidR="00252E9D" w:rsidRDefault="00A62D15" w:rsidP="00252E9D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A62D15">
        <w:rPr>
          <w:rFonts w:asciiTheme="minorHAnsi" w:hAnsiTheme="minorHAnsi"/>
          <w:sz w:val="22"/>
          <w:szCs w:val="22"/>
        </w:rPr>
        <w:t xml:space="preserve">Procesor oświadcza, że posiada zasoby, doświadczenie, wiedzę oraz wykwalifikowany personel </w:t>
      </w:r>
      <w:r w:rsidR="00000000">
        <w:rPr>
          <w:rFonts w:asciiTheme="minorHAnsi" w:hAnsiTheme="minorHAnsi"/>
          <w:noProof/>
          <w:sz w:val="22"/>
          <w:szCs w:val="22"/>
          <w:lang w:bidi="pl-PL"/>
        </w:rPr>
        <w:pict w14:anchorId="083F985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2.55pt;margin-top:60.7pt;width:59.75pt;height:20.85pt;z-index:-251658752;visibility:visible;mso-wrap-distance-left:5pt;mso-wrap-distance-right:30.7pt;mso-wrap-distance-bottom:20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jY6QEAALYDAAAOAAAAZHJzL2Uyb0RvYy54bWysU9tu2zAMfR+wfxD0vjgJmiYz4hRdiwwD&#10;ugvQ7gMYWY6F2aJGKbGzrx8lx1m3vRV9EWiKOjw8PF7f9G0jjpq8QVvI2WQqhbYKS2P3hfz+tH23&#10;ksIHsCU0aHUhT9rLm83bN+vO5XqONTalJsEg1uedK2QdgsuzzKtat+An6LTlywqphcCftM9Kgo7R&#10;2yabT6fXWYdUOkKlvefs/XApNwm/qrQKX6vK6yCaQjK3kE5K5y6e2WYN+Z7A1UadacALWLRgLDe9&#10;QN1DAHEg8x9UaxShxypMFLYZVpVROs3A08ym/0zzWIPTaRYWx7uLTP71YNWX4zcSpizk1VIKCy3v&#10;6En3QXzAXsyjPJ3zOVc9Oq4LPad5zWlU7x5Q/fDC4l0Ndq9vibCrNZRMbxZfZs+eDjg+guy6z1hy&#10;GzgETEB9RW3UjtUQjM5rOl1WE6koTi4Xq9V8IYXiq/n11fL9InWAfHzsyIePGlsRg0ISbz6Bw/HB&#10;h0gG8rEk9rK4NU2Ttt/YvxJcGDOJfOQ7MA/9rj+LscPyxGMQDmZi83NQI/2SomMjFdL/PABpKZpP&#10;lqWIrhsDGoPdGIBV/LSQQYohvAuDOw+OzL5m5FHsW5Zra9IoUdeBxZknmyNNeDZydN/z71T153fb&#10;/AYAAP//AwBQSwMEFAAGAAgAAAAhAPKu3YTdAAAACgEAAA8AAABkcnMvZG93bnJldi54bWxMjz1P&#10;wzAQhnck/oN1lVgQdRxC1IY4FUJlYaOwsLnxkUS1z1HsJml/Pc4E2308eu+5cjdbw0YcfOdIglgn&#10;wJBqpztqJHx9vj1sgPmgSCvjCCVc0MOuur0pVaHdRB84HkLDYgj5QkloQ+gLzn3dolV+7XqkuPtx&#10;g1UhtkPD9aCmGG4NT5Mk51Z1FC+0qsfXFuvT4Wwl5PO+v3/fYjpdazPS91WIgELKu9X88gws4Bz+&#10;YFj0ozpU0enozqQ9MxKyJxHJOE9FBmwB8iwHdlyKRwG8Kvn/F6pfAAAA//8DAFBLAQItABQABgAI&#10;AAAAIQC2gziS/gAAAOEBAAATAAAAAAAAAAAAAAAAAAAAAABbQ29udGVudF9UeXBlc10ueG1sUEsB&#10;Ai0AFAAGAAgAAAAhADj9If/WAAAAlAEAAAsAAAAAAAAAAAAAAAAALwEAAF9yZWxzLy5yZWxzUEsB&#10;Ai0AFAAGAAgAAAAhAJUaeNjpAQAAtgMAAA4AAAAAAAAAAAAAAAAALgIAAGRycy9lMm9Eb2MueG1s&#10;UEsBAi0AFAAGAAgAAAAhAPKu3YTdAAAACgEAAA8AAAAAAAAAAAAAAAAAQwQAAGRycy9kb3ducmV2&#10;LnhtbFBLBQYAAAAABAAEAPMAAABNBQAAAAA=&#10;" filled="f" stroked="f">
            <v:textbox style="mso-next-textbox:#Text Box 2;mso-fit-shape-to-text:t" inset="0,0,0,0">
              <w:txbxContent>
                <w:p w14:paraId="77846950" w14:textId="77777777" w:rsidR="00A62D15" w:rsidRDefault="00A62D15" w:rsidP="00A62D15">
                  <w:pPr>
                    <w:pStyle w:val="Podpisobrazu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 w:rsidRPr="00A62D15">
        <w:rPr>
          <w:rFonts w:asciiTheme="minorHAnsi" w:hAnsiTheme="minorHAnsi"/>
          <w:sz w:val="22"/>
          <w:szCs w:val="22"/>
        </w:rPr>
        <w:t>w zakresie umożliwiającym należyte wykonanie Umowy zgodnie Przepisami o ochronie danych</w:t>
      </w:r>
      <w:r w:rsidR="00B06C05">
        <w:t xml:space="preserve"> </w:t>
      </w:r>
      <w:r w:rsidRPr="006C77AC">
        <w:rPr>
          <w:rFonts w:asciiTheme="minorHAnsi" w:hAnsiTheme="minorHAnsi"/>
          <w:sz w:val="22"/>
          <w:szCs w:val="22"/>
        </w:rPr>
        <w:t>osobowych. W szczególności Procesor oświadcza, że znane mu są zasady przetwarzania i zabezpieczenia Danych osobowych wynikające z RODO.</w:t>
      </w:r>
    </w:p>
    <w:p w14:paraId="15BA6802" w14:textId="77777777" w:rsidR="00252E9D" w:rsidRDefault="00A62D15" w:rsidP="00252E9D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lastRenderedPageBreak/>
        <w:t>Procesor oświadcza, że przed rozpoczęciem przetwarzania Danych osobowych wdrożył odpowiednie środki techniczne i organizacyjne mające na celu spełnienia wymogów określonych w RODO oraz ochronę praw Podmiotów danych, w szczególności wdrożył odpowiednie środki techniczne i organizacyjne, aby zapewnić stopień bezpieczeństwa odpowiadający ryzyku naruszenia praw lub wolności osób fizycznych, których Dane osobowe będą przetwarzane na podstawie Umowy, oraz zapewnić realizację zasad ochrony danych w fazie projektowania oraz domyślnej ochrony danych.</w:t>
      </w:r>
    </w:p>
    <w:p w14:paraId="2B34D59E" w14:textId="77777777" w:rsidR="00A62D15" w:rsidRPr="00252E9D" w:rsidRDefault="00A62D15" w:rsidP="00252E9D">
      <w:pPr>
        <w:pStyle w:val="Teksttreci20"/>
        <w:numPr>
          <w:ilvl w:val="0"/>
          <w:numId w:val="15"/>
        </w:numPr>
        <w:shd w:val="clear" w:color="auto" w:fill="auto"/>
        <w:ind w:left="426" w:hanging="426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>Procesor jest zobowiązany do:</w:t>
      </w:r>
    </w:p>
    <w:p w14:paraId="24F3CD6A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przetwarzania Danych osobowych wyłącznie na udokumentowane polecenie Administratora, chyba że obowiązek taki nakłada na niego obowiązujące prawo krajowe lub unijne; za udokumentowane polecenie Administratora uważa się w szczególności Umowę główną oraz instrukcje dotyczące przetwarzania Danych osobowych przekazywane Procesorowi w trakcie wykonywania Umowy i Umowy głównej;</w:t>
      </w:r>
    </w:p>
    <w:p w14:paraId="381C2C22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poinformowania Administratora o obowiązku Procesora przetwarzania danych osobowych wynikającym z przepisów prawa przed rozpoczęciem tego przetwarzania, o ile prawo nie zabrania udzielania takiej informacji z uwagi na ważny interes publiczny;</w:t>
      </w:r>
    </w:p>
    <w:p w14:paraId="2BD5D8EA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przetwarzania Danych osobowych wyłączenie w miejscu ustalonym w Umowie głównej oraz na urządzeniach zarządzanych przez Procesora i jego personel lub Administratora, z zachowaniem najwyższych zasad bezpieczeństwa i ochrony danych osobowych wymaganych przez obowiązujące przepisy prawa;</w:t>
      </w:r>
    </w:p>
    <w:p w14:paraId="45EF4433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udzielania dostępu do Danych osobowych wyłącznie osobom, które ze względu na zakres wykonywanych zadań otrzymały od Procesora upoważnienie do ich przetwarzania, oraz wyłącznie w celu wykonywania obowiązków wynikających z Umowy;</w:t>
      </w:r>
    </w:p>
    <w:p w14:paraId="07184567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podjęcia działań mających na celu zapewnienie, by każda osoba fizyczna działająca z upoważnienia Procesora, która ma dostęp do Danych osobowych, przetwarzała je wyłącznie na polecenie Administratora, chyba że przetwarzanie jest wymagane przez właściwe przepisy krajowe lub unijne;</w:t>
      </w:r>
    </w:p>
    <w:p w14:paraId="492B30F9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zapewnienia, aby osoby upoważnione do przetwarzania Danych osobowych zobowiązały się do zachowania tajemnicy, chyba że są to osoby podlegające ustawowemu obowiązkowi zachowania tajemnicy; obowiązek ten dotyczy także okresu po rozwiązaniu lub wygaśnięciu niniejszej Umowy;</w:t>
      </w:r>
    </w:p>
    <w:p w14:paraId="19028EE9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tabs>
          <w:tab w:val="left" w:pos="851"/>
        </w:tabs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wspierania Administratora (w szczególności poprzez stosowanie odpowiednich środków technicznych i organizacyjnych) w realizacji obowiązku odpowiadania na żądania osób, których dane dotyczą, w zakresie wykonywania ich praw określonych w rozdziale III RODO; w szczególności Procesor jest zobowiązany do:</w:t>
      </w:r>
    </w:p>
    <w:p w14:paraId="12313AF1" w14:textId="77777777" w:rsidR="00A62D15" w:rsidRPr="006C77AC" w:rsidRDefault="00A62D15" w:rsidP="00252E9D">
      <w:pPr>
        <w:pStyle w:val="Teksttreci20"/>
        <w:numPr>
          <w:ilvl w:val="0"/>
          <w:numId w:val="20"/>
        </w:numPr>
        <w:shd w:val="clear" w:color="auto" w:fill="auto"/>
        <w:tabs>
          <w:tab w:val="left" w:pos="1134"/>
        </w:tabs>
        <w:ind w:left="1134" w:right="660" w:hanging="280"/>
        <w:jc w:val="left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niezwłocznego, nie później niż w terminie 2 Dni Roboczych, poinformowania Administratora o wniosku Podmiotu danych dotyczącym jego praw lub wolności, złożonym u Procesora,</w:t>
      </w:r>
    </w:p>
    <w:p w14:paraId="05AEEF2B" w14:textId="77777777" w:rsidR="00A62D15" w:rsidRPr="006C77AC" w:rsidRDefault="00A62D15" w:rsidP="00252E9D">
      <w:pPr>
        <w:pStyle w:val="Teksttreci20"/>
        <w:numPr>
          <w:ilvl w:val="0"/>
          <w:numId w:val="20"/>
        </w:numPr>
        <w:shd w:val="clear" w:color="auto" w:fill="auto"/>
        <w:tabs>
          <w:tab w:val="left" w:pos="1134"/>
        </w:tabs>
        <w:ind w:left="1134" w:right="660" w:hanging="280"/>
        <w:jc w:val="left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nieodpowiadania na wniosek, o którym mowa w lit. a, we własnym zakresie, chyba że Strony wyraźnie uzgodnią inaczej,</w:t>
      </w:r>
    </w:p>
    <w:p w14:paraId="231A0044" w14:textId="77777777" w:rsidR="00A62D15" w:rsidRPr="006C77AC" w:rsidRDefault="00A62D15" w:rsidP="00252E9D">
      <w:pPr>
        <w:pStyle w:val="Teksttreci20"/>
        <w:numPr>
          <w:ilvl w:val="0"/>
          <w:numId w:val="20"/>
        </w:numPr>
        <w:shd w:val="clear" w:color="auto" w:fill="auto"/>
        <w:tabs>
          <w:tab w:val="left" w:pos="1134"/>
        </w:tabs>
        <w:ind w:left="1134" w:right="660" w:hanging="280"/>
        <w:jc w:val="left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udzielania informacji oraz ujawnienia powierzonych Danych osobowych na żądanie Administratora w wyznaczonym przez niego terminie i w określonej przez niego formie;</w:t>
      </w:r>
    </w:p>
    <w:p w14:paraId="3788FAA8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pomagania Administratorowi wywiązać się z obowiązków określonych w RODO (w tym w szczególności w art. 32-36 RODO), tj. w szczególności w zakresie:</w:t>
      </w:r>
    </w:p>
    <w:p w14:paraId="1D04E396" w14:textId="77777777" w:rsidR="00A62D15" w:rsidRPr="006C77AC" w:rsidRDefault="00A62D15" w:rsidP="00252E9D">
      <w:pPr>
        <w:pStyle w:val="Teksttreci20"/>
        <w:numPr>
          <w:ilvl w:val="0"/>
          <w:numId w:val="21"/>
        </w:numPr>
        <w:shd w:val="clear" w:color="auto" w:fill="auto"/>
        <w:tabs>
          <w:tab w:val="left" w:pos="1134"/>
        </w:tabs>
        <w:ind w:left="1134" w:right="660" w:hanging="280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zapewnienia bezpieczeństwa przetwarzania Danych osobowych poprzez wdrożenie stosownych środków technicznych oraz organizacyjnych, w szczególności środków, o których mowa w ust. 2,</w:t>
      </w:r>
    </w:p>
    <w:p w14:paraId="5F9BC230" w14:textId="77777777" w:rsidR="00A62D15" w:rsidRPr="006C77AC" w:rsidRDefault="00A62D15" w:rsidP="00252E9D">
      <w:pPr>
        <w:pStyle w:val="Teksttreci20"/>
        <w:numPr>
          <w:ilvl w:val="0"/>
          <w:numId w:val="21"/>
        </w:numPr>
        <w:shd w:val="clear" w:color="auto" w:fill="auto"/>
        <w:tabs>
          <w:tab w:val="left" w:pos="1134"/>
        </w:tabs>
        <w:ind w:left="1134" w:right="660" w:hanging="280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prowadzenia rejestru kategorii czynności przetwarzania dokonywanych w imieniu Administratora, zawierającego informacje o:</w:t>
      </w:r>
    </w:p>
    <w:p w14:paraId="75759D53" w14:textId="77777777" w:rsidR="00A62D15" w:rsidRPr="006C77AC" w:rsidRDefault="00A62D15" w:rsidP="00252E9D">
      <w:pPr>
        <w:pStyle w:val="Teksttreci20"/>
        <w:numPr>
          <w:ilvl w:val="0"/>
          <w:numId w:val="21"/>
        </w:numPr>
        <w:shd w:val="clear" w:color="auto" w:fill="auto"/>
        <w:tabs>
          <w:tab w:val="left" w:pos="1134"/>
        </w:tabs>
        <w:ind w:left="1134" w:right="660" w:hanging="280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 xml:space="preserve">udostępniania Administratorowi na każde jego żądanie, w wyznaczonym przez niego terminie, wszelkich informacji niezbędnych do wykazania spełnienia przez Administratora obowiązków wynikających z właściwych przepisów prawa, w szczególności z RODO, w tym przekazywania informacje o stosowanych zabezpieczeniach, zidentyfikowanych zagrożeniach i incydentach w </w:t>
      </w:r>
      <w:r w:rsidRPr="006C77AC">
        <w:rPr>
          <w:rFonts w:asciiTheme="minorHAnsi" w:hAnsiTheme="minorHAnsi"/>
          <w:sz w:val="22"/>
          <w:szCs w:val="22"/>
        </w:rPr>
        <w:lastRenderedPageBreak/>
        <w:t>obszarze ochrony danych osobowych;</w:t>
      </w:r>
    </w:p>
    <w:p w14:paraId="3C217CF4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284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umożliwiania Administratorowi lub audytorowi upoważnionemu przez Administratora przeprowadzania audytów na zasadach określonych w Umowie;</w:t>
      </w:r>
    </w:p>
    <w:p w14:paraId="6BC36398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niezwłocznego informowania Administratora, jeżeli zdaniem Procesora wydane mu polecenie stanowi naruszenie Przepisów o ochronie danych osobowych, wraz z uzasadnieniem przedstawianego stanowiska, w tym wskazaniem przepisu, który został naruszony;</w:t>
      </w:r>
    </w:p>
    <w:p w14:paraId="41D0BEF2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wdrożenia i stosowania procedur służących wykrywaniu naruszeń ochrony danych osobowych oraz wdrażaniu właściwych środków naprawczych;</w:t>
      </w:r>
    </w:p>
    <w:p w14:paraId="003A2628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niezwłocznego, jednak nie później niż w ciągu 2 Dni Roboczych, informowania Administratora o jakimkolwiek postępowaniu, w szczególności administracyjnym lub sądowym, dotyczącym przetwarzania Danych osobowych przez Procesora, o jakiejkolwiek decyzji administracyjnej lub orzeczeniu dotyczącym przetwarzania danych skierowanych do Procesora, o wszelkich kontrolach i inspekcjach dotyczących przetwarzania Danych osobowych przez Procesora, w szczególności prowadzonych przez PUODO, a także o wszelkich skargach osób, których dane dotyczą, związanych z przetwarzaniem Danych osobowych;</w:t>
      </w:r>
    </w:p>
    <w:p w14:paraId="51D670A5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 xml:space="preserve">aktualizowania, poprawiania, zmieniania, </w:t>
      </w:r>
      <w:proofErr w:type="spellStart"/>
      <w:r w:rsidRPr="006C77AC">
        <w:rPr>
          <w:rFonts w:asciiTheme="minorHAnsi" w:hAnsiTheme="minorHAnsi"/>
          <w:sz w:val="22"/>
          <w:szCs w:val="22"/>
        </w:rPr>
        <w:t>anonimizowania</w:t>
      </w:r>
      <w:proofErr w:type="spellEnd"/>
      <w:r w:rsidRPr="006C77AC">
        <w:rPr>
          <w:rFonts w:asciiTheme="minorHAnsi" w:hAnsiTheme="minorHAnsi"/>
          <w:sz w:val="22"/>
          <w:szCs w:val="22"/>
        </w:rPr>
        <w:t>, ograniczania przetwarzania lub usuwania Danych osobowych zgodnie z instrukcjami Administratora i Umową główną;</w:t>
      </w:r>
    </w:p>
    <w:p w14:paraId="2AAC58EA" w14:textId="77777777" w:rsidR="00A62D15" w:rsidRPr="006C77AC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przetwarzania Danych osobowych wyłącznie na terenie Europejskiego Obszaru Gospodarczego;</w:t>
      </w:r>
    </w:p>
    <w:p w14:paraId="30DBCB3F" w14:textId="77777777" w:rsidR="00252E9D" w:rsidRDefault="00A62D15" w:rsidP="00252E9D">
      <w:pPr>
        <w:pStyle w:val="Teksttreci20"/>
        <w:numPr>
          <w:ilvl w:val="0"/>
          <w:numId w:val="19"/>
        </w:numPr>
        <w:shd w:val="clear" w:color="auto" w:fill="auto"/>
        <w:ind w:left="851" w:right="660" w:hanging="425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>przechowywania Danych osobowych przez okres wyznaczony przez Administratora, w szczególności przez okres obowiązywania Umowy.</w:t>
      </w:r>
    </w:p>
    <w:p w14:paraId="7B10F93D" w14:textId="77777777" w:rsidR="00252E9D" w:rsidRPr="00252E9D" w:rsidRDefault="00A62D15" w:rsidP="00252E9D">
      <w:pPr>
        <w:pStyle w:val="Teksttreci20"/>
        <w:numPr>
          <w:ilvl w:val="0"/>
          <w:numId w:val="15"/>
        </w:numPr>
        <w:shd w:val="clear" w:color="auto" w:fill="auto"/>
        <w:ind w:left="426" w:right="660" w:hanging="426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>Administrator wyraża zgodę na dalsze powierzenie przez Procesora przetwarzania Danych</w:t>
      </w:r>
      <w:r w:rsidR="00252E9D">
        <w:rPr>
          <w:rFonts w:asciiTheme="minorHAnsi" w:hAnsiTheme="minorHAnsi"/>
          <w:sz w:val="22"/>
          <w:szCs w:val="22"/>
        </w:rPr>
        <w:t xml:space="preserve"> </w:t>
      </w:r>
      <w:r w:rsidRPr="00252E9D">
        <w:rPr>
          <w:rFonts w:asciiTheme="minorHAnsi" w:hAnsiTheme="minorHAnsi"/>
          <w:sz w:val="22"/>
          <w:szCs w:val="22"/>
        </w:rPr>
        <w:t xml:space="preserve">osobowych następującym </w:t>
      </w:r>
      <w:proofErr w:type="spellStart"/>
      <w:r w:rsidRPr="00252E9D">
        <w:rPr>
          <w:rFonts w:asciiTheme="minorHAnsi" w:hAnsiTheme="minorHAnsi"/>
          <w:sz w:val="22"/>
          <w:szCs w:val="22"/>
        </w:rPr>
        <w:t>Podprzetwarzającym</w:t>
      </w:r>
      <w:proofErr w:type="spellEnd"/>
      <w:r w:rsidRPr="00252E9D">
        <w:rPr>
          <w:rFonts w:asciiTheme="minorHAnsi" w:hAnsiTheme="minorHAnsi"/>
          <w:sz w:val="22"/>
          <w:szCs w:val="22"/>
        </w:rPr>
        <w:t>:</w:t>
      </w:r>
      <w:r w:rsidRPr="00252E9D">
        <w:rPr>
          <w:rFonts w:asciiTheme="minorHAnsi" w:hAnsiTheme="minorHAnsi"/>
          <w:sz w:val="22"/>
          <w:szCs w:val="22"/>
        </w:rPr>
        <w:tab/>
      </w:r>
    </w:p>
    <w:p w14:paraId="553692B1" w14:textId="77777777" w:rsidR="00A62D15" w:rsidRPr="006C77AC" w:rsidRDefault="00A62D15" w:rsidP="00252E9D">
      <w:pPr>
        <w:pStyle w:val="Teksttreci20"/>
        <w:numPr>
          <w:ilvl w:val="0"/>
          <w:numId w:val="15"/>
        </w:numPr>
        <w:shd w:val="clear" w:color="auto" w:fill="auto"/>
        <w:tabs>
          <w:tab w:val="left" w:leader="dot" w:pos="5658"/>
        </w:tabs>
        <w:ind w:left="426" w:hanging="426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 xml:space="preserve">Procesor jest zobowiązany do uzyskania uprzedniej zgody Administratora, wyrażonej w formie pisemnej pod rygorem bezskuteczności, na wszelkie zmiany </w:t>
      </w:r>
      <w:proofErr w:type="spellStart"/>
      <w:r w:rsidRPr="006C77AC">
        <w:rPr>
          <w:rFonts w:asciiTheme="minorHAnsi" w:hAnsiTheme="minorHAnsi"/>
          <w:sz w:val="22"/>
          <w:szCs w:val="22"/>
        </w:rPr>
        <w:t>Podprzetwarzających</w:t>
      </w:r>
      <w:proofErr w:type="spellEnd"/>
      <w:r w:rsidRPr="006C77AC">
        <w:rPr>
          <w:rFonts w:asciiTheme="minorHAnsi" w:hAnsiTheme="minorHAnsi"/>
          <w:sz w:val="22"/>
          <w:szCs w:val="22"/>
        </w:rPr>
        <w:t>. Odmowa zgody Administratora nie stanowi podstawy wypowiedzenia Umowy ani Umowy głównej, ani nie zwalnia procesora z odpowiedzialności za prawidłowe wykonanie tych umów.</w:t>
      </w:r>
    </w:p>
    <w:p w14:paraId="29A6821E" w14:textId="77777777" w:rsidR="00A62D15" w:rsidRPr="006C77AC" w:rsidRDefault="00252E9D" w:rsidP="00252E9D">
      <w:pPr>
        <w:pStyle w:val="Teksttreci20"/>
        <w:numPr>
          <w:ilvl w:val="0"/>
          <w:numId w:val="15"/>
        </w:numPr>
        <w:shd w:val="clear" w:color="auto" w:fill="auto"/>
        <w:tabs>
          <w:tab w:val="left" w:pos="1000"/>
        </w:tabs>
        <w:ind w:left="426" w:right="66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62D15" w:rsidRPr="006C77AC">
        <w:rPr>
          <w:rFonts w:asciiTheme="minorHAnsi" w:hAnsiTheme="minorHAnsi"/>
          <w:sz w:val="22"/>
          <w:szCs w:val="22"/>
        </w:rPr>
        <w:t xml:space="preserve">Procesor zapewnia, że </w:t>
      </w:r>
      <w:proofErr w:type="spellStart"/>
      <w:r w:rsidR="00A62D15" w:rsidRPr="006C77AC">
        <w:rPr>
          <w:rFonts w:asciiTheme="minorHAnsi" w:hAnsiTheme="minorHAnsi"/>
          <w:sz w:val="22"/>
          <w:szCs w:val="22"/>
        </w:rPr>
        <w:t>Podprzetwarzający</w:t>
      </w:r>
      <w:proofErr w:type="spellEnd"/>
      <w:r w:rsidR="00A62D15" w:rsidRPr="006C77AC">
        <w:rPr>
          <w:rFonts w:asciiTheme="minorHAnsi" w:hAnsiTheme="minorHAnsi"/>
          <w:sz w:val="22"/>
          <w:szCs w:val="22"/>
        </w:rPr>
        <w:t xml:space="preserve"> zapewniają wystarczające gwarancje wdrożenia odpowiednich środków technicznych i organizacyjnych, by przetwarzanie spełniało warunki wynikające z Przepisów o ochronie danych osobowych, a także zapewniało realizację praw Podmiotów danych.</w:t>
      </w:r>
    </w:p>
    <w:p w14:paraId="73DA8F5D" w14:textId="77777777" w:rsidR="00A62D15" w:rsidRPr="006C77AC" w:rsidRDefault="00252E9D" w:rsidP="00252E9D">
      <w:pPr>
        <w:pStyle w:val="Teksttreci20"/>
        <w:numPr>
          <w:ilvl w:val="0"/>
          <w:numId w:val="15"/>
        </w:numPr>
        <w:shd w:val="clear" w:color="auto" w:fill="auto"/>
        <w:tabs>
          <w:tab w:val="left" w:pos="1000"/>
        </w:tabs>
        <w:ind w:left="426" w:right="66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62D15" w:rsidRPr="006C77AC">
        <w:rPr>
          <w:rFonts w:asciiTheme="minorHAnsi" w:hAnsiTheme="minorHAnsi"/>
          <w:sz w:val="22"/>
          <w:szCs w:val="22"/>
        </w:rPr>
        <w:t xml:space="preserve">Procesor zapewnia w umowie z </w:t>
      </w:r>
      <w:proofErr w:type="spellStart"/>
      <w:r w:rsidR="00A62D15" w:rsidRPr="006C77AC">
        <w:rPr>
          <w:rFonts w:asciiTheme="minorHAnsi" w:hAnsiTheme="minorHAnsi"/>
          <w:sz w:val="22"/>
          <w:szCs w:val="22"/>
        </w:rPr>
        <w:t>Podprzetwarzającym</w:t>
      </w:r>
      <w:proofErr w:type="spellEnd"/>
      <w:r w:rsidR="00A62D15" w:rsidRPr="006C77AC">
        <w:rPr>
          <w:rFonts w:asciiTheme="minorHAnsi" w:hAnsiTheme="minorHAnsi"/>
          <w:sz w:val="22"/>
          <w:szCs w:val="22"/>
        </w:rPr>
        <w:t xml:space="preserve"> obowiązek spełnienia przez ten podmiot obowiązków wynikających dla Procesora z niniejszej Umowy.</w:t>
      </w:r>
    </w:p>
    <w:p w14:paraId="22BAD427" w14:textId="77777777" w:rsidR="00A62D15" w:rsidRPr="006C77AC" w:rsidRDefault="00A62D15" w:rsidP="00252E9D">
      <w:pPr>
        <w:pStyle w:val="Teksttreci20"/>
        <w:numPr>
          <w:ilvl w:val="0"/>
          <w:numId w:val="22"/>
        </w:numPr>
        <w:shd w:val="clear" w:color="auto" w:fill="auto"/>
        <w:ind w:left="851" w:right="660" w:hanging="260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 xml:space="preserve">Procesor zapewnia w umowie z </w:t>
      </w:r>
      <w:proofErr w:type="spellStart"/>
      <w:r w:rsidRPr="006C77AC">
        <w:rPr>
          <w:rFonts w:asciiTheme="minorHAnsi" w:hAnsiTheme="minorHAnsi"/>
          <w:sz w:val="22"/>
          <w:szCs w:val="22"/>
        </w:rPr>
        <w:t>Podprzetwarzającym</w:t>
      </w:r>
      <w:proofErr w:type="spellEnd"/>
      <w:r w:rsidRPr="006C77AC">
        <w:rPr>
          <w:rFonts w:asciiTheme="minorHAnsi" w:hAnsiTheme="minorHAnsi"/>
          <w:sz w:val="22"/>
          <w:szCs w:val="22"/>
        </w:rPr>
        <w:t xml:space="preserve"> możliwość realizacji u tego podmiotu przez Administratora audytu na zasadach przewidzianych dla Procesora.</w:t>
      </w:r>
    </w:p>
    <w:p w14:paraId="7469AF43" w14:textId="77777777" w:rsidR="00252E9D" w:rsidRDefault="00A62D15" w:rsidP="00252E9D">
      <w:pPr>
        <w:pStyle w:val="Teksttreci20"/>
        <w:numPr>
          <w:ilvl w:val="0"/>
          <w:numId w:val="22"/>
        </w:numPr>
        <w:shd w:val="clear" w:color="auto" w:fill="auto"/>
        <w:tabs>
          <w:tab w:val="left" w:pos="-993"/>
        </w:tabs>
        <w:ind w:left="851" w:right="660" w:hanging="260"/>
        <w:rPr>
          <w:rFonts w:asciiTheme="minorHAnsi" w:hAnsiTheme="minorHAnsi"/>
          <w:sz w:val="22"/>
          <w:szCs w:val="22"/>
        </w:rPr>
      </w:pPr>
      <w:r w:rsidRPr="006C77AC">
        <w:rPr>
          <w:rFonts w:asciiTheme="minorHAnsi" w:hAnsiTheme="minorHAnsi"/>
          <w:sz w:val="22"/>
          <w:szCs w:val="22"/>
        </w:rPr>
        <w:t xml:space="preserve">Procesor oświadcza, że przyjmuje na siebie pełną odpowiedzialność wobec Administratora za działania lub zaniechania </w:t>
      </w:r>
      <w:proofErr w:type="spellStart"/>
      <w:r w:rsidRPr="006C77AC">
        <w:rPr>
          <w:rFonts w:asciiTheme="minorHAnsi" w:hAnsiTheme="minorHAnsi"/>
          <w:sz w:val="22"/>
          <w:szCs w:val="22"/>
        </w:rPr>
        <w:t>Podprzetwarzającego</w:t>
      </w:r>
      <w:proofErr w:type="spellEnd"/>
      <w:r w:rsidRPr="006C77AC">
        <w:rPr>
          <w:rFonts w:asciiTheme="minorHAnsi" w:hAnsiTheme="minorHAnsi"/>
          <w:sz w:val="22"/>
          <w:szCs w:val="22"/>
        </w:rPr>
        <w:t xml:space="preserve"> niezgodne z niniejszą Umową jak własne działania lub zaniechania.</w:t>
      </w:r>
    </w:p>
    <w:p w14:paraId="1575880A" w14:textId="77777777" w:rsidR="00252E9D" w:rsidRPr="00252E9D" w:rsidRDefault="00252E9D" w:rsidP="00252E9D">
      <w:pPr>
        <w:pStyle w:val="Teksttreci20"/>
        <w:numPr>
          <w:ilvl w:val="0"/>
          <w:numId w:val="22"/>
        </w:numPr>
        <w:shd w:val="clear" w:color="auto" w:fill="auto"/>
        <w:tabs>
          <w:tab w:val="left" w:pos="-993"/>
        </w:tabs>
        <w:ind w:left="851" w:right="660" w:hanging="260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W przypadku powstania szkody po stronie Administratora z przyczyn leżących po stronie </w:t>
      </w:r>
      <w:proofErr w:type="spellStart"/>
      <w:r w:rsidRPr="00252E9D">
        <w:rPr>
          <w:rFonts w:asciiTheme="minorHAnsi" w:hAnsiTheme="minorHAnsi"/>
          <w:sz w:val="22"/>
          <w:szCs w:val="22"/>
        </w:rPr>
        <w:t>Podprzetwarzającego</w:t>
      </w:r>
      <w:proofErr w:type="spellEnd"/>
      <w:r w:rsidRPr="00252E9D">
        <w:rPr>
          <w:rFonts w:asciiTheme="minorHAnsi" w:hAnsiTheme="minorHAnsi"/>
          <w:sz w:val="22"/>
          <w:szCs w:val="22"/>
        </w:rPr>
        <w:t xml:space="preserve"> Procesor nie będzie mógł powołać się na wyłączenia odpowiedzialności, o których mowa w art. 429 Kodeksu cywilnego, w związku z powierzeniem wykonywania Umowy takiemu podmiotowi. </w:t>
      </w:r>
    </w:p>
    <w:p w14:paraId="58F0B449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Procesor jest zobowiązany do przekazywania na każde żądanie Administratora, w formie i terminie przez niego wyznaczonym, wszelkich informacji dotyczących przetwarzania Danych osobowych, w tym sposobów realizacji obowiązku ich zabezpieczenia oraz wszelkich informacji niezbędnych do wykonania zobowiązań wynikających z odpowiedzialności za Dane osobowe. W szczególności Procesor jest zobowiązany do przedstawienia dokumentacji opisującej sposób przetwarzania Danych osobowych oraz środki techniczne i organizacyjne zapewniające ochronę tych danych, a także informacji dotyczących implementacji rozwiązań opisanych w powyżej wskazanej dokumentacji. </w:t>
      </w:r>
    </w:p>
    <w:p w14:paraId="25412764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lastRenderedPageBreak/>
        <w:t xml:space="preserve">Administrator jest upoważniony do przeprowadzenia w wyznaczonym przez siebie terminie audytu zgodności z Umową oraz Przepisami o ochronie danych osobowych przetwarzania Danych osobowych przez Procesora, w szczególności Administrator w zakresie weryfikacji zgodności i adekwatności wdrożonych przez Procesora środków technicznych i organizacyjnych zabezpieczających przetwarzanie Danych osobowych. </w:t>
      </w:r>
    </w:p>
    <w:p w14:paraId="4F90FD1F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O terminie audytu Administrator informuje Procesora na co najmniej 3 Dni Robocze przed planowaną datą audytu, chyba że z uwagi na wysokie ryzyko zagrożenia praw i wolności osób, których dane dotyczą audyt powinien być przeprowadzony niezwłocznie. </w:t>
      </w:r>
    </w:p>
    <w:p w14:paraId="084B6748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W ramach audytu Procesor jest zobowiązany do umożliwienia osobom działającym w imieniu Administratora wstępu do pomieszczeń, w których przetwarzane są Dane osobowe, udzielania informacji dotyczących przebiegu przetwarzania Danych osobowych, zapewnienia wglądu w dokumentację wymaganą Przepisami o ochronie danych osobowych, umożliwienia dostępu do infrastruktury teleinformatycznej, a także przeprowadzania oględzin nośników i systemów informatycznych służących do przetwarzania Danych osobowych. </w:t>
      </w:r>
    </w:p>
    <w:p w14:paraId="4FC5E08A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Administrator jest zobowiązany do zachowania tajemnicy przedsiębiorstwa Procesora. </w:t>
      </w:r>
    </w:p>
    <w:p w14:paraId="7543EE7D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Procesor jest zobowiązany do usunięcia wszelkich nieprawidłowości lub niezgodności z Przepisami o ochronie danych osobowych stwierdzonych w trakcie audytu w terminie wyznaczonym przez Administratora. </w:t>
      </w:r>
    </w:p>
    <w:p w14:paraId="4A2121E1" w14:textId="77777777" w:rsid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Koszty związane z przeprowadzeniem audytu ponosi każda ze Stron we własnym zakresie, przy czym Procesor nie ma prawa do żądania zwrotu takich kosztów ani zapłaty jakiegokolwiek dodatkowego wynagrodzenia z tytułu poniesienia takich kosztów. </w:t>
      </w:r>
    </w:p>
    <w:p w14:paraId="741D80F0" w14:textId="77777777" w:rsidR="00252E9D" w:rsidRPr="00252E9D" w:rsidRDefault="00252E9D" w:rsidP="00252E9D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Po stwierdzeniu Naruszenia ochrony Danych osobowych Procesor bez zbędnej zwłoki, jednak nie później niż w ciągu 12 godzin od stwierdzenia Naruszenia, zgłasza je Administratorowi. Zgłoszenie powinno zawierać co najmniej informacje o: </w:t>
      </w:r>
    </w:p>
    <w:p w14:paraId="2AE86CFA" w14:textId="77777777" w:rsidR="00252E9D" w:rsidRPr="00252E9D" w:rsidRDefault="00252E9D" w:rsidP="00E60DD9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dacie, czasie trwania oraz lokalizacji Naruszenia; </w:t>
      </w:r>
    </w:p>
    <w:p w14:paraId="31A97AFA" w14:textId="77777777" w:rsidR="00E60DD9" w:rsidRDefault="00252E9D" w:rsidP="00252E9D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charakterze Naruszenia wraz z opisem jego przebiegu; </w:t>
      </w:r>
    </w:p>
    <w:p w14:paraId="4DDF9F96" w14:textId="77777777" w:rsidR="00E60DD9" w:rsidRDefault="00252E9D" w:rsidP="00E60DD9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E60DD9">
        <w:rPr>
          <w:rFonts w:asciiTheme="minorHAnsi" w:hAnsiTheme="minorHAnsi"/>
          <w:sz w:val="22"/>
          <w:szCs w:val="22"/>
        </w:rPr>
        <w:t xml:space="preserve">skali Naruszenia, w tym informacji o kategoriach i przybliżonej liczbie osób, których dotyczą Dane osobowe objęte Naruszeniem, oraz kategoriach i przybliżonej liczbie wpisów Danych osobowych, których dotyczy Naruszenie; </w:t>
      </w:r>
    </w:p>
    <w:p w14:paraId="16FA245F" w14:textId="77777777" w:rsidR="00AB27FB" w:rsidRDefault="00252E9D" w:rsidP="00AB27FB">
      <w:pPr>
        <w:pStyle w:val="Default"/>
        <w:numPr>
          <w:ilvl w:val="0"/>
          <w:numId w:val="25"/>
        </w:numPr>
        <w:spacing w:after="97"/>
        <w:ind w:hanging="219"/>
        <w:jc w:val="both"/>
        <w:rPr>
          <w:rFonts w:asciiTheme="minorHAnsi" w:hAnsiTheme="minorHAnsi"/>
          <w:sz w:val="22"/>
          <w:szCs w:val="22"/>
        </w:rPr>
      </w:pPr>
      <w:r w:rsidRPr="00E60DD9">
        <w:rPr>
          <w:rFonts w:asciiTheme="minorHAnsi" w:hAnsiTheme="minorHAnsi"/>
          <w:sz w:val="22"/>
          <w:szCs w:val="22"/>
        </w:rPr>
        <w:t xml:space="preserve">kategoriach osób, których dotyczą Dane osobowe objęte Naruszeniem, a w razie możliwości także podmiotach danych, których dotyczy Naruszenie; </w:t>
      </w:r>
    </w:p>
    <w:p w14:paraId="1552130D" w14:textId="77777777" w:rsidR="00AB27FB" w:rsidRDefault="00252E9D" w:rsidP="00AB27FB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możliwych konsekwencjach Naruszenia, z uwzględnieniem konsekwencji dla osób, których dotyczą Dane osobowe objęte Naruszeniem; </w:t>
      </w:r>
    </w:p>
    <w:p w14:paraId="08B19897" w14:textId="77777777" w:rsidR="00AB27FB" w:rsidRDefault="00252E9D" w:rsidP="00AB27FB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środkach podjętych w celu zminimalizowania konsekwencji Naruszenia oraz proponowanych działaniach zapobiegawczych i naprawczych; </w:t>
      </w:r>
    </w:p>
    <w:p w14:paraId="20379B8B" w14:textId="77777777" w:rsidR="00252E9D" w:rsidRPr="00AB27FB" w:rsidRDefault="00252E9D" w:rsidP="00AB27FB">
      <w:pPr>
        <w:pStyle w:val="Default"/>
        <w:numPr>
          <w:ilvl w:val="0"/>
          <w:numId w:val="25"/>
        </w:numPr>
        <w:ind w:hanging="219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danych kontaktowych osoby mogącej udzielić dalszych informacji o Naruszeniu. </w:t>
      </w:r>
    </w:p>
    <w:p w14:paraId="1056F04D" w14:textId="77777777" w:rsid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Jeżeli Procesor nie jest w stanie w tym samym czasie przekazać Administratorowi wszystkich informacji, o których mowa powyżej, powinien ich udzielać sukcesywnie, bez zbędnej zwłoki. </w:t>
      </w:r>
    </w:p>
    <w:p w14:paraId="724D746A" w14:textId="77777777" w:rsidR="00252E9D" w:rsidRP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Procesor nie jest uprawniony do samodzielnego powiadamiania o Naruszeniu: </w:t>
      </w:r>
    </w:p>
    <w:p w14:paraId="2077FA6D" w14:textId="77777777" w:rsidR="00252E9D" w:rsidRPr="00252E9D" w:rsidRDefault="00252E9D" w:rsidP="00AB27FB">
      <w:pPr>
        <w:pStyle w:val="Default"/>
        <w:numPr>
          <w:ilvl w:val="0"/>
          <w:numId w:val="28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osób, których dotyczą Dane osobowe objęte Naruszeniem; </w:t>
      </w:r>
    </w:p>
    <w:p w14:paraId="35CEDB13" w14:textId="77777777" w:rsidR="00252E9D" w:rsidRPr="00252E9D" w:rsidRDefault="00252E9D" w:rsidP="00AB27FB">
      <w:pPr>
        <w:pStyle w:val="Default"/>
        <w:numPr>
          <w:ilvl w:val="0"/>
          <w:numId w:val="28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Organu nadzorczego. </w:t>
      </w:r>
    </w:p>
    <w:p w14:paraId="5BB73993" w14:textId="77777777" w:rsid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Procesor jest zobowiązany do dokumentowania wszelkich Naruszeń ochrony Danych osobowych, w tym okoliczności Naruszenia, jego skutków oraz podjętych działań zaradczych. Procesor jest zobowiązany na każde żądanie Administratora niezwłocznie, nie później jednak niż w terminie wyznaczonym przez Administratora, udostępnić mu dokumentację, o której mowa w zdaniu poprzednim. </w:t>
      </w:r>
    </w:p>
    <w:p w14:paraId="1F2895CB" w14:textId="77777777" w:rsid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Procesor ponosi odpowiedzialność za szkody powstałe w związku z przetwarzaniem Danych osobowych niezgodnie z niniejszą Umową i Przepisami o ochronie danych osobowych. </w:t>
      </w:r>
    </w:p>
    <w:p w14:paraId="73075AF8" w14:textId="77777777" w:rsid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lastRenderedPageBreak/>
        <w:t xml:space="preserve">W przypadku naruszenia Przepisów o ochronie danych osobowych w związku z realizacją niniejszej Umowy, a w następstwie tego Administrator, zostanie zobowiązany w szczególności do wypłaty odszkodowania lub ukarany grzywną, Procesor zobowiązuje się, o ile zażąda tego pisemnie Administrator do przystąpienia do każdego sporu, którego wytoczenie nastąpi i pokrycia roszczeń kierowanych do Administratora w każdym przypadku, gdy roszczenia te na podstawie dostępnych dowodów obiektywnie uznane zostano za zasadne, w szczególności, gdy roszczenia te zostaną zasądzone prawomocnym orzeczeniem sądu lub nałożone na podstawie orzeczenia lub decyzji innego uprawnionego organu. W takim wypadku Procesor zobowiązuje się do zwrotu Administratorowi wszelkich poniesionych przez niego kosztów związanych z ww. postępowaniami, w tym kosztów zastępstwa procesowego. </w:t>
      </w:r>
    </w:p>
    <w:p w14:paraId="7C39CE35" w14:textId="77777777" w:rsidR="00252E9D" w:rsidRPr="00AB27FB" w:rsidRDefault="00252E9D" w:rsidP="00252E9D">
      <w:pPr>
        <w:pStyle w:val="Default"/>
        <w:numPr>
          <w:ilvl w:val="0"/>
          <w:numId w:val="15"/>
        </w:numPr>
        <w:spacing w:after="49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27FB">
        <w:rPr>
          <w:rFonts w:asciiTheme="minorHAnsi" w:hAnsiTheme="minorHAnsi"/>
          <w:sz w:val="22"/>
          <w:szCs w:val="22"/>
        </w:rPr>
        <w:t xml:space="preserve">Administrator jest uprawniony do naliczenia Procesorowi następujących kar umownych: </w:t>
      </w:r>
    </w:p>
    <w:p w14:paraId="50A8B9AB" w14:textId="77777777" w:rsidR="00252E9D" w:rsidRPr="00252E9D" w:rsidRDefault="00252E9D" w:rsidP="00AB27FB">
      <w:pPr>
        <w:pStyle w:val="Default"/>
        <w:numPr>
          <w:ilvl w:val="0"/>
          <w:numId w:val="29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z tytułu opóźnienia w zgłoszeniu Naruszenia w określonym w Umowie – w wysokości 200 zł za każdą godzinę opóźnienia; </w:t>
      </w:r>
    </w:p>
    <w:p w14:paraId="73E7BD0B" w14:textId="77777777" w:rsidR="00252E9D" w:rsidRPr="00252E9D" w:rsidRDefault="00252E9D" w:rsidP="00AB27FB">
      <w:pPr>
        <w:pStyle w:val="Default"/>
        <w:numPr>
          <w:ilvl w:val="0"/>
          <w:numId w:val="29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z tytułu naruszenia obowiązku uzyskania zgody Administratora na dalsze powierzenie przetwarzania Danych osobowych – w wysokości 3000 za każdy stwierdzony przypadek </w:t>
      </w:r>
      <w:proofErr w:type="spellStart"/>
      <w:r w:rsidRPr="00252E9D">
        <w:rPr>
          <w:rFonts w:asciiTheme="minorHAnsi" w:hAnsiTheme="minorHAnsi"/>
          <w:sz w:val="22"/>
          <w:szCs w:val="22"/>
        </w:rPr>
        <w:t>podpowierzenia</w:t>
      </w:r>
      <w:proofErr w:type="spellEnd"/>
      <w:r w:rsidRPr="00252E9D">
        <w:rPr>
          <w:rFonts w:asciiTheme="minorHAnsi" w:hAnsiTheme="minorHAnsi"/>
          <w:sz w:val="22"/>
          <w:szCs w:val="22"/>
        </w:rPr>
        <w:t xml:space="preserve">; </w:t>
      </w:r>
    </w:p>
    <w:p w14:paraId="1C4C4CBA" w14:textId="77777777" w:rsidR="00252E9D" w:rsidRPr="00252E9D" w:rsidRDefault="00252E9D" w:rsidP="00AB27FB">
      <w:pPr>
        <w:pStyle w:val="Default"/>
        <w:numPr>
          <w:ilvl w:val="0"/>
          <w:numId w:val="29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z tytułu naruszenia pozostałych terminów określonych w Umowie – w wysokości 100 zł za każdy dzień opóźnienia; </w:t>
      </w:r>
    </w:p>
    <w:p w14:paraId="36284D9E" w14:textId="77777777" w:rsidR="00252E9D" w:rsidRPr="00252E9D" w:rsidRDefault="00252E9D" w:rsidP="00AB27FB">
      <w:pPr>
        <w:pStyle w:val="Default"/>
        <w:numPr>
          <w:ilvl w:val="0"/>
          <w:numId w:val="29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z tytułu uniemożliwienia Administratorowi przeprowadzenia audytu – w wysokości 5000 złotych za każdy przypadek naruszenia; </w:t>
      </w:r>
    </w:p>
    <w:p w14:paraId="43367C44" w14:textId="77777777" w:rsidR="00252E9D" w:rsidRPr="00252E9D" w:rsidRDefault="00252E9D" w:rsidP="00AB27FB">
      <w:pPr>
        <w:pStyle w:val="Default"/>
        <w:numPr>
          <w:ilvl w:val="0"/>
          <w:numId w:val="29"/>
        </w:numPr>
        <w:spacing w:after="49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/>
          <w:sz w:val="22"/>
          <w:szCs w:val="22"/>
        </w:rPr>
        <w:t xml:space="preserve">w wysokości 5000 złotych za każdy zawiniony przypadek naruszenia ochrony danych osobowych. </w:t>
      </w:r>
    </w:p>
    <w:p w14:paraId="1C4A1CB0" w14:textId="77777777" w:rsidR="00252E9D" w:rsidRPr="00252E9D" w:rsidRDefault="00252E9D" w:rsidP="00AB27FB">
      <w:pPr>
        <w:pStyle w:val="Default"/>
        <w:numPr>
          <w:ilvl w:val="0"/>
          <w:numId w:val="1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52E9D">
        <w:rPr>
          <w:rFonts w:asciiTheme="minorHAnsi" w:hAnsiTheme="minorHAnsi" w:cs="Calibri"/>
          <w:sz w:val="22"/>
          <w:szCs w:val="22"/>
        </w:rPr>
        <w:t xml:space="preserve">Za naruszenie ochrony danych osobowych uważa się zdarzenie polegające na naruszeniu bezpieczeństwa prowadzące do przypadkowego lub niezgodnego z prawem zniszczenia utracenia, zmodyfikowania, nieuprawnionego ujawnienia lub nieuprawnionego dostępu do danych osobowych przesyłanych. Przechowywanych lub w inny sposób przetwarzanych przez Procesora, niezależnie od liczby danych osobowych i liczby osób fizycznych, których dotyczy naruszenia. </w:t>
      </w:r>
    </w:p>
    <w:p w14:paraId="623B5990" w14:textId="77777777" w:rsidR="00AB27FB" w:rsidRDefault="00252E9D" w:rsidP="00252E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</w:rPr>
      </w:pPr>
      <w:r w:rsidRPr="00AB27FB">
        <w:rPr>
          <w:rFonts w:cs="Calibri"/>
          <w:color w:val="000000"/>
        </w:rPr>
        <w:t xml:space="preserve">Procesor ponosi odpowiedzialność za szkody powstałe w związku z przetwarzaniem powierzonych mu danych osobowych niezgodnie z niniejszą Umową i powszechnie obowiązującymi przepisami prawa. W szczególności naliczenie kary umownej nie wyłącza możliwości dochodzenia przez Administratora od Procesora odszkodowania przewyższającego wysokość zastrzeżonej kary umownej. </w:t>
      </w:r>
    </w:p>
    <w:p w14:paraId="19E7CA0C" w14:textId="77777777" w:rsidR="00AB27FB" w:rsidRPr="00AB27FB" w:rsidRDefault="00252E9D" w:rsidP="00252E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</w:rPr>
      </w:pPr>
      <w:r w:rsidRPr="00AB27FB">
        <w:rPr>
          <w:rFonts w:asciiTheme="minorHAnsi" w:hAnsiTheme="minorHAnsi" w:cs="Calibri"/>
          <w:color w:val="000000"/>
        </w:rPr>
        <w:t xml:space="preserve">Administrator jest uprawniony do rozwiązania niniejszej Umowy w każdej prawnie dopuszczalnej formie, ze skutkiem natychmiastowym w przypadku nienależytego wykonywania zobowiązań wynikających z niniejszej Umowy przez Procesora. </w:t>
      </w:r>
    </w:p>
    <w:p w14:paraId="6C3EF4F1" w14:textId="77777777" w:rsidR="00AB27FB" w:rsidRPr="00AB27FB" w:rsidRDefault="00252E9D" w:rsidP="00AB27F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</w:rPr>
      </w:pPr>
      <w:r w:rsidRPr="00AB27FB">
        <w:rPr>
          <w:rFonts w:asciiTheme="minorHAnsi" w:hAnsiTheme="minorHAnsi" w:cs="Calibri"/>
          <w:color w:val="000000"/>
        </w:rPr>
        <w:t xml:space="preserve">W przypadku rozwiązania niniejszej Umowy Procesor zwraca Administratorowi w terminie przez niego wyznaczonym wszelkie przetwarzane przez niego dane osobowe, które były przedmiotem powierzenia, jeżeli ich zwrot jest możliwy, w szczególności na dostarczonym przez Administratora nośniku danych. Po ich zwrocie Procesor usuwa wszelkie istniejące kopie tych danych. W przypadku braku możliwości ich zwrotu dane, po porozumieniu z Administratorem, są usuwane przez Procesora wraz z istniejącymi kopiami, w terminie wyznaczonym przez Administratora. </w:t>
      </w:r>
    </w:p>
    <w:p w14:paraId="46479F70" w14:textId="77777777" w:rsidR="00252E9D" w:rsidRPr="00AB27FB" w:rsidRDefault="00252E9D" w:rsidP="00AB27F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 w:line="240" w:lineRule="auto"/>
        <w:ind w:left="426" w:hanging="426"/>
        <w:jc w:val="both"/>
        <w:rPr>
          <w:rFonts w:cs="Calibri"/>
          <w:color w:val="000000"/>
        </w:rPr>
      </w:pPr>
      <w:r w:rsidRPr="00AB27FB">
        <w:rPr>
          <w:rFonts w:asciiTheme="minorHAnsi" w:hAnsiTheme="minorHAnsi" w:cs="Calibri"/>
          <w:color w:val="000000"/>
        </w:rPr>
        <w:t>Rozwiązanie niniejszej umowy nie wyłącza odpowiedzialność Procesora za szkody powstałe w związku z przetwarzaniem powierzonych mu danych osobowych niezgodnie z niniejszą Umową i powszechnie obowiązującymi przepisami prawa, w tym możliwości żądania zapłaty należnych kar umownych określonych w Umowie</w:t>
      </w:r>
      <w:r w:rsidR="00E87B25">
        <w:rPr>
          <w:rFonts w:asciiTheme="minorHAnsi" w:hAnsiTheme="minorHAnsi" w:cs="Calibri"/>
          <w:color w:val="000000"/>
        </w:rPr>
        <w:t>.</w:t>
      </w:r>
      <w:r w:rsidRPr="00AB27FB">
        <w:rPr>
          <w:rFonts w:asciiTheme="minorHAnsi" w:hAnsiTheme="minorHAnsi" w:cs="Calibri"/>
          <w:color w:val="000000"/>
        </w:rPr>
        <w:t xml:space="preserve"> </w:t>
      </w:r>
    </w:p>
    <w:p w14:paraId="44BC5617" w14:textId="77777777" w:rsidR="00252E9D" w:rsidRPr="006C77AC" w:rsidRDefault="00252E9D" w:rsidP="00252E9D">
      <w:pPr>
        <w:pStyle w:val="Teksttreci20"/>
        <w:shd w:val="clear" w:color="auto" w:fill="auto"/>
        <w:tabs>
          <w:tab w:val="left" w:pos="-993"/>
        </w:tabs>
        <w:ind w:left="851" w:right="660" w:firstLine="0"/>
        <w:rPr>
          <w:rFonts w:asciiTheme="minorHAnsi" w:hAnsiTheme="minorHAnsi"/>
          <w:sz w:val="22"/>
          <w:szCs w:val="22"/>
        </w:rPr>
      </w:pPr>
    </w:p>
    <w:sectPr w:rsidR="00252E9D" w:rsidRPr="006C77AC" w:rsidSect="00B06C05">
      <w:headerReference w:type="default" r:id="rId8"/>
      <w:footerReference w:type="default" r:id="rId9"/>
      <w:pgSz w:w="11906" w:h="16838"/>
      <w:pgMar w:top="720" w:right="707" w:bottom="720" w:left="720" w:header="34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BFFB" w14:textId="77777777" w:rsidR="008A38FF" w:rsidRDefault="008A38FF" w:rsidP="001D7E00">
      <w:pPr>
        <w:spacing w:after="0" w:line="240" w:lineRule="auto"/>
      </w:pPr>
      <w:r>
        <w:separator/>
      </w:r>
    </w:p>
  </w:endnote>
  <w:endnote w:type="continuationSeparator" w:id="0">
    <w:p w14:paraId="1933E5C6" w14:textId="77777777" w:rsidR="008A38FF" w:rsidRDefault="008A38FF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95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AB8C" w14:textId="77777777" w:rsidR="001D7E00" w:rsidRDefault="00B06C05" w:rsidP="00B06C05">
    <w:pPr>
      <w:pStyle w:val="Stopka"/>
      <w:ind w:left="-284" w:right="-1274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073817" wp14:editId="26FFA52C">
          <wp:simplePos x="0" y="0"/>
          <wp:positionH relativeFrom="margin">
            <wp:posOffset>-228600</wp:posOffset>
          </wp:positionH>
          <wp:positionV relativeFrom="margin">
            <wp:posOffset>9060815</wp:posOffset>
          </wp:positionV>
          <wp:extent cx="7096125" cy="285750"/>
          <wp:effectExtent l="19050" t="0" r="9525" b="0"/>
          <wp:wrapSquare wrapText="bothSides"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981" w:rsidRPr="00012981">
      <w:rPr>
        <w:noProof/>
        <w:lang w:eastAsia="pl-PL"/>
      </w:rPr>
      <w:drawing>
        <wp:inline distT="0" distB="0" distL="0" distR="0" wp14:anchorId="38704228" wp14:editId="45A6C2B6">
          <wp:extent cx="6878962" cy="1019175"/>
          <wp:effectExtent l="19050" t="0" r="0" b="0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814" cy="102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29889337">
        <v:rect id="Prostokąt 1" o:spid="_x0000_s1025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5B62BB61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C16E21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C16E21">
                  <w:rPr>
                    <w:rFonts w:eastAsiaTheme="minorEastAsia" w:cs="Times New Roman"/>
                  </w:rPr>
                  <w:fldChar w:fldCharType="separate"/>
                </w:r>
                <w:r w:rsidR="00E7333D" w:rsidRPr="00E7333D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C16E21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785C" w14:textId="77777777" w:rsidR="008A38FF" w:rsidRDefault="008A38FF" w:rsidP="001D7E00">
      <w:pPr>
        <w:spacing w:after="0" w:line="240" w:lineRule="auto"/>
      </w:pPr>
      <w:r>
        <w:separator/>
      </w:r>
    </w:p>
  </w:footnote>
  <w:footnote w:type="continuationSeparator" w:id="0">
    <w:p w14:paraId="7230DE35" w14:textId="77777777" w:rsidR="008A38FF" w:rsidRDefault="008A38FF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74F2" w14:textId="77777777" w:rsidR="001D7E00" w:rsidRDefault="001D7E00" w:rsidP="006E2D0A">
    <w:pPr>
      <w:pStyle w:val="Nagwek"/>
      <w:tabs>
        <w:tab w:val="left" w:pos="5387"/>
      </w:tabs>
      <w:jc w:val="center"/>
    </w:pPr>
    <w:r>
      <w:rPr>
        <w:noProof/>
        <w:lang w:eastAsia="pl-PL"/>
      </w:rPr>
      <w:drawing>
        <wp:inline distT="0" distB="0" distL="0" distR="0" wp14:anchorId="758A85A7" wp14:editId="5E364523">
          <wp:extent cx="6743500" cy="964320"/>
          <wp:effectExtent l="0" t="0" r="635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9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84C19F"/>
    <w:multiLevelType w:val="hybridMultilevel"/>
    <w:tmpl w:val="9A6838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4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5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7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8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8E2711F"/>
    <w:multiLevelType w:val="hybridMultilevel"/>
    <w:tmpl w:val="F094EE02"/>
    <w:lvl w:ilvl="0" w:tplc="05389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7E4A95"/>
    <w:multiLevelType w:val="multilevel"/>
    <w:tmpl w:val="31F28926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9C1EBB"/>
    <w:multiLevelType w:val="multilevel"/>
    <w:tmpl w:val="1388C2E6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365A6"/>
    <w:multiLevelType w:val="hybridMultilevel"/>
    <w:tmpl w:val="E4981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E3AFC"/>
    <w:multiLevelType w:val="multilevel"/>
    <w:tmpl w:val="B1FC9DD0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ED1C18"/>
    <w:multiLevelType w:val="multilevel"/>
    <w:tmpl w:val="34AE7B76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7B7DEE"/>
    <w:multiLevelType w:val="multilevel"/>
    <w:tmpl w:val="B0DC7DF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20" w15:restartNumberingAfterBreak="0">
    <w:nsid w:val="56E269B3"/>
    <w:multiLevelType w:val="multilevel"/>
    <w:tmpl w:val="D090C828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F330B1"/>
    <w:multiLevelType w:val="multilevel"/>
    <w:tmpl w:val="D090C828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9058DB"/>
    <w:multiLevelType w:val="hybridMultilevel"/>
    <w:tmpl w:val="374C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127B"/>
    <w:multiLevelType w:val="multilevel"/>
    <w:tmpl w:val="D090C828"/>
    <w:lvl w:ilvl="0">
      <w:start w:val="1"/>
      <w:numFmt w:val="decimal"/>
      <w:lvlText w:val="%1.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157986"/>
    <w:multiLevelType w:val="hybridMultilevel"/>
    <w:tmpl w:val="9C2027F2"/>
    <w:lvl w:ilvl="0" w:tplc="2660A0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685B39"/>
    <w:multiLevelType w:val="multilevel"/>
    <w:tmpl w:val="E96EAFE4"/>
    <w:lvl w:ilvl="0">
      <w:start w:val="1"/>
      <w:numFmt w:val="lowerLetter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A03075"/>
    <w:multiLevelType w:val="multilevel"/>
    <w:tmpl w:val="8E4A3AA6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55535">
    <w:abstractNumId w:val="1"/>
  </w:num>
  <w:num w:numId="2" w16cid:durableId="427040312">
    <w:abstractNumId w:val="2"/>
  </w:num>
  <w:num w:numId="3" w16cid:durableId="1363943939">
    <w:abstractNumId w:val="3"/>
  </w:num>
  <w:num w:numId="4" w16cid:durableId="1639727361">
    <w:abstractNumId w:val="4"/>
  </w:num>
  <w:num w:numId="5" w16cid:durableId="66151736">
    <w:abstractNumId w:val="5"/>
  </w:num>
  <w:num w:numId="6" w16cid:durableId="816336701">
    <w:abstractNumId w:val="6"/>
  </w:num>
  <w:num w:numId="7" w16cid:durableId="2062898125">
    <w:abstractNumId w:val="7"/>
  </w:num>
  <w:num w:numId="8" w16cid:durableId="1380087484">
    <w:abstractNumId w:val="8"/>
  </w:num>
  <w:num w:numId="9" w16cid:durableId="1964605222">
    <w:abstractNumId w:val="27"/>
  </w:num>
  <w:num w:numId="10" w16cid:durableId="1355038457">
    <w:abstractNumId w:val="28"/>
  </w:num>
  <w:num w:numId="11" w16cid:durableId="1367832755">
    <w:abstractNumId w:val="12"/>
  </w:num>
  <w:num w:numId="12" w16cid:durableId="1176457400">
    <w:abstractNumId w:val="17"/>
  </w:num>
  <w:num w:numId="13" w16cid:durableId="991953267">
    <w:abstractNumId w:val="19"/>
  </w:num>
  <w:num w:numId="14" w16cid:durableId="607348813">
    <w:abstractNumId w:val="18"/>
  </w:num>
  <w:num w:numId="15" w16cid:durableId="322394244">
    <w:abstractNumId w:val="20"/>
  </w:num>
  <w:num w:numId="16" w16cid:durableId="479541030">
    <w:abstractNumId w:val="11"/>
  </w:num>
  <w:num w:numId="17" w16cid:durableId="910578965">
    <w:abstractNumId w:val="16"/>
  </w:num>
  <w:num w:numId="18" w16cid:durableId="2031760507">
    <w:abstractNumId w:val="26"/>
  </w:num>
  <w:num w:numId="19" w16cid:durableId="48118221">
    <w:abstractNumId w:val="15"/>
  </w:num>
  <w:num w:numId="20" w16cid:durableId="150025864">
    <w:abstractNumId w:val="25"/>
  </w:num>
  <w:num w:numId="21" w16cid:durableId="1907103836">
    <w:abstractNumId w:val="14"/>
  </w:num>
  <w:num w:numId="22" w16cid:durableId="1141077302">
    <w:abstractNumId w:val="10"/>
  </w:num>
  <w:num w:numId="23" w16cid:durableId="654647740">
    <w:abstractNumId w:val="0"/>
  </w:num>
  <w:num w:numId="24" w16cid:durableId="575020429">
    <w:abstractNumId w:val="22"/>
  </w:num>
  <w:num w:numId="25" w16cid:durableId="1979258803">
    <w:abstractNumId w:val="24"/>
  </w:num>
  <w:num w:numId="26" w16cid:durableId="45490500">
    <w:abstractNumId w:val="21"/>
  </w:num>
  <w:num w:numId="27" w16cid:durableId="1179393374">
    <w:abstractNumId w:val="23"/>
  </w:num>
  <w:num w:numId="28" w16cid:durableId="1603872898">
    <w:abstractNumId w:val="9"/>
  </w:num>
  <w:num w:numId="29" w16cid:durableId="1937667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12981"/>
    <w:rsid w:val="00146A7E"/>
    <w:rsid w:val="0015298A"/>
    <w:rsid w:val="001571FF"/>
    <w:rsid w:val="001D5011"/>
    <w:rsid w:val="001D7E00"/>
    <w:rsid w:val="001F49B5"/>
    <w:rsid w:val="00252E9D"/>
    <w:rsid w:val="002F78DC"/>
    <w:rsid w:val="003204FD"/>
    <w:rsid w:val="00367641"/>
    <w:rsid w:val="003F753D"/>
    <w:rsid w:val="00424F92"/>
    <w:rsid w:val="004834E9"/>
    <w:rsid w:val="004C4285"/>
    <w:rsid w:val="004D3A3A"/>
    <w:rsid w:val="005046E1"/>
    <w:rsid w:val="005F136B"/>
    <w:rsid w:val="00621E21"/>
    <w:rsid w:val="006659D8"/>
    <w:rsid w:val="006771DE"/>
    <w:rsid w:val="006848BB"/>
    <w:rsid w:val="006C77AC"/>
    <w:rsid w:val="006E2D0A"/>
    <w:rsid w:val="006F6388"/>
    <w:rsid w:val="00830E79"/>
    <w:rsid w:val="008478DD"/>
    <w:rsid w:val="00855567"/>
    <w:rsid w:val="008A2EA5"/>
    <w:rsid w:val="008A38FF"/>
    <w:rsid w:val="008C2F57"/>
    <w:rsid w:val="008D5F92"/>
    <w:rsid w:val="00926DB2"/>
    <w:rsid w:val="0093629D"/>
    <w:rsid w:val="00944BE8"/>
    <w:rsid w:val="009F3C78"/>
    <w:rsid w:val="00A034D3"/>
    <w:rsid w:val="00A5786F"/>
    <w:rsid w:val="00A62D15"/>
    <w:rsid w:val="00A9193D"/>
    <w:rsid w:val="00A97F9D"/>
    <w:rsid w:val="00AA3BB6"/>
    <w:rsid w:val="00AB27FB"/>
    <w:rsid w:val="00AE2464"/>
    <w:rsid w:val="00B06C05"/>
    <w:rsid w:val="00B239DB"/>
    <w:rsid w:val="00B53C06"/>
    <w:rsid w:val="00B905AF"/>
    <w:rsid w:val="00B92B50"/>
    <w:rsid w:val="00C01030"/>
    <w:rsid w:val="00C15F88"/>
    <w:rsid w:val="00C16E21"/>
    <w:rsid w:val="00C26172"/>
    <w:rsid w:val="00D0443E"/>
    <w:rsid w:val="00DF7D11"/>
    <w:rsid w:val="00E60DD9"/>
    <w:rsid w:val="00E7333D"/>
    <w:rsid w:val="00E87B25"/>
    <w:rsid w:val="00F0430B"/>
    <w:rsid w:val="00F21AE8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C4C89C"/>
  <w15:docId w15:val="{FA12D3DE-84C8-47EA-996F-DED8A016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15"/>
    <w:rPr>
      <w:rFonts w:ascii="Tahoma" w:hAnsi="Tahoma" w:cs="Tahoma"/>
      <w:sz w:val="16"/>
      <w:szCs w:val="16"/>
    </w:rPr>
  </w:style>
  <w:style w:type="character" w:customStyle="1" w:styleId="Podpisobrazu2Exact">
    <w:name w:val="Podpis obrazu (2) Exact"/>
    <w:basedOn w:val="Domylnaczcionkaakapitu"/>
    <w:link w:val="Podpisobrazu2"/>
    <w:rsid w:val="00A62D15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A62D15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Podpisobrazu3Exact">
    <w:name w:val="Podpis obrazu (3) Exact"/>
    <w:basedOn w:val="Domylnaczcionkaakapitu"/>
    <w:link w:val="Podpisobrazu3"/>
    <w:rsid w:val="00A62D1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Podpisobrazu4Exact">
    <w:name w:val="Podpis obrazu (4) Exact"/>
    <w:basedOn w:val="Domylnaczcionkaakapitu"/>
    <w:link w:val="Podpisobrazu4"/>
    <w:rsid w:val="00A62D1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Podpisobrazu5Exact">
    <w:name w:val="Podpis obrazu (5) Exact"/>
    <w:basedOn w:val="Domylnaczcionkaakapitu"/>
    <w:link w:val="Podpisobrazu5"/>
    <w:rsid w:val="00A62D15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Podpisobrazu6Exact">
    <w:name w:val="Podpis obrazu (6) Exact"/>
    <w:basedOn w:val="Domylnaczcionkaakapitu"/>
    <w:link w:val="Podpisobrazu6"/>
    <w:rsid w:val="00A62D15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62D1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A62D1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62D1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Podpisobrazu2">
    <w:name w:val="Podpis obrazu (2)"/>
    <w:basedOn w:val="Normalny"/>
    <w:link w:val="Podpisobrazu2Exact"/>
    <w:rsid w:val="00A62D15"/>
    <w:pPr>
      <w:widowControl w:val="0"/>
      <w:shd w:val="clear" w:color="auto" w:fill="FFFFFF"/>
      <w:spacing w:after="0" w:line="139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Podpisobrazu">
    <w:name w:val="Podpis obrazu"/>
    <w:basedOn w:val="Normalny"/>
    <w:link w:val="PodpisobrazuExact"/>
    <w:rsid w:val="00A62D15"/>
    <w:pPr>
      <w:widowControl w:val="0"/>
      <w:shd w:val="clear" w:color="auto" w:fill="FFFFFF"/>
      <w:spacing w:after="0" w:line="139" w:lineRule="exact"/>
    </w:pPr>
    <w:rPr>
      <w:rFonts w:ascii="Tahoma" w:eastAsia="Tahoma" w:hAnsi="Tahoma" w:cs="Tahoma"/>
      <w:sz w:val="10"/>
      <w:szCs w:val="10"/>
    </w:rPr>
  </w:style>
  <w:style w:type="paragraph" w:customStyle="1" w:styleId="Podpisobrazu3">
    <w:name w:val="Podpis obrazu (3)"/>
    <w:basedOn w:val="Normalny"/>
    <w:link w:val="Podpisobrazu3Exact"/>
    <w:rsid w:val="00A62D1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Podpisobrazu4">
    <w:name w:val="Podpis obrazu (4)"/>
    <w:basedOn w:val="Normalny"/>
    <w:link w:val="Podpisobrazu4Exact"/>
    <w:rsid w:val="00A62D15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Podpisobrazu5">
    <w:name w:val="Podpis obrazu (5)"/>
    <w:basedOn w:val="Normalny"/>
    <w:link w:val="Podpisobrazu5Exact"/>
    <w:rsid w:val="00A62D15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Podpisobrazu6">
    <w:name w:val="Podpis obrazu (6)"/>
    <w:basedOn w:val="Normalny"/>
    <w:link w:val="Podpisobrazu6Exact"/>
    <w:rsid w:val="00A62D15"/>
    <w:pPr>
      <w:widowControl w:val="0"/>
      <w:shd w:val="clear" w:color="auto" w:fill="FFFFFF"/>
      <w:spacing w:after="0" w:line="144" w:lineRule="exact"/>
      <w:jc w:val="right"/>
    </w:pPr>
    <w:rPr>
      <w:rFonts w:ascii="Tahoma" w:eastAsia="Tahoma" w:hAnsi="Tahoma" w:cs="Tahoma"/>
      <w:sz w:val="12"/>
      <w:szCs w:val="12"/>
    </w:rPr>
  </w:style>
  <w:style w:type="paragraph" w:customStyle="1" w:styleId="Teksttreci20">
    <w:name w:val="Tekst treści (2)"/>
    <w:basedOn w:val="Normalny"/>
    <w:link w:val="Teksttreci2"/>
    <w:rsid w:val="00A62D15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A62D15"/>
    <w:pPr>
      <w:widowControl w:val="0"/>
      <w:shd w:val="clear" w:color="auto" w:fill="FFFFFF"/>
      <w:spacing w:before="240" w:after="360" w:line="0" w:lineRule="atLeast"/>
      <w:ind w:hanging="42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252E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E290-28A4-4AA0-BA15-BA998BD2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2512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2022-07-29T09:34:00Z</dcterms:created>
  <dcterms:modified xsi:type="dcterms:W3CDTF">2022-07-29T09:34:00Z</dcterms:modified>
</cp:coreProperties>
</file>