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98B0A" w14:textId="77777777" w:rsidR="00934ADF" w:rsidRPr="00903B76" w:rsidRDefault="00934ADF" w:rsidP="009E022D">
      <w:pPr>
        <w:spacing w:before="240" w:after="0" w:line="240" w:lineRule="auto"/>
        <w:rPr>
          <w:szCs w:val="20"/>
        </w:rPr>
      </w:pPr>
      <w:bookmarkStart w:id="0" w:name="ezdSprawaZnak"/>
      <w:r w:rsidRPr="00903B76">
        <w:rPr>
          <w:szCs w:val="20"/>
        </w:rPr>
        <w:t>BKA-RI.0831.2.2024</w:t>
      </w:r>
      <w:bookmarkEnd w:id="0"/>
      <w:r w:rsidRPr="00903B76">
        <w:rPr>
          <w:szCs w:val="20"/>
        </w:rPr>
        <w:t>.</w:t>
      </w:r>
      <w:bookmarkStart w:id="1" w:name="ezdAutorInicjaly"/>
      <w:r w:rsidRPr="00903B76">
        <w:rPr>
          <w:szCs w:val="20"/>
        </w:rPr>
        <w:t>JG</w:t>
      </w:r>
      <w:bookmarkEnd w:id="1"/>
    </w:p>
    <w:p w14:paraId="71B7FBC3" w14:textId="77777777" w:rsidR="00934ADF" w:rsidRPr="00903B76" w:rsidRDefault="00934ADF" w:rsidP="00547FD8">
      <w:pPr>
        <w:spacing w:after="0" w:line="240" w:lineRule="auto"/>
        <w:rPr>
          <w:szCs w:val="20"/>
        </w:rPr>
      </w:pPr>
      <w:bookmarkStart w:id="2" w:name="ezdIdentyfikatorDokumentuPDF"/>
      <w:r w:rsidRPr="00903B76">
        <w:rPr>
          <w:szCs w:val="20"/>
        </w:rPr>
        <w:t>$Id_dokumentu</w:t>
      </w:r>
      <w:bookmarkEnd w:id="2"/>
    </w:p>
    <w:p w14:paraId="3A424EB8" w14:textId="77777777" w:rsidR="00934ADF" w:rsidRPr="00903B76" w:rsidRDefault="00934ADF" w:rsidP="00547FD8">
      <w:pPr>
        <w:spacing w:after="0" w:line="240" w:lineRule="auto"/>
        <w:rPr>
          <w:szCs w:val="20"/>
        </w:rPr>
      </w:pPr>
      <w:r w:rsidRPr="00903B76">
        <w:rPr>
          <w:szCs w:val="20"/>
        </w:rPr>
        <w:t xml:space="preserve">Warszawa, </w:t>
      </w:r>
      <w:bookmarkStart w:id="3" w:name="ezdDataPodpisu"/>
      <w:r w:rsidRPr="00903B76">
        <w:rPr>
          <w:szCs w:val="20"/>
        </w:rPr>
        <w:t>30-11-2025</w:t>
      </w:r>
      <w:bookmarkEnd w:id="3"/>
    </w:p>
    <w:p w14:paraId="1CD2AB75" w14:textId="77777777" w:rsidR="00934ADF" w:rsidRPr="00903B76" w:rsidRDefault="00934ADF" w:rsidP="00330ADD">
      <w:pPr>
        <w:spacing w:before="360" w:after="0" w:line="240" w:lineRule="auto"/>
        <w:rPr>
          <w:b/>
          <w:bCs/>
          <w:szCs w:val="20"/>
        </w:rPr>
      </w:pPr>
      <w:r w:rsidRPr="00903B76">
        <w:rPr>
          <w:b/>
          <w:bCs/>
          <w:szCs w:val="20"/>
        </w:rPr>
        <w:t>Pan</w:t>
      </w:r>
    </w:p>
    <w:p w14:paraId="59086D56" w14:textId="77777777" w:rsidR="00934ADF" w:rsidRPr="00903B76" w:rsidRDefault="00934ADF" w:rsidP="00547FD8">
      <w:pPr>
        <w:spacing w:after="0" w:line="240" w:lineRule="auto"/>
        <w:rPr>
          <w:b/>
          <w:bCs/>
          <w:szCs w:val="20"/>
        </w:rPr>
      </w:pPr>
      <w:r w:rsidRPr="00903B76">
        <w:rPr>
          <w:b/>
          <w:bCs/>
          <w:szCs w:val="20"/>
        </w:rPr>
        <w:t>Janusz Dawidziuk</w:t>
      </w:r>
    </w:p>
    <w:p w14:paraId="3357612C" w14:textId="77777777" w:rsidR="00934ADF" w:rsidRPr="00903B76" w:rsidRDefault="00934ADF" w:rsidP="00547FD8">
      <w:pPr>
        <w:spacing w:after="0" w:line="240" w:lineRule="auto"/>
        <w:rPr>
          <w:b/>
          <w:bCs/>
          <w:szCs w:val="20"/>
        </w:rPr>
      </w:pPr>
      <w:r w:rsidRPr="00903B76">
        <w:rPr>
          <w:b/>
          <w:bCs/>
          <w:szCs w:val="20"/>
        </w:rPr>
        <w:t>Dyrektor</w:t>
      </w:r>
    </w:p>
    <w:p w14:paraId="3A37A229" w14:textId="77777777" w:rsidR="00934ADF" w:rsidRPr="00903B76" w:rsidRDefault="00934ADF" w:rsidP="00547FD8">
      <w:pPr>
        <w:spacing w:after="0" w:line="240" w:lineRule="auto"/>
        <w:rPr>
          <w:b/>
          <w:bCs/>
          <w:szCs w:val="20"/>
        </w:rPr>
      </w:pPr>
      <w:r w:rsidRPr="00903B76">
        <w:rPr>
          <w:b/>
          <w:bCs/>
          <w:szCs w:val="20"/>
        </w:rPr>
        <w:t>Biura Urządzania Lasu i Geodezji Leśnej</w:t>
      </w:r>
    </w:p>
    <w:p w14:paraId="0354DC2F" w14:textId="77777777" w:rsidR="00934ADF" w:rsidRPr="00903B76" w:rsidRDefault="00934ADF" w:rsidP="00563040">
      <w:pPr>
        <w:spacing w:before="120" w:after="0" w:line="240" w:lineRule="auto"/>
        <w:rPr>
          <w:szCs w:val="20"/>
        </w:rPr>
      </w:pPr>
      <w:r w:rsidRPr="00903B76">
        <w:rPr>
          <w:szCs w:val="20"/>
        </w:rPr>
        <w:t>ul. Leśników 21</w:t>
      </w:r>
    </w:p>
    <w:p w14:paraId="698FB004" w14:textId="77777777" w:rsidR="00934ADF" w:rsidRPr="00903B76" w:rsidRDefault="00934ADF" w:rsidP="00563040">
      <w:pPr>
        <w:spacing w:after="0" w:line="240" w:lineRule="auto"/>
        <w:rPr>
          <w:szCs w:val="20"/>
        </w:rPr>
      </w:pPr>
      <w:r w:rsidRPr="00903B76">
        <w:rPr>
          <w:szCs w:val="20"/>
        </w:rPr>
        <w:t>Sękocin Stary</w:t>
      </w:r>
    </w:p>
    <w:p w14:paraId="48608B75" w14:textId="77777777" w:rsidR="00934ADF" w:rsidRPr="00903B76" w:rsidRDefault="00934ADF" w:rsidP="00563040">
      <w:pPr>
        <w:spacing w:after="0" w:line="240" w:lineRule="auto"/>
        <w:rPr>
          <w:szCs w:val="20"/>
        </w:rPr>
      </w:pPr>
      <w:r w:rsidRPr="00903B76">
        <w:rPr>
          <w:szCs w:val="20"/>
        </w:rPr>
        <w:t>05-090 Raszyn</w:t>
      </w:r>
    </w:p>
    <w:p w14:paraId="3AD2D79A" w14:textId="77777777" w:rsidR="00934ADF" w:rsidRPr="00903B76" w:rsidRDefault="00934ADF" w:rsidP="00E05AAD">
      <w:pPr>
        <w:shd w:val="clear" w:color="auto" w:fill="FFFFFF" w:themeFill="background1"/>
        <w:suppressAutoHyphens/>
        <w:spacing w:before="240" w:after="240" w:line="240" w:lineRule="auto"/>
        <w:jc w:val="center"/>
        <w:rPr>
          <w:rFonts w:cs="Times New Roman"/>
          <w:b/>
          <w:bCs/>
          <w:szCs w:val="20"/>
        </w:rPr>
      </w:pPr>
      <w:r w:rsidRPr="00903B76">
        <w:rPr>
          <w:rFonts w:cs="Times New Roman"/>
          <w:b/>
          <w:bCs/>
          <w:szCs w:val="20"/>
        </w:rPr>
        <w:t>SPRAWOZDANIE Z KONTROLI</w:t>
      </w:r>
    </w:p>
    <w:p w14:paraId="45A60F74" w14:textId="77777777" w:rsidR="00934ADF" w:rsidRPr="00903B76" w:rsidRDefault="00934ADF" w:rsidP="0090452F">
      <w:pPr>
        <w:spacing w:after="120" w:line="240" w:lineRule="auto"/>
        <w:rPr>
          <w:szCs w:val="20"/>
        </w:rPr>
      </w:pPr>
      <w:r w:rsidRPr="00903B76">
        <w:rPr>
          <w:szCs w:val="20"/>
        </w:rPr>
        <w:t>Przedstawiam Panu Dyrektorowi sprawozdanie z kontroli przeprowadzonej przez Ministerstwo Klimatu i Środowiska (dalej: MKiŚ</w:t>
      </w:r>
      <w:r>
        <w:rPr>
          <w:rStyle w:val="Odwoanieprzypisudolnego"/>
          <w:szCs w:val="20"/>
        </w:rPr>
        <w:footnoteReference w:id="1"/>
      </w:r>
      <w:r w:rsidRPr="00903B76">
        <w:rPr>
          <w:szCs w:val="20"/>
        </w:rPr>
        <w:t>) w Biurze Urządzania Lasu i Geodezji Leśnej (dalej: Biuro, BULiGL, Przedsiębiorstwo) w zakresie działalności Przedsiębiorstwa oraz pracy dyrektora Jednostki w latach 2023-2024</w:t>
      </w:r>
      <w:r>
        <w:rPr>
          <w:rStyle w:val="Odwoanieprzypisudolnego"/>
          <w:szCs w:val="20"/>
        </w:rPr>
        <w:footnoteReference w:id="2"/>
      </w:r>
      <w:r w:rsidRPr="00903B76">
        <w:rPr>
          <w:szCs w:val="20"/>
        </w:rPr>
        <w:t>.</w:t>
      </w:r>
    </w:p>
    <w:p w14:paraId="0EABAD2F" w14:textId="77777777" w:rsidR="00934ADF" w:rsidRPr="00903B76" w:rsidRDefault="00934ADF" w:rsidP="00353769">
      <w:pPr>
        <w:spacing w:after="120" w:line="240" w:lineRule="auto"/>
        <w:rPr>
          <w:rFonts w:cs="Times New Roman"/>
          <w:sz w:val="16"/>
          <w:szCs w:val="16"/>
          <w:u w:val="single"/>
        </w:rPr>
      </w:pPr>
      <w:r w:rsidRPr="00903B76">
        <w:rPr>
          <w:rFonts w:cs="Times New Roman"/>
          <w:sz w:val="16"/>
          <w:szCs w:val="16"/>
          <w:u w:val="single"/>
        </w:rPr>
        <w:t>Podstawa prawna:</w:t>
      </w:r>
    </w:p>
    <w:p w14:paraId="6B1FA7F5" w14:textId="77777777" w:rsidR="00934ADF" w:rsidRPr="00903B76" w:rsidRDefault="00934ADF" w:rsidP="00BB166B">
      <w:pPr>
        <w:pStyle w:val="Akapitzlist"/>
        <w:numPr>
          <w:ilvl w:val="0"/>
          <w:numId w:val="3"/>
        </w:numPr>
        <w:spacing w:after="0" w:line="240" w:lineRule="auto"/>
        <w:ind w:left="284" w:hanging="284"/>
        <w:jc w:val="both"/>
        <w:rPr>
          <w:rFonts w:ascii="Lato" w:hAnsi="Lato"/>
          <w:sz w:val="16"/>
          <w:szCs w:val="16"/>
        </w:rPr>
      </w:pPr>
      <w:r w:rsidRPr="00903B76">
        <w:rPr>
          <w:rFonts w:ascii="Lato" w:hAnsi="Lato"/>
          <w:sz w:val="16"/>
          <w:szCs w:val="16"/>
        </w:rPr>
        <w:t>art. 58 ust. 1 ustawy z dnia 25 września 1981 r. o przedsiębiorstwach państwowych</w:t>
      </w:r>
      <w:r>
        <w:rPr>
          <w:rStyle w:val="Odwoanieprzypisudolnego"/>
          <w:rFonts w:ascii="Lato" w:hAnsi="Lato"/>
          <w:sz w:val="16"/>
          <w:szCs w:val="16"/>
        </w:rPr>
        <w:footnoteReference w:id="3"/>
      </w:r>
      <w:r w:rsidRPr="00903B76">
        <w:rPr>
          <w:rFonts w:ascii="Lato" w:hAnsi="Lato"/>
          <w:sz w:val="16"/>
          <w:szCs w:val="16"/>
        </w:rPr>
        <w:t xml:space="preserve"> </w:t>
      </w:r>
      <w:r w:rsidRPr="00903B76">
        <w:rPr>
          <w:rFonts w:ascii="Lato" w:hAnsi="Lato"/>
          <w:color w:val="000000" w:themeColor="text1"/>
          <w:sz w:val="16"/>
          <w:szCs w:val="16"/>
        </w:rPr>
        <w:t xml:space="preserve">(dalej: ustawa o przedsiębiorstwach państwowych) w związku z </w:t>
      </w:r>
      <w:r w:rsidRPr="00903B76">
        <w:rPr>
          <w:rFonts w:ascii="Lato" w:eastAsia="Times New Roman" w:hAnsi="Lato" w:cs="Times New Roman"/>
          <w:sz w:val="16"/>
          <w:szCs w:val="16"/>
          <w:lang w:eastAsia="pl-PL"/>
        </w:rPr>
        <w:t>art. 121 ust. 1 ustawy z dnia 16 grudnia 2016 r. Przepisy wprowadzające ustawę o zasadach zarządzania mieniem państwowym</w:t>
      </w:r>
      <w:r>
        <w:rPr>
          <w:rStyle w:val="Odwoanieprzypisudolnego"/>
          <w:rFonts w:ascii="Lato" w:eastAsia="Times New Roman" w:hAnsi="Lato" w:cs="Times New Roman"/>
          <w:sz w:val="16"/>
          <w:szCs w:val="16"/>
          <w:lang w:eastAsia="pl-PL"/>
        </w:rPr>
        <w:footnoteReference w:id="4"/>
      </w:r>
      <w:r w:rsidRPr="00903B76">
        <w:rPr>
          <w:rFonts w:ascii="Lato" w:hAnsi="Lato"/>
          <w:sz w:val="16"/>
          <w:szCs w:val="16"/>
        </w:rPr>
        <w:t>;</w:t>
      </w:r>
    </w:p>
    <w:p w14:paraId="387B5193" w14:textId="77777777" w:rsidR="00934ADF" w:rsidRPr="00903B76" w:rsidRDefault="00934ADF" w:rsidP="00BB166B">
      <w:pPr>
        <w:pStyle w:val="Akapitzlist"/>
        <w:numPr>
          <w:ilvl w:val="0"/>
          <w:numId w:val="3"/>
        </w:numPr>
        <w:spacing w:after="0" w:line="240" w:lineRule="auto"/>
        <w:ind w:left="284" w:hanging="284"/>
        <w:jc w:val="both"/>
        <w:rPr>
          <w:rFonts w:ascii="Lato" w:hAnsi="Lato"/>
          <w:sz w:val="16"/>
          <w:szCs w:val="16"/>
        </w:rPr>
      </w:pPr>
      <w:r w:rsidRPr="00903B76">
        <w:rPr>
          <w:rFonts w:ascii="Lato" w:hAnsi="Lato"/>
          <w:sz w:val="16"/>
          <w:szCs w:val="16"/>
        </w:rPr>
        <w:t>art. 6 ust. 3 pkt 1 ustawy z dnia 15 lipca 2011 r. o kontroli w administracji rządowej</w:t>
      </w:r>
      <w:r>
        <w:rPr>
          <w:rStyle w:val="Odwoanieprzypisudolnego"/>
          <w:rFonts w:ascii="Lato" w:hAnsi="Lato"/>
          <w:sz w:val="16"/>
          <w:szCs w:val="16"/>
        </w:rPr>
        <w:footnoteReference w:id="5"/>
      </w:r>
      <w:r w:rsidRPr="00903B76">
        <w:rPr>
          <w:rFonts w:ascii="Lato" w:hAnsi="Lato"/>
          <w:color w:val="000000" w:themeColor="text1"/>
          <w:sz w:val="16"/>
          <w:szCs w:val="16"/>
        </w:rPr>
        <w:t>;</w:t>
      </w:r>
    </w:p>
    <w:p w14:paraId="6DF539B5" w14:textId="77777777" w:rsidR="00934ADF" w:rsidRPr="00903B76" w:rsidRDefault="00934ADF" w:rsidP="00BB166B">
      <w:pPr>
        <w:pStyle w:val="Akapitzlist"/>
        <w:numPr>
          <w:ilvl w:val="0"/>
          <w:numId w:val="3"/>
        </w:numPr>
        <w:spacing w:after="0" w:line="240" w:lineRule="auto"/>
        <w:ind w:left="284" w:hanging="284"/>
        <w:jc w:val="both"/>
        <w:rPr>
          <w:rFonts w:ascii="Lato" w:hAnsi="Lato"/>
          <w:sz w:val="16"/>
          <w:szCs w:val="16"/>
        </w:rPr>
      </w:pPr>
      <w:r w:rsidRPr="00903B76">
        <w:rPr>
          <w:rFonts w:ascii="Lato" w:hAnsi="Lato"/>
          <w:sz w:val="16"/>
          <w:szCs w:val="16"/>
        </w:rPr>
        <w:t>obwieszczenie Ministra Klimatu i Środowiska z dnia 3 kwietnia 2025 r. w sprawie wykazu jednostek organizacyjnych podległych Ministrowi Klimatu i Środowiska lub przez niego nadzorowanych</w:t>
      </w:r>
      <w:r>
        <w:rPr>
          <w:rStyle w:val="Odwoanieprzypisudolnego"/>
          <w:rFonts w:ascii="Lato" w:hAnsi="Lato"/>
          <w:sz w:val="16"/>
          <w:szCs w:val="16"/>
        </w:rPr>
        <w:footnoteReference w:id="6"/>
      </w:r>
      <w:r w:rsidRPr="00903B76">
        <w:rPr>
          <w:rFonts w:ascii="Lato" w:hAnsi="Lato"/>
          <w:sz w:val="16"/>
          <w:szCs w:val="16"/>
        </w:rPr>
        <w:t>.</w:t>
      </w:r>
    </w:p>
    <w:p w14:paraId="73B3D5A1" w14:textId="77777777" w:rsidR="00934ADF" w:rsidRPr="00903B76" w:rsidRDefault="00934ADF" w:rsidP="00AD0E6B">
      <w:pPr>
        <w:suppressAutoHyphens/>
        <w:spacing w:before="120" w:after="60" w:line="240" w:lineRule="auto"/>
        <w:rPr>
          <w:rFonts w:cs="Times New Roman"/>
          <w:sz w:val="16"/>
          <w:szCs w:val="16"/>
          <w:u w:val="single"/>
        </w:rPr>
      </w:pPr>
      <w:r w:rsidRPr="00903B76">
        <w:rPr>
          <w:rFonts w:cs="Times New Roman"/>
          <w:sz w:val="16"/>
          <w:szCs w:val="16"/>
          <w:u w:val="single"/>
        </w:rPr>
        <w:t>Informacje o jednostce kontrolowanej:</w:t>
      </w:r>
    </w:p>
    <w:p w14:paraId="55176B83" w14:textId="77777777" w:rsidR="00934ADF" w:rsidRPr="00903B76" w:rsidRDefault="00934ADF" w:rsidP="003F3785">
      <w:pPr>
        <w:spacing w:after="120" w:line="240" w:lineRule="auto"/>
        <w:rPr>
          <w:rFonts w:eastAsia="Times New Roman" w:cs="Times New Roman"/>
          <w:sz w:val="16"/>
          <w:szCs w:val="16"/>
          <w:lang w:eastAsia="pl-PL"/>
        </w:rPr>
      </w:pPr>
      <w:r w:rsidRPr="00903B76">
        <w:rPr>
          <w:rFonts w:eastAsia="Times New Roman" w:cs="Times New Roman"/>
          <w:sz w:val="16"/>
          <w:szCs w:val="16"/>
          <w:lang w:eastAsia="pl-PL"/>
        </w:rPr>
        <w:t>BULiGL jako wielozakładowe przedsiębiorstwo państwowe posiada osobowość prawną i jest specjalistyczną, samodzielną, samorządną, samofinansującą się jednostką gospodarczą działającą na rzecz leśnictwa</w:t>
      </w:r>
      <w:r>
        <w:rPr>
          <w:rStyle w:val="Odwoanieprzypisudolnego"/>
          <w:rFonts w:eastAsia="Times New Roman" w:cs="Times New Roman"/>
          <w:sz w:val="16"/>
          <w:szCs w:val="16"/>
          <w:lang w:eastAsia="pl-PL"/>
        </w:rPr>
        <w:footnoteReference w:id="7"/>
      </w:r>
      <w:r w:rsidRPr="00903B76">
        <w:rPr>
          <w:rFonts w:eastAsia="Times New Roman" w:cs="Times New Roman"/>
          <w:sz w:val="16"/>
          <w:szCs w:val="16"/>
          <w:lang w:eastAsia="pl-PL"/>
        </w:rPr>
        <w:t>. Nie należy do sektora finansów publicznych. Od 1 stycznia 2017 r. organem założycielskim BULiGL jest minister właściwy do spraw środowiska</w:t>
      </w:r>
      <w:r>
        <w:rPr>
          <w:rStyle w:val="Odwoanieprzypisudolnego"/>
          <w:rFonts w:eastAsia="Times New Roman" w:cs="Times New Roman"/>
          <w:sz w:val="16"/>
          <w:szCs w:val="16"/>
          <w:lang w:eastAsia="pl-PL"/>
        </w:rPr>
        <w:footnoteReference w:id="8"/>
      </w:r>
      <w:r w:rsidRPr="00903B76">
        <w:rPr>
          <w:rFonts w:eastAsia="Times New Roman" w:cs="Times New Roman"/>
          <w:sz w:val="16"/>
          <w:szCs w:val="16"/>
          <w:lang w:eastAsia="pl-PL"/>
        </w:rPr>
        <w:t>.</w:t>
      </w:r>
    </w:p>
    <w:p w14:paraId="7E845B53" w14:textId="77777777" w:rsidR="00934ADF" w:rsidRPr="00903B76" w:rsidRDefault="00934ADF" w:rsidP="007117EB">
      <w:pPr>
        <w:suppressAutoHyphens/>
        <w:spacing w:after="0" w:line="240" w:lineRule="auto"/>
        <w:rPr>
          <w:sz w:val="16"/>
          <w:szCs w:val="16"/>
        </w:rPr>
      </w:pPr>
      <w:r w:rsidRPr="00903B76">
        <w:rPr>
          <w:rFonts w:cs="Times New Roman"/>
          <w:sz w:val="16"/>
          <w:szCs w:val="16"/>
        </w:rPr>
        <w:t xml:space="preserve">Główne zadania Biura dotyczą </w:t>
      </w:r>
      <w:r w:rsidRPr="00903B76">
        <w:rPr>
          <w:sz w:val="16"/>
          <w:szCs w:val="16"/>
        </w:rPr>
        <w:t>wykonywania prac z zakresu:</w:t>
      </w:r>
    </w:p>
    <w:p w14:paraId="36B07E15" w14:textId="77777777" w:rsidR="00934ADF" w:rsidRPr="00903B76" w:rsidRDefault="00934ADF" w:rsidP="00BB166B">
      <w:pPr>
        <w:pStyle w:val="Akapitzlist"/>
        <w:numPr>
          <w:ilvl w:val="0"/>
          <w:numId w:val="3"/>
        </w:numPr>
        <w:spacing w:after="0" w:line="240" w:lineRule="auto"/>
        <w:ind w:left="284" w:hanging="284"/>
        <w:jc w:val="both"/>
        <w:rPr>
          <w:rFonts w:ascii="Lato" w:hAnsi="Lato"/>
          <w:b/>
          <w:bCs/>
          <w:sz w:val="16"/>
          <w:szCs w:val="16"/>
        </w:rPr>
      </w:pPr>
      <w:r w:rsidRPr="00903B76">
        <w:rPr>
          <w:rFonts w:ascii="Lato" w:hAnsi="Lato"/>
          <w:sz w:val="16"/>
          <w:szCs w:val="16"/>
        </w:rPr>
        <w:t xml:space="preserve">okresowych wielkoobszarowych inwentaryzacji stanu </w:t>
      </w:r>
      <w:bookmarkStart w:id="4" w:name="highlightHit_67"/>
      <w:bookmarkEnd w:id="4"/>
      <w:r w:rsidRPr="00903B76">
        <w:rPr>
          <w:rStyle w:val="highlight-disabled"/>
          <w:rFonts w:ascii="Lato" w:hAnsi="Lato"/>
          <w:sz w:val="16"/>
          <w:szCs w:val="16"/>
        </w:rPr>
        <w:t>lasów</w:t>
      </w:r>
      <w:r w:rsidRPr="00903B76">
        <w:rPr>
          <w:rFonts w:ascii="Lato" w:hAnsi="Lato"/>
          <w:sz w:val="16"/>
          <w:szCs w:val="16"/>
        </w:rPr>
        <w:t>,</w:t>
      </w:r>
    </w:p>
    <w:p w14:paraId="2BE1BA15" w14:textId="77777777" w:rsidR="00934ADF" w:rsidRPr="00903B76" w:rsidRDefault="00934ADF" w:rsidP="00BB166B">
      <w:pPr>
        <w:pStyle w:val="Akapitzlist"/>
        <w:numPr>
          <w:ilvl w:val="0"/>
          <w:numId w:val="3"/>
        </w:numPr>
        <w:spacing w:after="200" w:line="240" w:lineRule="auto"/>
        <w:ind w:left="284" w:hanging="284"/>
        <w:jc w:val="both"/>
        <w:rPr>
          <w:rFonts w:ascii="Lato" w:hAnsi="Lato"/>
          <w:b/>
          <w:bCs/>
          <w:sz w:val="16"/>
          <w:szCs w:val="16"/>
        </w:rPr>
      </w:pPr>
      <w:r w:rsidRPr="00903B76">
        <w:rPr>
          <w:rFonts w:ascii="Lato" w:hAnsi="Lato"/>
          <w:sz w:val="16"/>
          <w:szCs w:val="16"/>
        </w:rPr>
        <w:t>aktualizacji stanu zasobów leśnych,</w:t>
      </w:r>
    </w:p>
    <w:p w14:paraId="0DAC71ED" w14:textId="77777777" w:rsidR="00934ADF" w:rsidRPr="00903B76" w:rsidRDefault="00934ADF" w:rsidP="00BB166B">
      <w:pPr>
        <w:pStyle w:val="Akapitzlist"/>
        <w:numPr>
          <w:ilvl w:val="0"/>
          <w:numId w:val="3"/>
        </w:numPr>
        <w:spacing w:after="200" w:line="240" w:lineRule="auto"/>
        <w:ind w:left="284" w:hanging="284"/>
        <w:jc w:val="both"/>
        <w:rPr>
          <w:rStyle w:val="highlight-disabled"/>
          <w:rFonts w:ascii="Lato" w:hAnsi="Lato"/>
          <w:b/>
          <w:bCs/>
          <w:sz w:val="16"/>
          <w:szCs w:val="16"/>
        </w:rPr>
      </w:pPr>
      <w:r w:rsidRPr="00903B76">
        <w:rPr>
          <w:rFonts w:ascii="Lato" w:hAnsi="Lato"/>
          <w:sz w:val="16"/>
          <w:szCs w:val="16"/>
        </w:rPr>
        <w:t xml:space="preserve">prowadzenia banku danych </w:t>
      </w:r>
      <w:bookmarkStart w:id="5" w:name="highlightHit_68"/>
      <w:bookmarkEnd w:id="5"/>
      <w:r w:rsidRPr="00903B76">
        <w:rPr>
          <w:rStyle w:val="highlight-disabled"/>
          <w:rFonts w:ascii="Lato" w:hAnsi="Lato"/>
          <w:sz w:val="16"/>
          <w:szCs w:val="16"/>
        </w:rPr>
        <w:t>o</w:t>
      </w:r>
      <w:r w:rsidRPr="00903B76">
        <w:rPr>
          <w:rFonts w:ascii="Lato" w:hAnsi="Lato"/>
          <w:sz w:val="16"/>
          <w:szCs w:val="16"/>
        </w:rPr>
        <w:t xml:space="preserve"> zasobach leśnych i stanie </w:t>
      </w:r>
      <w:bookmarkStart w:id="6" w:name="highlightHit_69"/>
      <w:bookmarkEnd w:id="6"/>
      <w:r w:rsidRPr="00903B76">
        <w:rPr>
          <w:rStyle w:val="highlight-disabled"/>
          <w:rFonts w:ascii="Lato" w:hAnsi="Lato"/>
          <w:sz w:val="16"/>
          <w:szCs w:val="16"/>
        </w:rPr>
        <w:t>lasów,</w:t>
      </w:r>
    </w:p>
    <w:p w14:paraId="2B9B50B7" w14:textId="77777777" w:rsidR="00934ADF" w:rsidRPr="00903B76" w:rsidRDefault="00934ADF" w:rsidP="00BB166B">
      <w:pPr>
        <w:pStyle w:val="Akapitzlist"/>
        <w:numPr>
          <w:ilvl w:val="0"/>
          <w:numId w:val="3"/>
        </w:numPr>
        <w:spacing w:after="200" w:line="240" w:lineRule="auto"/>
        <w:ind w:left="284" w:hanging="284"/>
        <w:jc w:val="both"/>
        <w:rPr>
          <w:rStyle w:val="highlight-disabled"/>
          <w:rFonts w:ascii="Lato" w:hAnsi="Lato"/>
          <w:b/>
          <w:bCs/>
          <w:sz w:val="16"/>
          <w:szCs w:val="16"/>
        </w:rPr>
      </w:pPr>
      <w:r w:rsidRPr="00903B76">
        <w:rPr>
          <w:rStyle w:val="highlight-disabled"/>
          <w:rFonts w:ascii="Lato" w:hAnsi="Lato"/>
          <w:sz w:val="16"/>
          <w:szCs w:val="16"/>
        </w:rPr>
        <w:t>usług dotyczących urządzania lasu, włącznie z monitoringiem i prognozami rozwoju stanu lasu oraz waloryzacją przyrodniczo-leśną,</w:t>
      </w:r>
    </w:p>
    <w:p w14:paraId="00743821" w14:textId="77777777" w:rsidR="00934ADF" w:rsidRPr="00903B76" w:rsidRDefault="00934ADF" w:rsidP="00BB166B">
      <w:pPr>
        <w:pStyle w:val="Akapitzlist"/>
        <w:numPr>
          <w:ilvl w:val="0"/>
          <w:numId w:val="3"/>
        </w:numPr>
        <w:spacing w:after="200" w:line="240" w:lineRule="auto"/>
        <w:ind w:left="284" w:hanging="284"/>
        <w:jc w:val="both"/>
        <w:rPr>
          <w:rFonts w:ascii="Lato" w:hAnsi="Lato"/>
          <w:sz w:val="16"/>
          <w:szCs w:val="16"/>
        </w:rPr>
      </w:pPr>
      <w:r w:rsidRPr="00903B76">
        <w:rPr>
          <w:rFonts w:ascii="Lato" w:hAnsi="Lato"/>
          <w:sz w:val="16"/>
          <w:szCs w:val="16"/>
        </w:rPr>
        <w:t>usług związanych z ochroną przyrody, w tym sporządzanie planów zadań ochronnych, planów ochrony, wykonywanie inwentaryzacji i waloryzacji przyrodniczych,</w:t>
      </w:r>
    </w:p>
    <w:p w14:paraId="0599ED95" w14:textId="77777777" w:rsidR="00934ADF" w:rsidRPr="00903B76" w:rsidRDefault="00934ADF" w:rsidP="00BB166B">
      <w:pPr>
        <w:pStyle w:val="Akapitzlist"/>
        <w:numPr>
          <w:ilvl w:val="0"/>
          <w:numId w:val="3"/>
        </w:numPr>
        <w:spacing w:after="200" w:line="240" w:lineRule="auto"/>
        <w:ind w:left="284" w:hanging="284"/>
        <w:jc w:val="both"/>
        <w:rPr>
          <w:rFonts w:ascii="Lato" w:hAnsi="Lato"/>
          <w:sz w:val="16"/>
          <w:szCs w:val="16"/>
        </w:rPr>
      </w:pPr>
      <w:r w:rsidRPr="00903B76">
        <w:rPr>
          <w:rFonts w:ascii="Lato" w:hAnsi="Lato"/>
          <w:sz w:val="16"/>
          <w:szCs w:val="16"/>
        </w:rPr>
        <w:t>usług geodezyjnych i kartograficznych oraz usług inżynieryjnych w zakresie planowania dróg i gospodarowania zasobami wodnymi w lasach, budownictwa leśnego, rekreacyjnego zagospodarowania lasu,</w:t>
      </w:r>
    </w:p>
    <w:p w14:paraId="7D3C2B51" w14:textId="77777777" w:rsidR="00934ADF" w:rsidRPr="00903B76" w:rsidRDefault="00934ADF" w:rsidP="00BB166B">
      <w:pPr>
        <w:pStyle w:val="Akapitzlist"/>
        <w:numPr>
          <w:ilvl w:val="0"/>
          <w:numId w:val="3"/>
        </w:numPr>
        <w:spacing w:after="200" w:line="240" w:lineRule="auto"/>
        <w:ind w:left="284" w:hanging="284"/>
        <w:jc w:val="both"/>
        <w:rPr>
          <w:rFonts w:ascii="Lato" w:hAnsi="Lato"/>
          <w:sz w:val="16"/>
          <w:szCs w:val="16"/>
        </w:rPr>
      </w:pPr>
      <w:r w:rsidRPr="00903B76">
        <w:rPr>
          <w:rFonts w:ascii="Lato" w:hAnsi="Lato"/>
          <w:sz w:val="16"/>
          <w:szCs w:val="16"/>
        </w:rPr>
        <w:t>laboratoryjnych analiz właściwości chemicznych i fizycznych gleb oraz innych badań i analiz technicznych,</w:t>
      </w:r>
    </w:p>
    <w:p w14:paraId="0856C4FD" w14:textId="77777777" w:rsidR="00934ADF" w:rsidRPr="00903B76" w:rsidRDefault="00934ADF" w:rsidP="00BB166B">
      <w:pPr>
        <w:pStyle w:val="Akapitzlist"/>
        <w:numPr>
          <w:ilvl w:val="0"/>
          <w:numId w:val="3"/>
        </w:numPr>
        <w:spacing w:after="200" w:line="240" w:lineRule="auto"/>
        <w:ind w:left="284" w:hanging="284"/>
        <w:jc w:val="both"/>
        <w:rPr>
          <w:rFonts w:ascii="Lato" w:hAnsi="Lato"/>
          <w:sz w:val="16"/>
          <w:szCs w:val="16"/>
        </w:rPr>
      </w:pPr>
      <w:r w:rsidRPr="00903B76">
        <w:rPr>
          <w:rFonts w:ascii="Lato" w:hAnsi="Lato"/>
          <w:sz w:val="16"/>
          <w:szCs w:val="16"/>
        </w:rPr>
        <w:t>przetwarzania danych, zarządzania stronami internetowymi oraz działalności związanej z bazami danych,</w:t>
      </w:r>
    </w:p>
    <w:p w14:paraId="03CFCA32" w14:textId="77777777" w:rsidR="00934ADF" w:rsidRPr="00903B76" w:rsidRDefault="00934ADF" w:rsidP="001A039A">
      <w:pPr>
        <w:pStyle w:val="Akapitzlist"/>
        <w:numPr>
          <w:ilvl w:val="0"/>
          <w:numId w:val="3"/>
        </w:numPr>
        <w:spacing w:after="120" w:line="240" w:lineRule="auto"/>
        <w:ind w:left="284" w:hanging="284"/>
        <w:contextualSpacing w:val="0"/>
        <w:jc w:val="both"/>
        <w:rPr>
          <w:rStyle w:val="Uwydatnienie"/>
          <w:rFonts w:ascii="Lato" w:hAnsi="Lato"/>
          <w:b/>
          <w:i w:val="0"/>
          <w:kern w:val="0"/>
          <w:sz w:val="16"/>
          <w:szCs w:val="16"/>
          <w14:ligatures w14:val="none"/>
        </w:rPr>
      </w:pPr>
      <w:r w:rsidRPr="00903B76">
        <w:rPr>
          <w:rFonts w:ascii="Lato" w:hAnsi="Lato"/>
          <w:sz w:val="16"/>
          <w:szCs w:val="16"/>
        </w:rPr>
        <w:t>wynajmu i zarządzania nieruchomościami własnymi lub wydzierżawionymi.</w:t>
      </w:r>
    </w:p>
    <w:p w14:paraId="558CA10D" w14:textId="77777777" w:rsidR="00934ADF" w:rsidRPr="00903B76" w:rsidRDefault="00934ADF" w:rsidP="000E3E5A">
      <w:pPr>
        <w:spacing w:after="0" w:line="240" w:lineRule="auto"/>
        <w:rPr>
          <w:rFonts w:cs="Times New Roman"/>
        </w:rPr>
      </w:pPr>
      <w:r w:rsidRPr="00903B76">
        <w:rPr>
          <w:rFonts w:eastAsia="Times New Roman" w:cs="Times New Roman"/>
          <w:sz w:val="16"/>
          <w:szCs w:val="16"/>
          <w:lang w:eastAsia="pl-PL"/>
        </w:rPr>
        <w:lastRenderedPageBreak/>
        <w:t>Podstawowymi jednostkami organizacyjnymi Przedsiębiorstwa są Zarząd oraz 12 Oddziałów w: Białymstoku, Brzegu, Gdyni, Gorzowie Wielkopolskim, Krakowie, Lublinie, Olsztynie, Poznaniu, Przemyślu, Radomiu, Szczecinku, Warszawie.</w:t>
      </w:r>
      <w:r w:rsidRPr="00903B76">
        <w:rPr>
          <w:rFonts w:eastAsia="Times New Roman" w:cs="Times New Roman"/>
          <w:lang w:eastAsia="pl-PL"/>
        </w:rPr>
        <w:t xml:space="preserve"> </w:t>
      </w:r>
      <w:r w:rsidRPr="00903B76">
        <w:rPr>
          <w:rStyle w:val="Uwydatnienie"/>
          <w:i w:val="0"/>
          <w:iCs w:val="0"/>
          <w:sz w:val="16"/>
          <w:szCs w:val="16"/>
        </w:rPr>
        <w:t>Zarząd jest organem wykonawczym Dyrektora Przedsiębiorstwa, a Oddziały są jednostkami produkcyjnymi, działającymi według zasad pełnego wewnętrznego rozrachunku gospodarczego</w:t>
      </w:r>
      <w:r>
        <w:rPr>
          <w:rStyle w:val="Odwoanieprzypisudolnego"/>
          <w:sz w:val="16"/>
          <w:szCs w:val="16"/>
        </w:rPr>
        <w:footnoteReference w:id="9"/>
      </w:r>
      <w:r w:rsidRPr="00903B76">
        <w:rPr>
          <w:rStyle w:val="Uwydatnienie"/>
          <w:i w:val="0"/>
          <w:iCs w:val="0"/>
          <w:sz w:val="16"/>
          <w:szCs w:val="16"/>
        </w:rPr>
        <w:t>.</w:t>
      </w:r>
    </w:p>
    <w:p w14:paraId="0F0B551B" w14:textId="77777777" w:rsidR="00934ADF" w:rsidRPr="00903B76" w:rsidRDefault="00934ADF" w:rsidP="001A039A">
      <w:pPr>
        <w:suppressAutoHyphens/>
        <w:spacing w:before="120" w:after="240" w:line="240" w:lineRule="auto"/>
        <w:rPr>
          <w:rFonts w:cs="Times New Roman"/>
          <w:sz w:val="16"/>
          <w:szCs w:val="16"/>
        </w:rPr>
      </w:pPr>
      <w:r w:rsidRPr="00903B76">
        <w:rPr>
          <w:rFonts w:cs="Times New Roman"/>
          <w:sz w:val="16"/>
          <w:szCs w:val="16"/>
        </w:rPr>
        <w:t xml:space="preserve">Dyrektorem BULiGL od 1 kwietnia 2008 r. jest </w:t>
      </w:r>
      <w:r w:rsidRPr="00903B76">
        <w:rPr>
          <w:sz w:val="16"/>
          <w:szCs w:val="16"/>
        </w:rPr>
        <w:t>Janusz Dawidziuk.</w:t>
      </w:r>
    </w:p>
    <w:p w14:paraId="40CC9712" w14:textId="77777777" w:rsidR="00934ADF" w:rsidRPr="00903B76" w:rsidRDefault="00934ADF" w:rsidP="001C0D8D">
      <w:pPr>
        <w:spacing w:before="120" w:after="120"/>
        <w:rPr>
          <w:b/>
          <w:bCs/>
          <w:szCs w:val="20"/>
        </w:rPr>
      </w:pPr>
      <w:r w:rsidRPr="00903B76">
        <w:rPr>
          <w:rFonts w:eastAsia="Times New Roman" w:cs="Times New Roman"/>
          <w:b/>
          <w:szCs w:val="20"/>
        </w:rPr>
        <w:t>OCENA OGÓLNA KONTROLOWANEJ DZIAŁALNOŚCI</w:t>
      </w:r>
    </w:p>
    <w:p w14:paraId="03CC521A" w14:textId="77777777" w:rsidR="00934ADF" w:rsidRPr="00903B76" w:rsidRDefault="00934ADF" w:rsidP="00C11850">
      <w:pPr>
        <w:spacing w:after="120" w:line="240" w:lineRule="auto"/>
        <w:rPr>
          <w:szCs w:val="20"/>
        </w:rPr>
      </w:pPr>
      <w:r w:rsidRPr="00903B76">
        <w:rPr>
          <w:szCs w:val="20"/>
        </w:rPr>
        <w:t xml:space="preserve">Dyrektor BULiGL zarządzał Przedsiębiorstwem w sposób zapewniający jego stabilne funkcjonowanie. Przedsiębiorstwo znajdowało się w dobrej kondycji finansowej; wypracowany zysk netto za 2024 r. wynosił 2 880 343,05 zł, tj. był większy o 1 375 571,66 tys. zł (91%) od zysku osiągniętego w 2023 r. (1 505 771,39 tys. zł). </w:t>
      </w:r>
      <w:r w:rsidRPr="00903B76">
        <w:rPr>
          <w:rFonts w:eastAsia="Lato" w:cs="Lato"/>
          <w:color w:val="000000" w:themeColor="text1"/>
          <w:szCs w:val="20"/>
        </w:rPr>
        <w:t>W latach 2023-2024 liczba zatrudnionych pracowników ogółem utrzymywała się na zbliżonym poziomie (603-617 osób), a wzrost średniego wynagrodzenia w 2024 r. (</w:t>
      </w:r>
      <w:r w:rsidRPr="00903B76">
        <w:rPr>
          <w:rFonts w:eastAsia="Times New Roman" w:cs="Times New Roman"/>
          <w:szCs w:val="20"/>
          <w:lang w:eastAsia="pl-PL"/>
        </w:rPr>
        <w:t>14%</w:t>
      </w:r>
      <w:r w:rsidRPr="00903B76">
        <w:rPr>
          <w:rFonts w:eastAsia="Lato" w:cs="Lato"/>
          <w:color w:val="000000" w:themeColor="text1"/>
          <w:szCs w:val="20"/>
        </w:rPr>
        <w:t xml:space="preserve">) </w:t>
      </w:r>
      <w:r w:rsidRPr="00903B76">
        <w:rPr>
          <w:rFonts w:eastAsia="Times New Roman" w:cs="Times New Roman"/>
          <w:bCs/>
          <w:szCs w:val="20"/>
          <w:lang w:eastAsia="pl-PL"/>
        </w:rPr>
        <w:t>odpowiadał poziomowi wzrostu przeciętnego wynagrodzenia w gospodarce narodowej (14,3%)</w:t>
      </w:r>
      <w:r w:rsidRPr="00903B76">
        <w:rPr>
          <w:rFonts w:eastAsia="Times New Roman" w:cs="Times New Roman"/>
          <w:color w:val="000000" w:themeColor="text1"/>
          <w:szCs w:val="20"/>
          <w:lang w:eastAsia="pl-PL"/>
        </w:rPr>
        <w:t xml:space="preserve">. </w:t>
      </w:r>
      <w:r w:rsidRPr="00903B76">
        <w:rPr>
          <w:szCs w:val="20"/>
        </w:rPr>
        <w:t>W zakresie zarządzania st</w:t>
      </w:r>
      <w:r w:rsidRPr="00903B76">
        <w:rPr>
          <w:rFonts w:eastAsia="Lato" w:cs="Lato"/>
          <w:szCs w:val="20"/>
        </w:rPr>
        <w:t>wierdzono jednak nieprawidłowości dotyczące zatrudnienia, zapewnienia audytu wewnętrznego oraz prowadzenia inwentaryzac</w:t>
      </w:r>
      <w:r w:rsidRPr="00903B76">
        <w:rPr>
          <w:rFonts w:eastAsia="Segoe UI" w:cs="Segoe UI"/>
          <w:szCs w:val="20"/>
        </w:rPr>
        <w:t>ji.</w:t>
      </w:r>
    </w:p>
    <w:p w14:paraId="50766AA3" w14:textId="77777777" w:rsidR="00934ADF" w:rsidRPr="00903B76" w:rsidRDefault="00934ADF" w:rsidP="001C0D8D">
      <w:pPr>
        <w:spacing w:after="120" w:line="240" w:lineRule="auto"/>
        <w:rPr>
          <w:szCs w:val="20"/>
        </w:rPr>
      </w:pPr>
      <w:r w:rsidRPr="00903B76">
        <w:rPr>
          <w:szCs w:val="20"/>
        </w:rPr>
        <w:t>Najpoważniejszą nieprawidłowością było</w:t>
      </w:r>
      <w:r w:rsidRPr="00903B76">
        <w:rPr>
          <w:rFonts w:eastAsia="Lato" w:cs="Lato"/>
          <w:szCs w:val="20"/>
        </w:rPr>
        <w:t xml:space="preserve"> zatrudnianie w 2024 r. </w:t>
      </w:r>
      <w:r w:rsidRPr="00903B76">
        <w:rPr>
          <w:szCs w:val="20"/>
        </w:rPr>
        <w:t>niezgodnie z Regulaminem organizacyjnym</w:t>
      </w:r>
      <w:r>
        <w:rPr>
          <w:rStyle w:val="Odwoanieprzypisudolnego"/>
          <w:szCs w:val="20"/>
        </w:rPr>
        <w:footnoteReference w:id="10"/>
      </w:r>
      <w:r w:rsidRPr="00903B76">
        <w:rPr>
          <w:rFonts w:eastAsia="Lato" w:cs="Lato"/>
          <w:szCs w:val="20"/>
        </w:rPr>
        <w:t xml:space="preserve"> dwóch osób na jednym stanowisku zastępcy dyrektora przez okres 41 dni</w:t>
      </w:r>
      <w:r w:rsidRPr="00903B76">
        <w:rPr>
          <w:rStyle w:val="Odwoaniedokomentarza"/>
          <w:sz w:val="20"/>
          <w:szCs w:val="20"/>
        </w:rPr>
        <w:t>.</w:t>
      </w:r>
      <w:r w:rsidRPr="00903B76">
        <w:rPr>
          <w:szCs w:val="20"/>
        </w:rPr>
        <w:t xml:space="preserve"> Skutkowało to niegospodarnymi wydatkami na wynagrodzenie na tym stanowisku w kwocie 26.701,86 zł brutto. Taka sytuacja miała miejsce, ponieważ w okresie płatnego urlopu ówczesnego zastępcy dyrektora, na jego stanowisko została zatrudniona kolejna osoba.</w:t>
      </w:r>
    </w:p>
    <w:p w14:paraId="69E5DC15" w14:textId="77777777" w:rsidR="00934ADF" w:rsidRPr="00903B76" w:rsidRDefault="00934ADF" w:rsidP="000031D0">
      <w:pPr>
        <w:spacing w:before="120" w:line="240" w:lineRule="auto"/>
        <w:rPr>
          <w:szCs w:val="20"/>
        </w:rPr>
      </w:pPr>
      <w:r w:rsidRPr="00903B76">
        <w:rPr>
          <w:szCs w:val="20"/>
        </w:rPr>
        <w:t>Wynagrodzenia kierownictwa Zarządu</w:t>
      </w:r>
      <w:r>
        <w:rPr>
          <w:rStyle w:val="Odwoanieprzypisudolnego"/>
          <w:szCs w:val="20"/>
        </w:rPr>
        <w:footnoteReference w:id="11"/>
      </w:r>
      <w:r w:rsidRPr="00903B76">
        <w:rPr>
          <w:szCs w:val="20"/>
        </w:rPr>
        <w:t xml:space="preserve"> BULiGL ustalono zgodnie z przepisami ustawy o przedsiębiorstwach państwowych oraz ustawy o wynagradzaniu osób kierujących niektórymi podmiotami prawnymi</w:t>
      </w:r>
      <w:r>
        <w:rPr>
          <w:rStyle w:val="Odwoanieprzypisudolnego"/>
          <w:szCs w:val="20"/>
        </w:rPr>
        <w:footnoteReference w:id="12"/>
      </w:r>
      <w:r w:rsidRPr="00903B76">
        <w:rPr>
          <w:szCs w:val="20"/>
        </w:rPr>
        <w:t>, a wynagrodzenia kierownictwa Oddziałów – zgodnie z </w:t>
      </w:r>
      <w:r w:rsidRPr="00903B76">
        <w:rPr>
          <w:i/>
          <w:iCs/>
          <w:szCs w:val="20"/>
        </w:rPr>
        <w:t>Zasadami wynagradzania osób zarządzających zakładami pacy w BULiGL</w:t>
      </w:r>
      <w:r>
        <w:rPr>
          <w:vertAlign w:val="superscript"/>
        </w:rPr>
        <w:footnoteReference w:id="13"/>
      </w:r>
      <w:r w:rsidRPr="00903B76">
        <w:rPr>
          <w:szCs w:val="20"/>
        </w:rPr>
        <w:t xml:space="preserve">. </w:t>
      </w:r>
    </w:p>
    <w:p w14:paraId="32390EE9" w14:textId="77777777" w:rsidR="00934ADF" w:rsidRPr="00903B76" w:rsidRDefault="00934ADF" w:rsidP="001C0D8D">
      <w:pPr>
        <w:spacing w:after="120" w:line="240" w:lineRule="auto"/>
        <w:rPr>
          <w:kern w:val="2"/>
          <w:szCs w:val="20"/>
          <w14:ligatures w14:val="standardContextual"/>
        </w:rPr>
      </w:pPr>
      <w:r w:rsidRPr="00903B76">
        <w:rPr>
          <w:rFonts w:eastAsia="Times New Roman" w:cs="Times New Roman"/>
          <w:color w:val="000000" w:themeColor="text1"/>
          <w:szCs w:val="20"/>
          <w:lang w:eastAsia="pl-PL"/>
        </w:rPr>
        <w:t>Regulacje pracownicze wdrożono w BULiGL zgodnie z wymogami Kodeksu pracy</w:t>
      </w:r>
      <w:r>
        <w:rPr>
          <w:rStyle w:val="Odwoanieprzypisudolnego"/>
          <w:color w:val="000000" w:themeColor="text1"/>
          <w:szCs w:val="20"/>
        </w:rPr>
        <w:footnoteReference w:id="14"/>
      </w:r>
      <w:r w:rsidRPr="00903B76">
        <w:rPr>
          <w:rFonts w:eastAsia="Times New Roman" w:cs="Times New Roman"/>
          <w:color w:val="000000" w:themeColor="text1"/>
          <w:szCs w:val="20"/>
          <w:lang w:eastAsia="pl-PL"/>
        </w:rPr>
        <w:t>, poprzez wprowadzenie zasad wynagradzania, premiowania oraz pracy zdalnej. Uregulowano również proces rekrutacji, jednakże nie zapewniono w nim otwartego dostępu do</w:t>
      </w:r>
      <w:r w:rsidRPr="00903B76">
        <w:rPr>
          <w:szCs w:val="20"/>
        </w:rPr>
        <w:t xml:space="preserve"> ogłoszeń o wolnych stanowiskach pracy; w szczególności </w:t>
      </w:r>
      <w:r w:rsidRPr="00903B76">
        <w:rPr>
          <w:rFonts w:eastAsia="Times New Roman" w:cs="Times New Roman"/>
          <w:szCs w:val="20"/>
          <w:lang w:eastAsia="pl-PL"/>
        </w:rPr>
        <w:t>Zarząd nie publikował takich ogłoszeń na </w:t>
      </w:r>
      <w:r w:rsidRPr="00903B76">
        <w:rPr>
          <w:kern w:val="2"/>
          <w:szCs w:val="20"/>
          <w14:ligatures w14:val="standardContextual"/>
        </w:rPr>
        <w:t>stronach internetowych.</w:t>
      </w:r>
    </w:p>
    <w:p w14:paraId="51FDCF18" w14:textId="77777777" w:rsidR="00934ADF" w:rsidRPr="00903B76" w:rsidRDefault="00934ADF" w:rsidP="006A2C7D">
      <w:pPr>
        <w:pStyle w:val="Akapitzlist"/>
        <w:tabs>
          <w:tab w:val="left" w:pos="709"/>
        </w:tabs>
        <w:spacing w:before="120" w:after="120" w:line="240" w:lineRule="auto"/>
        <w:ind w:left="0"/>
        <w:contextualSpacing w:val="0"/>
        <w:jc w:val="both"/>
        <w:rPr>
          <w:rFonts w:ascii="Lato" w:hAnsi="Lato"/>
          <w:sz w:val="20"/>
          <w:szCs w:val="20"/>
        </w:rPr>
      </w:pPr>
      <w:r w:rsidRPr="00903B76">
        <w:rPr>
          <w:rFonts w:ascii="Lato" w:hAnsi="Lato"/>
          <w:sz w:val="20"/>
          <w:szCs w:val="20"/>
        </w:rPr>
        <w:t xml:space="preserve">Funkcja audytu wewnętrznego nie była wykorzystywana jako narzędzie wspierające zarządzanie Przedsiębiorstwem. Pomimo obowiązywania procedury </w:t>
      </w:r>
      <w:r w:rsidRPr="00903B76">
        <w:rPr>
          <w:rFonts w:ascii="Lato" w:hAnsi="Lato"/>
          <w:i/>
          <w:iCs/>
          <w:sz w:val="20"/>
          <w:szCs w:val="20"/>
        </w:rPr>
        <w:t>PZSZ-9.2 - Audyt wewnętrzny</w:t>
      </w:r>
      <w:r w:rsidRPr="00903B76">
        <w:rPr>
          <w:rFonts w:ascii="Lato" w:hAnsi="Lato"/>
          <w:sz w:val="20"/>
          <w:szCs w:val="20"/>
        </w:rPr>
        <w:t xml:space="preserve"> i zatwierdzania programów audytów, w praktyce ich nie realizowano. Przestrzegano natomiast regulacji wewnętrznych dot. prowadzenia kontroli wewnętrznych, m.in. w zakresie kontroli wykonania prac urządzeniowych, siedliskowych, geodezyjnych, ochrony danych osobowych, systemów informatycznych oraz działań w pionie głównego księgowego.</w:t>
      </w:r>
    </w:p>
    <w:p w14:paraId="10FEAC61" w14:textId="77777777" w:rsidR="00934ADF" w:rsidRPr="00903B76" w:rsidRDefault="00934ADF" w:rsidP="15C98C53">
      <w:pPr>
        <w:spacing w:after="0" w:line="240" w:lineRule="auto"/>
        <w:rPr>
          <w:szCs w:val="20"/>
        </w:rPr>
      </w:pPr>
      <w:r w:rsidRPr="00903B76">
        <w:rPr>
          <w:szCs w:val="20"/>
        </w:rPr>
        <w:t>W stosunku do inwentaryzacji prowadzonej w okresie objętym kontrolą stwierdzono, że:</w:t>
      </w:r>
    </w:p>
    <w:p w14:paraId="1527C4DB" w14:textId="77777777" w:rsidR="00934ADF" w:rsidRPr="00903B76" w:rsidRDefault="00934ADF" w:rsidP="00B56D48">
      <w:pPr>
        <w:pStyle w:val="Akapitzlist"/>
        <w:numPr>
          <w:ilvl w:val="0"/>
          <w:numId w:val="19"/>
        </w:numPr>
        <w:spacing w:after="0" w:line="240" w:lineRule="auto"/>
        <w:ind w:left="284" w:hanging="284"/>
        <w:jc w:val="both"/>
        <w:rPr>
          <w:rFonts w:ascii="Lato" w:eastAsia="Times New Roman" w:hAnsi="Lato" w:cs="Times New Roman"/>
          <w:color w:val="000000" w:themeColor="text1"/>
          <w:sz w:val="20"/>
          <w:szCs w:val="20"/>
          <w:lang w:eastAsia="pl-PL"/>
        </w:rPr>
      </w:pPr>
      <w:r w:rsidRPr="00903B76">
        <w:rPr>
          <w:rFonts w:ascii="Lato" w:eastAsia="Times New Roman" w:hAnsi="Lato" w:cs="Times New Roman"/>
          <w:sz w:val="20"/>
          <w:szCs w:val="20"/>
          <w:lang w:eastAsia="pl-PL"/>
        </w:rPr>
        <w:t xml:space="preserve">sprawozdania ze spisu z natury nie zawierały informacji o istnieniu </w:t>
      </w:r>
      <w:r w:rsidRPr="00903B76">
        <w:rPr>
          <w:rFonts w:ascii="Lato" w:eastAsia="Times New Roman" w:hAnsi="Lato" w:cs="Times New Roman"/>
          <w:color w:val="000000" w:themeColor="text1"/>
          <w:sz w:val="20"/>
          <w:szCs w:val="20"/>
          <w:lang w:eastAsia="pl-PL"/>
        </w:rPr>
        <w:t>bądź braku różnic inwentaryzacyjnych, mimo że art. 27 ust. 1 ustawy o rachunkowości</w:t>
      </w:r>
      <w:r>
        <w:rPr>
          <w:rStyle w:val="Odwoanieprzypisudolnego"/>
          <w:rFonts w:ascii="Lato" w:eastAsia="Times New Roman" w:hAnsi="Lato" w:cs="Times New Roman"/>
          <w:color w:val="000000" w:themeColor="text1"/>
          <w:sz w:val="20"/>
          <w:szCs w:val="20"/>
          <w:lang w:eastAsia="pl-PL"/>
        </w:rPr>
        <w:footnoteReference w:id="15"/>
      </w:r>
      <w:r w:rsidRPr="00903B76">
        <w:rPr>
          <w:rFonts w:ascii="Lato" w:eastAsia="Times New Roman" w:hAnsi="Lato" w:cs="Times New Roman"/>
          <w:color w:val="000000" w:themeColor="text1"/>
          <w:sz w:val="20"/>
          <w:szCs w:val="20"/>
          <w:lang w:eastAsia="pl-PL"/>
        </w:rPr>
        <w:t xml:space="preserve"> wymaga odpowiedniego dokumentowania wyników inwentaryzacji;</w:t>
      </w:r>
    </w:p>
    <w:p w14:paraId="31B7C134" w14:textId="77777777" w:rsidR="00934ADF" w:rsidRPr="00903B76" w:rsidRDefault="00934ADF" w:rsidP="006A2C7D">
      <w:pPr>
        <w:pStyle w:val="Akapitzlist"/>
        <w:numPr>
          <w:ilvl w:val="0"/>
          <w:numId w:val="19"/>
        </w:numPr>
        <w:spacing w:after="120" w:line="240" w:lineRule="auto"/>
        <w:ind w:left="284" w:hanging="284"/>
        <w:contextualSpacing w:val="0"/>
        <w:jc w:val="both"/>
        <w:rPr>
          <w:rFonts w:ascii="Lato" w:eastAsia="Times New Roman" w:hAnsi="Lato" w:cs="Times New Roman"/>
          <w:color w:val="000000" w:themeColor="text1"/>
          <w:sz w:val="20"/>
          <w:szCs w:val="20"/>
          <w:lang w:eastAsia="pl-PL"/>
        </w:rPr>
      </w:pPr>
      <w:r w:rsidRPr="00903B76">
        <w:rPr>
          <w:rFonts w:ascii="Lato" w:eastAsia="Segoe UI" w:hAnsi="Lato" w:cs="Segoe UI"/>
          <w:color w:val="000000" w:themeColor="text1"/>
          <w:sz w:val="20"/>
          <w:szCs w:val="20"/>
        </w:rPr>
        <w:lastRenderedPageBreak/>
        <w:t xml:space="preserve">na </w:t>
      </w:r>
      <w:r w:rsidRPr="00903B76">
        <w:rPr>
          <w:rFonts w:ascii="Lato" w:eastAsia="Lato" w:hAnsi="Lato" w:cs="Lato"/>
          <w:color w:val="000000" w:themeColor="text1"/>
          <w:sz w:val="20"/>
          <w:szCs w:val="20"/>
        </w:rPr>
        <w:t>przewodniczącego</w:t>
      </w:r>
      <w:r w:rsidRPr="00903B76">
        <w:rPr>
          <w:rFonts w:ascii="Lato" w:eastAsia="Segoe UI" w:hAnsi="Lato" w:cs="Segoe UI"/>
          <w:color w:val="000000" w:themeColor="text1"/>
          <w:sz w:val="20"/>
          <w:szCs w:val="20"/>
        </w:rPr>
        <w:t xml:space="preserve"> </w:t>
      </w:r>
      <w:r w:rsidRPr="00903B76">
        <w:rPr>
          <w:rFonts w:ascii="Lato" w:eastAsia="Lato" w:hAnsi="Lato" w:cs="Lato"/>
          <w:color w:val="000000" w:themeColor="text1"/>
          <w:sz w:val="20"/>
          <w:szCs w:val="20"/>
        </w:rPr>
        <w:t>komisji inwentaryzacyjnej wyznaczono osobę niepełniącą funkcji kierowniczej, co było niezgodne z pkt II.2 Zasad inwentaryzacji</w:t>
      </w:r>
      <w:r>
        <w:rPr>
          <w:rStyle w:val="Odwoanieprzypisudolnego"/>
          <w:rFonts w:ascii="Lato" w:hAnsi="Lato" w:cs="Times New Roman"/>
          <w:color w:val="000000" w:themeColor="text1"/>
          <w:sz w:val="20"/>
          <w:szCs w:val="20"/>
        </w:rPr>
        <w:footnoteReference w:id="16"/>
      </w:r>
      <w:r w:rsidRPr="00903B76">
        <w:rPr>
          <w:rFonts w:ascii="Lato" w:eastAsia="Lato" w:hAnsi="Lato" w:cs="Lato"/>
          <w:color w:val="000000" w:themeColor="text1"/>
          <w:sz w:val="20"/>
          <w:szCs w:val="20"/>
        </w:rPr>
        <w:t>.</w:t>
      </w:r>
    </w:p>
    <w:p w14:paraId="717BB1D8" w14:textId="77777777" w:rsidR="00934ADF" w:rsidRPr="00903B76" w:rsidRDefault="00934ADF" w:rsidP="003E033E">
      <w:pPr>
        <w:spacing w:after="240" w:line="240" w:lineRule="auto"/>
        <w:rPr>
          <w:rFonts w:eastAsia="Times New Roman" w:cs="Times New Roman"/>
          <w:szCs w:val="20"/>
          <w:lang w:eastAsia="pl-PL"/>
        </w:rPr>
      </w:pPr>
      <w:r w:rsidRPr="00903B76">
        <w:rPr>
          <w:szCs w:val="20"/>
        </w:rPr>
        <w:t xml:space="preserve">W prowadzeniu ewidencji majątkowej Przedsiębiorstwa nie stwierdzono nieprawidłowości. </w:t>
      </w:r>
      <w:r w:rsidRPr="00903B76">
        <w:rPr>
          <w:rFonts w:eastAsia="Times New Roman" w:cs="Times New Roman"/>
          <w:szCs w:val="20"/>
          <w:lang w:eastAsia="pl-PL"/>
        </w:rPr>
        <w:t>Zastrzeżenia budzi jednak przechowywanie w siedzibie Zarządu licznych składników majątkowych, które nie stanowiły własności Biura, w szczególności prywatnych trofeów myśliwskich. Eksponowanie w przedsiębiorstwie publicznym tego rodzaju okazów nie ma związku z działalnością BULiGL oraz może wpływać negatywnie na odbiór społeczny jednostki, w szczególności biorąc pod uwagę fakt, że jedno z trofeów stanowił głuszec, który objęty jest ścisłą ochroną na terenie Rzeczypospolitej Polskiej. Wspomniana okoliczność, jako kontrowersyjna, została zgłoszona do Ministerstwa Klimatu i Środowiska.</w:t>
      </w:r>
    </w:p>
    <w:p w14:paraId="31629006" w14:textId="77777777" w:rsidR="00934ADF" w:rsidRPr="00903B76" w:rsidRDefault="00934ADF" w:rsidP="007117EB">
      <w:pPr>
        <w:spacing w:before="120" w:after="120" w:line="240" w:lineRule="auto"/>
        <w:rPr>
          <w:b/>
          <w:bCs/>
        </w:rPr>
      </w:pPr>
      <w:r w:rsidRPr="00903B76">
        <w:rPr>
          <w:b/>
          <w:bCs/>
        </w:rPr>
        <w:t>OCENY I USTALENIA SZCZEGÓŁOWE</w:t>
      </w:r>
    </w:p>
    <w:p w14:paraId="2D3C0707" w14:textId="77777777" w:rsidR="00934ADF" w:rsidRPr="00903B76" w:rsidRDefault="00934ADF" w:rsidP="008C78B0">
      <w:pPr>
        <w:spacing w:after="120" w:line="240" w:lineRule="auto"/>
        <w:rPr>
          <w:b/>
          <w:bCs/>
          <w:szCs w:val="20"/>
          <w:u w:val="single"/>
        </w:rPr>
      </w:pPr>
      <w:r w:rsidRPr="00903B76">
        <w:rPr>
          <w:b/>
          <w:bCs/>
          <w:szCs w:val="20"/>
          <w:u w:val="single"/>
        </w:rPr>
        <w:t>Polityka kadrowa</w:t>
      </w:r>
    </w:p>
    <w:p w14:paraId="72E67101" w14:textId="77777777" w:rsidR="00934ADF" w:rsidRPr="00903B76" w:rsidRDefault="00934ADF" w:rsidP="000D73BE">
      <w:pPr>
        <w:pStyle w:val="Akapitzlist"/>
        <w:numPr>
          <w:ilvl w:val="0"/>
          <w:numId w:val="13"/>
        </w:numPr>
        <w:tabs>
          <w:tab w:val="left" w:pos="709"/>
        </w:tabs>
        <w:spacing w:after="120" w:line="240" w:lineRule="auto"/>
        <w:ind w:left="0" w:firstLine="0"/>
        <w:contextualSpacing w:val="0"/>
        <w:jc w:val="both"/>
        <w:rPr>
          <w:rFonts w:ascii="Lato" w:hAnsi="Lato"/>
          <w:sz w:val="20"/>
          <w:szCs w:val="20"/>
        </w:rPr>
      </w:pPr>
      <w:r w:rsidRPr="00903B76">
        <w:rPr>
          <w:rFonts w:ascii="Lato" w:hAnsi="Lato"/>
          <w:b/>
          <w:bCs/>
          <w:sz w:val="20"/>
          <w:szCs w:val="20"/>
        </w:rPr>
        <w:t xml:space="preserve">[Nieprawidłowe zatrudnienie zastępcy dyrektora] </w:t>
      </w:r>
      <w:r w:rsidRPr="00903B76">
        <w:rPr>
          <w:rFonts w:ascii="Lato" w:hAnsi="Lato"/>
          <w:sz w:val="20"/>
          <w:szCs w:val="20"/>
        </w:rPr>
        <w:t xml:space="preserve">Dyrektor BULiGL nieprawidłowo zatrudnił 1 marca 2024 r. nowego pracownika na stanowisku zastępcy dyrektora, pomimo że stanowisko to pozostawało do 10 kwietnia 2024 r. obsadzone przez inną osobę, pozostającą w tym czasie na urlopie wypoczynkowym. </w:t>
      </w:r>
      <w:r w:rsidRPr="00903B76">
        <w:rPr>
          <w:rFonts w:ascii="Lato" w:eastAsia="Segoe UI" w:hAnsi="Lato" w:cs="Segoe UI"/>
          <w:sz w:val="20"/>
          <w:szCs w:val="20"/>
        </w:rPr>
        <w:t>W</w:t>
      </w:r>
      <w:r w:rsidRPr="00903B76">
        <w:rPr>
          <w:rFonts w:ascii="Lato" w:eastAsia="Lato" w:hAnsi="Lato" w:cs="Lato"/>
          <w:sz w:val="20"/>
          <w:szCs w:val="20"/>
        </w:rPr>
        <w:t> konsekwencji przez 41 dni jedno stanowisko było obsadzone przez dwie osoby jednocześnie, co skutkowało dodatkowymi niegospodarnymi kosztami na wynagrodzenie w wysokości 26 701,86 zł brutto</w:t>
      </w:r>
      <w:r>
        <w:rPr>
          <w:rStyle w:val="Odwoanieprzypisudolnego"/>
          <w:rFonts w:ascii="Lato" w:eastAsia="Lato" w:hAnsi="Lato" w:cs="Lato"/>
          <w:sz w:val="20"/>
          <w:szCs w:val="20"/>
        </w:rPr>
        <w:footnoteReference w:id="17"/>
      </w:r>
      <w:r w:rsidRPr="00903B76">
        <w:rPr>
          <w:rFonts w:ascii="Lato" w:eastAsia="Segoe UI" w:hAnsi="Lato" w:cs="Segoe UI"/>
          <w:sz w:val="20"/>
          <w:szCs w:val="20"/>
        </w:rPr>
        <w:t>.</w:t>
      </w:r>
      <w:r w:rsidRPr="00903B76">
        <w:rPr>
          <w:rFonts w:ascii="Lato" w:hAnsi="Lato"/>
          <w:sz w:val="20"/>
          <w:szCs w:val="20"/>
        </w:rPr>
        <w:t xml:space="preserve"> Zatrudnienie dwóch osób na jednym stanowisku było działaniem niezgodnym z Regulaminem organizacyjnym, bowiem struktura organizacyjna Przedsiębiorstwa przewidywała tylko jedno stanowisko zastępcy dyrektora.</w:t>
      </w:r>
    </w:p>
    <w:p w14:paraId="0D8A2EEC" w14:textId="77777777" w:rsidR="00934ADF" w:rsidRPr="00903B76" w:rsidRDefault="00934ADF" w:rsidP="0090452F">
      <w:pPr>
        <w:pStyle w:val="Akapitzlist"/>
        <w:tabs>
          <w:tab w:val="left" w:pos="709"/>
        </w:tabs>
        <w:spacing w:before="120" w:after="120" w:line="240" w:lineRule="auto"/>
        <w:ind w:left="567" w:right="567"/>
        <w:contextualSpacing w:val="0"/>
        <w:jc w:val="both"/>
        <w:rPr>
          <w:rFonts w:ascii="Lato" w:hAnsi="Lato"/>
          <w:sz w:val="16"/>
          <w:szCs w:val="16"/>
        </w:rPr>
      </w:pPr>
      <w:r w:rsidRPr="00903B76">
        <w:rPr>
          <w:rFonts w:ascii="Lato" w:hAnsi="Lato"/>
          <w:sz w:val="16"/>
          <w:szCs w:val="16"/>
        </w:rPr>
        <w:t>Wewnętrzna struktura organizacyjna BULiGL została określona w Regulaminie organizacyjnym</w:t>
      </w:r>
      <w:r>
        <w:rPr>
          <w:rStyle w:val="Odwoanieprzypisudolnego"/>
          <w:rFonts w:ascii="Lato" w:hAnsi="Lato"/>
          <w:sz w:val="16"/>
          <w:szCs w:val="16"/>
        </w:rPr>
        <w:footnoteReference w:id="18"/>
      </w:r>
      <w:r w:rsidRPr="00903B76">
        <w:rPr>
          <w:rFonts w:ascii="Lato" w:hAnsi="Lato"/>
          <w:sz w:val="16"/>
          <w:szCs w:val="16"/>
        </w:rPr>
        <w:t xml:space="preserve"> i Schemacie organizacyjnym, które przewidywały tylko jedno stanowisko zastępcy dyrektora.</w:t>
      </w:r>
    </w:p>
    <w:p w14:paraId="0936DB72" w14:textId="77777777" w:rsidR="00934ADF" w:rsidRPr="00903B76" w:rsidRDefault="00934ADF" w:rsidP="0090452F">
      <w:pPr>
        <w:spacing w:after="120" w:line="240" w:lineRule="auto"/>
        <w:ind w:left="567" w:right="567"/>
        <w:rPr>
          <w:sz w:val="16"/>
          <w:szCs w:val="16"/>
        </w:rPr>
      </w:pPr>
      <w:r w:rsidRPr="00903B76">
        <w:rPr>
          <w:sz w:val="16"/>
          <w:szCs w:val="16"/>
        </w:rPr>
        <w:t>Zatrudnienie drugiej osoby na stanowisku zastępcy dyrektora nastąpiło w okresie, gdy ówczesny zastępca dyrektora przebywał na urlopie wypoczynkowym.</w:t>
      </w:r>
      <w:r w:rsidRPr="00903B76">
        <w:rPr>
          <w:rFonts w:eastAsia="Segoe UI" w:cs="Segoe UI"/>
          <w:sz w:val="16"/>
          <w:szCs w:val="16"/>
        </w:rPr>
        <w:t xml:space="preserve"> Wspomniany pracownik korzystał z urlopu wypoczynkowego przed rozpoczęciem urlopu bezpłatnego, na który miał się udać </w:t>
      </w:r>
      <w:r w:rsidRPr="00903B76">
        <w:rPr>
          <w:sz w:val="16"/>
          <w:szCs w:val="16"/>
        </w:rPr>
        <w:t xml:space="preserve">w związku z powołaniem na stanowisko kierownika innej jednostki. </w:t>
      </w:r>
      <w:r w:rsidRPr="00903B76">
        <w:rPr>
          <w:rFonts w:eastAsia="Lato" w:cs="Lato"/>
          <w:sz w:val="16"/>
          <w:szCs w:val="16"/>
        </w:rPr>
        <w:t xml:space="preserve">Dyrektor BULiGL wyraził zastępcy dyrektora zgodę na urlop wypoczynkowy </w:t>
      </w:r>
      <w:r w:rsidRPr="00903B76">
        <w:rPr>
          <w:sz w:val="16"/>
          <w:szCs w:val="16"/>
        </w:rPr>
        <w:t>(od 13 lutego do 10 kwietnia 2024 r.)</w:t>
      </w:r>
      <w:r w:rsidRPr="00903B76">
        <w:rPr>
          <w:rFonts w:eastAsia="Lato" w:cs="Lato"/>
          <w:sz w:val="16"/>
          <w:szCs w:val="16"/>
        </w:rPr>
        <w:t xml:space="preserve">, a następnie na urlop bezpłatny (od 11 kwietnia 2024 r. do 28 lutego 2026 r.). Niezależnie od tego, już 1 marca 2024 r. Dyrektor powołał nową osobę na stanowisko zastępcy dyrektora, co doprowadziło do równoczesnego zatrudniania i wynagradzania dwóch osób na jednym stanowisku </w:t>
      </w:r>
      <w:r w:rsidRPr="00903B76">
        <w:rPr>
          <w:sz w:val="16"/>
          <w:szCs w:val="16"/>
        </w:rPr>
        <w:t>przez okres 41 dni. W efekcie Przedsiębiorstwo poniosło wydatek związany z wynagrodzeniem kolejnej osoby zatrudnionej na stanowisku zastępcy dyrektora w wysokości 26 701,86 zł brutto.</w:t>
      </w:r>
    </w:p>
    <w:p w14:paraId="188D5160" w14:textId="77777777" w:rsidR="00934ADF" w:rsidRPr="00903B76" w:rsidRDefault="00934ADF" w:rsidP="0090452F">
      <w:pPr>
        <w:spacing w:after="120" w:line="240" w:lineRule="auto"/>
        <w:ind w:left="567" w:right="567"/>
        <w:rPr>
          <w:sz w:val="16"/>
          <w:szCs w:val="16"/>
        </w:rPr>
      </w:pPr>
      <w:r w:rsidRPr="00903B76">
        <w:rPr>
          <w:rFonts w:eastAsia="Lato" w:cs="Lato"/>
          <w:sz w:val="16"/>
          <w:szCs w:val="16"/>
        </w:rPr>
        <w:t>Dyrektor BULiGL podjął decyzję o zatrudnieniu drugiej osoby na stanowisku zastępcy dyrektora w oparciu o opinię prawną, która wskazywała na dopuszczalność takiego działania</w:t>
      </w:r>
      <w:r>
        <w:rPr>
          <w:rStyle w:val="Odwoanieprzypisudolnego"/>
          <w:sz w:val="16"/>
          <w:szCs w:val="16"/>
        </w:rPr>
        <w:footnoteReference w:id="19"/>
      </w:r>
      <w:r w:rsidRPr="00903B76">
        <w:rPr>
          <w:sz w:val="16"/>
          <w:szCs w:val="16"/>
        </w:rPr>
        <w:t xml:space="preserve">. </w:t>
      </w:r>
      <w:r w:rsidRPr="00903B76">
        <w:rPr>
          <w:rFonts w:eastAsia="Lato" w:cs="Lato"/>
          <w:sz w:val="16"/>
          <w:szCs w:val="16"/>
        </w:rPr>
        <w:t xml:space="preserve">W związku z powołaniem nowego pracownika na to stanowisko Dyrektor uzyskał uprzednią zgodę Rady Pracowniczej, stosownie do art. 44 ustawy o przedsiębiorstwach państwowych. </w:t>
      </w:r>
    </w:p>
    <w:p w14:paraId="007782C1" w14:textId="77777777" w:rsidR="00934ADF" w:rsidRPr="00903B76" w:rsidRDefault="00934ADF" w:rsidP="15C98C53">
      <w:pPr>
        <w:spacing w:after="120" w:line="240" w:lineRule="auto"/>
        <w:rPr>
          <w:rFonts w:eastAsia="Lato" w:cs="Lato"/>
          <w:szCs w:val="20"/>
        </w:rPr>
      </w:pPr>
      <w:r w:rsidRPr="00903B76">
        <w:rPr>
          <w:rFonts w:eastAsia="Lato" w:cs="Lato"/>
          <w:szCs w:val="20"/>
        </w:rPr>
        <w:t>Niezależnie od pozyskania opinii prawnej i zgody Rady Pracowniczej na zatrudnienie nowej osoby na obsadzonym stanowisku zastępcy dyrektora, nie można uznać, że działania Dyrektora BULiGL były prawidłowe. Zaznaczyć należy, że opinia prawna ma charakter doradczy i nie zwalnia kierownika jednostki z odpowiedzialności za skutki podjętych decyzji. Podobnie, zgoda Rady Pracowniczej nie stanowi usprawiedliwienia dla naruszenia Regulaminu organizacyjnego i zasad gospodarności.</w:t>
      </w:r>
    </w:p>
    <w:p w14:paraId="03DFE668" w14:textId="77777777" w:rsidR="00934ADF" w:rsidRPr="00903B76" w:rsidRDefault="00934ADF" w:rsidP="008B7640">
      <w:pPr>
        <w:tabs>
          <w:tab w:val="right" w:pos="7369"/>
        </w:tabs>
        <w:spacing w:after="120" w:line="240" w:lineRule="auto"/>
        <w:ind w:left="567" w:right="567"/>
        <w:rPr>
          <w:sz w:val="18"/>
          <w:szCs w:val="18"/>
        </w:rPr>
      </w:pPr>
      <w:r w:rsidRPr="00903B76">
        <w:rPr>
          <w:sz w:val="16"/>
          <w:szCs w:val="16"/>
        </w:rPr>
        <w:t>Dyrektor wskazał</w:t>
      </w:r>
      <w:r>
        <w:rPr>
          <w:rStyle w:val="Odwoanieprzypisudolnego"/>
          <w:sz w:val="16"/>
          <w:szCs w:val="16"/>
        </w:rPr>
        <w:footnoteReference w:id="20"/>
      </w:r>
      <w:r w:rsidRPr="00903B76">
        <w:rPr>
          <w:sz w:val="16"/>
          <w:szCs w:val="16"/>
        </w:rPr>
        <w:t xml:space="preserve">, że decyzja o powołaniu z dniem 1 marca 2024 r. nowego pracownika na stanowisko zastępcy dyrektora była podyktowana koniecznością zapewnienia ciągłości i prawidłowego funkcjonowania Przedsiębiorstwa. Podkreślił również, że spełniona została przesłanka formalna warunkująca prawidłowość tej decyzji (zgoda Rady Pracowniczej). </w:t>
      </w:r>
      <w:r w:rsidRPr="00903B76">
        <w:rPr>
          <w:sz w:val="16"/>
          <w:szCs w:val="16"/>
        </w:rPr>
        <w:lastRenderedPageBreak/>
        <w:t>Poinformował</w:t>
      </w:r>
      <w:r>
        <w:rPr>
          <w:rStyle w:val="Odwoanieprzypisudolnego"/>
          <w:sz w:val="16"/>
          <w:szCs w:val="16"/>
        </w:rPr>
        <w:footnoteReference w:id="21"/>
      </w:r>
      <w:r w:rsidRPr="00903B76">
        <w:rPr>
          <w:sz w:val="16"/>
          <w:szCs w:val="16"/>
        </w:rPr>
        <w:t>, że fakt nieodwołania pierwszego zastępcy ze stanowiska nie miał wpływu na zasadność powołania drugiej osoby, ponieważ w momencie podjęcia decyzji pierwszy zastępca nie wykonywał obowiązków służbowych z uwagi na trwający urlop wypoczynkowy. W opinii Dyrektora nie zachodziła potrzeba wprowadzania zmian w Regulaminie organizacyjnym, a sytuacja ta nie skutkowała wadliwością ani nieważnością nawiązania stosunku pracy z kolejną osobą na stanowisku zastępcą dyrektora, ani też nie naruszała obowiązujących przepisów prawa.</w:t>
      </w:r>
    </w:p>
    <w:p w14:paraId="3F96D16A" w14:textId="77777777" w:rsidR="00934ADF" w:rsidRPr="00903B76" w:rsidRDefault="00934ADF" w:rsidP="00E05AAD">
      <w:pPr>
        <w:spacing w:after="120" w:line="240" w:lineRule="auto"/>
        <w:rPr>
          <w:rFonts w:eastAsia="Lato" w:cs="Lato"/>
          <w:szCs w:val="20"/>
        </w:rPr>
      </w:pPr>
      <w:r w:rsidRPr="00903B76">
        <w:t>Nie można zgodzić się ze stanowiskiem Dyrektora BULiGL. Kierownik jednostki odpowiada za zapewnienie ciągłości jej działania z uwzględnieniem okresów urlopów przysługujących zatrudnionym w Przedsiębiorstwie pracownikom.</w:t>
      </w:r>
      <w:r w:rsidRPr="00903B76">
        <w:rPr>
          <w:szCs w:val="20"/>
        </w:rPr>
        <w:t xml:space="preserve"> </w:t>
      </w:r>
      <w:r w:rsidRPr="00903B76">
        <w:t xml:space="preserve">Urlop wypoczynkowy jest okresowym zwolnieniem pracownika </w:t>
      </w:r>
      <w:r w:rsidRPr="00903B76">
        <w:rPr>
          <w:szCs w:val="20"/>
        </w:rPr>
        <w:t>z </w:t>
      </w:r>
      <w:r w:rsidRPr="00903B76">
        <w:t>obowiązku świadczenia pracy z zachowaniem prawa do wynagrodzenia.</w:t>
      </w:r>
      <w:r w:rsidRPr="00903B76">
        <w:rPr>
          <w:szCs w:val="20"/>
        </w:rPr>
        <w:t xml:space="preserve"> </w:t>
      </w:r>
      <w:r w:rsidRPr="00903B76">
        <w:t>Nie powoduje zawieszenia praw i obowiązków stron stosunku pracy (jak dzieje się w przypadku urlopu bezpłatnego)</w:t>
      </w:r>
      <w:r>
        <w:rPr>
          <w:rStyle w:val="Odwoanieprzypisudolnego"/>
        </w:rPr>
        <w:footnoteReference w:id="22"/>
      </w:r>
      <w:r w:rsidRPr="00903B76">
        <w:rPr>
          <w:szCs w:val="20"/>
        </w:rPr>
        <w:t>.</w:t>
      </w:r>
      <w:r w:rsidRPr="00903B76">
        <w:t xml:space="preserve"> Dyrektor powinien działać zgodnie z Regulaminem organizacyjnym, a powołanie </w:t>
      </w:r>
      <w:r w:rsidRPr="00903B76">
        <w:rPr>
          <w:rFonts w:eastAsia="Lato" w:cs="Lato"/>
          <w:szCs w:val="20"/>
        </w:rPr>
        <w:t>drugiej osoby na to samo stanowisko naruszało jego postanowienia. Działanie takie spowodowało konieczność wypłacenia wynagrodzenia dwóm osobom za pełnienie tej samej funkcji w tym samym okresie, czego nie można uznać za działanie gospodarne.</w:t>
      </w:r>
    </w:p>
    <w:p w14:paraId="17ECA63C" w14:textId="77777777" w:rsidR="00934ADF" w:rsidRPr="00903B76" w:rsidRDefault="00934ADF" w:rsidP="00461D48">
      <w:pPr>
        <w:pStyle w:val="Akapitzlist"/>
        <w:numPr>
          <w:ilvl w:val="0"/>
          <w:numId w:val="13"/>
        </w:numPr>
        <w:tabs>
          <w:tab w:val="left" w:pos="709"/>
        </w:tabs>
        <w:spacing w:after="120" w:line="240" w:lineRule="auto"/>
        <w:ind w:left="0" w:firstLine="0"/>
        <w:contextualSpacing w:val="0"/>
        <w:jc w:val="both"/>
        <w:rPr>
          <w:rFonts w:ascii="Lato" w:eastAsia="Times New Roman" w:hAnsi="Lato" w:cs="Times New Roman"/>
          <w:b/>
          <w:bCs/>
          <w:kern w:val="0"/>
          <w:sz w:val="18"/>
          <w:szCs w:val="18"/>
          <w:lang w:eastAsia="pl-PL"/>
          <w14:ligatures w14:val="none"/>
        </w:rPr>
      </w:pPr>
      <w:r w:rsidRPr="00903B76">
        <w:rPr>
          <w:rFonts w:ascii="Lato" w:eastAsia="Times New Roman" w:hAnsi="Lato" w:cs="Times New Roman"/>
          <w:b/>
          <w:bCs/>
          <w:sz w:val="20"/>
          <w:szCs w:val="20"/>
          <w:lang w:eastAsia="pl-PL"/>
        </w:rPr>
        <w:t xml:space="preserve">[Wynagrodzenia] </w:t>
      </w:r>
      <w:r w:rsidRPr="00903B76">
        <w:rPr>
          <w:rFonts w:ascii="Lato" w:eastAsia="Times New Roman" w:hAnsi="Lato" w:cs="Times New Roman"/>
          <w:kern w:val="0"/>
          <w:sz w:val="20"/>
          <w:szCs w:val="20"/>
          <w:lang w:eastAsia="pl-PL"/>
          <w14:ligatures w14:val="none"/>
        </w:rPr>
        <w:t>W latach 2023–2024 stan zatrudnienia w BULiGL utrzymywał się na zbliżonym poziomie, wynosząc odpowiednio od 603 do 617 osób (wzrost o 2%). W tym samym okresie odnotowano wzrost średniego wynagrodzenia</w:t>
      </w:r>
      <w:r>
        <w:rPr>
          <w:rStyle w:val="Odwoanieprzypisudolnego"/>
          <w:rFonts w:ascii="Lato" w:eastAsia="Times New Roman" w:hAnsi="Lato" w:cs="Times New Roman"/>
          <w:kern w:val="0"/>
          <w:sz w:val="20"/>
          <w:szCs w:val="20"/>
          <w:lang w:eastAsia="pl-PL"/>
          <w14:ligatures w14:val="none"/>
        </w:rPr>
        <w:footnoteReference w:id="23"/>
      </w:r>
      <w:r w:rsidRPr="00903B76">
        <w:rPr>
          <w:rFonts w:ascii="Lato" w:eastAsia="Times New Roman" w:hAnsi="Lato" w:cs="Times New Roman"/>
          <w:kern w:val="0"/>
          <w:sz w:val="20"/>
          <w:szCs w:val="20"/>
          <w:lang w:eastAsia="pl-PL"/>
          <w14:ligatures w14:val="none"/>
        </w:rPr>
        <w:t xml:space="preserve"> o 1 355,14 zł, co stanowiło 14% w stosunku do 2023 r. Poziom wzrostu wynagrodzeń w Przedsiębiorstwie był tożsamy z poziomem wzrostu przeciętnego wynagrodzenia w gospodarce narodowej</w:t>
      </w:r>
      <w:r>
        <w:rPr>
          <w:rStyle w:val="Odwoanieprzypisudolnego"/>
          <w:rFonts w:ascii="Lato" w:eastAsia="Times New Roman" w:hAnsi="Lato" w:cs="Times New Roman"/>
          <w:bCs/>
          <w:kern w:val="0"/>
          <w:sz w:val="20"/>
          <w:szCs w:val="20"/>
          <w:lang w:eastAsia="pl-PL"/>
          <w14:ligatures w14:val="none"/>
        </w:rPr>
        <w:footnoteReference w:id="24"/>
      </w:r>
      <w:r w:rsidRPr="00903B76">
        <w:rPr>
          <w:rFonts w:ascii="Lato" w:eastAsia="Times New Roman" w:hAnsi="Lato" w:cs="Times New Roman"/>
          <w:kern w:val="0"/>
          <w:sz w:val="20"/>
          <w:szCs w:val="20"/>
          <w:lang w:eastAsia="pl-PL"/>
          <w14:ligatures w14:val="none"/>
        </w:rPr>
        <w:t>.</w:t>
      </w:r>
    </w:p>
    <w:p w14:paraId="6CB21466" w14:textId="77777777" w:rsidR="00934ADF" w:rsidRPr="00903B76" w:rsidRDefault="00934ADF" w:rsidP="009358D8">
      <w:pPr>
        <w:pStyle w:val="Akapitzlist"/>
        <w:tabs>
          <w:tab w:val="left" w:pos="709"/>
        </w:tabs>
        <w:spacing w:after="120" w:line="240" w:lineRule="auto"/>
        <w:ind w:left="0"/>
        <w:contextualSpacing w:val="0"/>
        <w:jc w:val="both"/>
        <w:rPr>
          <w:rFonts w:ascii="Lato" w:eastAsia="Times New Roman" w:hAnsi="Lato" w:cs="Times New Roman"/>
          <w:b/>
          <w:bCs/>
          <w:kern w:val="0"/>
          <w:sz w:val="18"/>
          <w:szCs w:val="18"/>
          <w:lang w:eastAsia="pl-PL"/>
          <w14:ligatures w14:val="none"/>
        </w:rPr>
      </w:pPr>
      <w:r w:rsidRPr="00903B76">
        <w:rPr>
          <w:rFonts w:ascii="Lato" w:hAnsi="Lato"/>
          <w:sz w:val="20"/>
          <w:szCs w:val="20"/>
        </w:rPr>
        <w:t>Wysokość wynagrodzenia kierownictwa Zarządu BULiGL określono i wypłacano zgodnie z przepisami ustawy o przedsiębiorstwach państwowych i ustawy o wynagradzaniu osób kierujących niektórymi podmiotami prawnymi</w:t>
      </w:r>
      <w:r>
        <w:rPr>
          <w:rStyle w:val="Odwoanieprzypisudolnego"/>
          <w:rFonts w:ascii="Lato" w:hAnsi="Lato"/>
          <w:sz w:val="20"/>
          <w:szCs w:val="20"/>
        </w:rPr>
        <w:footnoteReference w:id="25"/>
      </w:r>
      <w:r w:rsidRPr="00903B76">
        <w:rPr>
          <w:rFonts w:ascii="Lato" w:hAnsi="Lato"/>
          <w:sz w:val="20"/>
          <w:szCs w:val="20"/>
        </w:rPr>
        <w:t>. Regulacje wewnętrzne dotyczące wynagrodzeń dyrektorów, zastępców oraz głównych księgowych Oddziałów</w:t>
      </w:r>
      <w:r>
        <w:rPr>
          <w:rStyle w:val="Odwoanieprzypisudolnego"/>
          <w:rFonts w:ascii="Lato" w:hAnsi="Lato"/>
          <w:sz w:val="20"/>
          <w:szCs w:val="20"/>
        </w:rPr>
        <w:footnoteReference w:id="26"/>
      </w:r>
      <w:r w:rsidRPr="00903B76">
        <w:rPr>
          <w:rFonts w:ascii="Lato" w:hAnsi="Lato"/>
          <w:sz w:val="20"/>
          <w:szCs w:val="20"/>
        </w:rPr>
        <w:t xml:space="preserve"> przewidywały znaczne rozpiętości w zakresie ustalania wysokości wynagrodzenia zasadniczego (ok. 200% różnicy) oraz dodatku funkcyjnego (ok. 300%). W praktyce różnice w zakresie wynagrodzenia zasadniczego nie były tak wielkie (do 45%, tj. 2.900 zł). W przypadku dodatku funkcyjnego występowała większa rozbieżność (do 100%, tj. 2.100 zł), co wynikało z kryterium wielkości średniej produkcji oraz stanu zatrudnienia w poszczególnych oddziałach.</w:t>
      </w:r>
    </w:p>
    <w:p w14:paraId="06C58DA3" w14:textId="77777777" w:rsidR="00934ADF" w:rsidRPr="00903B76" w:rsidRDefault="00934ADF" w:rsidP="002C3A92">
      <w:pPr>
        <w:pStyle w:val="Akapitzlist"/>
        <w:spacing w:before="120" w:after="120" w:line="240" w:lineRule="auto"/>
        <w:ind w:left="567" w:right="567"/>
        <w:contextualSpacing w:val="0"/>
        <w:jc w:val="both"/>
        <w:rPr>
          <w:rFonts w:ascii="Lato" w:hAnsi="Lato"/>
          <w:sz w:val="16"/>
          <w:szCs w:val="16"/>
        </w:rPr>
      </w:pPr>
      <w:r w:rsidRPr="00903B76">
        <w:rPr>
          <w:rFonts w:ascii="Lato" w:hAnsi="Lato"/>
          <w:sz w:val="16"/>
          <w:szCs w:val="16"/>
        </w:rPr>
        <w:t>W latach 2023-2024</w:t>
      </w:r>
      <w:r>
        <w:rPr>
          <w:rStyle w:val="Odwoanieprzypisudolnego"/>
          <w:rFonts w:ascii="Lato" w:hAnsi="Lato"/>
          <w:sz w:val="16"/>
          <w:szCs w:val="16"/>
        </w:rPr>
        <w:footnoteReference w:id="27"/>
      </w:r>
      <w:r w:rsidRPr="00903B76">
        <w:rPr>
          <w:rFonts w:ascii="Lato" w:hAnsi="Lato"/>
          <w:sz w:val="16"/>
          <w:szCs w:val="16"/>
        </w:rPr>
        <w:t xml:space="preserve"> w BULiGL odpowiednio zatrudnionych było 603 i 617 pracowników. W tym samym okresie na wynagrodzenia osobowe pracowników Biuro wydatkowało kwotę 69 935 263,42 zł (2023 r.) oraz 81 592 413,16 zł (2024 r.), tj. nastąpił wzrost wynagrodzeń ogółem o 11 657 149,74 zł (17%). Wyliczone na podstawie ww. danych średnie miesięczne wynagrodzenie przypadające na pracownika w Biurze w 2023 r. wynosiło 9 664,91 zł, natomiast w 2024 r. – 11 020,05 zł, zatem wzrosło o 1 355,14 zł (14% zł).</w:t>
      </w:r>
    </w:p>
    <w:p w14:paraId="63D74E00" w14:textId="77777777" w:rsidR="00934ADF" w:rsidRPr="00903B76" w:rsidRDefault="00934ADF" w:rsidP="00353769">
      <w:pPr>
        <w:pStyle w:val="Akapitzlist"/>
        <w:tabs>
          <w:tab w:val="left" w:pos="709"/>
        </w:tabs>
        <w:spacing w:after="0" w:line="240" w:lineRule="auto"/>
        <w:ind w:left="567" w:right="567"/>
        <w:contextualSpacing w:val="0"/>
        <w:jc w:val="both"/>
        <w:rPr>
          <w:rFonts w:ascii="Lato" w:hAnsi="Lato"/>
          <w:sz w:val="16"/>
          <w:szCs w:val="16"/>
        </w:rPr>
      </w:pPr>
      <w:r w:rsidRPr="00903B76">
        <w:rPr>
          <w:rFonts w:ascii="Lato" w:hAnsi="Lato"/>
          <w:sz w:val="16"/>
          <w:szCs w:val="16"/>
        </w:rPr>
        <w:t xml:space="preserve">W BULiG wdrożono </w:t>
      </w:r>
      <w:r w:rsidRPr="00903B76">
        <w:rPr>
          <w:rFonts w:ascii="Lato" w:hAnsi="Lato"/>
          <w:i/>
          <w:sz w:val="16"/>
          <w:szCs w:val="16"/>
        </w:rPr>
        <w:t>Zasady wynagradzania osób zarządzających zakładami pracy w Biurze Urządzania Lasu i Geodezji Leśnej</w:t>
      </w:r>
      <w:r>
        <w:rPr>
          <w:rStyle w:val="Odwoanieprzypisudolnego"/>
          <w:rFonts w:ascii="Lato" w:hAnsi="Lato"/>
          <w:sz w:val="16"/>
          <w:szCs w:val="16"/>
        </w:rPr>
        <w:footnoteReference w:id="28"/>
      </w:r>
      <w:r w:rsidRPr="00903B76">
        <w:rPr>
          <w:rFonts w:ascii="Lato" w:hAnsi="Lato"/>
          <w:sz w:val="16"/>
          <w:szCs w:val="16"/>
        </w:rPr>
        <w:t>, zgodnie z którymi wynagrodzenie składało się z:</w:t>
      </w:r>
    </w:p>
    <w:p w14:paraId="55D84125" w14:textId="77777777" w:rsidR="00934ADF" w:rsidRPr="00903B76" w:rsidRDefault="00934ADF" w:rsidP="0036407A">
      <w:pPr>
        <w:pStyle w:val="Akapitzlist"/>
        <w:numPr>
          <w:ilvl w:val="0"/>
          <w:numId w:val="21"/>
        </w:numPr>
        <w:spacing w:after="0" w:line="240" w:lineRule="auto"/>
        <w:ind w:left="851" w:right="567" w:hanging="284"/>
        <w:contextualSpacing w:val="0"/>
        <w:jc w:val="both"/>
        <w:rPr>
          <w:rFonts w:ascii="Lato" w:hAnsi="Lato"/>
          <w:sz w:val="16"/>
          <w:szCs w:val="16"/>
        </w:rPr>
      </w:pPr>
      <w:r w:rsidRPr="00903B76">
        <w:rPr>
          <w:rFonts w:ascii="Lato" w:hAnsi="Lato"/>
          <w:sz w:val="16"/>
          <w:szCs w:val="16"/>
        </w:rPr>
        <w:t>wynagrodzenia zasadniczego, tj. minimalnego wynagrodzenia</w:t>
      </w:r>
      <w:r>
        <w:rPr>
          <w:rStyle w:val="Odwoanieprzypisudolnego"/>
          <w:rFonts w:ascii="Lato" w:hAnsi="Lato"/>
          <w:sz w:val="16"/>
          <w:szCs w:val="16"/>
        </w:rPr>
        <w:footnoteReference w:id="29"/>
      </w:r>
      <w:r w:rsidRPr="00903B76">
        <w:rPr>
          <w:rFonts w:ascii="Lato" w:hAnsi="Lato"/>
          <w:sz w:val="16"/>
          <w:szCs w:val="16"/>
        </w:rPr>
        <w:t>, powiększanego:</w:t>
      </w:r>
    </w:p>
    <w:p w14:paraId="64481EE7" w14:textId="77777777" w:rsidR="00934ADF" w:rsidRPr="00903B76" w:rsidRDefault="00934ADF" w:rsidP="00F16D10">
      <w:pPr>
        <w:pStyle w:val="Akapitzlist"/>
        <w:numPr>
          <w:ilvl w:val="0"/>
          <w:numId w:val="25"/>
        </w:numPr>
        <w:spacing w:after="0" w:line="240" w:lineRule="auto"/>
        <w:ind w:left="1134" w:right="567" w:hanging="295"/>
        <w:contextualSpacing w:val="0"/>
        <w:jc w:val="both"/>
        <w:rPr>
          <w:rFonts w:ascii="Lato" w:hAnsi="Lato"/>
          <w:sz w:val="16"/>
          <w:szCs w:val="16"/>
        </w:rPr>
      </w:pPr>
      <w:r w:rsidRPr="00903B76">
        <w:rPr>
          <w:rFonts w:ascii="Lato" w:hAnsi="Lato"/>
          <w:sz w:val="16"/>
          <w:szCs w:val="16"/>
        </w:rPr>
        <w:t>dla dyrektora - o kwoty od 3 000 zł do 9 450 zł (różnica 215%),</w:t>
      </w:r>
    </w:p>
    <w:p w14:paraId="3DD6646D" w14:textId="77777777" w:rsidR="00934ADF" w:rsidRPr="00903B76" w:rsidRDefault="00934ADF" w:rsidP="00F16D10">
      <w:pPr>
        <w:pStyle w:val="Akapitzlist"/>
        <w:numPr>
          <w:ilvl w:val="0"/>
          <w:numId w:val="25"/>
        </w:numPr>
        <w:spacing w:after="0" w:line="240" w:lineRule="auto"/>
        <w:ind w:left="1134" w:right="567" w:hanging="295"/>
        <w:contextualSpacing w:val="0"/>
        <w:jc w:val="both"/>
        <w:rPr>
          <w:rFonts w:ascii="Lato" w:hAnsi="Lato"/>
          <w:sz w:val="16"/>
          <w:szCs w:val="16"/>
        </w:rPr>
      </w:pPr>
      <w:r w:rsidRPr="00903B76">
        <w:rPr>
          <w:rFonts w:ascii="Lato" w:hAnsi="Lato"/>
          <w:sz w:val="16"/>
          <w:szCs w:val="16"/>
        </w:rPr>
        <w:t>dla zastępcy dyrektora – kwoty od 2 800 zł do 8 400 zł (różnica 200%),</w:t>
      </w:r>
    </w:p>
    <w:p w14:paraId="64D781A3" w14:textId="77777777" w:rsidR="00934ADF" w:rsidRPr="00903B76" w:rsidRDefault="00934ADF" w:rsidP="00F16D10">
      <w:pPr>
        <w:pStyle w:val="Akapitzlist"/>
        <w:numPr>
          <w:ilvl w:val="0"/>
          <w:numId w:val="25"/>
        </w:numPr>
        <w:spacing w:after="0" w:line="240" w:lineRule="auto"/>
        <w:ind w:left="1134" w:right="567" w:hanging="295"/>
        <w:contextualSpacing w:val="0"/>
        <w:jc w:val="both"/>
        <w:rPr>
          <w:rFonts w:ascii="Lato" w:hAnsi="Lato"/>
          <w:sz w:val="16"/>
          <w:szCs w:val="16"/>
        </w:rPr>
      </w:pPr>
      <w:r w:rsidRPr="00903B76">
        <w:rPr>
          <w:rFonts w:ascii="Lato" w:hAnsi="Lato"/>
          <w:sz w:val="16"/>
          <w:szCs w:val="16"/>
        </w:rPr>
        <w:t>dla głównego księgowego – kwoty od 2 600 zł do 7 700 zł (różnica 196%).</w:t>
      </w:r>
    </w:p>
    <w:p w14:paraId="3A953477" w14:textId="77777777" w:rsidR="00934ADF" w:rsidRPr="00903B76" w:rsidRDefault="00934ADF" w:rsidP="0036407A">
      <w:pPr>
        <w:pStyle w:val="Akapitzlist"/>
        <w:numPr>
          <w:ilvl w:val="0"/>
          <w:numId w:val="21"/>
        </w:numPr>
        <w:spacing w:after="0" w:line="240" w:lineRule="auto"/>
        <w:ind w:left="851" w:right="567" w:hanging="284"/>
        <w:contextualSpacing w:val="0"/>
        <w:jc w:val="both"/>
        <w:rPr>
          <w:rFonts w:ascii="Lato" w:hAnsi="Lato"/>
          <w:sz w:val="16"/>
          <w:szCs w:val="16"/>
        </w:rPr>
      </w:pPr>
      <w:r w:rsidRPr="00903B76">
        <w:rPr>
          <w:rFonts w:ascii="Lato" w:hAnsi="Lato"/>
          <w:sz w:val="16"/>
          <w:szCs w:val="16"/>
        </w:rPr>
        <w:lastRenderedPageBreak/>
        <w:t>dodatku funkcyjnego, który wynosił dla:</w:t>
      </w:r>
    </w:p>
    <w:p w14:paraId="090A8270" w14:textId="77777777" w:rsidR="00934ADF" w:rsidRPr="00903B76" w:rsidRDefault="00934ADF" w:rsidP="00AE18AB">
      <w:pPr>
        <w:pStyle w:val="Akapitzlist"/>
        <w:numPr>
          <w:ilvl w:val="0"/>
          <w:numId w:val="26"/>
        </w:numPr>
        <w:spacing w:after="0" w:line="240" w:lineRule="auto"/>
        <w:ind w:left="1134" w:right="567" w:hanging="357"/>
        <w:contextualSpacing w:val="0"/>
        <w:jc w:val="both"/>
        <w:rPr>
          <w:rFonts w:ascii="Lato" w:hAnsi="Lato"/>
          <w:sz w:val="16"/>
          <w:szCs w:val="16"/>
        </w:rPr>
      </w:pPr>
      <w:r w:rsidRPr="00903B76">
        <w:rPr>
          <w:rFonts w:ascii="Lato" w:hAnsi="Lato"/>
          <w:sz w:val="16"/>
          <w:szCs w:val="16"/>
        </w:rPr>
        <w:t>dodatku 5. rzędu - kwoty od 1 680 zł do 7 000 zł (różnica 316%),</w:t>
      </w:r>
    </w:p>
    <w:p w14:paraId="733AC7EB" w14:textId="77777777" w:rsidR="00934ADF" w:rsidRPr="00903B76" w:rsidRDefault="00934ADF" w:rsidP="00AE18AB">
      <w:pPr>
        <w:pStyle w:val="Akapitzlist"/>
        <w:numPr>
          <w:ilvl w:val="0"/>
          <w:numId w:val="26"/>
        </w:numPr>
        <w:spacing w:after="0" w:line="240" w:lineRule="auto"/>
        <w:ind w:left="1134" w:right="567" w:hanging="357"/>
        <w:contextualSpacing w:val="0"/>
        <w:jc w:val="both"/>
        <w:rPr>
          <w:rFonts w:ascii="Lato" w:hAnsi="Lato"/>
          <w:sz w:val="16"/>
          <w:szCs w:val="16"/>
        </w:rPr>
      </w:pPr>
      <w:r w:rsidRPr="00903B76">
        <w:rPr>
          <w:rFonts w:ascii="Lato" w:hAnsi="Lato"/>
          <w:sz w:val="16"/>
          <w:szCs w:val="16"/>
        </w:rPr>
        <w:t>dodatku 6. rzędu – kwoty od 2 240 zł do 8 400 zł (różnica 275%).</w:t>
      </w:r>
    </w:p>
    <w:p w14:paraId="31147C48" w14:textId="77777777" w:rsidR="00934ADF" w:rsidRPr="00903B76" w:rsidRDefault="00934ADF" w:rsidP="0036407A">
      <w:pPr>
        <w:spacing w:before="120" w:after="120" w:line="240" w:lineRule="auto"/>
        <w:ind w:left="567" w:right="567"/>
        <w:rPr>
          <w:sz w:val="16"/>
          <w:szCs w:val="16"/>
        </w:rPr>
      </w:pPr>
      <w:r w:rsidRPr="00903B76">
        <w:rPr>
          <w:sz w:val="16"/>
          <w:szCs w:val="16"/>
        </w:rPr>
        <w:t>Różnice w zakresie wysokości wynagrodzenia zasadniczego kadry kierowniczej Oddziałów wynosiły dla dyrektorów ok. 3 300 zł (40%), zastępców dyrektora - 2 400 zł (32%), głównych księgowych - 2 900 zł (45%)</w:t>
      </w:r>
      <w:r>
        <w:rPr>
          <w:rStyle w:val="Odwoanieprzypisudolnego"/>
          <w:sz w:val="16"/>
          <w:szCs w:val="16"/>
        </w:rPr>
        <w:footnoteReference w:id="30"/>
      </w:r>
      <w:r w:rsidRPr="00903B76">
        <w:rPr>
          <w:sz w:val="16"/>
          <w:szCs w:val="16"/>
        </w:rPr>
        <w:t>. Natomiast różnice dotyczące dodatków funkcyjnych</w:t>
      </w:r>
      <w:r>
        <w:rPr>
          <w:rStyle w:val="Odwoanieprzypisudolnego"/>
          <w:sz w:val="16"/>
          <w:szCs w:val="16"/>
        </w:rPr>
        <w:footnoteReference w:id="31"/>
      </w:r>
      <w:r w:rsidRPr="00903B76">
        <w:rPr>
          <w:sz w:val="16"/>
          <w:szCs w:val="16"/>
        </w:rPr>
        <w:t xml:space="preserve"> na stanowiskach dyrektora wynosiły ok 1 600 zł (47%), zastępcy dyrektora: 2 100 zł (100%) oraz głównej księgowej: 1 100 (58%).</w:t>
      </w:r>
    </w:p>
    <w:p w14:paraId="79F09E02" w14:textId="77777777" w:rsidR="00934ADF" w:rsidRPr="00903B76" w:rsidRDefault="00934ADF" w:rsidP="00BA0DB6">
      <w:pPr>
        <w:spacing w:before="120" w:after="0" w:line="240" w:lineRule="auto"/>
        <w:ind w:left="567" w:right="567"/>
        <w:rPr>
          <w:sz w:val="16"/>
          <w:szCs w:val="16"/>
        </w:rPr>
      </w:pPr>
      <w:r w:rsidRPr="00903B76">
        <w:rPr>
          <w:sz w:val="16"/>
          <w:szCs w:val="16"/>
        </w:rPr>
        <w:t>Dyrektor Biura wyjaśnił</w:t>
      </w:r>
      <w:r>
        <w:rPr>
          <w:rStyle w:val="Odwoanieprzypisudolnego"/>
          <w:sz w:val="16"/>
          <w:szCs w:val="16"/>
        </w:rPr>
        <w:footnoteReference w:id="32"/>
      </w:r>
      <w:r w:rsidRPr="00903B76">
        <w:rPr>
          <w:sz w:val="16"/>
          <w:szCs w:val="16"/>
        </w:rPr>
        <w:t>, że różnice w zakresie dodatku funkcyjnego wynikają z kryteriów związanych z wielkością średniej produkcji i stanu zatrudnienia w poszczególnych oddziałach z okresu 5 lat. Jak wskazano, zastosowanie tych kryteriów umożliwiało dostosowanie wysokości dodatków funkcyjnych do poziomu odpowiedzialności, złożoności zadań oraz skali zarządzania w danym oddziale, co zapewnia sprawiedliwe i proporcjonalne kształtowanie systemu wynagrodzeń, z zachowaniem ich motywacyjnego charakteru.</w:t>
      </w:r>
    </w:p>
    <w:p w14:paraId="1EEABA59" w14:textId="77777777" w:rsidR="00934ADF" w:rsidRPr="00903B76" w:rsidRDefault="00934ADF" w:rsidP="00353769">
      <w:pPr>
        <w:pStyle w:val="Akapitzlist"/>
        <w:numPr>
          <w:ilvl w:val="0"/>
          <w:numId w:val="13"/>
        </w:numPr>
        <w:tabs>
          <w:tab w:val="left" w:pos="709"/>
        </w:tabs>
        <w:spacing w:before="120" w:after="120" w:line="240" w:lineRule="auto"/>
        <w:ind w:left="0" w:firstLine="0"/>
        <w:contextualSpacing w:val="0"/>
        <w:jc w:val="both"/>
        <w:rPr>
          <w:rFonts w:ascii="Lato" w:hAnsi="Lato"/>
          <w:sz w:val="20"/>
          <w:szCs w:val="20"/>
        </w:rPr>
      </w:pPr>
      <w:r w:rsidRPr="00903B76">
        <w:rPr>
          <w:rFonts w:ascii="Lato" w:hAnsi="Lato"/>
          <w:b/>
          <w:bCs/>
          <w:sz w:val="20"/>
          <w:szCs w:val="20"/>
        </w:rPr>
        <w:t>[Regulacje pracownicze]</w:t>
      </w:r>
      <w:r w:rsidRPr="00903B76">
        <w:rPr>
          <w:rFonts w:ascii="Lato" w:hAnsi="Lato"/>
          <w:sz w:val="20"/>
          <w:szCs w:val="20"/>
        </w:rPr>
        <w:t xml:space="preserve"> W Biurze wdrożono regulacje wewnętrzne zgodnie z wymaganiami art. 67</w:t>
      </w:r>
      <w:r w:rsidRPr="00903B76">
        <w:rPr>
          <w:rFonts w:ascii="Lato" w:hAnsi="Lato"/>
          <w:sz w:val="20"/>
          <w:szCs w:val="20"/>
          <w:vertAlign w:val="superscript"/>
        </w:rPr>
        <w:t>20</w:t>
      </w:r>
      <w:r w:rsidRPr="00903B76">
        <w:rPr>
          <w:rFonts w:ascii="Lato" w:hAnsi="Lato"/>
          <w:sz w:val="20"/>
          <w:szCs w:val="20"/>
        </w:rPr>
        <w:t>, art. 77</w:t>
      </w:r>
      <w:r w:rsidRPr="00903B76">
        <w:rPr>
          <w:rFonts w:ascii="Lato" w:hAnsi="Lato"/>
          <w:sz w:val="20"/>
          <w:szCs w:val="20"/>
          <w:vertAlign w:val="superscript"/>
        </w:rPr>
        <w:t>1</w:t>
      </w:r>
      <w:r w:rsidRPr="00903B76">
        <w:rPr>
          <w:rFonts w:ascii="Lato" w:hAnsi="Lato"/>
          <w:sz w:val="20"/>
          <w:szCs w:val="20"/>
        </w:rPr>
        <w:t xml:space="preserve"> i art. 104 Kodeksu pracy. Warunki wynagradzania oraz przyznawania świadczeń związanych z pracą zostały określone w Zakładowym Układzie Zbiorowym Pracy. Uregulowano również zasady dotyczące pracy zdalnej oraz ustalania wysokości wynagrodzeń i premiowania pracowników. Wszystkie regulacje zostały uzgodnione z przedstawicielami organizacji związkowej Przedsiębiorstwa.</w:t>
      </w:r>
    </w:p>
    <w:p w14:paraId="2DFBB97B" w14:textId="77777777" w:rsidR="00934ADF" w:rsidRPr="00903B76" w:rsidRDefault="00934ADF" w:rsidP="00AC33CB">
      <w:pPr>
        <w:spacing w:after="0" w:line="240" w:lineRule="auto"/>
        <w:ind w:left="567" w:right="567"/>
        <w:rPr>
          <w:sz w:val="16"/>
          <w:szCs w:val="16"/>
        </w:rPr>
      </w:pPr>
      <w:r w:rsidRPr="00903B76">
        <w:rPr>
          <w:sz w:val="16"/>
          <w:szCs w:val="16"/>
        </w:rPr>
        <w:t>W Biurze obowiązywały wewnętrzne regulacje, na podstawie których zarządzano kadrami, w tym Zakładowy Układ Zbiorowy Pracy dla pracowników Biura</w:t>
      </w:r>
      <w:r>
        <w:rPr>
          <w:rStyle w:val="Odwoanieprzypisudolnego"/>
          <w:sz w:val="16"/>
          <w:szCs w:val="16"/>
        </w:rPr>
        <w:footnoteReference w:id="33"/>
      </w:r>
      <w:r w:rsidRPr="00903B76">
        <w:rPr>
          <w:sz w:val="16"/>
          <w:szCs w:val="16"/>
        </w:rPr>
        <w:t>, stosownie do art. 77</w:t>
      </w:r>
      <w:r w:rsidRPr="00903B76">
        <w:rPr>
          <w:sz w:val="16"/>
          <w:szCs w:val="16"/>
          <w:vertAlign w:val="superscript"/>
        </w:rPr>
        <w:t>1</w:t>
      </w:r>
      <w:r w:rsidRPr="00903B76">
        <w:rPr>
          <w:sz w:val="16"/>
          <w:szCs w:val="16"/>
        </w:rPr>
        <w:t xml:space="preserve"> Kodeksu Pracy. Ponadto wprowadzono Regulamin pracy</w:t>
      </w:r>
      <w:r>
        <w:rPr>
          <w:rStyle w:val="Odwoanieprzypisudolnego"/>
          <w:sz w:val="16"/>
          <w:szCs w:val="16"/>
        </w:rPr>
        <w:footnoteReference w:id="34"/>
      </w:r>
      <w:r w:rsidRPr="00903B76">
        <w:rPr>
          <w:sz w:val="16"/>
          <w:szCs w:val="16"/>
        </w:rPr>
        <w:t xml:space="preserve"> przyjęty przez Dyrektora, zgodnie z wymogami art. 104 oraz art. 104</w:t>
      </w:r>
      <w:r w:rsidRPr="00903B76">
        <w:rPr>
          <w:sz w:val="16"/>
          <w:szCs w:val="16"/>
          <w:vertAlign w:val="superscript"/>
        </w:rPr>
        <w:t>2</w:t>
      </w:r>
      <w:r w:rsidRPr="00903B76">
        <w:rPr>
          <w:sz w:val="16"/>
          <w:szCs w:val="16"/>
        </w:rPr>
        <w:t xml:space="preserve"> Kodeksu pracy. Uregulowano również kwestię pracy zdalnej</w:t>
      </w:r>
      <w:r>
        <w:rPr>
          <w:rStyle w:val="Odwoanieprzypisudolnego"/>
          <w:sz w:val="16"/>
          <w:szCs w:val="16"/>
        </w:rPr>
        <w:footnoteReference w:id="35"/>
      </w:r>
      <w:r w:rsidRPr="00903B76">
        <w:rPr>
          <w:sz w:val="16"/>
          <w:szCs w:val="16"/>
        </w:rPr>
        <w:t xml:space="preserve"> oraz wprowadzono zasady wynagradzania i premiowania pracowników</w:t>
      </w:r>
      <w:r>
        <w:rPr>
          <w:rStyle w:val="Odwoanieprzypisudolnego"/>
          <w:sz w:val="16"/>
          <w:szCs w:val="16"/>
        </w:rPr>
        <w:footnoteReference w:id="36"/>
      </w:r>
      <w:r w:rsidRPr="00903B76">
        <w:rPr>
          <w:sz w:val="16"/>
          <w:szCs w:val="16"/>
        </w:rPr>
        <w:t>. Przyjęcie ww. regulacji poprzedziły uzgodnienia z Zakładową Organizacją Związkową Pracowników Urządzania Lasu i Geodezji Leśnej.</w:t>
      </w:r>
    </w:p>
    <w:p w14:paraId="2D0772A9" w14:textId="77777777" w:rsidR="00934ADF" w:rsidRPr="00903B76" w:rsidRDefault="00934ADF" w:rsidP="00BA0DB6">
      <w:pPr>
        <w:pStyle w:val="Akapitzlist"/>
        <w:numPr>
          <w:ilvl w:val="0"/>
          <w:numId w:val="13"/>
        </w:numPr>
        <w:tabs>
          <w:tab w:val="left" w:pos="709"/>
        </w:tabs>
        <w:spacing w:before="120" w:after="120" w:line="240" w:lineRule="auto"/>
        <w:ind w:left="0" w:firstLine="0"/>
        <w:contextualSpacing w:val="0"/>
        <w:jc w:val="both"/>
        <w:rPr>
          <w:rFonts w:ascii="Lato" w:eastAsia="Times New Roman" w:hAnsi="Lato" w:cs="Times New Roman"/>
          <w:sz w:val="20"/>
          <w:szCs w:val="20"/>
          <w:lang w:eastAsia="pl-PL"/>
        </w:rPr>
      </w:pPr>
      <w:r w:rsidRPr="00903B76">
        <w:rPr>
          <w:rFonts w:ascii="Lato" w:hAnsi="Lato"/>
          <w:b/>
          <w:bCs/>
          <w:sz w:val="20"/>
          <w:szCs w:val="20"/>
        </w:rPr>
        <w:t>[Rekrutacje]</w:t>
      </w:r>
      <w:r w:rsidRPr="00903B76">
        <w:rPr>
          <w:rFonts w:ascii="Lato" w:eastAsia="Times New Roman" w:hAnsi="Lato" w:cs="Times New Roman"/>
          <w:sz w:val="20"/>
          <w:szCs w:val="20"/>
          <w:lang w:eastAsia="pl-PL"/>
        </w:rPr>
        <w:t xml:space="preserve"> Zastrzeżenia budzi, że ogłoszeń o wolnych etatach w Zarządzie nie publikowano w ogólnodostępnych mediach, na portalach internetowych ani na stronie internetowej Biura. W konsekwencji informacja o wolnych stanowiskach pracy trafiała głównie do absolwentów uczelni i szkół leśnych, nie będąc dostępną dla szerszego grona potencjalnych kandydatów. Wynikało to z obowiązującej Polityki personalnej</w:t>
      </w:r>
      <w:r>
        <w:rPr>
          <w:rStyle w:val="Odwoanieprzypisudolnego"/>
          <w:rFonts w:ascii="Lato" w:eastAsia="Times New Roman" w:hAnsi="Lato" w:cs="Times New Roman"/>
          <w:sz w:val="18"/>
          <w:szCs w:val="18"/>
          <w:lang w:eastAsia="pl-PL"/>
        </w:rPr>
        <w:footnoteReference w:id="37"/>
      </w:r>
      <w:r w:rsidRPr="00903B76">
        <w:rPr>
          <w:rFonts w:ascii="Lato" w:eastAsia="Times New Roman" w:hAnsi="Lato" w:cs="Times New Roman"/>
          <w:sz w:val="20"/>
          <w:szCs w:val="20"/>
          <w:lang w:eastAsia="pl-PL"/>
        </w:rPr>
        <w:t>, która nie wymagała publikacji ogłoszeń rekrutacyjnych we wspomnianych miejscach.</w:t>
      </w:r>
    </w:p>
    <w:p w14:paraId="11C6821B" w14:textId="77777777" w:rsidR="00934ADF" w:rsidRPr="00903B76" w:rsidRDefault="00934ADF" w:rsidP="0036407A">
      <w:pPr>
        <w:pStyle w:val="Akapitzlist"/>
        <w:spacing w:after="120" w:line="240" w:lineRule="auto"/>
        <w:ind w:left="567" w:right="567"/>
        <w:contextualSpacing w:val="0"/>
        <w:jc w:val="both"/>
        <w:rPr>
          <w:rFonts w:ascii="Lato" w:eastAsia="Times New Roman" w:hAnsi="Lato" w:cs="Times New Roman"/>
          <w:sz w:val="16"/>
          <w:szCs w:val="16"/>
          <w:lang w:eastAsia="pl-PL"/>
        </w:rPr>
      </w:pPr>
      <w:r w:rsidRPr="00903B76">
        <w:rPr>
          <w:rFonts w:ascii="Lato" w:eastAsia="Times New Roman" w:hAnsi="Lato" w:cs="Times New Roman"/>
          <w:sz w:val="16"/>
          <w:szCs w:val="16"/>
          <w:lang w:eastAsia="pl-PL"/>
        </w:rPr>
        <w:t>W Biurze obowiązywała Polityka personalna</w:t>
      </w:r>
      <w:r>
        <w:rPr>
          <w:rStyle w:val="Odwoanieprzypisudolnego"/>
          <w:rFonts w:ascii="Lato" w:eastAsia="Times New Roman" w:hAnsi="Lato" w:cs="Times New Roman"/>
          <w:sz w:val="16"/>
          <w:szCs w:val="16"/>
          <w:lang w:eastAsia="pl-PL"/>
        </w:rPr>
        <w:footnoteReference w:id="38"/>
      </w:r>
      <w:r w:rsidRPr="00903B76">
        <w:rPr>
          <w:rFonts w:ascii="Lato" w:eastAsia="Times New Roman" w:hAnsi="Lato" w:cs="Times New Roman"/>
          <w:sz w:val="16"/>
          <w:szCs w:val="16"/>
          <w:lang w:eastAsia="pl-PL"/>
        </w:rPr>
        <w:t>, regulująca procedurę naboru, adaptację nowych pracowników oraz podnoszenie kwalifikacji. Zgodnie z Polityką personalną informacja o wakatach mogła być przekazywana m.in. poprzez ogłoszenia w prasie, wyspecjalizowane instytucje oraz bezpośredni kontakt z uczelniami leśnymi, jednakże Biuro korzystało wyłącznie ze współpracy z uczelniami i szkołami leśnymi, bez publikacji ogłoszeń w Internecie.</w:t>
      </w:r>
    </w:p>
    <w:p w14:paraId="077A0EF1" w14:textId="77777777" w:rsidR="00934ADF" w:rsidRPr="00903B76" w:rsidRDefault="00934ADF" w:rsidP="003E6E72">
      <w:pPr>
        <w:pStyle w:val="Akapitzlist"/>
        <w:spacing w:after="120" w:line="240" w:lineRule="auto"/>
        <w:ind w:left="567" w:right="567"/>
        <w:jc w:val="both"/>
        <w:rPr>
          <w:rFonts w:ascii="Lato" w:eastAsia="Times New Roman" w:hAnsi="Lato" w:cs="Times New Roman"/>
          <w:sz w:val="16"/>
          <w:szCs w:val="16"/>
          <w:lang w:eastAsia="pl-PL"/>
        </w:rPr>
      </w:pPr>
      <w:r w:rsidRPr="00903B76">
        <w:rPr>
          <w:rFonts w:ascii="Lato" w:eastAsia="Times New Roman" w:hAnsi="Lato" w:cs="Times New Roman"/>
          <w:sz w:val="16"/>
          <w:szCs w:val="16"/>
          <w:lang w:eastAsia="pl-PL"/>
        </w:rPr>
        <w:t>Dyrektor wyjaśnił</w:t>
      </w:r>
      <w:r>
        <w:rPr>
          <w:rStyle w:val="Odwoanieprzypisudolnego"/>
          <w:rFonts w:ascii="Lato" w:eastAsia="Times New Roman" w:hAnsi="Lato" w:cs="Times New Roman"/>
          <w:sz w:val="16"/>
          <w:szCs w:val="16"/>
          <w:lang w:eastAsia="pl-PL"/>
        </w:rPr>
        <w:footnoteReference w:id="39"/>
      </w:r>
      <w:r w:rsidRPr="00903B76">
        <w:rPr>
          <w:rFonts w:ascii="Lato" w:eastAsia="Times New Roman" w:hAnsi="Lato" w:cs="Times New Roman"/>
          <w:sz w:val="16"/>
          <w:szCs w:val="16"/>
          <w:lang w:eastAsia="pl-PL"/>
        </w:rPr>
        <w:t>, że informacje o możliwościach zatrudnienia były przekazywane podczas spotkań organizowanych w uczelniach i szkołach leśnych. Proces zatrudniania nowych pracowników odbywał się w miarę zgłaszanych potrzeb przez kierowników komórek organizacyjnych, omawianych na spotkaniach kierownictwa. Jak wskazano, zmiany kadrowe najczęściej miały charakter transferów wewnętrznych zatrudnionych już pracowników, pomiędzy działami albo jednostkami Biura.</w:t>
      </w:r>
    </w:p>
    <w:p w14:paraId="709BF1D0" w14:textId="77777777" w:rsidR="00934ADF" w:rsidRPr="00903B76" w:rsidRDefault="00934ADF" w:rsidP="00BE2B0F">
      <w:pPr>
        <w:spacing w:after="120" w:line="240" w:lineRule="auto"/>
        <w:rPr>
          <w:rFonts w:eastAsia="Times New Roman" w:cs="Times New Roman"/>
          <w:szCs w:val="20"/>
          <w:lang w:eastAsia="pl-PL"/>
        </w:rPr>
      </w:pPr>
      <w:r w:rsidRPr="00903B76">
        <w:rPr>
          <w:rFonts w:eastAsia="Times New Roman" w:cs="Times New Roman"/>
          <w:szCs w:val="20"/>
          <w:lang w:eastAsia="pl-PL"/>
        </w:rPr>
        <w:lastRenderedPageBreak/>
        <w:t>Przyjętej praktyki nie można uznać za korzystną z perspektywy interesów Biura. Szersze informowanie o wolnych etatach służy pozyskiwaniu najlepszych kandydatów, jak również zapewnia większą przejrzystość w procesie zatrudnienia.</w:t>
      </w:r>
    </w:p>
    <w:p w14:paraId="2998B698" w14:textId="77777777" w:rsidR="00934ADF" w:rsidRPr="00903B76" w:rsidRDefault="00934ADF" w:rsidP="0079254A">
      <w:pPr>
        <w:spacing w:after="120" w:line="240" w:lineRule="auto"/>
        <w:rPr>
          <w:rFonts w:eastAsia="Times New Roman" w:cs="Times New Roman"/>
          <w:b/>
          <w:bCs/>
          <w:szCs w:val="18"/>
          <w:u w:val="single"/>
          <w:lang w:eastAsia="pl-PL"/>
        </w:rPr>
      </w:pPr>
      <w:r w:rsidRPr="00903B76">
        <w:rPr>
          <w:rFonts w:eastAsia="Times New Roman" w:cs="Times New Roman"/>
          <w:b/>
          <w:bCs/>
          <w:szCs w:val="18"/>
          <w:u w:val="single"/>
          <w:lang w:eastAsia="pl-PL"/>
        </w:rPr>
        <w:t>Zarządzanie organizacją</w:t>
      </w:r>
    </w:p>
    <w:p w14:paraId="62A1ACC6" w14:textId="77777777" w:rsidR="00934ADF" w:rsidRPr="00903B76" w:rsidRDefault="00934ADF" w:rsidP="007C68D2">
      <w:pPr>
        <w:pStyle w:val="Akapitzlist"/>
        <w:numPr>
          <w:ilvl w:val="0"/>
          <w:numId w:val="13"/>
        </w:numPr>
        <w:tabs>
          <w:tab w:val="left" w:pos="709"/>
        </w:tabs>
        <w:spacing w:after="120" w:line="240" w:lineRule="auto"/>
        <w:ind w:left="0" w:firstLine="0"/>
        <w:contextualSpacing w:val="0"/>
        <w:jc w:val="both"/>
        <w:rPr>
          <w:rFonts w:ascii="Lato" w:hAnsi="Lato"/>
        </w:rPr>
      </w:pPr>
      <w:r w:rsidRPr="00903B76">
        <w:rPr>
          <w:rFonts w:ascii="Lato" w:hAnsi="Lato"/>
          <w:b/>
          <w:bCs/>
          <w:sz w:val="20"/>
          <w:szCs w:val="20"/>
        </w:rPr>
        <w:t xml:space="preserve">[Sytuacja finansowa] </w:t>
      </w:r>
      <w:r w:rsidRPr="00903B76">
        <w:rPr>
          <w:rFonts w:ascii="Lato" w:hAnsi="Lato"/>
          <w:sz w:val="20"/>
          <w:szCs w:val="20"/>
        </w:rPr>
        <w:t>Przedsiębiorstwo było w dobrej kondycji finansowej, uzyskując w 2024 r. zysk netto na poziomie 2 880 343,05 zł, jednocześnie zwiększając go w porównaniu z rokiem poprzednim o 1 375 571,66 zł, czyli o 91%. Dyrektor zarządzał Biurem w oparciu o roczne plany przedsiębiorstwa (plany techniczno-ekonomiczne, określające m.in. produkcję globalną, produkcję sprzedaną, koszty ogólne i planowany zysk), dla których uzyskał uchwały Rady Pracowniczej Przedsiębiorstwa</w:t>
      </w:r>
      <w:r>
        <w:rPr>
          <w:rStyle w:val="Odwoanieprzypisudolnego"/>
          <w:rFonts w:ascii="Lato" w:hAnsi="Lato"/>
          <w:sz w:val="20"/>
          <w:szCs w:val="20"/>
        </w:rPr>
        <w:footnoteReference w:id="40"/>
      </w:r>
      <w:r w:rsidRPr="00903B76">
        <w:rPr>
          <w:rFonts w:ascii="Lato" w:hAnsi="Lato"/>
          <w:sz w:val="20"/>
          <w:szCs w:val="20"/>
        </w:rPr>
        <w:t>, stosownie do art. 24 ust. 1 pkt 1 ustawy o samorządzie załogi przedsiębiorstwa państwowego</w:t>
      </w:r>
      <w:r>
        <w:rPr>
          <w:rStyle w:val="Odwoanieprzypisudolnego"/>
          <w:rFonts w:ascii="Lato" w:hAnsi="Lato"/>
          <w:sz w:val="20"/>
          <w:szCs w:val="20"/>
        </w:rPr>
        <w:footnoteReference w:id="41"/>
      </w:r>
      <w:r w:rsidRPr="00903B76">
        <w:rPr>
          <w:rFonts w:ascii="Lato" w:hAnsi="Lato"/>
          <w:sz w:val="20"/>
          <w:szCs w:val="20"/>
        </w:rPr>
        <w:t xml:space="preserve"> oraz § 58 ust. 1 pkt 1 Statutu Przedsiębiorstwa. Sprawozdania finansowe podlegały badaniu przez biegłego rewidenta i uzyskały jego pozytywną opinię. </w:t>
      </w:r>
    </w:p>
    <w:p w14:paraId="6F6E13AD" w14:textId="77777777" w:rsidR="00934ADF" w:rsidRPr="00903B76" w:rsidRDefault="00934ADF" w:rsidP="00274FB9">
      <w:pPr>
        <w:pStyle w:val="Akapitzlist"/>
        <w:tabs>
          <w:tab w:val="left" w:pos="709"/>
        </w:tabs>
        <w:spacing w:after="120" w:line="240" w:lineRule="auto"/>
        <w:ind w:left="567" w:right="567"/>
        <w:contextualSpacing w:val="0"/>
        <w:jc w:val="both"/>
        <w:rPr>
          <w:rFonts w:ascii="Lato" w:hAnsi="Lato"/>
          <w:sz w:val="16"/>
          <w:szCs w:val="16"/>
        </w:rPr>
      </w:pPr>
      <w:r w:rsidRPr="00903B76">
        <w:rPr>
          <w:rFonts w:ascii="Lato" w:hAnsi="Lato"/>
          <w:sz w:val="16"/>
          <w:szCs w:val="16"/>
        </w:rPr>
        <w:t>W 2023 r. zysk netto Biura wyniósł 1 505 tys. zł, a w 2024 r. – 2 880 tys. zł, co stanowiło wzrost o 1 375 tys. zł, 91%. Produkcja globalna w 2024 r. wyniosła 133 896 tys. zł. W stosunku do roku poprzedniego nastąpił wzrost o 16 927 tys. zł (tj. o 14,5%). Przychody netto ze sprzedaży produkcji w 2024 r. wyniosły 127 610 tys. zł, tj. 14 478 tys. zł (12,8%) więcej niż w 2023 r. Zwiększenie przychodów ze sprzedaży nastąpiło na skutek wyższej podaży na rynku usług leśnych, a także wyższych cen za 1 ha wykonanych opracowań.</w:t>
      </w:r>
    </w:p>
    <w:p w14:paraId="6CF5B554" w14:textId="77777777" w:rsidR="00934ADF" w:rsidRPr="00903B76" w:rsidRDefault="00934ADF" w:rsidP="0079254A">
      <w:pPr>
        <w:pStyle w:val="Akapitzlist"/>
        <w:numPr>
          <w:ilvl w:val="0"/>
          <w:numId w:val="13"/>
        </w:numPr>
        <w:tabs>
          <w:tab w:val="left" w:pos="709"/>
        </w:tabs>
        <w:spacing w:after="0" w:line="240" w:lineRule="auto"/>
        <w:ind w:left="0" w:firstLine="0"/>
        <w:contextualSpacing w:val="0"/>
        <w:jc w:val="both"/>
        <w:rPr>
          <w:rFonts w:ascii="Lato" w:hAnsi="Lato"/>
          <w:sz w:val="20"/>
          <w:szCs w:val="20"/>
        </w:rPr>
      </w:pPr>
      <w:r w:rsidRPr="00903B76">
        <w:rPr>
          <w:rFonts w:ascii="Lato" w:eastAsia="Times New Roman" w:hAnsi="Lato" w:cs="Times New Roman"/>
          <w:b/>
          <w:sz w:val="20"/>
          <w:szCs w:val="18"/>
          <w:lang w:eastAsia="pl-PL"/>
        </w:rPr>
        <w:t>[System kontroli zarządczej]</w:t>
      </w:r>
      <w:r w:rsidRPr="00903B76">
        <w:rPr>
          <w:rFonts w:ascii="Lato" w:eastAsia="Times New Roman" w:hAnsi="Lato" w:cs="Times New Roman"/>
          <w:b/>
          <w:bCs/>
          <w:sz w:val="20"/>
          <w:szCs w:val="18"/>
          <w:lang w:eastAsia="pl-PL"/>
        </w:rPr>
        <w:t xml:space="preserve"> </w:t>
      </w:r>
      <w:r w:rsidRPr="00903B76">
        <w:rPr>
          <w:rFonts w:ascii="Lato" w:hAnsi="Lato"/>
          <w:sz w:val="20"/>
          <w:szCs w:val="20"/>
        </w:rPr>
        <w:t xml:space="preserve">Funkcja audytu wewnętrznego nie była wykorzystywana jako narzędzie wspierające zarządzanie Przedsiębiorstwem. </w:t>
      </w:r>
      <w:r w:rsidRPr="00903B76">
        <w:rPr>
          <w:rFonts w:ascii="Lato" w:eastAsia="Times New Roman" w:hAnsi="Lato" w:cs="Times New Roman"/>
          <w:sz w:val="20"/>
          <w:szCs w:val="18"/>
          <w:lang w:eastAsia="pl-PL"/>
        </w:rPr>
        <w:t xml:space="preserve">W okresie objętym kontrolą w </w:t>
      </w:r>
      <w:r w:rsidRPr="00903B76">
        <w:rPr>
          <w:rFonts w:ascii="Lato" w:hAnsi="Lato"/>
          <w:sz w:val="20"/>
          <w:szCs w:val="20"/>
        </w:rPr>
        <w:t xml:space="preserve">Biurze niezgodnie z procedurą </w:t>
      </w:r>
      <w:r w:rsidRPr="00903B76">
        <w:rPr>
          <w:rFonts w:ascii="Lato" w:hAnsi="Lato"/>
          <w:i/>
          <w:iCs/>
          <w:sz w:val="20"/>
          <w:szCs w:val="20"/>
        </w:rPr>
        <w:t>PZSZ-9.2 - Audyt wewnętrzny</w:t>
      </w:r>
      <w:r w:rsidRPr="00903B76">
        <w:rPr>
          <w:rFonts w:ascii="Lato" w:hAnsi="Lato"/>
          <w:sz w:val="20"/>
          <w:szCs w:val="20"/>
        </w:rPr>
        <w:t xml:space="preserve"> nie prowadzono audytów wewnętrznych, mimo zatwierdzania programów takich audytów. Zaznaczyć należy, że wspomniana procedura obowiązywała niezależnie od utraty certyfikacji w ramach Zintegrowanego Systemu Zarządzania Jakością i Środowiskiem, bowiem nie została ona uchylona.</w:t>
      </w:r>
    </w:p>
    <w:p w14:paraId="293A3D7F" w14:textId="77777777" w:rsidR="00934ADF" w:rsidRPr="00903B76" w:rsidRDefault="00934ADF" w:rsidP="00AB0CEE">
      <w:pPr>
        <w:pStyle w:val="Akapitzlist"/>
        <w:tabs>
          <w:tab w:val="left" w:pos="709"/>
        </w:tabs>
        <w:spacing w:before="120" w:after="0" w:line="240" w:lineRule="auto"/>
        <w:ind w:left="0"/>
        <w:contextualSpacing w:val="0"/>
        <w:jc w:val="both"/>
        <w:rPr>
          <w:rFonts w:ascii="Lato" w:hAnsi="Lato"/>
          <w:sz w:val="20"/>
          <w:szCs w:val="20"/>
        </w:rPr>
      </w:pPr>
      <w:r w:rsidRPr="00903B76">
        <w:rPr>
          <w:rFonts w:ascii="Lato" w:hAnsi="Lato"/>
          <w:sz w:val="20"/>
          <w:szCs w:val="20"/>
        </w:rPr>
        <w:t>W Przedsiębiorstwie wdrożono i przestrzegano regulacji wewnętrznych w zakresie prowadzenia kontroli wewnętrznych, m.in. wykonania prac urządzeniowych, siedliskowych, geodezyjnych, ochrony danych osobowych, systemów informatycznych oraz działań w pionie głównego księgowego.</w:t>
      </w:r>
    </w:p>
    <w:p w14:paraId="3A55ECDB" w14:textId="77777777" w:rsidR="00934ADF" w:rsidRPr="00903B76" w:rsidRDefault="00934ADF" w:rsidP="0079254A">
      <w:pPr>
        <w:spacing w:before="120" w:after="120" w:line="240" w:lineRule="auto"/>
        <w:ind w:left="567" w:right="567"/>
        <w:rPr>
          <w:sz w:val="16"/>
          <w:szCs w:val="16"/>
        </w:rPr>
      </w:pPr>
      <w:r w:rsidRPr="00903B76">
        <w:rPr>
          <w:sz w:val="16"/>
          <w:szCs w:val="16"/>
        </w:rPr>
        <w:t>W okresie objętym kontrolą w Biurze funkcjonował niecertyfikowany Zintegrowany System Zarządzania Jakością i Środowiskiem (dalej: ZSZJiŚ), bowiem certyfikaty ISO 9001:2015 i ISO 14001:2015 utraciły ważność z końcem 2022 r. Dyrektor wskazał</w:t>
      </w:r>
      <w:r>
        <w:rPr>
          <w:rStyle w:val="Odwoanieprzypisudolnego"/>
          <w:sz w:val="16"/>
          <w:szCs w:val="16"/>
        </w:rPr>
        <w:footnoteReference w:id="42"/>
      </w:r>
      <w:r w:rsidRPr="00903B76">
        <w:rPr>
          <w:sz w:val="16"/>
          <w:szCs w:val="16"/>
        </w:rPr>
        <w:t xml:space="preserve">, że przyczyną nieprzedłużenia certyfikacji było niewywiązanie się z umowy przez zewnętrzny podmiot audytowy. Przedsiębiorstwo planowało ponowne uzyskanie certyfikatu IOS 9001:2015. Na dzień zakończenia kontroli prowadzono prace przygotowawcze do ponownej certyfikacji. </w:t>
      </w:r>
    </w:p>
    <w:p w14:paraId="0D6C5E7C" w14:textId="77777777" w:rsidR="00934ADF" w:rsidRPr="00903B76" w:rsidRDefault="00934ADF" w:rsidP="0079254A">
      <w:pPr>
        <w:spacing w:after="0" w:line="240" w:lineRule="auto"/>
        <w:ind w:left="567" w:right="567"/>
        <w:rPr>
          <w:color w:val="000000" w:themeColor="text1"/>
          <w:sz w:val="16"/>
          <w:szCs w:val="16"/>
        </w:rPr>
      </w:pPr>
      <w:r w:rsidRPr="00903B76">
        <w:rPr>
          <w:sz w:val="16"/>
          <w:szCs w:val="16"/>
        </w:rPr>
        <w:t xml:space="preserve">Pomimo zatwierdzania programów audytów w BULiGL nie prowadzono takich działań. Stanowiło to naruszenie procedury </w:t>
      </w:r>
      <w:r w:rsidRPr="00903B76">
        <w:rPr>
          <w:i/>
          <w:sz w:val="16"/>
          <w:szCs w:val="16"/>
        </w:rPr>
        <w:t>PZSZ-9.2 - Audyt wewnętrzny</w:t>
      </w:r>
      <w:r w:rsidRPr="00903B76">
        <w:rPr>
          <w:sz w:val="16"/>
          <w:szCs w:val="16"/>
        </w:rPr>
        <w:t>. Dyrektor BULiGL wyjaśnił</w:t>
      </w:r>
      <w:r>
        <w:rPr>
          <w:rStyle w:val="Odwoanieprzypisudolnego"/>
          <w:sz w:val="16"/>
          <w:szCs w:val="16"/>
        </w:rPr>
        <w:footnoteReference w:id="43"/>
      </w:r>
      <w:r w:rsidRPr="00903B76">
        <w:rPr>
          <w:sz w:val="16"/>
          <w:szCs w:val="16"/>
        </w:rPr>
        <w:t xml:space="preserve">, że brak audytów wynikał z utraty certyfikacji. Jednak pomimo </w:t>
      </w:r>
      <w:r w:rsidRPr="00903B76">
        <w:rPr>
          <w:color w:val="000000" w:themeColor="text1"/>
          <w:sz w:val="16"/>
          <w:szCs w:val="16"/>
        </w:rPr>
        <w:t>wygaśnięcia certyfikacji, nie uchylono zarządzenia dot. ZSZJiŚ, wobec czego obowiązek prowadzenia audytów pozostawał aktualny.</w:t>
      </w:r>
    </w:p>
    <w:p w14:paraId="1171751F" w14:textId="77777777" w:rsidR="00934ADF" w:rsidRPr="00903B76" w:rsidRDefault="00934ADF" w:rsidP="0079254A">
      <w:pPr>
        <w:spacing w:before="120" w:after="120" w:line="240" w:lineRule="auto"/>
        <w:ind w:left="567" w:right="567"/>
        <w:rPr>
          <w:rFonts w:eastAsia="Times New Roman" w:cs="Times New Roman"/>
          <w:sz w:val="16"/>
          <w:szCs w:val="16"/>
          <w:lang w:eastAsia="pl-PL"/>
        </w:rPr>
      </w:pPr>
      <w:r w:rsidRPr="00903B76">
        <w:rPr>
          <w:rFonts w:eastAsia="Times New Roman" w:cs="Times New Roman"/>
          <w:sz w:val="16"/>
          <w:szCs w:val="16"/>
          <w:lang w:eastAsia="pl-PL"/>
        </w:rPr>
        <w:t>Dyrektor Przedsiębiorstwa wdrożył w ramach kontroli zarządczej regulacje dot. kontroli m.in. wykonania prac urządzeniowych, siedliskowych, geodezyjnych, ochrony danych osobowych, systemów informatycznych oraz działań w pionie głównego księgowego</w:t>
      </w:r>
      <w:r>
        <w:rPr>
          <w:rStyle w:val="Odwoanieprzypisudolnego"/>
          <w:rFonts w:eastAsia="Times New Roman" w:cs="Times New Roman"/>
          <w:sz w:val="16"/>
          <w:szCs w:val="16"/>
          <w:lang w:eastAsia="pl-PL"/>
        </w:rPr>
        <w:footnoteReference w:id="44"/>
      </w:r>
      <w:r w:rsidRPr="00903B76">
        <w:rPr>
          <w:rFonts w:eastAsia="Times New Roman" w:cs="Times New Roman"/>
          <w:sz w:val="16"/>
          <w:szCs w:val="16"/>
          <w:lang w:eastAsia="pl-PL"/>
        </w:rPr>
        <w:t xml:space="preserve">. </w:t>
      </w:r>
    </w:p>
    <w:p w14:paraId="48A6D0F8" w14:textId="77777777" w:rsidR="00934ADF" w:rsidRPr="00903B76" w:rsidRDefault="00934ADF" w:rsidP="0079254A">
      <w:pPr>
        <w:spacing w:after="0" w:line="240" w:lineRule="auto"/>
        <w:ind w:left="567" w:right="510"/>
        <w:rPr>
          <w:rFonts w:eastAsia="Times New Roman" w:cs="Times New Roman"/>
          <w:sz w:val="16"/>
          <w:szCs w:val="16"/>
          <w:lang w:eastAsia="pl-PL"/>
        </w:rPr>
      </w:pPr>
      <w:r w:rsidRPr="00903B76">
        <w:rPr>
          <w:rFonts w:eastAsia="Times New Roman" w:cs="Times New Roman"/>
          <w:sz w:val="16"/>
          <w:szCs w:val="16"/>
          <w:lang w:eastAsia="pl-PL"/>
        </w:rPr>
        <w:lastRenderedPageBreak/>
        <w:t>W ramach kontroli wewnętrznej w okresie objętym kontrolą przeprowadzono:</w:t>
      </w:r>
    </w:p>
    <w:p w14:paraId="42ABA877" w14:textId="77777777" w:rsidR="00934ADF" w:rsidRPr="00903B76" w:rsidRDefault="00934ADF" w:rsidP="0079254A">
      <w:pPr>
        <w:pStyle w:val="Akapitzlist"/>
        <w:numPr>
          <w:ilvl w:val="0"/>
          <w:numId w:val="22"/>
        </w:numPr>
        <w:suppressAutoHyphens/>
        <w:spacing w:after="120" w:line="240" w:lineRule="auto"/>
        <w:ind w:left="851" w:right="510" w:hanging="284"/>
        <w:jc w:val="both"/>
        <w:rPr>
          <w:rFonts w:ascii="Lato" w:eastAsia="Times New Roman" w:hAnsi="Lato" w:cs="Times New Roman"/>
          <w:sz w:val="16"/>
          <w:szCs w:val="16"/>
          <w:lang w:eastAsia="pl-PL"/>
        </w:rPr>
      </w:pPr>
      <w:r w:rsidRPr="00903B76">
        <w:rPr>
          <w:rFonts w:ascii="Lato" w:eastAsia="Times New Roman" w:hAnsi="Lato" w:cs="Times New Roman"/>
          <w:sz w:val="16"/>
          <w:szCs w:val="16"/>
          <w:lang w:eastAsia="pl-PL"/>
        </w:rPr>
        <w:t>97 kontroli dotyczących realizacji prac terenowych, kameralnych, przy sporządzaniu projektów urządzania lasu, w zakresie elaboratów, terenowych i kameralnych prac wielkoobszarowych inwentaryzacji lasu, terenowych pomiarów na powierzchniach przyrostowych, redakcyjnych i merytorycznych przygotowań referatów na NTG,</w:t>
      </w:r>
    </w:p>
    <w:p w14:paraId="4E6AA60F" w14:textId="77777777" w:rsidR="00934ADF" w:rsidRPr="00903B76" w:rsidRDefault="00934ADF" w:rsidP="0079254A">
      <w:pPr>
        <w:pStyle w:val="Akapitzlist"/>
        <w:numPr>
          <w:ilvl w:val="0"/>
          <w:numId w:val="22"/>
        </w:numPr>
        <w:suppressAutoHyphens/>
        <w:spacing w:after="120" w:line="240" w:lineRule="auto"/>
        <w:ind w:left="851" w:right="510" w:hanging="284"/>
        <w:jc w:val="both"/>
        <w:rPr>
          <w:rFonts w:ascii="Lato" w:eastAsia="Times New Roman" w:hAnsi="Lato" w:cs="Times New Roman"/>
          <w:sz w:val="16"/>
          <w:szCs w:val="16"/>
          <w:lang w:eastAsia="pl-PL"/>
        </w:rPr>
      </w:pPr>
      <w:r w:rsidRPr="00903B76">
        <w:rPr>
          <w:rFonts w:ascii="Lato" w:eastAsia="Times New Roman" w:hAnsi="Lato" w:cs="Times New Roman"/>
          <w:sz w:val="16"/>
          <w:szCs w:val="16"/>
          <w:lang w:eastAsia="pl-PL"/>
        </w:rPr>
        <w:t>2 kontrole terenowe oraz 8 kontroli bieżących w Oddziałach,</w:t>
      </w:r>
    </w:p>
    <w:p w14:paraId="6C717C91" w14:textId="77777777" w:rsidR="00934ADF" w:rsidRPr="00903B76" w:rsidRDefault="00934ADF" w:rsidP="0079254A">
      <w:pPr>
        <w:pStyle w:val="Akapitzlist"/>
        <w:numPr>
          <w:ilvl w:val="0"/>
          <w:numId w:val="22"/>
        </w:numPr>
        <w:suppressAutoHyphens/>
        <w:spacing w:after="120" w:line="240" w:lineRule="auto"/>
        <w:ind w:left="851" w:right="510" w:hanging="284"/>
        <w:contextualSpacing w:val="0"/>
        <w:jc w:val="both"/>
        <w:rPr>
          <w:rFonts w:ascii="Lato" w:eastAsia="Times New Roman" w:hAnsi="Lato" w:cs="Times New Roman"/>
          <w:sz w:val="16"/>
          <w:szCs w:val="16"/>
          <w:lang w:eastAsia="pl-PL"/>
        </w:rPr>
      </w:pPr>
      <w:r w:rsidRPr="00903B76">
        <w:rPr>
          <w:rFonts w:ascii="Lato" w:eastAsia="Times New Roman" w:hAnsi="Lato" w:cs="Times New Roman"/>
          <w:sz w:val="16"/>
          <w:szCs w:val="16"/>
          <w:lang w:eastAsia="pl-PL"/>
        </w:rPr>
        <w:t>1 kontrolę systemów informatycznych.</w:t>
      </w:r>
    </w:p>
    <w:p w14:paraId="58C4AED3" w14:textId="77777777" w:rsidR="00934ADF" w:rsidRPr="00903B76" w:rsidRDefault="00934ADF" w:rsidP="0036407A">
      <w:pPr>
        <w:spacing w:before="120" w:after="120" w:line="240" w:lineRule="auto"/>
        <w:rPr>
          <w:rFonts w:eastAsia="Times New Roman" w:cs="Times New Roman"/>
          <w:b/>
          <w:bCs/>
          <w:kern w:val="2"/>
          <w:szCs w:val="18"/>
          <w:u w:val="single"/>
          <w:lang w:eastAsia="pl-PL"/>
          <w14:ligatures w14:val="standardContextual"/>
        </w:rPr>
      </w:pPr>
      <w:r w:rsidRPr="00903B76">
        <w:rPr>
          <w:rFonts w:eastAsia="Times New Roman" w:cs="Times New Roman"/>
          <w:b/>
          <w:bCs/>
          <w:kern w:val="2"/>
          <w:szCs w:val="18"/>
          <w:u w:val="single"/>
          <w:lang w:eastAsia="pl-PL"/>
          <w14:ligatures w14:val="standardContextual"/>
        </w:rPr>
        <w:t>Zarządzanie majątkiem</w:t>
      </w:r>
    </w:p>
    <w:p w14:paraId="0C73C114" w14:textId="77777777" w:rsidR="00934ADF" w:rsidRPr="00903B76" w:rsidRDefault="00934ADF" w:rsidP="00DD0339">
      <w:pPr>
        <w:pStyle w:val="Akapitzlist"/>
        <w:numPr>
          <w:ilvl w:val="0"/>
          <w:numId w:val="13"/>
        </w:numPr>
        <w:tabs>
          <w:tab w:val="left" w:pos="709"/>
        </w:tabs>
        <w:spacing w:after="0" w:line="240" w:lineRule="auto"/>
        <w:ind w:left="0" w:firstLine="0"/>
        <w:contextualSpacing w:val="0"/>
        <w:jc w:val="both"/>
        <w:rPr>
          <w:rFonts w:ascii="Lato" w:eastAsia="Times New Roman" w:hAnsi="Lato" w:cs="Times New Roman"/>
          <w:sz w:val="20"/>
          <w:szCs w:val="20"/>
          <w:lang w:eastAsia="pl-PL"/>
        </w:rPr>
      </w:pPr>
      <w:r w:rsidRPr="00903B76">
        <w:rPr>
          <w:rFonts w:ascii="Lato" w:eastAsia="Times New Roman" w:hAnsi="Lato" w:cs="Times New Roman"/>
          <w:b/>
          <w:bCs/>
          <w:sz w:val="20"/>
          <w:szCs w:val="20"/>
          <w:lang w:eastAsia="pl-PL"/>
        </w:rPr>
        <w:t>[Inwentaryzacja]</w:t>
      </w:r>
      <w:r w:rsidRPr="00903B76">
        <w:rPr>
          <w:rFonts w:ascii="Lato" w:eastAsia="Times New Roman" w:hAnsi="Lato" w:cs="Times New Roman"/>
          <w:sz w:val="20"/>
          <w:szCs w:val="20"/>
          <w:lang w:eastAsia="pl-PL"/>
        </w:rPr>
        <w:t xml:space="preserve"> </w:t>
      </w:r>
      <w:r w:rsidRPr="00903B76">
        <w:rPr>
          <w:rFonts w:ascii="Lato" w:hAnsi="Lato" w:cs="Times New Roman"/>
          <w:sz w:val="20"/>
          <w:szCs w:val="20"/>
        </w:rPr>
        <w:t>W Biurze opracowano Politykę rachunkowości, która spełniała wymagania art. 10 ust. 1 ustawy o rachunkowości, jak również sformułowano Zasady inwentaryzacji</w:t>
      </w:r>
      <w:r>
        <w:rPr>
          <w:rStyle w:val="Odwoanieprzypisudolnego"/>
          <w:rFonts w:ascii="Lato" w:hAnsi="Lato" w:cs="Times New Roman"/>
          <w:sz w:val="20"/>
          <w:szCs w:val="20"/>
        </w:rPr>
        <w:footnoteReference w:id="45"/>
      </w:r>
      <w:r w:rsidRPr="00903B76">
        <w:rPr>
          <w:rFonts w:ascii="Lato" w:hAnsi="Lato" w:cs="Times New Roman"/>
          <w:sz w:val="20"/>
          <w:szCs w:val="20"/>
        </w:rPr>
        <w:t>.</w:t>
      </w:r>
      <w:r w:rsidRPr="00903B76">
        <w:rPr>
          <w:rFonts w:ascii="Lato" w:eastAsia="Times New Roman" w:hAnsi="Lato" w:cs="Times New Roman"/>
          <w:sz w:val="20"/>
          <w:szCs w:val="20"/>
          <w:lang w:eastAsia="pl-PL"/>
        </w:rPr>
        <w:t xml:space="preserve"> W ramach przeprowadzonych w okresie objętym kontrolą inwentaryzacji stwierdzono nieprawidłowości:</w:t>
      </w:r>
    </w:p>
    <w:p w14:paraId="4FC2C95F" w14:textId="77777777" w:rsidR="00934ADF" w:rsidRPr="00903B76" w:rsidRDefault="00934ADF" w:rsidP="0036407A">
      <w:pPr>
        <w:pStyle w:val="Akapitzlist"/>
        <w:numPr>
          <w:ilvl w:val="0"/>
          <w:numId w:val="19"/>
        </w:numPr>
        <w:spacing w:after="0" w:line="240" w:lineRule="auto"/>
        <w:ind w:left="426" w:hanging="284"/>
        <w:jc w:val="both"/>
        <w:rPr>
          <w:rFonts w:ascii="Lato" w:eastAsia="Times New Roman" w:hAnsi="Lato" w:cs="Times New Roman"/>
          <w:sz w:val="20"/>
          <w:szCs w:val="18"/>
          <w:lang w:eastAsia="pl-PL"/>
        </w:rPr>
      </w:pPr>
      <w:r w:rsidRPr="00903B76">
        <w:rPr>
          <w:rFonts w:ascii="Lato" w:eastAsia="Times New Roman" w:hAnsi="Lato" w:cs="Times New Roman"/>
          <w:sz w:val="20"/>
          <w:szCs w:val="18"/>
          <w:lang w:eastAsia="pl-PL"/>
        </w:rPr>
        <w:t>sprawozdania ze spisu z natury nie zawierały informacji o istnieniu bądź braku różnic inwentaryzacyjnych, mimo że art. 27 ust. 1 ustawy o rachunkowości obliguje do odpowiedniego dokumentowania wyników inwentaryzacji;</w:t>
      </w:r>
    </w:p>
    <w:p w14:paraId="7EB428AF" w14:textId="77777777" w:rsidR="00934ADF" w:rsidRPr="00903B76" w:rsidRDefault="00934ADF" w:rsidP="007106C7">
      <w:pPr>
        <w:pStyle w:val="Akapitzlist"/>
        <w:numPr>
          <w:ilvl w:val="0"/>
          <w:numId w:val="19"/>
        </w:numPr>
        <w:spacing w:after="120" w:line="240" w:lineRule="auto"/>
        <w:ind w:left="426" w:hanging="284"/>
        <w:contextualSpacing w:val="0"/>
        <w:jc w:val="both"/>
        <w:rPr>
          <w:rFonts w:ascii="Lato" w:eastAsia="Times New Roman" w:hAnsi="Lato" w:cs="Times New Roman"/>
          <w:sz w:val="20"/>
          <w:szCs w:val="20"/>
          <w:lang w:eastAsia="pl-PL"/>
        </w:rPr>
      </w:pPr>
      <w:r w:rsidRPr="00903B76">
        <w:rPr>
          <w:rFonts w:ascii="Lato" w:eastAsia="Times New Roman" w:hAnsi="Lato" w:cs="Times New Roman"/>
          <w:sz w:val="20"/>
          <w:szCs w:val="20"/>
          <w:lang w:eastAsia="pl-PL"/>
        </w:rPr>
        <w:t>na przewodniczącego komisji inwentaryzacyjnej wybrano osobę niepełniącą funkcji kierowniczej, co było niezgodne z pkt II.2 Zasad inwentaryzacji.</w:t>
      </w:r>
    </w:p>
    <w:p w14:paraId="6089C658" w14:textId="77777777" w:rsidR="00934ADF" w:rsidRPr="00903B76" w:rsidRDefault="00934ADF" w:rsidP="00C42C04">
      <w:pPr>
        <w:pStyle w:val="Akapitzlist"/>
        <w:spacing w:after="120" w:line="240" w:lineRule="auto"/>
        <w:ind w:left="567" w:right="567"/>
        <w:contextualSpacing w:val="0"/>
        <w:jc w:val="both"/>
        <w:rPr>
          <w:rFonts w:ascii="Lato" w:eastAsia="Times New Roman" w:hAnsi="Lato" w:cs="Times New Roman"/>
          <w:sz w:val="16"/>
          <w:szCs w:val="16"/>
          <w:lang w:eastAsia="pl-PL"/>
        </w:rPr>
      </w:pPr>
      <w:r w:rsidRPr="00903B76">
        <w:rPr>
          <w:rFonts w:ascii="Lato" w:eastAsia="Times New Roman" w:hAnsi="Lato" w:cs="Times New Roman"/>
          <w:sz w:val="16"/>
          <w:szCs w:val="16"/>
          <w:lang w:eastAsia="pl-PL"/>
        </w:rPr>
        <w:t>Inwentaryzacje w Zarządzie BULiGL w latach 2023 r. i 2024 r.</w:t>
      </w:r>
      <w:r>
        <w:rPr>
          <w:rStyle w:val="Odwoanieprzypisudolnego"/>
          <w:rFonts w:ascii="Lato" w:eastAsia="Times New Roman" w:hAnsi="Lato" w:cs="Times New Roman"/>
          <w:sz w:val="16"/>
          <w:szCs w:val="16"/>
          <w:lang w:eastAsia="pl-PL"/>
        </w:rPr>
        <w:footnoteReference w:id="46"/>
      </w:r>
      <w:r w:rsidRPr="00903B76">
        <w:rPr>
          <w:rFonts w:ascii="Lato" w:eastAsia="Times New Roman" w:hAnsi="Lato" w:cs="Times New Roman"/>
          <w:sz w:val="16"/>
          <w:szCs w:val="16"/>
          <w:lang w:eastAsia="pl-PL"/>
        </w:rPr>
        <w:t xml:space="preserve"> zostały przeprowadzone zgodnie z harmonogramem ustalonym przez Dyrektora, lecz ich wyniki nie zostały właściwie udokumentowane, ponieważ sprawozdania z inwentaryzacji w formie spisu z natury nie zawierały informacji o istnieniu bądź braku różnic inwentaryzacyjnych.</w:t>
      </w:r>
    </w:p>
    <w:p w14:paraId="208B1914" w14:textId="77777777" w:rsidR="00934ADF" w:rsidRPr="00903B76" w:rsidRDefault="00934ADF" w:rsidP="00353769">
      <w:pPr>
        <w:pStyle w:val="Akapitzlist"/>
        <w:spacing w:after="120" w:line="240" w:lineRule="auto"/>
        <w:ind w:left="567" w:right="567"/>
        <w:contextualSpacing w:val="0"/>
        <w:jc w:val="both"/>
        <w:rPr>
          <w:rFonts w:ascii="Lato" w:eastAsia="Times New Roman" w:hAnsi="Lato" w:cs="Times New Roman"/>
          <w:sz w:val="16"/>
          <w:szCs w:val="16"/>
          <w:lang w:eastAsia="pl-PL"/>
        </w:rPr>
      </w:pPr>
      <w:r w:rsidRPr="00903B76">
        <w:rPr>
          <w:rFonts w:ascii="Lato" w:eastAsia="Times New Roman" w:hAnsi="Lato" w:cs="Times New Roman"/>
          <w:sz w:val="16"/>
          <w:szCs w:val="16"/>
          <w:lang w:eastAsia="pl-PL"/>
        </w:rPr>
        <w:t>W obu przypadkach Dyrektor Przedsiębiorstwa powołał komisję inwentaryzacyjną, zgodnie z Zasadami inwentaryzacji, jednakże na przewodniczącego komisji wyznaczył pracownika niezajmującego stanowiska kierowniczego, co było niezgodne z pkt. II.2 Zasad inwentaryzacji. Dyrektor wyjaśnił</w:t>
      </w:r>
      <w:r>
        <w:rPr>
          <w:rStyle w:val="Odwoanieprzypisudolnego"/>
          <w:rFonts w:ascii="Lato" w:eastAsia="Times New Roman" w:hAnsi="Lato" w:cs="Times New Roman"/>
          <w:sz w:val="16"/>
          <w:szCs w:val="16"/>
          <w:lang w:eastAsia="pl-PL"/>
        </w:rPr>
        <w:footnoteReference w:id="47"/>
      </w:r>
      <w:r w:rsidRPr="00903B76">
        <w:rPr>
          <w:rFonts w:ascii="Lato" w:eastAsia="Times New Roman" w:hAnsi="Lato" w:cs="Times New Roman"/>
          <w:sz w:val="16"/>
          <w:szCs w:val="16"/>
          <w:lang w:eastAsia="pl-PL"/>
        </w:rPr>
        <w:t>, że podjął tę decyzję w związku ze znacznym obciążeniem pracą kadry kierowniczej w końcowym okresie roku oraz wysokimi kwalifikacjami wyznaczonego pracownika, który posiadał doświadczenie w pracach inwentaryzacyjnych z lat ubiegłych, jak również cechował się skrupulatnością oraz dokładnością.</w:t>
      </w:r>
    </w:p>
    <w:p w14:paraId="134DD874" w14:textId="77777777" w:rsidR="00934ADF" w:rsidRPr="00903B76" w:rsidRDefault="00934ADF" w:rsidP="007106C7">
      <w:pPr>
        <w:pStyle w:val="Akapitzlist"/>
        <w:numPr>
          <w:ilvl w:val="0"/>
          <w:numId w:val="13"/>
        </w:numPr>
        <w:spacing w:before="120" w:after="120" w:line="240" w:lineRule="auto"/>
        <w:ind w:left="0" w:firstLine="0"/>
        <w:contextualSpacing w:val="0"/>
        <w:jc w:val="both"/>
        <w:rPr>
          <w:rFonts w:ascii="Lato" w:hAnsi="Lato" w:cs="Segoe UI"/>
          <w:szCs w:val="20"/>
        </w:rPr>
      </w:pPr>
      <w:r w:rsidRPr="00903B76">
        <w:rPr>
          <w:rFonts w:ascii="Lato" w:hAnsi="Lato"/>
          <w:b/>
          <w:sz w:val="20"/>
          <w:szCs w:val="20"/>
        </w:rPr>
        <w:t>[Ewidencja majątkowa]</w:t>
      </w:r>
      <w:r w:rsidRPr="00903B76">
        <w:rPr>
          <w:rFonts w:ascii="Lato" w:hAnsi="Lato"/>
          <w:sz w:val="20"/>
          <w:szCs w:val="20"/>
        </w:rPr>
        <w:t xml:space="preserve"> W stosunku do prowadzenia ewidencji majątkowej Przedsiębiorstwa nie stwierdzono nieprawidłowości. </w:t>
      </w:r>
      <w:r w:rsidRPr="00903B76">
        <w:rPr>
          <w:rFonts w:ascii="Lato" w:eastAsia="Times New Roman" w:hAnsi="Lato" w:cs="Times New Roman"/>
          <w:sz w:val="20"/>
          <w:szCs w:val="20"/>
          <w:lang w:eastAsia="pl-PL"/>
        </w:rPr>
        <w:t>Zastrzeżenia budzi jednak przechowywanie w siedzibie Zarządu licznych składników majątkowych, które nie stanowią własności Przedsiębiorstwa, w szczególności prywatnych trofeów myśliwskich. Eksponowanie w przedsiębiorstwie publicznym tego rodzaju okazów nie ma związku z działalnością Biura oraz może wpływać negatywnie na odbiór społeczny jednostki, w szczególności biorąc pod uwagę fakt, że jedno z trofeów stanowił głuszec, który objęty jest ścisłą ochroną na terenie Rzeczypospolitej Polskiej. Obecność tego rodzaju dekoracji w przestrzeni służbowej mogła wprowadzać w błąd co do ich charakteru oraz sugerować, że stanowią element wyposażenia jednostki.</w:t>
      </w:r>
    </w:p>
    <w:p w14:paraId="2C7598DB" w14:textId="77777777" w:rsidR="00934ADF" w:rsidRPr="00903B76" w:rsidRDefault="00934ADF" w:rsidP="00B077C6">
      <w:pPr>
        <w:spacing w:after="120" w:line="240" w:lineRule="auto"/>
        <w:ind w:left="567" w:right="567"/>
        <w:rPr>
          <w:rFonts w:eastAsia="Times New Roman" w:cs="Times New Roman"/>
          <w:sz w:val="16"/>
          <w:szCs w:val="16"/>
          <w:lang w:eastAsia="pl-PL"/>
        </w:rPr>
      </w:pPr>
      <w:r w:rsidRPr="00903B76">
        <w:rPr>
          <w:rFonts w:eastAsia="Times New Roman" w:cs="Times New Roman"/>
          <w:sz w:val="16"/>
          <w:szCs w:val="16"/>
          <w:lang w:eastAsia="pl-PL"/>
        </w:rPr>
        <w:lastRenderedPageBreak/>
        <w:t>W siedzibie Przedsiębiorstwa w trakcie prowadzenia czynności kontrolnych były eksponowane trofea myśliwskie</w:t>
      </w:r>
      <w:r>
        <w:rPr>
          <w:rStyle w:val="Odwoanieprzypisudolnego"/>
          <w:rFonts w:eastAsia="Times New Roman" w:cs="Times New Roman"/>
          <w:sz w:val="16"/>
          <w:szCs w:val="16"/>
          <w:lang w:eastAsia="pl-PL"/>
        </w:rPr>
        <w:footnoteReference w:id="48"/>
      </w:r>
      <w:r w:rsidRPr="00903B76">
        <w:rPr>
          <w:rFonts w:eastAsia="Times New Roman" w:cs="Times New Roman"/>
          <w:sz w:val="16"/>
          <w:szCs w:val="16"/>
          <w:lang w:eastAsia="pl-PL"/>
        </w:rPr>
        <w:t>, nienależące do składników majątkowych Biura. Jeden z nich – głuszec jest gatunkiem objętym ścisłą ochroną</w:t>
      </w:r>
      <w:r>
        <w:rPr>
          <w:rStyle w:val="Odwoanieprzypisudolnego"/>
          <w:rFonts w:eastAsia="Times New Roman" w:cs="Times New Roman"/>
          <w:sz w:val="16"/>
          <w:szCs w:val="16"/>
          <w:lang w:eastAsia="pl-PL"/>
        </w:rPr>
        <w:footnoteReference w:id="49"/>
      </w:r>
      <w:r w:rsidRPr="00903B76">
        <w:rPr>
          <w:rFonts w:eastAsia="Times New Roman" w:cs="Times New Roman"/>
          <w:sz w:val="16"/>
          <w:szCs w:val="16"/>
          <w:lang w:eastAsia="pl-PL"/>
        </w:rPr>
        <w:t>. Dyrektor wyjaśnił</w:t>
      </w:r>
      <w:r>
        <w:rPr>
          <w:rStyle w:val="Odwoanieprzypisudolnego"/>
          <w:rFonts w:eastAsia="Times New Roman" w:cs="Times New Roman"/>
          <w:sz w:val="16"/>
          <w:szCs w:val="16"/>
          <w:lang w:eastAsia="pl-PL"/>
        </w:rPr>
        <w:footnoteReference w:id="50"/>
      </w:r>
      <w:r w:rsidRPr="00903B76">
        <w:rPr>
          <w:rFonts w:eastAsia="Times New Roman" w:cs="Times New Roman"/>
          <w:sz w:val="16"/>
          <w:szCs w:val="16"/>
          <w:lang w:eastAsia="pl-PL"/>
        </w:rPr>
        <w:t>, że trofea były pozyskane w sposób legalny w ramach indywidualnych odstrzałów wydawanych uprawnionym członkom Polskiego Związku Łowieckiego w kołach łowieckich bądź ośrodkach hodowli zwierzyny, jak również w ramach polowań zbiorowych. Dyrektor posiadał decyzję zezwalającą na przetrzymywanie martwych i spreparowanych okazów zwierząt będących pod ochroną gatunkową</w:t>
      </w:r>
      <w:r>
        <w:rPr>
          <w:rStyle w:val="Odwoanieprzypisudolnego"/>
          <w:rFonts w:eastAsia="Times New Roman" w:cs="Times New Roman"/>
          <w:sz w:val="16"/>
          <w:szCs w:val="16"/>
          <w:lang w:eastAsia="pl-PL"/>
        </w:rPr>
        <w:footnoteReference w:id="51"/>
      </w:r>
      <w:r w:rsidRPr="00903B76">
        <w:rPr>
          <w:rFonts w:eastAsia="Times New Roman" w:cs="Times New Roman"/>
          <w:sz w:val="16"/>
          <w:szCs w:val="16"/>
          <w:lang w:eastAsia="pl-PL"/>
        </w:rPr>
        <w:t>.</w:t>
      </w:r>
    </w:p>
    <w:p w14:paraId="3675E4AC" w14:textId="77777777" w:rsidR="00934ADF" w:rsidRPr="00903B76" w:rsidRDefault="00934ADF" w:rsidP="00626412">
      <w:pPr>
        <w:spacing w:before="240" w:after="120" w:line="276" w:lineRule="auto"/>
        <w:rPr>
          <w:bCs/>
          <w:szCs w:val="20"/>
        </w:rPr>
      </w:pPr>
      <w:r w:rsidRPr="00903B76">
        <w:rPr>
          <w:b/>
          <w:bCs/>
          <w:color w:val="000000" w:themeColor="text1"/>
          <w:szCs w:val="20"/>
        </w:rPr>
        <w:t xml:space="preserve">Biorąc pod uwagę przedstawione oceny i ustalenia, zalecam Panu </w:t>
      </w:r>
      <w:r w:rsidRPr="00903B76">
        <w:rPr>
          <w:b/>
          <w:bCs/>
          <w:szCs w:val="20"/>
        </w:rPr>
        <w:t>Dyrektorowi:</w:t>
      </w:r>
    </w:p>
    <w:p w14:paraId="63D26F87" w14:textId="77777777" w:rsidR="00934ADF" w:rsidRPr="00903B76" w:rsidRDefault="00934ADF" w:rsidP="00353769">
      <w:pPr>
        <w:pStyle w:val="Akapitzlist"/>
        <w:numPr>
          <w:ilvl w:val="0"/>
          <w:numId w:val="9"/>
        </w:numPr>
        <w:spacing w:after="120" w:line="276" w:lineRule="auto"/>
        <w:ind w:left="284" w:hanging="284"/>
        <w:jc w:val="both"/>
        <w:rPr>
          <w:rFonts w:ascii="Lato" w:hAnsi="Lato"/>
          <w:sz w:val="20"/>
          <w:szCs w:val="20"/>
        </w:rPr>
      </w:pPr>
      <w:r w:rsidRPr="00903B76">
        <w:rPr>
          <w:rFonts w:ascii="Lato" w:hAnsi="Lato"/>
          <w:sz w:val="20"/>
          <w:szCs w:val="20"/>
        </w:rPr>
        <w:t>Przestrzeganie Regulaminu organizacyjnego przy obsadzaniu stanowisk w Przedsiębiorstwie.</w:t>
      </w:r>
    </w:p>
    <w:p w14:paraId="1B0D6E1B" w14:textId="77777777" w:rsidR="00934ADF" w:rsidRPr="00903B76" w:rsidRDefault="00934ADF" w:rsidP="00353769">
      <w:pPr>
        <w:pStyle w:val="Akapitzlist"/>
        <w:numPr>
          <w:ilvl w:val="0"/>
          <w:numId w:val="9"/>
        </w:numPr>
        <w:spacing w:after="120" w:line="276" w:lineRule="auto"/>
        <w:ind w:left="284" w:hanging="284"/>
        <w:jc w:val="both"/>
        <w:rPr>
          <w:rFonts w:ascii="Lato" w:hAnsi="Lato"/>
          <w:sz w:val="20"/>
          <w:szCs w:val="20"/>
        </w:rPr>
      </w:pPr>
      <w:r w:rsidRPr="00903B76">
        <w:rPr>
          <w:rFonts w:ascii="Lato" w:hAnsi="Lato"/>
          <w:sz w:val="20"/>
          <w:szCs w:val="20"/>
        </w:rPr>
        <w:t>Zapewnienie realizacji audytów wewnętrznych stosownie do regulacji wewnętrznych w tym obszarze.</w:t>
      </w:r>
    </w:p>
    <w:p w14:paraId="6D45B009" w14:textId="77777777" w:rsidR="00934ADF" w:rsidRPr="00903B76" w:rsidRDefault="00934ADF" w:rsidP="00353769">
      <w:pPr>
        <w:pStyle w:val="Akapitzlist"/>
        <w:numPr>
          <w:ilvl w:val="0"/>
          <w:numId w:val="9"/>
        </w:numPr>
        <w:spacing w:after="120" w:line="276" w:lineRule="auto"/>
        <w:ind w:left="284" w:hanging="284"/>
        <w:jc w:val="both"/>
        <w:rPr>
          <w:rFonts w:ascii="Lato" w:hAnsi="Lato"/>
          <w:sz w:val="20"/>
          <w:szCs w:val="20"/>
        </w:rPr>
      </w:pPr>
      <w:r w:rsidRPr="00903B76">
        <w:rPr>
          <w:rFonts w:ascii="Lato" w:hAnsi="Lato"/>
          <w:sz w:val="20"/>
          <w:szCs w:val="20"/>
        </w:rPr>
        <w:t>Wzmocnienie nadzoru nad procesem inwentaryzacji w celu zapewnienia jej realizacji zgodnie z ustawą o rachunkowości oraz Zasadami inwentaryzacji.</w:t>
      </w:r>
    </w:p>
    <w:p w14:paraId="257F4C3F" w14:textId="77777777" w:rsidR="00934ADF" w:rsidRPr="00903B76" w:rsidRDefault="00934ADF" w:rsidP="00353769">
      <w:pPr>
        <w:pStyle w:val="Akapitzlist"/>
        <w:numPr>
          <w:ilvl w:val="0"/>
          <w:numId w:val="9"/>
        </w:numPr>
        <w:spacing w:after="120" w:line="276" w:lineRule="auto"/>
        <w:ind w:left="284" w:hanging="284"/>
        <w:jc w:val="both"/>
        <w:rPr>
          <w:rFonts w:ascii="Lato" w:hAnsi="Lato"/>
          <w:sz w:val="20"/>
          <w:szCs w:val="20"/>
        </w:rPr>
      </w:pPr>
      <w:r w:rsidRPr="00903B76">
        <w:rPr>
          <w:rFonts w:ascii="Lato" w:hAnsi="Lato"/>
          <w:sz w:val="20"/>
          <w:szCs w:val="20"/>
        </w:rPr>
        <w:t>Zapewnienie przejrzystości i równego dostępu do informacji o wolnych stanowiskach pracy.</w:t>
      </w:r>
    </w:p>
    <w:p w14:paraId="1F9CD3D9" w14:textId="77777777" w:rsidR="00934ADF" w:rsidRPr="00903B76" w:rsidRDefault="00934ADF" w:rsidP="008050CE">
      <w:pPr>
        <w:pStyle w:val="akapitwgrupie"/>
        <w:spacing w:after="120" w:line="240" w:lineRule="auto"/>
        <w:ind w:firstLine="0"/>
        <w:rPr>
          <w:rFonts w:ascii="Lato" w:hAnsi="Lato"/>
          <w:sz w:val="20"/>
          <w:szCs w:val="20"/>
        </w:rPr>
      </w:pPr>
      <w:r w:rsidRPr="00903B76">
        <w:rPr>
          <w:rFonts w:ascii="Lato" w:hAnsi="Lato"/>
          <w:sz w:val="20"/>
          <w:szCs w:val="20"/>
        </w:rPr>
        <w:t>Jednocześnie zwracam uwagę Pana Dyrektora na konieczność dostosowania wyposażenia siedziby Zarządu Biura do charakteru i zakresu realizowanych przez Przedsiębiorstwo zadań, tak aby zapewniało ono odpowiednie warunki pracy oraz właściwą, niebudzącą zastrzeżeń reprezentację Biura.</w:t>
      </w:r>
    </w:p>
    <w:p w14:paraId="5E77DFD5" w14:textId="77777777" w:rsidR="00934ADF" w:rsidRPr="00903B76" w:rsidRDefault="00934ADF" w:rsidP="008050CE">
      <w:pPr>
        <w:pStyle w:val="akapitwgrupie"/>
        <w:spacing w:after="120" w:line="240" w:lineRule="auto"/>
        <w:ind w:firstLine="0"/>
        <w:rPr>
          <w:rFonts w:ascii="Lato" w:hAnsi="Lato"/>
          <w:sz w:val="20"/>
          <w:szCs w:val="20"/>
        </w:rPr>
      </w:pPr>
      <w:r w:rsidRPr="00903B76">
        <w:rPr>
          <w:rFonts w:ascii="Lato" w:hAnsi="Lato"/>
          <w:sz w:val="20"/>
          <w:szCs w:val="20"/>
        </w:rPr>
        <w:t xml:space="preserve">Proszę o przesłanie, w terminie 14 dni od otrzymania sprawozdania, informacji </w:t>
      </w:r>
      <w:r w:rsidRPr="00903B76">
        <w:rPr>
          <w:rFonts w:ascii="Lato" w:hAnsi="Lato"/>
          <w:sz w:val="20"/>
          <w:szCs w:val="20"/>
          <w:lang w:eastAsia="en-US"/>
        </w:rPr>
        <w:t>o sposobie realizacji zaleceń lub o innym sposobie usunięcia stwierdzonych nieprawidłowości.</w:t>
      </w:r>
    </w:p>
    <w:p w14:paraId="37D2CA77" w14:textId="77777777" w:rsidR="00934ADF" w:rsidRPr="00903B76" w:rsidRDefault="00934ADF" w:rsidP="00626412">
      <w:pPr>
        <w:spacing w:before="240" w:after="200" w:line="240" w:lineRule="auto"/>
      </w:pPr>
      <w:r w:rsidRPr="00903B76">
        <w:t>Kierownik jednostki kontrolowanej ma prawo w terminie 3 dni roboczych od otrzymania sprawozdania przedstawić do niego stanowisko, nie wstrzymuje to jednak realizacji ustaleń kontroli</w:t>
      </w:r>
      <w:r>
        <w:rPr>
          <w:rStyle w:val="Odwoanieprzypisudolnego"/>
        </w:rPr>
        <w:footnoteReference w:id="52"/>
      </w:r>
      <w:r w:rsidRPr="00903B76">
        <w:t>.</w:t>
      </w:r>
    </w:p>
    <w:p w14:paraId="2CAE1A23" w14:textId="77777777" w:rsidR="00934ADF" w:rsidRPr="00903B76" w:rsidRDefault="00934ADF" w:rsidP="00626412">
      <w:pPr>
        <w:spacing w:before="360" w:after="200" w:line="240" w:lineRule="auto"/>
        <w:rPr>
          <w:szCs w:val="20"/>
        </w:rPr>
      </w:pPr>
      <w:r w:rsidRPr="00903B76">
        <w:rPr>
          <w:szCs w:val="20"/>
        </w:rPr>
        <w:t>Z wyrazami szacunku</w:t>
      </w:r>
    </w:p>
    <w:p w14:paraId="2E2D8190" w14:textId="77777777" w:rsidR="00934ADF" w:rsidRPr="00903B76" w:rsidRDefault="00934ADF" w:rsidP="00547FD8">
      <w:pPr>
        <w:spacing w:after="0" w:line="240" w:lineRule="auto"/>
        <w:jc w:val="left"/>
        <w:rPr>
          <w:szCs w:val="20"/>
        </w:rPr>
      </w:pPr>
      <w:bookmarkStart w:id="7" w:name="ezdPracownikPodpisNazwa"/>
      <w:r w:rsidRPr="00903B76">
        <w:rPr>
          <w:szCs w:val="20"/>
        </w:rPr>
        <w:t>Paulina Hennig-Kloska</w:t>
      </w:r>
      <w:bookmarkEnd w:id="7"/>
    </w:p>
    <w:p w14:paraId="22D04AC7" w14:textId="77777777" w:rsidR="00934ADF" w:rsidRPr="00903B76" w:rsidRDefault="00934ADF" w:rsidP="00547FD8">
      <w:pPr>
        <w:spacing w:after="0" w:line="240" w:lineRule="auto"/>
        <w:jc w:val="left"/>
        <w:rPr>
          <w:szCs w:val="20"/>
        </w:rPr>
      </w:pPr>
      <w:bookmarkStart w:id="8" w:name="ezdPracownikPodpisStanowisko"/>
      <w:r w:rsidRPr="00903B76">
        <w:rPr>
          <w:szCs w:val="20"/>
        </w:rPr>
        <w:t>Minister Klimatu i Środowiska</w:t>
      </w:r>
      <w:bookmarkEnd w:id="8"/>
    </w:p>
    <w:p w14:paraId="2BD1897D" w14:textId="77777777" w:rsidR="00934ADF" w:rsidRPr="00903B76" w:rsidRDefault="00934ADF" w:rsidP="00626412">
      <w:pPr>
        <w:spacing w:after="120" w:line="240" w:lineRule="auto"/>
        <w:jc w:val="left"/>
        <w:rPr>
          <w:szCs w:val="20"/>
        </w:rPr>
      </w:pPr>
      <w:r w:rsidRPr="00903B76">
        <w:rPr>
          <w:szCs w:val="20"/>
        </w:rPr>
        <w:t>Ministerstwo Klimatu i Środowiska</w:t>
      </w:r>
      <w:r w:rsidRPr="00903B76">
        <w:rPr>
          <w:szCs w:val="20"/>
        </w:rPr>
        <w:br/>
        <w:t>/ – podpisany cyfrowo/</w:t>
      </w:r>
    </w:p>
    <w:sectPr w:rsidR="00934ADF" w:rsidRPr="00903B76" w:rsidSect="00D946EF">
      <w:headerReference w:type="default" r:id="rId8"/>
      <w:footerReference w:type="default" r:id="rId9"/>
      <w:headerReference w:type="first" r:id="rId10"/>
      <w:footerReference w:type="first" r:id="rId11"/>
      <w:pgSz w:w="11906" w:h="16838"/>
      <w:pgMar w:top="1559" w:right="1985" w:bottom="1702"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5D3C6" w14:textId="77777777" w:rsidR="00934ADF" w:rsidRDefault="00934ADF">
      <w:pPr>
        <w:spacing w:after="0" w:line="240" w:lineRule="auto"/>
      </w:pPr>
      <w:r>
        <w:separator/>
      </w:r>
    </w:p>
  </w:endnote>
  <w:endnote w:type="continuationSeparator" w:id="0">
    <w:p w14:paraId="7B55DF14" w14:textId="77777777" w:rsidR="00934ADF" w:rsidRDefault="00934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306F248D-BAC5-4724-A386-94BE20241366}"/>
    <w:embedBold r:id="rId2" w:fontKey="{214B4618-420D-467A-AF46-E8AC942855D2}"/>
    <w:embedItalic r:id="rId3" w:fontKey="{914E77E3-278F-43FD-A065-6CCEFC14970E}"/>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087795"/>
      <w:docPartObj>
        <w:docPartGallery w:val="Page Numbers (Bottom of Page)"/>
        <w:docPartUnique/>
      </w:docPartObj>
    </w:sdtPr>
    <w:sdtEndPr/>
    <w:sdtContent>
      <w:sdt>
        <w:sdtPr>
          <w:id w:val="1728636285"/>
          <w:docPartObj>
            <w:docPartGallery w:val="Page Numbers (Top of Page)"/>
            <w:docPartUnique/>
          </w:docPartObj>
        </w:sdtPr>
        <w:sdtEndPr/>
        <w:sdtContent>
          <w:p w14:paraId="2E763432" w14:textId="77777777" w:rsidR="00934ADF" w:rsidRDefault="00934ADF" w:rsidP="00423E6E">
            <w:pPr>
              <w:pStyle w:val="Stopka"/>
              <w:jc w:val="right"/>
            </w:pPr>
            <w:r w:rsidRPr="00423E6E">
              <w:rPr>
                <w:szCs w:val="16"/>
              </w:rPr>
              <w:t xml:space="preserve">Strona </w:t>
            </w:r>
            <w:r w:rsidRPr="00423E6E">
              <w:rPr>
                <w:b/>
                <w:bCs/>
                <w:szCs w:val="16"/>
              </w:rPr>
              <w:fldChar w:fldCharType="begin"/>
            </w:r>
            <w:r w:rsidRPr="00423E6E">
              <w:rPr>
                <w:b/>
                <w:bCs/>
                <w:szCs w:val="16"/>
              </w:rPr>
              <w:instrText>PAGE</w:instrText>
            </w:r>
            <w:r w:rsidRPr="00423E6E">
              <w:rPr>
                <w:b/>
                <w:bCs/>
                <w:szCs w:val="16"/>
              </w:rPr>
              <w:fldChar w:fldCharType="separate"/>
            </w:r>
            <w:r w:rsidRPr="00423E6E">
              <w:rPr>
                <w:b/>
                <w:bCs/>
                <w:szCs w:val="16"/>
              </w:rPr>
              <w:t>2</w:t>
            </w:r>
            <w:r w:rsidRPr="00423E6E">
              <w:rPr>
                <w:b/>
                <w:bCs/>
                <w:szCs w:val="16"/>
              </w:rPr>
              <w:fldChar w:fldCharType="end"/>
            </w:r>
            <w:r w:rsidRPr="00423E6E">
              <w:rPr>
                <w:szCs w:val="16"/>
              </w:rPr>
              <w:t xml:space="preserve"> z </w:t>
            </w:r>
            <w:r w:rsidRPr="00423E6E">
              <w:rPr>
                <w:b/>
                <w:bCs/>
                <w:szCs w:val="16"/>
              </w:rPr>
              <w:fldChar w:fldCharType="begin"/>
            </w:r>
            <w:r w:rsidRPr="00423E6E">
              <w:rPr>
                <w:b/>
                <w:bCs/>
                <w:szCs w:val="16"/>
              </w:rPr>
              <w:instrText>NUMPAGES</w:instrText>
            </w:r>
            <w:r w:rsidRPr="00423E6E">
              <w:rPr>
                <w:b/>
                <w:bCs/>
                <w:szCs w:val="16"/>
              </w:rPr>
              <w:fldChar w:fldCharType="separate"/>
            </w:r>
            <w:r w:rsidRPr="00423E6E">
              <w:rPr>
                <w:b/>
                <w:bCs/>
                <w:szCs w:val="16"/>
              </w:rPr>
              <w:t>2</w:t>
            </w:r>
            <w:r w:rsidRPr="00423E6E">
              <w:rPr>
                <w:b/>
                <w:bCs/>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6D0EE" w14:textId="77777777" w:rsidR="00934ADF" w:rsidRPr="0078775A" w:rsidRDefault="00934ADF" w:rsidP="00547FD8">
    <w:pPr>
      <w:pStyle w:val="Stopka"/>
      <w:tabs>
        <w:tab w:val="clear" w:pos="4536"/>
        <w:tab w:val="clear" w:pos="9072"/>
        <w:tab w:val="left" w:pos="5103"/>
      </w:tabs>
    </w:pPr>
    <w:r w:rsidRPr="0078775A">
      <w:rPr>
        <w:noProof/>
        <w:sz w:val="14"/>
        <w:lang w:eastAsia="pl-PL"/>
      </w:rPr>
      <mc:AlternateContent>
        <mc:Choice Requires="wps">
          <w:drawing>
            <wp:anchor distT="0" distB="0" distL="114300" distR="114300" simplePos="0" relativeHeight="251658240" behindDoc="0" locked="0" layoutInCell="1" allowOverlap="1" wp14:anchorId="59062DCD" wp14:editId="5D17F606">
              <wp:simplePos x="0" y="0"/>
              <wp:positionH relativeFrom="margin">
                <wp:align>left</wp:align>
              </wp:positionH>
              <wp:positionV relativeFrom="paragraph">
                <wp:posOffset>-61273</wp:posOffset>
              </wp:positionV>
              <wp:extent cx="5040000"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id="Łącznik prosty 2" o:spid="_x0000_s2049" style="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59264" from="0,-4.8pt" to="396.85pt,-4.8pt" strokecolor="black" strokeweight="0.5pt">
              <v:stroke joinstyle="miter"/>
              <w10:wrap anchorx="margin"/>
            </v:line>
          </w:pict>
        </mc:Fallback>
      </mc:AlternateContent>
    </w:r>
    <w:r w:rsidRPr="0078775A">
      <w:t>Telefon: (+48) 22</w:t>
    </w:r>
    <w:r>
      <w:t> </w:t>
    </w:r>
    <w:r w:rsidRPr="0078775A">
      <w:t>369</w:t>
    </w:r>
    <w:r>
      <w:t xml:space="preserve"> </w:t>
    </w:r>
    <w:r w:rsidRPr="0078775A">
      <w:t>29</w:t>
    </w:r>
    <w:r>
      <w:t xml:space="preserve"> </w:t>
    </w:r>
    <w:r w:rsidRPr="0078775A">
      <w:t>00</w:t>
    </w:r>
    <w:r w:rsidRPr="0078775A">
      <w:tab/>
      <w:t xml:space="preserve">ul. Wawelska 52/54, 00-922 Warszawa  </w:t>
    </w:r>
  </w:p>
  <w:p w14:paraId="327A1C05" w14:textId="77777777" w:rsidR="00934ADF" w:rsidRPr="0078775A" w:rsidRDefault="00934ADF" w:rsidP="00547FD8">
    <w:pPr>
      <w:pStyle w:val="Stopka"/>
      <w:tabs>
        <w:tab w:val="clear" w:pos="4536"/>
        <w:tab w:val="clear" w:pos="9072"/>
        <w:tab w:val="left" w:pos="5387"/>
      </w:tabs>
    </w:pPr>
    <w:r w:rsidRPr="0078775A">
      <w:t>info@klimat.gov.pl</w:t>
    </w:r>
    <w:r w:rsidRPr="0078775A">
      <w:tab/>
      <w:t xml:space="preserve">Ministerstwo Klimatu i Środowiska  </w:t>
    </w:r>
  </w:p>
  <w:p w14:paraId="1191B254" w14:textId="77777777" w:rsidR="00934ADF" w:rsidRPr="0078775A" w:rsidRDefault="00934ADF" w:rsidP="00547FD8">
    <w:pPr>
      <w:pStyle w:val="Stopka"/>
      <w:tabs>
        <w:tab w:val="left" w:pos="5954"/>
      </w:tabs>
    </w:pPr>
    <w:r w:rsidRPr="0078775A">
      <w:t>www.gov.pl/klimat</w:t>
    </w:r>
  </w:p>
  <w:p w14:paraId="1D72F112" w14:textId="77777777" w:rsidR="00934ADF" w:rsidRPr="0034674F" w:rsidRDefault="00934ADF" w:rsidP="0034674F">
    <w:pPr>
      <w:pStyle w:val="Stopka"/>
      <w:jc w:val="center"/>
      <w:rPr>
        <w:sz w:val="14"/>
      </w:rPr>
    </w:pPr>
    <w:r w:rsidRPr="0078775A">
      <w:rPr>
        <w:sz w:val="14"/>
      </w:rPr>
      <w:t>Działamy zgodnie z EMAS - zarządzając instytucją, dbamy o środowisko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C9A58" w14:textId="77777777" w:rsidR="00934ADF" w:rsidRDefault="00934ADF">
      <w:pPr>
        <w:spacing w:after="0" w:line="240" w:lineRule="auto"/>
      </w:pPr>
      <w:r>
        <w:separator/>
      </w:r>
    </w:p>
  </w:footnote>
  <w:footnote w:type="continuationSeparator" w:id="0">
    <w:p w14:paraId="20E4DDBB" w14:textId="77777777" w:rsidR="00934ADF" w:rsidRDefault="00934ADF">
      <w:pPr>
        <w:spacing w:after="0" w:line="240" w:lineRule="auto"/>
      </w:pPr>
      <w:r>
        <w:continuationSeparator/>
      </w:r>
    </w:p>
  </w:footnote>
  <w:footnote w:id="1">
    <w:p w14:paraId="7B463B3D" w14:textId="77777777" w:rsidR="00934ADF" w:rsidRPr="00903B76" w:rsidRDefault="00934ADF" w:rsidP="006C132F">
      <w:pPr>
        <w:spacing w:after="0" w:line="240" w:lineRule="auto"/>
        <w:rPr>
          <w:sz w:val="16"/>
          <w:szCs w:val="16"/>
        </w:rPr>
      </w:pPr>
      <w:r w:rsidRPr="00903B76">
        <w:rPr>
          <w:rStyle w:val="Odwoanieprzypisudolnego"/>
          <w:sz w:val="16"/>
          <w:szCs w:val="16"/>
        </w:rPr>
        <w:footnoteRef/>
      </w:r>
      <w:r w:rsidRPr="00903B76">
        <w:rPr>
          <w:sz w:val="16"/>
          <w:szCs w:val="16"/>
        </w:rPr>
        <w:t xml:space="preserve"> Kontrolę przeprowadził zespół kontrolerów Ministerstwa Klimatu i Środowiska w składzie: Katarzyna Żebrowska – główny specjalista w Biurze Kontroli i Audytu, Jacek Grodzki – naczelnik w Biurze Kontroli i Audytu oraz Eligiusz Stachniak – radca prawny w Departamencie Leśnictwa i Łowiectwa.</w:t>
      </w:r>
    </w:p>
  </w:footnote>
  <w:footnote w:id="2">
    <w:p w14:paraId="505B850D" w14:textId="77777777" w:rsidR="00934ADF" w:rsidRPr="00903B76" w:rsidRDefault="00934ADF" w:rsidP="00353769">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Okres objęty kontrolą: od 1 stycznia 2023 r. do 26 kwietnia 2024 r. - z wykorzystaniem dowodów sporządzonych przed i po tym okresie, jeżeli miały one związek z zakresem kontroli. W przypadku sytuacji finansowej oraz wynagrodzeń do celów porównawczych podano dane za cały 2024 r.</w:t>
      </w:r>
    </w:p>
  </w:footnote>
  <w:footnote w:id="3">
    <w:p w14:paraId="620C2128" w14:textId="77777777" w:rsidR="00934ADF" w:rsidRPr="00903B76" w:rsidRDefault="00934ADF" w:rsidP="00430024">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Dz. U. z 2023 r. poz. 437.</w:t>
      </w:r>
    </w:p>
  </w:footnote>
  <w:footnote w:id="4">
    <w:p w14:paraId="0660E8C8" w14:textId="77777777" w:rsidR="00934ADF" w:rsidRPr="00903B76" w:rsidRDefault="00934ADF">
      <w:pPr>
        <w:pStyle w:val="Tekstprzypisudolnego"/>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Dz. U. z 2019 r. poz. 730.</w:t>
      </w:r>
    </w:p>
  </w:footnote>
  <w:footnote w:id="5">
    <w:p w14:paraId="4ECEEDB0" w14:textId="77777777" w:rsidR="00934ADF" w:rsidRPr="00903B76" w:rsidRDefault="00934ADF" w:rsidP="00430024">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Dz. U. z 2020 r. poz. 224.</w:t>
      </w:r>
    </w:p>
  </w:footnote>
  <w:footnote w:id="6">
    <w:p w14:paraId="73815925" w14:textId="77777777" w:rsidR="00934ADF" w:rsidRPr="00903B76" w:rsidRDefault="00934ADF" w:rsidP="00430024">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M.P. poz. 302, we wcześniejszym okresie M.P. z 2024 r. poz. 210 oraz M.P. z 2021 r. poz. 374.</w:t>
      </w:r>
    </w:p>
  </w:footnote>
  <w:footnote w:id="7">
    <w:p w14:paraId="4445C2F9" w14:textId="77777777" w:rsidR="00934ADF" w:rsidRPr="00903B76" w:rsidRDefault="00934ADF" w:rsidP="000338DF">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Statut Przedsiębiorstwa Państwowego pod nazwą Biuro Urządzania Lasu i Geodezji Leśnej w Warszawie z dnia 12.01.1984 r., z późn. zm.</w:t>
      </w:r>
    </w:p>
  </w:footnote>
  <w:footnote w:id="8">
    <w:p w14:paraId="43559EE7" w14:textId="77777777" w:rsidR="00934ADF" w:rsidRPr="00903B76" w:rsidRDefault="00934ADF" w:rsidP="003F3785">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w:t>
      </w:r>
      <w:r w:rsidRPr="00903B76">
        <w:rPr>
          <w:rFonts w:ascii="Lato" w:eastAsia="Times New Roman" w:hAnsi="Lato" w:cs="Times New Roman"/>
          <w:sz w:val="16"/>
          <w:szCs w:val="16"/>
          <w:lang w:eastAsia="pl-PL"/>
        </w:rPr>
        <w:t>Na podstawie art. 121 ustawy z dnia 16 grudnia 2016 r. Przepisy wprowadzające ustawę o zasadach zarządzania mieniem państwowym</w:t>
      </w:r>
      <w:r w:rsidRPr="00903B76">
        <w:rPr>
          <w:rFonts w:ascii="Lato" w:hAnsi="Lato"/>
          <w:sz w:val="16"/>
          <w:szCs w:val="16"/>
        </w:rPr>
        <w:t xml:space="preserve"> (Dz. U. 2016 r. poz. 2260).</w:t>
      </w:r>
    </w:p>
  </w:footnote>
  <w:footnote w:id="9">
    <w:p w14:paraId="46BDD298" w14:textId="77777777" w:rsidR="00934ADF" w:rsidRPr="00903B76" w:rsidRDefault="00934ADF" w:rsidP="0014564B">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w:t>
      </w:r>
      <w:r w:rsidRPr="00903B76">
        <w:rPr>
          <w:rFonts w:ascii="Lato" w:hAnsi="Lato" w:cstheme="minorHAnsi"/>
          <w:color w:val="000000" w:themeColor="text1"/>
          <w:sz w:val="16"/>
          <w:szCs w:val="16"/>
        </w:rPr>
        <w:t>§</w:t>
      </w:r>
      <w:r w:rsidRPr="00903B76">
        <w:rPr>
          <w:rFonts w:ascii="Lato" w:hAnsi="Lato"/>
          <w:color w:val="000000" w:themeColor="text1"/>
          <w:sz w:val="16"/>
          <w:szCs w:val="16"/>
        </w:rPr>
        <w:t xml:space="preserve"> 16 Statutu przedsiębiorstwa państwowego pod nazwą Biuro Urządzania Lasu i Geodezji Leśnej.</w:t>
      </w:r>
    </w:p>
  </w:footnote>
  <w:footnote w:id="10">
    <w:p w14:paraId="7B44E06A" w14:textId="77777777" w:rsidR="00934ADF" w:rsidRPr="00903B76" w:rsidRDefault="00934ADF" w:rsidP="00D1772F">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Zarządzenie nr 5 Dyrektora BULiGL z dnia 14.12.2022 r., znak DN//RP-0101-1-2022-164.</w:t>
      </w:r>
    </w:p>
  </w:footnote>
  <w:footnote w:id="11">
    <w:p w14:paraId="1C62427D" w14:textId="77777777" w:rsidR="00934ADF" w:rsidRPr="00903B76" w:rsidRDefault="00934ADF" w:rsidP="00AC33CB">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Dyrektor, Zastępca Dyrektora, Główny Księgowy w Zarządzie BULiGL.</w:t>
      </w:r>
    </w:p>
  </w:footnote>
  <w:footnote w:id="12">
    <w:p w14:paraId="009D722E" w14:textId="77777777" w:rsidR="00934ADF" w:rsidRPr="00903B76" w:rsidRDefault="00934ADF" w:rsidP="00AC33CB">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Ustawa z dnia 3.03.2020 r. o wynagradzaniu osób kierujących niektórymi podmiotami prawnymi (Dz. U. z 2019 r. poz. 2136).</w:t>
      </w:r>
    </w:p>
  </w:footnote>
  <w:footnote w:id="13">
    <w:p w14:paraId="33320E1A" w14:textId="77777777" w:rsidR="00934ADF" w:rsidRPr="00903B76" w:rsidRDefault="00934ADF" w:rsidP="008A3010">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w:t>
      </w:r>
      <w:r w:rsidRPr="00903B76">
        <w:rPr>
          <w:rFonts w:ascii="Lato" w:hAnsi="Lato"/>
          <w:color w:val="000000" w:themeColor="text1"/>
          <w:sz w:val="16"/>
          <w:szCs w:val="16"/>
        </w:rPr>
        <w:t>Zarządzenie nr 12/2021 Dyrektora BULiGL z dnia 28.12.2021 r. w sprawie zasad wynagradzania osób zarządzających zakładami pacy w Biurze Urządzania Lasu i Geodezji Leśnej (znak DN/RP-0101-2021-107).</w:t>
      </w:r>
    </w:p>
  </w:footnote>
  <w:footnote w:id="14">
    <w:p w14:paraId="2253C88D" w14:textId="77777777" w:rsidR="00934ADF" w:rsidRPr="00903B76" w:rsidRDefault="00934ADF" w:rsidP="005B4CA8">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Ustawa z dnia 26.06.1974 r. Kodeks pracy (Dz. U. z 2025 r. poz. 277).</w:t>
      </w:r>
    </w:p>
  </w:footnote>
  <w:footnote w:id="15">
    <w:p w14:paraId="034184AF" w14:textId="77777777" w:rsidR="00934ADF" w:rsidRPr="00903B76" w:rsidRDefault="00934ADF">
      <w:pPr>
        <w:pStyle w:val="Tekstprzypisudolnego"/>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Ustawa z dnia 29.09.1994 r. o rachunkowości (Dz. U. z 2023 r. poz. 120).</w:t>
      </w:r>
    </w:p>
  </w:footnote>
  <w:footnote w:id="16">
    <w:p w14:paraId="038BD2EE" w14:textId="77777777" w:rsidR="00934ADF" w:rsidRPr="00903B76" w:rsidRDefault="00934ADF" w:rsidP="00177C20">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Zarządzenie nr 16/2023 z dnia 18.12.2023 r. Dyrektora BULiGL w sprawie jednolitych zasad prowadzenia rachunkowości w Przedsiębiorstwie Państwowym pn. Biuro Urządzania Lasu i Geodezji Leśnej.</w:t>
      </w:r>
    </w:p>
  </w:footnote>
  <w:footnote w:id="17">
    <w:p w14:paraId="2627A9C7" w14:textId="77777777" w:rsidR="00934ADF" w:rsidRPr="00903B76" w:rsidRDefault="00934ADF">
      <w:pPr>
        <w:pStyle w:val="Tekstprzypisudolnego"/>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Całkowity koszt wynagrodzenia poniesiony przez Biuro, tj. wynagrodzenie brutto pracownika wraz ze składami opłacanymi przez pracodawcę.</w:t>
      </w:r>
    </w:p>
  </w:footnote>
  <w:footnote w:id="18">
    <w:p w14:paraId="5AA8F7AF" w14:textId="77777777" w:rsidR="00934ADF" w:rsidRPr="00903B76" w:rsidRDefault="00934ADF" w:rsidP="00AA4ECF">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Regulamin organizacyjny wprowadzony zarządzeniem nr 5 Dyrektora BULiGL z dnia 14.12.2022 r., znak: DN/RP-0101-1-2022-164.</w:t>
      </w:r>
    </w:p>
  </w:footnote>
  <w:footnote w:id="19">
    <w:p w14:paraId="1F32D6F5" w14:textId="77777777" w:rsidR="00934ADF" w:rsidRPr="00903B76" w:rsidRDefault="00934ADF" w:rsidP="00B50E6E">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Opinia prawna z 29.02.2024 r.</w:t>
      </w:r>
    </w:p>
  </w:footnote>
  <w:footnote w:id="20">
    <w:p w14:paraId="7C6D3B6F" w14:textId="77777777" w:rsidR="00934ADF" w:rsidRPr="00903B76" w:rsidRDefault="00934ADF" w:rsidP="00AA4ECF">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Pismo z 17.04.2024 r., znak: DN/RP-091-60-2024-60.</w:t>
      </w:r>
    </w:p>
  </w:footnote>
  <w:footnote w:id="21">
    <w:p w14:paraId="058E07A4" w14:textId="77777777" w:rsidR="00934ADF" w:rsidRPr="00903B76" w:rsidRDefault="00934ADF" w:rsidP="00AA4ECF">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Pismo z 5.04.2024 r., znak: DN/RP-091-46-2024-46.</w:t>
      </w:r>
    </w:p>
  </w:footnote>
  <w:footnote w:id="22">
    <w:p w14:paraId="34C7CADD" w14:textId="77777777" w:rsidR="00934ADF" w:rsidRPr="00903B76" w:rsidRDefault="00934ADF" w:rsidP="00AA4ECF">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Np. Wyrok Sądu Najwyższego - Izba Pracy, Ubezpieczeń Społecznych i Spraw Publicznych z 6.01.2009 r., sygn. II PK 111/08.</w:t>
      </w:r>
    </w:p>
  </w:footnote>
  <w:footnote w:id="23">
    <w:p w14:paraId="6FBE412C" w14:textId="77777777" w:rsidR="00934ADF" w:rsidRPr="00903B76" w:rsidRDefault="00934ADF" w:rsidP="00A603EB">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Liczony jako różnica pomiędzy ilorazem wydatków na wynagrodzenia w 2024 r. do liczby pracowników zatrudnionych na koniec tego roku a ilorazem liczonym w analogiczny sposób dla 2023 r.</w:t>
      </w:r>
    </w:p>
  </w:footnote>
  <w:footnote w:id="24">
    <w:p w14:paraId="70D71A5C" w14:textId="77777777" w:rsidR="00934ADF" w:rsidRPr="00903B76" w:rsidRDefault="00934ADF" w:rsidP="00CE5599">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Komunikat Prezesa Głównego Urzędu Statystycznego z dnia 9 lutego 2024 r. w sprawie przeciętnego wynagrodzenia w gospodarce narodowej w 2023 r. (7 155,48 zł), oraz Komunikat Prezesa Głównego Urzędu Statystycznego z dnia 11 lutego 2025 r. w sprawie przeciętnego wynagrodzenia w gospodarce narodowej w 2024 r. (8 181,72 zł) –wzrost przeciętnego wynagrodzenia o 1 026,24 (14,3%).</w:t>
      </w:r>
    </w:p>
  </w:footnote>
  <w:footnote w:id="25">
    <w:p w14:paraId="071B327D" w14:textId="77777777" w:rsidR="00934ADF" w:rsidRPr="00903B76" w:rsidRDefault="00934ADF" w:rsidP="001E69D8">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Ustawa z dnia 3.03.2020 r. o wynagradzaniu osób kierujących niektórymi podmiotami prawnymi (Dz. U. z 2019 r. poz. 2136).</w:t>
      </w:r>
    </w:p>
  </w:footnote>
  <w:footnote w:id="26">
    <w:p w14:paraId="396C8AA6" w14:textId="77777777" w:rsidR="00934ADF" w:rsidRPr="00903B76" w:rsidRDefault="00934ADF" w:rsidP="001E69D8">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w:t>
      </w:r>
      <w:r w:rsidRPr="00903B76">
        <w:rPr>
          <w:rFonts w:ascii="Lato" w:hAnsi="Lato"/>
          <w:color w:val="000000" w:themeColor="text1"/>
          <w:sz w:val="16"/>
          <w:szCs w:val="16"/>
        </w:rPr>
        <w:t>Zarządzenie nr 12/2021 Dyrektora BULiGL z dnia 28.12.2021 r. w sprawie zasad wynagradzania osób zarządzających zakładami pacy w Biurze Urządzania Lasu i Geodezji Leśnej (znak DN/RP-0101-2021-107).</w:t>
      </w:r>
    </w:p>
  </w:footnote>
  <w:footnote w:id="27">
    <w:p w14:paraId="140FE6B6" w14:textId="77777777" w:rsidR="00934ADF" w:rsidRPr="00903B76" w:rsidRDefault="00934ADF">
      <w:pPr>
        <w:pStyle w:val="Tekstprzypisudolnego"/>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Według stanu na 31.12.2023 r. i 31.12.2024 r.</w:t>
      </w:r>
    </w:p>
  </w:footnote>
  <w:footnote w:id="28">
    <w:p w14:paraId="411296E1" w14:textId="77777777" w:rsidR="00934ADF" w:rsidRPr="00903B76" w:rsidRDefault="00934ADF" w:rsidP="00901AAC">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w:t>
      </w:r>
      <w:r w:rsidRPr="00903B76">
        <w:rPr>
          <w:rFonts w:ascii="Lato" w:hAnsi="Lato"/>
          <w:color w:val="000000" w:themeColor="text1"/>
          <w:sz w:val="16"/>
          <w:szCs w:val="16"/>
        </w:rPr>
        <w:t>Zarządzenie nr 12/2021 Dyrektora BULiGL z dnia 28.12.2021 r.</w:t>
      </w:r>
    </w:p>
  </w:footnote>
  <w:footnote w:id="29">
    <w:p w14:paraId="01330983" w14:textId="77777777" w:rsidR="00934ADF" w:rsidRPr="00903B76" w:rsidRDefault="00934ADF" w:rsidP="00901AAC">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Ustalanego na postawie ustawy z dnia 10.10.2002 r. o minimalnym wynagrodzeniu za pracę (Dz. U. z 2020 r. poz. 2207).</w:t>
      </w:r>
    </w:p>
  </w:footnote>
  <w:footnote w:id="30">
    <w:p w14:paraId="1E009CEA" w14:textId="77777777" w:rsidR="00934ADF" w:rsidRPr="00903B76" w:rsidRDefault="00934ADF" w:rsidP="00901AAC">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W grudniu 2023 r. nastąpił wzrost wynagrodzeń.</w:t>
      </w:r>
    </w:p>
  </w:footnote>
  <w:footnote w:id="31">
    <w:p w14:paraId="18908AF0" w14:textId="77777777" w:rsidR="00934ADF" w:rsidRPr="00903B76" w:rsidRDefault="00934ADF" w:rsidP="00963436">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W związku ze zmianą wysokości dodatków funkcyjnych w grudniu 2023 r., dane przedstawiono po wprowadzeniu tej zmiany.</w:t>
      </w:r>
    </w:p>
  </w:footnote>
  <w:footnote w:id="32">
    <w:p w14:paraId="7C2ED491" w14:textId="77777777" w:rsidR="00934ADF" w:rsidRPr="00903B76" w:rsidRDefault="00934ADF" w:rsidP="00901AAC">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Pisma z 23.04.2024 r. znak: DN/RP-091-68-2024-68 oraz z 28.08.2025 r. znak: DN/RP-091-94-2025-94.</w:t>
      </w:r>
    </w:p>
  </w:footnote>
  <w:footnote w:id="33">
    <w:p w14:paraId="2B9DA9CA" w14:textId="77777777" w:rsidR="00934ADF" w:rsidRPr="00903B76" w:rsidRDefault="00934ADF" w:rsidP="00AC33CB">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Zakładowy Układ Zbiorowy Pracy dla Pracowników Biura Urządzania Lasu i Geodezji Leśnej z 20.10.2021 r.</w:t>
      </w:r>
    </w:p>
  </w:footnote>
  <w:footnote w:id="34">
    <w:p w14:paraId="5A8763DA" w14:textId="77777777" w:rsidR="00934ADF" w:rsidRPr="00903B76" w:rsidRDefault="00934ADF" w:rsidP="00AC33CB">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Zarządzenie nr 10/2018 Dyrektora BULiGL z dnia 13.03.2018 r.</w:t>
      </w:r>
    </w:p>
  </w:footnote>
  <w:footnote w:id="35">
    <w:p w14:paraId="170E8840" w14:textId="77777777" w:rsidR="00934ADF" w:rsidRPr="00903B76" w:rsidRDefault="00934ADF" w:rsidP="00AC33CB">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Zarządzenie nr 8/2023 Dyrektora BULiGL z dnia 12.05.2023 r. w sprawie wprowadzenia Regulaminu pracy zdalnej w Zarządzie BULiGL (znak: DN/RP-0101-63-2023-63).</w:t>
      </w:r>
    </w:p>
  </w:footnote>
  <w:footnote w:id="36">
    <w:p w14:paraId="238DC1DD" w14:textId="77777777" w:rsidR="00934ADF" w:rsidRPr="00903B76" w:rsidRDefault="00934ADF" w:rsidP="00AC33CB">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Zarządzenie nr 3/2008 Dyrektora BULiGL z dnia 4.06.2008 r. w sprawie Ramowego Regulaminu premiowania i nagradzania Pracowników Biura Urządzania Lasu i Geodezji Leśnej w Warszawie (znak DN/TT/103/2008) oraz zarządzenie nr 12/2021 Dyrektora BULiGL z dnia 28.12.2021 r. w sprawie Zasad wynagradzania osób zarządzających zakładami pacy w BULiGL (znak DN/RP-0101-2021-107).</w:t>
      </w:r>
    </w:p>
  </w:footnote>
  <w:footnote w:id="37">
    <w:p w14:paraId="1053011F" w14:textId="77777777" w:rsidR="00934ADF" w:rsidRPr="00903B76" w:rsidRDefault="00934ADF" w:rsidP="008361DD">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Polityka personalna, która obowiązuje od 11.10.2017 r. w związku z Zarządzaniem jakością i środowiskiem.</w:t>
      </w:r>
    </w:p>
  </w:footnote>
  <w:footnote w:id="38">
    <w:p w14:paraId="5B5EC0D3" w14:textId="77777777" w:rsidR="00934ADF" w:rsidRPr="00903B76" w:rsidRDefault="00934ADF" w:rsidP="0040506D">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Polityka personalna, która obowiązuje od 11 października 2017 r. w związku z Zarządzaniem jakością i środowiskiem.</w:t>
      </w:r>
    </w:p>
  </w:footnote>
  <w:footnote w:id="39">
    <w:p w14:paraId="5D185231" w14:textId="77777777" w:rsidR="00934ADF" w:rsidRPr="00903B76" w:rsidRDefault="00934ADF" w:rsidP="00B032A1">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Pismo z 15.04.2024 r., znak: DN/RP-091-57-2024-57.</w:t>
      </w:r>
    </w:p>
  </w:footnote>
  <w:footnote w:id="40">
    <w:p w14:paraId="0915FF17" w14:textId="77777777" w:rsidR="00934ADF" w:rsidRPr="00903B76" w:rsidRDefault="00934ADF" w:rsidP="00706A7C">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Plan techniczno-ekonomiczny na rok 2022 r. Rada Pracownicza Przedsiębiorstwa zatwierdziła uchwałą Nr 14/XIX/2022 z 30.06.2022 r. Plan techniczno-ekonomiczny na rok 2023 r. Rada Pracownicza Przedsiębiorstwa zatwierdziła uchwałą Nr 10/XX/2022 z 4 lipca 2023 r.</w:t>
      </w:r>
    </w:p>
  </w:footnote>
  <w:footnote w:id="41">
    <w:p w14:paraId="2BE7CE4D" w14:textId="77777777" w:rsidR="00934ADF" w:rsidRPr="00903B76" w:rsidRDefault="00934ADF" w:rsidP="0079254A">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Ustawa z dnia 25 września 1981 r. o samorządzie załogi przedsiębiorstwa państwowego (Dz. U. z 2015 r. poz. 1543).</w:t>
      </w:r>
    </w:p>
  </w:footnote>
  <w:footnote w:id="42">
    <w:p w14:paraId="76E23B9B" w14:textId="77777777" w:rsidR="00934ADF" w:rsidRPr="00903B76" w:rsidRDefault="00934ADF" w:rsidP="0079254A">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w:t>
      </w:r>
      <w:r w:rsidRPr="00903B76">
        <w:rPr>
          <w:rFonts w:ascii="Lato" w:hAnsi="Lato"/>
          <w:color w:val="000000" w:themeColor="text1"/>
          <w:sz w:val="16"/>
          <w:szCs w:val="16"/>
        </w:rPr>
        <w:t>Pismo Dyrektora z 17.04.2024 r., znak: DN/RP-091-61-2024-61.</w:t>
      </w:r>
    </w:p>
  </w:footnote>
  <w:footnote w:id="43">
    <w:p w14:paraId="6015AF21" w14:textId="77777777" w:rsidR="00934ADF" w:rsidRPr="00903B76" w:rsidRDefault="00934ADF" w:rsidP="0079254A">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Pismo Dyrektora z 25.04.2024 r., znak: DN/RP-091-69-2024-69.</w:t>
      </w:r>
    </w:p>
  </w:footnote>
  <w:footnote w:id="44">
    <w:p w14:paraId="3AEC6EB6" w14:textId="77777777" w:rsidR="00934ADF" w:rsidRPr="00903B76" w:rsidRDefault="00934ADF" w:rsidP="0079254A">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Zarządzenie nr 9 Dyrektora BULiGL z dnia 9.08.2010 r. ws. regulaminu kontroli wewnętrznej w pionie Głównych Księgowych, obiegu dokumentów w BULiGL i zmiany nazwy zarządzenia Dyrektora BULiGL. Zarządzenie nr 8 Dyrektora BULiGL z dnia 13.03.2018 r. w sprawie wytycznych dla inspektorów do przeprowadzenia kontroli prac urządzeniowych, siedliskowych, geodezyjnych oraz ochrony danych osobowych. Zarządzenie nr 1 Dyrektora BULiGL z dnia 27.03.2024 r. w sprawie zasad użytkowania systemów informatycznych i wytycznych do przeprowadzania kontroli funkcjonowania systemów informatycznych oraz ochrony danych osobowych w systemach informatycznych w BULiGL.</w:t>
      </w:r>
    </w:p>
  </w:footnote>
  <w:footnote w:id="45">
    <w:p w14:paraId="1B602146" w14:textId="77777777" w:rsidR="00934ADF" w:rsidRPr="00903B76" w:rsidRDefault="00934ADF" w:rsidP="00DD0339">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Zarządzenie nr 8/2021 z dnia 17.11.2021 r. Dyrektora BULiGL w sprawie jednolitych zasad prowadzenia rachunkowości w Przedsiębiorstwie Państwowym pn. Biuro Urządzania Lasu i Geodezji Leśnej. Zarządzenie nr 16/2023 z dnia 18.12.2023 r. Dyrektora BULiGL w sprawie w sprawie jednolitych zasad prowadzenia rachunkowości w Przedsiębiorstwie Państwowym pn. Biuro Urządzania Lasu i Geodezji Leśnej. Zasady inwentaryzacji stanowią załącznik nr 3 do ww. zarządzenia.</w:t>
      </w:r>
    </w:p>
  </w:footnote>
  <w:footnote w:id="46">
    <w:p w14:paraId="51E93626" w14:textId="77777777" w:rsidR="00934ADF" w:rsidRPr="00903B76" w:rsidRDefault="00934ADF" w:rsidP="00C42C04">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Inwentaryzacja za 2023 r. objęła spis z natury materiałów w magazynie, inwentaryzację przez potwierdzenie przez pracownika stanu (liczby) komputerów przenośnych będących własnością BULiGL, a przekazanych do dyspozycji pracowników, inwentaryzację przez pisemne potwierdzenie sald środków pieniężnych, na rachunkach bankowych, rozliczeń publiczno-prawnych, należności i zobowiązań wewnątrzbranżowych oraz zewnętrznych, inwentaryzację przez weryfikację pozostałych aktywów i pasywów tj. rozrachunków z tytułu wynagrodzeń, pozostałych rozrachunków z pracownikami, weryfikację ZFŚS, weryfikację stanu Wydzielonego Funduszu Stabilizacyjnego.</w:t>
      </w:r>
    </w:p>
    <w:p w14:paraId="7ACF20B9" w14:textId="77777777" w:rsidR="00934ADF" w:rsidRPr="00903B76" w:rsidRDefault="00934ADF" w:rsidP="00C42C04">
      <w:pPr>
        <w:pStyle w:val="Tekstprzypisudolnego"/>
        <w:jc w:val="both"/>
        <w:rPr>
          <w:rFonts w:ascii="Lato" w:hAnsi="Lato"/>
          <w:sz w:val="16"/>
          <w:szCs w:val="16"/>
        </w:rPr>
      </w:pPr>
      <w:r w:rsidRPr="00903B76">
        <w:rPr>
          <w:rFonts w:ascii="Lato" w:hAnsi="Lato"/>
          <w:sz w:val="16"/>
          <w:szCs w:val="16"/>
        </w:rPr>
        <w:t>Inwentaryzacja za 2022 r. objęła spis z natury materiałów w magazynie i materiałów reklamowych, pełną inwentaryzację środków trwałych, inwentaryzację przez potwierdzenie przez pracowników stanu (liczby) komputerów przenośnych będących własnością BULiGL, a przekazanych do dyspozycji pracowników, inwentaryzację przez pisemne potwierdzenie sald środków pieniężnych, na rachunkach bankowych, rozliczeń publiczno-prawnych, należności i zobowiązań wewnątrzbranżowych oraz zewnętrznych, inwentaryzację przez weryfikację pozostałych aktywów i pasywów tj. rozrachunków z tytułu wynagrodzeń, pozostałych rozrachunków z pracownikami, weryfikację ZFŚS, weryfikację stanu Wydzielonego Funduszu Stabilizacyjnego.</w:t>
      </w:r>
    </w:p>
  </w:footnote>
  <w:footnote w:id="47">
    <w:p w14:paraId="77276000" w14:textId="77777777" w:rsidR="00934ADF" w:rsidRPr="00903B76" w:rsidRDefault="00934ADF" w:rsidP="00C42C04">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Pismo Dyrektora BULiGL z 26.04.2024 r., znak: DN/RP-091-75/2024-75.</w:t>
      </w:r>
    </w:p>
  </w:footnote>
  <w:footnote w:id="48">
    <w:p w14:paraId="3C9AD783" w14:textId="77777777" w:rsidR="00934ADF" w:rsidRPr="00903B76" w:rsidRDefault="00934ADF" w:rsidP="0065665B">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w:t>
      </w:r>
      <w:r>
        <w:rPr>
          <w:rFonts w:ascii="Lato" w:hAnsi="Lato"/>
          <w:sz w:val="16"/>
          <w:szCs w:val="16"/>
        </w:rPr>
        <w:t>W tym g</w:t>
      </w:r>
      <w:r w:rsidRPr="00903B76">
        <w:rPr>
          <w:rFonts w:ascii="Lato" w:hAnsi="Lato"/>
          <w:sz w:val="16"/>
          <w:szCs w:val="16"/>
        </w:rPr>
        <w:t>łuszec, słonki, poroża saren, jeleni, danieli, oręż dzika.</w:t>
      </w:r>
    </w:p>
  </w:footnote>
  <w:footnote w:id="49">
    <w:p w14:paraId="1B4A8BA4" w14:textId="77777777" w:rsidR="00934ADF" w:rsidRPr="00903B76" w:rsidRDefault="00934ADF" w:rsidP="0065665B">
      <w:pPr>
        <w:pStyle w:val="Tekstprzypisudolnego"/>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Gatunek wskazany w załączniku nr 1 do Rozporządzenia Ministra Środowiska z dnia 16.12.2016 r. w sprawie ochrony gatunkowej zwie</w:t>
      </w:r>
      <w:r>
        <w:rPr>
          <w:rFonts w:ascii="Lato" w:hAnsi="Lato"/>
          <w:sz w:val="16"/>
          <w:szCs w:val="16"/>
        </w:rPr>
        <w:t>r</w:t>
      </w:r>
      <w:r w:rsidRPr="00903B76">
        <w:rPr>
          <w:rFonts w:ascii="Lato" w:hAnsi="Lato"/>
          <w:sz w:val="16"/>
          <w:szCs w:val="16"/>
        </w:rPr>
        <w:t>ząt (Dz. U. 2016 r. poz. 2183).</w:t>
      </w:r>
    </w:p>
  </w:footnote>
  <w:footnote w:id="50">
    <w:p w14:paraId="15DBDE42" w14:textId="77777777" w:rsidR="00934ADF" w:rsidRPr="00903B76" w:rsidRDefault="00934ADF" w:rsidP="0065665B">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Pismo Dyrektora z 5.04.2024 r., znak: DN/RP-091-47-2024-47.</w:t>
      </w:r>
    </w:p>
  </w:footnote>
  <w:footnote w:id="51">
    <w:p w14:paraId="2EEA4EFD" w14:textId="77777777" w:rsidR="00934ADF" w:rsidRPr="00903B76" w:rsidRDefault="00934ADF" w:rsidP="0098255E">
      <w:pPr>
        <w:pStyle w:val="Tekstprzypisudolnego"/>
        <w:jc w:val="both"/>
        <w:rPr>
          <w:rFonts w:ascii="Lato" w:hAnsi="Lato"/>
          <w:color w:val="000000" w:themeColor="text1"/>
          <w:sz w:val="16"/>
          <w:szCs w:val="16"/>
        </w:rPr>
      </w:pPr>
      <w:r w:rsidRPr="00903B76">
        <w:rPr>
          <w:rStyle w:val="Odwoanieprzypisudolnego"/>
          <w:rFonts w:ascii="Lato" w:hAnsi="Lato"/>
          <w:color w:val="000000" w:themeColor="text1"/>
          <w:sz w:val="16"/>
          <w:szCs w:val="16"/>
        </w:rPr>
        <w:footnoteRef/>
      </w:r>
      <w:r w:rsidRPr="00903B76">
        <w:rPr>
          <w:rFonts w:ascii="Lato" w:hAnsi="Lato"/>
          <w:color w:val="000000" w:themeColor="text1"/>
          <w:sz w:val="16"/>
          <w:szCs w:val="16"/>
        </w:rPr>
        <w:t xml:space="preserve"> Z 11.08.2005 r., znak: WR-VII/6631/242/05.</w:t>
      </w:r>
    </w:p>
  </w:footnote>
  <w:footnote w:id="52">
    <w:p w14:paraId="6DE4FE8C" w14:textId="77777777" w:rsidR="00934ADF" w:rsidRPr="00903B76" w:rsidRDefault="00934ADF" w:rsidP="00B959C2">
      <w:pPr>
        <w:pStyle w:val="Tekstprzypisudolnego"/>
        <w:ind w:left="142" w:hanging="142"/>
        <w:jc w:val="both"/>
        <w:rPr>
          <w:rFonts w:ascii="Lato" w:hAnsi="Lato"/>
          <w:sz w:val="16"/>
          <w:szCs w:val="16"/>
        </w:rPr>
      </w:pPr>
      <w:r w:rsidRPr="00903B76">
        <w:rPr>
          <w:rStyle w:val="Odwoanieprzypisudolnego"/>
          <w:rFonts w:ascii="Lato" w:hAnsi="Lato"/>
          <w:sz w:val="16"/>
          <w:szCs w:val="16"/>
        </w:rPr>
        <w:footnoteRef/>
      </w:r>
      <w:r w:rsidRPr="00903B76">
        <w:rPr>
          <w:rFonts w:ascii="Lato" w:hAnsi="Lato"/>
          <w:sz w:val="16"/>
          <w:szCs w:val="16"/>
        </w:rPr>
        <w:t xml:space="preserve"> Zgodnie z art. 52 ust. 5 ustawy o kontroli w administracji rządowej.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AEA7" w14:textId="77777777" w:rsidR="00934ADF" w:rsidRDefault="00934ADF" w:rsidP="00547FD8">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BC1E8" w14:textId="77777777" w:rsidR="00934ADF" w:rsidRDefault="00934ADF">
    <w:pPr>
      <w:pStyle w:val="Nagwek"/>
    </w:pPr>
    <w:r>
      <w:rPr>
        <w:noProof/>
        <w:lang w:eastAsia="pl-PL"/>
      </w:rPr>
      <w:drawing>
        <wp:anchor distT="0" distB="0" distL="114300" distR="114300" simplePos="0" relativeHeight="251660288" behindDoc="0" locked="0" layoutInCell="1" allowOverlap="1" wp14:anchorId="39C437A7" wp14:editId="3797E3AD">
          <wp:simplePos x="0" y="0"/>
          <wp:positionH relativeFrom="column">
            <wp:posOffset>-932213</wp:posOffset>
          </wp:positionH>
          <wp:positionV relativeFrom="paragraph">
            <wp:posOffset>-439874</wp:posOffset>
          </wp:positionV>
          <wp:extent cx="3146425" cy="1061720"/>
          <wp:effectExtent l="0" t="0" r="0" b="0"/>
          <wp:wrapThrough wrapText="bothSides">
            <wp:wrapPolygon edited="0">
              <wp:start x="3139" y="2325"/>
              <wp:lineTo x="1700" y="3876"/>
              <wp:lineTo x="785" y="6589"/>
              <wp:lineTo x="1308" y="17053"/>
              <wp:lineTo x="3531" y="18215"/>
              <wp:lineTo x="6016" y="18990"/>
              <wp:lineTo x="20532" y="18990"/>
              <wp:lineTo x="20794" y="15890"/>
              <wp:lineTo x="5493" y="15502"/>
              <wp:lineTo x="20401" y="13952"/>
              <wp:lineTo x="20663" y="9689"/>
              <wp:lineTo x="13470" y="9301"/>
              <wp:lineTo x="13601" y="6589"/>
              <wp:lineTo x="10331" y="4651"/>
              <wp:lineTo x="3662" y="2325"/>
              <wp:lineTo x="3139" y="2325"/>
            </wp:wrapPolygon>
          </wp:wrapThrough>
          <wp:docPr id="13928435" name="Obraz 13928435" descr="Obraz zawierający symbol,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80465" name="Obraz 1206180465" descr="Obraz zawierający symbol, design&#10;&#10;Zawartość wygenerowana przez AI może być niepoprawna."/>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314642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5820"/>
    <w:multiLevelType w:val="hybridMultilevel"/>
    <w:tmpl w:val="2A9026D8"/>
    <w:lvl w:ilvl="0" w:tplc="0C6E2E4A">
      <w:start w:val="1"/>
      <w:numFmt w:val="decimal"/>
      <w:lvlText w:val="%1."/>
      <w:lvlJc w:val="left"/>
      <w:pPr>
        <w:ind w:left="720" w:hanging="360"/>
      </w:pPr>
    </w:lvl>
    <w:lvl w:ilvl="1" w:tplc="13EA7AEC" w:tentative="1">
      <w:start w:val="1"/>
      <w:numFmt w:val="lowerLetter"/>
      <w:lvlText w:val="%2."/>
      <w:lvlJc w:val="left"/>
      <w:pPr>
        <w:ind w:left="1440" w:hanging="360"/>
      </w:pPr>
    </w:lvl>
    <w:lvl w:ilvl="2" w:tplc="218670C2" w:tentative="1">
      <w:start w:val="1"/>
      <w:numFmt w:val="lowerRoman"/>
      <w:lvlText w:val="%3."/>
      <w:lvlJc w:val="right"/>
      <w:pPr>
        <w:ind w:left="2160" w:hanging="180"/>
      </w:pPr>
    </w:lvl>
    <w:lvl w:ilvl="3" w:tplc="425C4E7E" w:tentative="1">
      <w:start w:val="1"/>
      <w:numFmt w:val="decimal"/>
      <w:lvlText w:val="%4."/>
      <w:lvlJc w:val="left"/>
      <w:pPr>
        <w:ind w:left="2880" w:hanging="360"/>
      </w:pPr>
    </w:lvl>
    <w:lvl w:ilvl="4" w:tplc="BCA0FC0C" w:tentative="1">
      <w:start w:val="1"/>
      <w:numFmt w:val="lowerLetter"/>
      <w:lvlText w:val="%5."/>
      <w:lvlJc w:val="left"/>
      <w:pPr>
        <w:ind w:left="3600" w:hanging="360"/>
      </w:pPr>
    </w:lvl>
    <w:lvl w:ilvl="5" w:tplc="E1481C6A" w:tentative="1">
      <w:start w:val="1"/>
      <w:numFmt w:val="lowerRoman"/>
      <w:lvlText w:val="%6."/>
      <w:lvlJc w:val="right"/>
      <w:pPr>
        <w:ind w:left="4320" w:hanging="180"/>
      </w:pPr>
    </w:lvl>
    <w:lvl w:ilvl="6" w:tplc="5D469DEC" w:tentative="1">
      <w:start w:val="1"/>
      <w:numFmt w:val="decimal"/>
      <w:lvlText w:val="%7."/>
      <w:lvlJc w:val="left"/>
      <w:pPr>
        <w:ind w:left="5040" w:hanging="360"/>
      </w:pPr>
    </w:lvl>
    <w:lvl w:ilvl="7" w:tplc="07D00D74" w:tentative="1">
      <w:start w:val="1"/>
      <w:numFmt w:val="lowerLetter"/>
      <w:lvlText w:val="%8."/>
      <w:lvlJc w:val="left"/>
      <w:pPr>
        <w:ind w:left="5760" w:hanging="360"/>
      </w:pPr>
    </w:lvl>
    <w:lvl w:ilvl="8" w:tplc="56B822BC" w:tentative="1">
      <w:start w:val="1"/>
      <w:numFmt w:val="lowerRoman"/>
      <w:lvlText w:val="%9."/>
      <w:lvlJc w:val="right"/>
      <w:pPr>
        <w:ind w:left="6480" w:hanging="180"/>
      </w:pPr>
    </w:lvl>
  </w:abstractNum>
  <w:abstractNum w:abstractNumId="1" w15:restartNumberingAfterBreak="0">
    <w:nsid w:val="096A60B2"/>
    <w:multiLevelType w:val="hybridMultilevel"/>
    <w:tmpl w:val="B504E8AC"/>
    <w:lvl w:ilvl="0" w:tplc="D2824ED8">
      <w:start w:val="1"/>
      <w:numFmt w:val="decimal"/>
      <w:lvlText w:val="%1."/>
      <w:lvlJc w:val="left"/>
      <w:pPr>
        <w:ind w:left="720" w:hanging="360"/>
      </w:pPr>
    </w:lvl>
    <w:lvl w:ilvl="1" w:tplc="2EEC87FE" w:tentative="1">
      <w:start w:val="1"/>
      <w:numFmt w:val="lowerLetter"/>
      <w:lvlText w:val="%2."/>
      <w:lvlJc w:val="left"/>
      <w:pPr>
        <w:ind w:left="1440" w:hanging="360"/>
      </w:pPr>
    </w:lvl>
    <w:lvl w:ilvl="2" w:tplc="AFDAB506" w:tentative="1">
      <w:start w:val="1"/>
      <w:numFmt w:val="lowerRoman"/>
      <w:lvlText w:val="%3."/>
      <w:lvlJc w:val="right"/>
      <w:pPr>
        <w:ind w:left="2160" w:hanging="180"/>
      </w:pPr>
    </w:lvl>
    <w:lvl w:ilvl="3" w:tplc="38FC8F4E" w:tentative="1">
      <w:start w:val="1"/>
      <w:numFmt w:val="decimal"/>
      <w:lvlText w:val="%4."/>
      <w:lvlJc w:val="left"/>
      <w:pPr>
        <w:ind w:left="2880" w:hanging="360"/>
      </w:pPr>
    </w:lvl>
    <w:lvl w:ilvl="4" w:tplc="126C2144" w:tentative="1">
      <w:start w:val="1"/>
      <w:numFmt w:val="lowerLetter"/>
      <w:lvlText w:val="%5."/>
      <w:lvlJc w:val="left"/>
      <w:pPr>
        <w:ind w:left="3600" w:hanging="360"/>
      </w:pPr>
    </w:lvl>
    <w:lvl w:ilvl="5" w:tplc="B6A210FA" w:tentative="1">
      <w:start w:val="1"/>
      <w:numFmt w:val="lowerRoman"/>
      <w:lvlText w:val="%6."/>
      <w:lvlJc w:val="right"/>
      <w:pPr>
        <w:ind w:left="4320" w:hanging="180"/>
      </w:pPr>
    </w:lvl>
    <w:lvl w:ilvl="6" w:tplc="B30A15AA" w:tentative="1">
      <w:start w:val="1"/>
      <w:numFmt w:val="decimal"/>
      <w:lvlText w:val="%7."/>
      <w:lvlJc w:val="left"/>
      <w:pPr>
        <w:ind w:left="5040" w:hanging="360"/>
      </w:pPr>
    </w:lvl>
    <w:lvl w:ilvl="7" w:tplc="5BD09600" w:tentative="1">
      <w:start w:val="1"/>
      <w:numFmt w:val="lowerLetter"/>
      <w:lvlText w:val="%8."/>
      <w:lvlJc w:val="left"/>
      <w:pPr>
        <w:ind w:left="5760" w:hanging="360"/>
      </w:pPr>
    </w:lvl>
    <w:lvl w:ilvl="8" w:tplc="0E6E0EF8" w:tentative="1">
      <w:start w:val="1"/>
      <w:numFmt w:val="lowerRoman"/>
      <w:lvlText w:val="%9."/>
      <w:lvlJc w:val="right"/>
      <w:pPr>
        <w:ind w:left="6480" w:hanging="180"/>
      </w:pPr>
    </w:lvl>
  </w:abstractNum>
  <w:abstractNum w:abstractNumId="2" w15:restartNumberingAfterBreak="0">
    <w:nsid w:val="09FF2D0B"/>
    <w:multiLevelType w:val="hybridMultilevel"/>
    <w:tmpl w:val="99DC027E"/>
    <w:lvl w:ilvl="0" w:tplc="D19258A0">
      <w:start w:val="1"/>
      <w:numFmt w:val="decimal"/>
      <w:lvlText w:val="%1."/>
      <w:lvlJc w:val="left"/>
      <w:pPr>
        <w:ind w:left="720" w:hanging="360"/>
      </w:pPr>
    </w:lvl>
    <w:lvl w:ilvl="1" w:tplc="6FBCF5E6" w:tentative="1">
      <w:start w:val="1"/>
      <w:numFmt w:val="lowerLetter"/>
      <w:lvlText w:val="%2."/>
      <w:lvlJc w:val="left"/>
      <w:pPr>
        <w:ind w:left="1440" w:hanging="360"/>
      </w:pPr>
    </w:lvl>
    <w:lvl w:ilvl="2" w:tplc="21DC6106" w:tentative="1">
      <w:start w:val="1"/>
      <w:numFmt w:val="lowerRoman"/>
      <w:lvlText w:val="%3."/>
      <w:lvlJc w:val="right"/>
      <w:pPr>
        <w:ind w:left="2160" w:hanging="180"/>
      </w:pPr>
    </w:lvl>
    <w:lvl w:ilvl="3" w:tplc="A5BEDE80" w:tentative="1">
      <w:start w:val="1"/>
      <w:numFmt w:val="decimal"/>
      <w:lvlText w:val="%4."/>
      <w:lvlJc w:val="left"/>
      <w:pPr>
        <w:ind w:left="2880" w:hanging="360"/>
      </w:pPr>
    </w:lvl>
    <w:lvl w:ilvl="4" w:tplc="7F16102C" w:tentative="1">
      <w:start w:val="1"/>
      <w:numFmt w:val="lowerLetter"/>
      <w:lvlText w:val="%5."/>
      <w:lvlJc w:val="left"/>
      <w:pPr>
        <w:ind w:left="3600" w:hanging="360"/>
      </w:pPr>
    </w:lvl>
    <w:lvl w:ilvl="5" w:tplc="E9F2652C" w:tentative="1">
      <w:start w:val="1"/>
      <w:numFmt w:val="lowerRoman"/>
      <w:lvlText w:val="%6."/>
      <w:lvlJc w:val="right"/>
      <w:pPr>
        <w:ind w:left="4320" w:hanging="180"/>
      </w:pPr>
    </w:lvl>
    <w:lvl w:ilvl="6" w:tplc="B83EB008" w:tentative="1">
      <w:start w:val="1"/>
      <w:numFmt w:val="decimal"/>
      <w:lvlText w:val="%7."/>
      <w:lvlJc w:val="left"/>
      <w:pPr>
        <w:ind w:left="5040" w:hanging="360"/>
      </w:pPr>
    </w:lvl>
    <w:lvl w:ilvl="7" w:tplc="A6DCB976" w:tentative="1">
      <w:start w:val="1"/>
      <w:numFmt w:val="lowerLetter"/>
      <w:lvlText w:val="%8."/>
      <w:lvlJc w:val="left"/>
      <w:pPr>
        <w:ind w:left="5760" w:hanging="360"/>
      </w:pPr>
    </w:lvl>
    <w:lvl w:ilvl="8" w:tplc="75104050" w:tentative="1">
      <w:start w:val="1"/>
      <w:numFmt w:val="lowerRoman"/>
      <w:lvlText w:val="%9."/>
      <w:lvlJc w:val="right"/>
      <w:pPr>
        <w:ind w:left="6480" w:hanging="180"/>
      </w:pPr>
    </w:lvl>
  </w:abstractNum>
  <w:abstractNum w:abstractNumId="3" w15:restartNumberingAfterBreak="0">
    <w:nsid w:val="10390B4C"/>
    <w:multiLevelType w:val="hybridMultilevel"/>
    <w:tmpl w:val="3F08783A"/>
    <w:lvl w:ilvl="0" w:tplc="C01EF4B4">
      <w:start w:val="1"/>
      <w:numFmt w:val="bullet"/>
      <w:lvlText w:val=""/>
      <w:lvlJc w:val="left"/>
      <w:pPr>
        <w:ind w:left="720" w:hanging="360"/>
      </w:pPr>
      <w:rPr>
        <w:rFonts w:ascii="Symbol" w:hAnsi="Symbol" w:hint="default"/>
      </w:rPr>
    </w:lvl>
    <w:lvl w:ilvl="1" w:tplc="31E8ED50" w:tentative="1">
      <w:start w:val="1"/>
      <w:numFmt w:val="bullet"/>
      <w:lvlText w:val="o"/>
      <w:lvlJc w:val="left"/>
      <w:pPr>
        <w:ind w:left="1440" w:hanging="360"/>
      </w:pPr>
      <w:rPr>
        <w:rFonts w:ascii="Courier New" w:hAnsi="Courier New" w:cs="Courier New" w:hint="default"/>
      </w:rPr>
    </w:lvl>
    <w:lvl w:ilvl="2" w:tplc="B438634E" w:tentative="1">
      <w:start w:val="1"/>
      <w:numFmt w:val="bullet"/>
      <w:lvlText w:val=""/>
      <w:lvlJc w:val="left"/>
      <w:pPr>
        <w:ind w:left="2160" w:hanging="360"/>
      </w:pPr>
      <w:rPr>
        <w:rFonts w:ascii="Wingdings" w:hAnsi="Wingdings" w:hint="default"/>
      </w:rPr>
    </w:lvl>
    <w:lvl w:ilvl="3" w:tplc="3886C664" w:tentative="1">
      <w:start w:val="1"/>
      <w:numFmt w:val="bullet"/>
      <w:lvlText w:val=""/>
      <w:lvlJc w:val="left"/>
      <w:pPr>
        <w:ind w:left="2880" w:hanging="360"/>
      </w:pPr>
      <w:rPr>
        <w:rFonts w:ascii="Symbol" w:hAnsi="Symbol" w:hint="default"/>
      </w:rPr>
    </w:lvl>
    <w:lvl w:ilvl="4" w:tplc="97E6DC2A" w:tentative="1">
      <w:start w:val="1"/>
      <w:numFmt w:val="bullet"/>
      <w:lvlText w:val="o"/>
      <w:lvlJc w:val="left"/>
      <w:pPr>
        <w:ind w:left="3600" w:hanging="360"/>
      </w:pPr>
      <w:rPr>
        <w:rFonts w:ascii="Courier New" w:hAnsi="Courier New" w:cs="Courier New" w:hint="default"/>
      </w:rPr>
    </w:lvl>
    <w:lvl w:ilvl="5" w:tplc="EEEA32D4" w:tentative="1">
      <w:start w:val="1"/>
      <w:numFmt w:val="bullet"/>
      <w:lvlText w:val=""/>
      <w:lvlJc w:val="left"/>
      <w:pPr>
        <w:ind w:left="4320" w:hanging="360"/>
      </w:pPr>
      <w:rPr>
        <w:rFonts w:ascii="Wingdings" w:hAnsi="Wingdings" w:hint="default"/>
      </w:rPr>
    </w:lvl>
    <w:lvl w:ilvl="6" w:tplc="4490D36E" w:tentative="1">
      <w:start w:val="1"/>
      <w:numFmt w:val="bullet"/>
      <w:lvlText w:val=""/>
      <w:lvlJc w:val="left"/>
      <w:pPr>
        <w:ind w:left="5040" w:hanging="360"/>
      </w:pPr>
      <w:rPr>
        <w:rFonts w:ascii="Symbol" w:hAnsi="Symbol" w:hint="default"/>
      </w:rPr>
    </w:lvl>
    <w:lvl w:ilvl="7" w:tplc="D1704B98" w:tentative="1">
      <w:start w:val="1"/>
      <w:numFmt w:val="bullet"/>
      <w:lvlText w:val="o"/>
      <w:lvlJc w:val="left"/>
      <w:pPr>
        <w:ind w:left="5760" w:hanging="360"/>
      </w:pPr>
      <w:rPr>
        <w:rFonts w:ascii="Courier New" w:hAnsi="Courier New" w:cs="Courier New" w:hint="default"/>
      </w:rPr>
    </w:lvl>
    <w:lvl w:ilvl="8" w:tplc="8E8ADAB6" w:tentative="1">
      <w:start w:val="1"/>
      <w:numFmt w:val="bullet"/>
      <w:lvlText w:val=""/>
      <w:lvlJc w:val="left"/>
      <w:pPr>
        <w:ind w:left="6480" w:hanging="360"/>
      </w:pPr>
      <w:rPr>
        <w:rFonts w:ascii="Wingdings" w:hAnsi="Wingdings" w:hint="default"/>
      </w:rPr>
    </w:lvl>
  </w:abstractNum>
  <w:abstractNum w:abstractNumId="4" w15:restartNumberingAfterBreak="0">
    <w:nsid w:val="11411A19"/>
    <w:multiLevelType w:val="hybridMultilevel"/>
    <w:tmpl w:val="FBB4D690"/>
    <w:lvl w:ilvl="0" w:tplc="87DA5560">
      <w:start w:val="1"/>
      <w:numFmt w:val="decimal"/>
      <w:lvlText w:val="%1."/>
      <w:lvlJc w:val="left"/>
      <w:pPr>
        <w:ind w:left="720" w:hanging="360"/>
      </w:pPr>
      <w:rPr>
        <w:rFonts w:hint="default"/>
      </w:rPr>
    </w:lvl>
    <w:lvl w:ilvl="1" w:tplc="BA6C32E0" w:tentative="1">
      <w:start w:val="1"/>
      <w:numFmt w:val="lowerLetter"/>
      <w:lvlText w:val="%2."/>
      <w:lvlJc w:val="left"/>
      <w:pPr>
        <w:ind w:left="1440" w:hanging="360"/>
      </w:pPr>
    </w:lvl>
    <w:lvl w:ilvl="2" w:tplc="112C01F4" w:tentative="1">
      <w:start w:val="1"/>
      <w:numFmt w:val="lowerRoman"/>
      <w:lvlText w:val="%3."/>
      <w:lvlJc w:val="right"/>
      <w:pPr>
        <w:ind w:left="2160" w:hanging="180"/>
      </w:pPr>
    </w:lvl>
    <w:lvl w:ilvl="3" w:tplc="5B008F80" w:tentative="1">
      <w:start w:val="1"/>
      <w:numFmt w:val="decimal"/>
      <w:lvlText w:val="%4."/>
      <w:lvlJc w:val="left"/>
      <w:pPr>
        <w:ind w:left="2880" w:hanging="360"/>
      </w:pPr>
    </w:lvl>
    <w:lvl w:ilvl="4" w:tplc="BF1C257C" w:tentative="1">
      <w:start w:val="1"/>
      <w:numFmt w:val="lowerLetter"/>
      <w:lvlText w:val="%5."/>
      <w:lvlJc w:val="left"/>
      <w:pPr>
        <w:ind w:left="3600" w:hanging="360"/>
      </w:pPr>
    </w:lvl>
    <w:lvl w:ilvl="5" w:tplc="53D8FF9A" w:tentative="1">
      <w:start w:val="1"/>
      <w:numFmt w:val="lowerRoman"/>
      <w:lvlText w:val="%6."/>
      <w:lvlJc w:val="right"/>
      <w:pPr>
        <w:ind w:left="4320" w:hanging="180"/>
      </w:pPr>
    </w:lvl>
    <w:lvl w:ilvl="6" w:tplc="44664A9A" w:tentative="1">
      <w:start w:val="1"/>
      <w:numFmt w:val="decimal"/>
      <w:lvlText w:val="%7."/>
      <w:lvlJc w:val="left"/>
      <w:pPr>
        <w:ind w:left="5040" w:hanging="360"/>
      </w:pPr>
    </w:lvl>
    <w:lvl w:ilvl="7" w:tplc="5108EE78" w:tentative="1">
      <w:start w:val="1"/>
      <w:numFmt w:val="lowerLetter"/>
      <w:lvlText w:val="%8."/>
      <w:lvlJc w:val="left"/>
      <w:pPr>
        <w:ind w:left="5760" w:hanging="360"/>
      </w:pPr>
    </w:lvl>
    <w:lvl w:ilvl="8" w:tplc="FA369F76" w:tentative="1">
      <w:start w:val="1"/>
      <w:numFmt w:val="lowerRoman"/>
      <w:lvlText w:val="%9."/>
      <w:lvlJc w:val="right"/>
      <w:pPr>
        <w:ind w:left="6480" w:hanging="180"/>
      </w:pPr>
    </w:lvl>
  </w:abstractNum>
  <w:abstractNum w:abstractNumId="5" w15:restartNumberingAfterBreak="0">
    <w:nsid w:val="1DD81536"/>
    <w:multiLevelType w:val="hybridMultilevel"/>
    <w:tmpl w:val="E236ACD2"/>
    <w:lvl w:ilvl="0" w:tplc="5F96744C">
      <w:start w:val="1"/>
      <w:numFmt w:val="bullet"/>
      <w:lvlText w:val=""/>
      <w:lvlJc w:val="left"/>
      <w:pPr>
        <w:ind w:left="720" w:hanging="360"/>
      </w:pPr>
      <w:rPr>
        <w:rFonts w:ascii="Symbol" w:hAnsi="Symbol" w:hint="default"/>
      </w:rPr>
    </w:lvl>
    <w:lvl w:ilvl="1" w:tplc="2836FDE6" w:tentative="1">
      <w:start w:val="1"/>
      <w:numFmt w:val="bullet"/>
      <w:lvlText w:val="o"/>
      <w:lvlJc w:val="left"/>
      <w:pPr>
        <w:ind w:left="1440" w:hanging="360"/>
      </w:pPr>
      <w:rPr>
        <w:rFonts w:ascii="Courier New" w:hAnsi="Courier New" w:cs="Courier New" w:hint="default"/>
      </w:rPr>
    </w:lvl>
    <w:lvl w:ilvl="2" w:tplc="0EC63A88" w:tentative="1">
      <w:start w:val="1"/>
      <w:numFmt w:val="bullet"/>
      <w:lvlText w:val=""/>
      <w:lvlJc w:val="left"/>
      <w:pPr>
        <w:ind w:left="2160" w:hanging="360"/>
      </w:pPr>
      <w:rPr>
        <w:rFonts w:ascii="Wingdings" w:hAnsi="Wingdings" w:hint="default"/>
      </w:rPr>
    </w:lvl>
    <w:lvl w:ilvl="3" w:tplc="C1961290" w:tentative="1">
      <w:start w:val="1"/>
      <w:numFmt w:val="bullet"/>
      <w:lvlText w:val=""/>
      <w:lvlJc w:val="left"/>
      <w:pPr>
        <w:ind w:left="2880" w:hanging="360"/>
      </w:pPr>
      <w:rPr>
        <w:rFonts w:ascii="Symbol" w:hAnsi="Symbol" w:hint="default"/>
      </w:rPr>
    </w:lvl>
    <w:lvl w:ilvl="4" w:tplc="87B803AA" w:tentative="1">
      <w:start w:val="1"/>
      <w:numFmt w:val="bullet"/>
      <w:lvlText w:val="o"/>
      <w:lvlJc w:val="left"/>
      <w:pPr>
        <w:ind w:left="3600" w:hanging="360"/>
      </w:pPr>
      <w:rPr>
        <w:rFonts w:ascii="Courier New" w:hAnsi="Courier New" w:cs="Courier New" w:hint="default"/>
      </w:rPr>
    </w:lvl>
    <w:lvl w:ilvl="5" w:tplc="0478E6B4" w:tentative="1">
      <w:start w:val="1"/>
      <w:numFmt w:val="bullet"/>
      <w:lvlText w:val=""/>
      <w:lvlJc w:val="left"/>
      <w:pPr>
        <w:ind w:left="4320" w:hanging="360"/>
      </w:pPr>
      <w:rPr>
        <w:rFonts w:ascii="Wingdings" w:hAnsi="Wingdings" w:hint="default"/>
      </w:rPr>
    </w:lvl>
    <w:lvl w:ilvl="6" w:tplc="366C3AFA" w:tentative="1">
      <w:start w:val="1"/>
      <w:numFmt w:val="bullet"/>
      <w:lvlText w:val=""/>
      <w:lvlJc w:val="left"/>
      <w:pPr>
        <w:ind w:left="5040" w:hanging="360"/>
      </w:pPr>
      <w:rPr>
        <w:rFonts w:ascii="Symbol" w:hAnsi="Symbol" w:hint="default"/>
      </w:rPr>
    </w:lvl>
    <w:lvl w:ilvl="7" w:tplc="E54AEE10" w:tentative="1">
      <w:start w:val="1"/>
      <w:numFmt w:val="bullet"/>
      <w:lvlText w:val="o"/>
      <w:lvlJc w:val="left"/>
      <w:pPr>
        <w:ind w:left="5760" w:hanging="360"/>
      </w:pPr>
      <w:rPr>
        <w:rFonts w:ascii="Courier New" w:hAnsi="Courier New" w:cs="Courier New" w:hint="default"/>
      </w:rPr>
    </w:lvl>
    <w:lvl w:ilvl="8" w:tplc="8CEEF390" w:tentative="1">
      <w:start w:val="1"/>
      <w:numFmt w:val="bullet"/>
      <w:lvlText w:val=""/>
      <w:lvlJc w:val="left"/>
      <w:pPr>
        <w:ind w:left="6480" w:hanging="360"/>
      </w:pPr>
      <w:rPr>
        <w:rFonts w:ascii="Wingdings" w:hAnsi="Wingdings" w:hint="default"/>
      </w:rPr>
    </w:lvl>
  </w:abstractNum>
  <w:abstractNum w:abstractNumId="6" w15:restartNumberingAfterBreak="0">
    <w:nsid w:val="1F6A6B84"/>
    <w:multiLevelType w:val="hybridMultilevel"/>
    <w:tmpl w:val="DB365038"/>
    <w:lvl w:ilvl="0" w:tplc="A412EC56">
      <w:start w:val="1"/>
      <w:numFmt w:val="decimal"/>
      <w:lvlText w:val="%1)"/>
      <w:lvlJc w:val="left"/>
      <w:pPr>
        <w:ind w:left="1287" w:hanging="360"/>
      </w:pPr>
    </w:lvl>
    <w:lvl w:ilvl="1" w:tplc="66DEE1AC" w:tentative="1">
      <w:start w:val="1"/>
      <w:numFmt w:val="lowerLetter"/>
      <w:lvlText w:val="%2."/>
      <w:lvlJc w:val="left"/>
      <w:pPr>
        <w:ind w:left="2007" w:hanging="360"/>
      </w:pPr>
    </w:lvl>
    <w:lvl w:ilvl="2" w:tplc="062644D8" w:tentative="1">
      <w:start w:val="1"/>
      <w:numFmt w:val="lowerRoman"/>
      <w:lvlText w:val="%3."/>
      <w:lvlJc w:val="right"/>
      <w:pPr>
        <w:ind w:left="2727" w:hanging="180"/>
      </w:pPr>
    </w:lvl>
    <w:lvl w:ilvl="3" w:tplc="69705154" w:tentative="1">
      <w:start w:val="1"/>
      <w:numFmt w:val="decimal"/>
      <w:lvlText w:val="%4."/>
      <w:lvlJc w:val="left"/>
      <w:pPr>
        <w:ind w:left="3447" w:hanging="360"/>
      </w:pPr>
    </w:lvl>
    <w:lvl w:ilvl="4" w:tplc="631EE3CE" w:tentative="1">
      <w:start w:val="1"/>
      <w:numFmt w:val="lowerLetter"/>
      <w:lvlText w:val="%5."/>
      <w:lvlJc w:val="left"/>
      <w:pPr>
        <w:ind w:left="4167" w:hanging="360"/>
      </w:pPr>
    </w:lvl>
    <w:lvl w:ilvl="5" w:tplc="1B6C45A4" w:tentative="1">
      <w:start w:val="1"/>
      <w:numFmt w:val="lowerRoman"/>
      <w:lvlText w:val="%6."/>
      <w:lvlJc w:val="right"/>
      <w:pPr>
        <w:ind w:left="4887" w:hanging="180"/>
      </w:pPr>
    </w:lvl>
    <w:lvl w:ilvl="6" w:tplc="F50EAB76" w:tentative="1">
      <w:start w:val="1"/>
      <w:numFmt w:val="decimal"/>
      <w:lvlText w:val="%7."/>
      <w:lvlJc w:val="left"/>
      <w:pPr>
        <w:ind w:left="5607" w:hanging="360"/>
      </w:pPr>
    </w:lvl>
    <w:lvl w:ilvl="7" w:tplc="7512CAB8" w:tentative="1">
      <w:start w:val="1"/>
      <w:numFmt w:val="lowerLetter"/>
      <w:lvlText w:val="%8."/>
      <w:lvlJc w:val="left"/>
      <w:pPr>
        <w:ind w:left="6327" w:hanging="360"/>
      </w:pPr>
    </w:lvl>
    <w:lvl w:ilvl="8" w:tplc="ACF4BD22" w:tentative="1">
      <w:start w:val="1"/>
      <w:numFmt w:val="lowerRoman"/>
      <w:lvlText w:val="%9."/>
      <w:lvlJc w:val="right"/>
      <w:pPr>
        <w:ind w:left="7047" w:hanging="180"/>
      </w:pPr>
    </w:lvl>
  </w:abstractNum>
  <w:abstractNum w:abstractNumId="7" w15:restartNumberingAfterBreak="0">
    <w:nsid w:val="285F10CC"/>
    <w:multiLevelType w:val="hybridMultilevel"/>
    <w:tmpl w:val="43E40DEA"/>
    <w:lvl w:ilvl="0" w:tplc="84121C58">
      <w:start w:val="1"/>
      <w:numFmt w:val="upperRoman"/>
      <w:lvlText w:val="%1."/>
      <w:lvlJc w:val="right"/>
      <w:pPr>
        <w:ind w:left="720" w:hanging="360"/>
      </w:pPr>
    </w:lvl>
    <w:lvl w:ilvl="1" w:tplc="C1BA77B6" w:tentative="1">
      <w:start w:val="1"/>
      <w:numFmt w:val="lowerLetter"/>
      <w:lvlText w:val="%2."/>
      <w:lvlJc w:val="left"/>
      <w:pPr>
        <w:ind w:left="1440" w:hanging="360"/>
      </w:pPr>
    </w:lvl>
    <w:lvl w:ilvl="2" w:tplc="EFDA2E84" w:tentative="1">
      <w:start w:val="1"/>
      <w:numFmt w:val="lowerRoman"/>
      <w:lvlText w:val="%3."/>
      <w:lvlJc w:val="right"/>
      <w:pPr>
        <w:ind w:left="2160" w:hanging="180"/>
      </w:pPr>
    </w:lvl>
    <w:lvl w:ilvl="3" w:tplc="0A3C1580" w:tentative="1">
      <w:start w:val="1"/>
      <w:numFmt w:val="decimal"/>
      <w:lvlText w:val="%4."/>
      <w:lvlJc w:val="left"/>
      <w:pPr>
        <w:ind w:left="2880" w:hanging="360"/>
      </w:pPr>
    </w:lvl>
    <w:lvl w:ilvl="4" w:tplc="171291A8" w:tentative="1">
      <w:start w:val="1"/>
      <w:numFmt w:val="lowerLetter"/>
      <w:lvlText w:val="%5."/>
      <w:lvlJc w:val="left"/>
      <w:pPr>
        <w:ind w:left="3600" w:hanging="360"/>
      </w:pPr>
    </w:lvl>
    <w:lvl w:ilvl="5" w:tplc="4C269EA4" w:tentative="1">
      <w:start w:val="1"/>
      <w:numFmt w:val="lowerRoman"/>
      <w:lvlText w:val="%6."/>
      <w:lvlJc w:val="right"/>
      <w:pPr>
        <w:ind w:left="4320" w:hanging="180"/>
      </w:pPr>
    </w:lvl>
    <w:lvl w:ilvl="6" w:tplc="75E6928E" w:tentative="1">
      <w:start w:val="1"/>
      <w:numFmt w:val="decimal"/>
      <w:lvlText w:val="%7."/>
      <w:lvlJc w:val="left"/>
      <w:pPr>
        <w:ind w:left="5040" w:hanging="360"/>
      </w:pPr>
    </w:lvl>
    <w:lvl w:ilvl="7" w:tplc="CA663C10" w:tentative="1">
      <w:start w:val="1"/>
      <w:numFmt w:val="lowerLetter"/>
      <w:lvlText w:val="%8."/>
      <w:lvlJc w:val="left"/>
      <w:pPr>
        <w:ind w:left="5760" w:hanging="360"/>
      </w:pPr>
    </w:lvl>
    <w:lvl w:ilvl="8" w:tplc="A4D02A52" w:tentative="1">
      <w:start w:val="1"/>
      <w:numFmt w:val="lowerRoman"/>
      <w:lvlText w:val="%9."/>
      <w:lvlJc w:val="right"/>
      <w:pPr>
        <w:ind w:left="6480" w:hanging="180"/>
      </w:pPr>
    </w:lvl>
  </w:abstractNum>
  <w:abstractNum w:abstractNumId="8" w15:restartNumberingAfterBreak="0">
    <w:nsid w:val="2BB86423"/>
    <w:multiLevelType w:val="hybridMultilevel"/>
    <w:tmpl w:val="B426BAEC"/>
    <w:lvl w:ilvl="0" w:tplc="7BE2F4EA">
      <w:start w:val="1"/>
      <w:numFmt w:val="decimal"/>
      <w:lvlText w:val="%1."/>
      <w:lvlJc w:val="left"/>
      <w:pPr>
        <w:ind w:left="720" w:hanging="360"/>
      </w:pPr>
    </w:lvl>
    <w:lvl w:ilvl="1" w:tplc="68226FFE" w:tentative="1">
      <w:start w:val="1"/>
      <w:numFmt w:val="lowerLetter"/>
      <w:lvlText w:val="%2."/>
      <w:lvlJc w:val="left"/>
      <w:pPr>
        <w:ind w:left="1440" w:hanging="360"/>
      </w:pPr>
    </w:lvl>
    <w:lvl w:ilvl="2" w:tplc="BF68AB8A" w:tentative="1">
      <w:start w:val="1"/>
      <w:numFmt w:val="lowerRoman"/>
      <w:lvlText w:val="%3."/>
      <w:lvlJc w:val="right"/>
      <w:pPr>
        <w:ind w:left="2160" w:hanging="180"/>
      </w:pPr>
    </w:lvl>
    <w:lvl w:ilvl="3" w:tplc="3FB8D3E8" w:tentative="1">
      <w:start w:val="1"/>
      <w:numFmt w:val="decimal"/>
      <w:lvlText w:val="%4."/>
      <w:lvlJc w:val="left"/>
      <w:pPr>
        <w:ind w:left="2880" w:hanging="360"/>
      </w:pPr>
    </w:lvl>
    <w:lvl w:ilvl="4" w:tplc="E8F6D158" w:tentative="1">
      <w:start w:val="1"/>
      <w:numFmt w:val="lowerLetter"/>
      <w:lvlText w:val="%5."/>
      <w:lvlJc w:val="left"/>
      <w:pPr>
        <w:ind w:left="3600" w:hanging="360"/>
      </w:pPr>
    </w:lvl>
    <w:lvl w:ilvl="5" w:tplc="A1188878" w:tentative="1">
      <w:start w:val="1"/>
      <w:numFmt w:val="lowerRoman"/>
      <w:lvlText w:val="%6."/>
      <w:lvlJc w:val="right"/>
      <w:pPr>
        <w:ind w:left="4320" w:hanging="180"/>
      </w:pPr>
    </w:lvl>
    <w:lvl w:ilvl="6" w:tplc="E51E76F4" w:tentative="1">
      <w:start w:val="1"/>
      <w:numFmt w:val="decimal"/>
      <w:lvlText w:val="%7."/>
      <w:lvlJc w:val="left"/>
      <w:pPr>
        <w:ind w:left="5040" w:hanging="360"/>
      </w:pPr>
    </w:lvl>
    <w:lvl w:ilvl="7" w:tplc="D2406B8C" w:tentative="1">
      <w:start w:val="1"/>
      <w:numFmt w:val="lowerLetter"/>
      <w:lvlText w:val="%8."/>
      <w:lvlJc w:val="left"/>
      <w:pPr>
        <w:ind w:left="5760" w:hanging="360"/>
      </w:pPr>
    </w:lvl>
    <w:lvl w:ilvl="8" w:tplc="73621BEC" w:tentative="1">
      <w:start w:val="1"/>
      <w:numFmt w:val="lowerRoman"/>
      <w:lvlText w:val="%9."/>
      <w:lvlJc w:val="right"/>
      <w:pPr>
        <w:ind w:left="6480" w:hanging="180"/>
      </w:pPr>
    </w:lvl>
  </w:abstractNum>
  <w:abstractNum w:abstractNumId="9" w15:restartNumberingAfterBreak="0">
    <w:nsid w:val="31C628E3"/>
    <w:multiLevelType w:val="hybridMultilevel"/>
    <w:tmpl w:val="726C170E"/>
    <w:lvl w:ilvl="0" w:tplc="6C520AB6">
      <w:start w:val="1"/>
      <w:numFmt w:val="decimal"/>
      <w:lvlText w:val="%1."/>
      <w:lvlJc w:val="left"/>
      <w:pPr>
        <w:ind w:left="720" w:hanging="360"/>
      </w:pPr>
    </w:lvl>
    <w:lvl w:ilvl="1" w:tplc="317A7A70" w:tentative="1">
      <w:start w:val="1"/>
      <w:numFmt w:val="lowerLetter"/>
      <w:lvlText w:val="%2."/>
      <w:lvlJc w:val="left"/>
      <w:pPr>
        <w:ind w:left="1440" w:hanging="360"/>
      </w:pPr>
    </w:lvl>
    <w:lvl w:ilvl="2" w:tplc="7EF2A290" w:tentative="1">
      <w:start w:val="1"/>
      <w:numFmt w:val="lowerRoman"/>
      <w:lvlText w:val="%3."/>
      <w:lvlJc w:val="right"/>
      <w:pPr>
        <w:ind w:left="2160" w:hanging="180"/>
      </w:pPr>
    </w:lvl>
    <w:lvl w:ilvl="3" w:tplc="1E7017A6" w:tentative="1">
      <w:start w:val="1"/>
      <w:numFmt w:val="decimal"/>
      <w:lvlText w:val="%4."/>
      <w:lvlJc w:val="left"/>
      <w:pPr>
        <w:ind w:left="2880" w:hanging="360"/>
      </w:pPr>
    </w:lvl>
    <w:lvl w:ilvl="4" w:tplc="86562086" w:tentative="1">
      <w:start w:val="1"/>
      <w:numFmt w:val="lowerLetter"/>
      <w:lvlText w:val="%5."/>
      <w:lvlJc w:val="left"/>
      <w:pPr>
        <w:ind w:left="3600" w:hanging="360"/>
      </w:pPr>
    </w:lvl>
    <w:lvl w:ilvl="5" w:tplc="143A4D3A" w:tentative="1">
      <w:start w:val="1"/>
      <w:numFmt w:val="lowerRoman"/>
      <w:lvlText w:val="%6."/>
      <w:lvlJc w:val="right"/>
      <w:pPr>
        <w:ind w:left="4320" w:hanging="180"/>
      </w:pPr>
    </w:lvl>
    <w:lvl w:ilvl="6" w:tplc="31FE5914" w:tentative="1">
      <w:start w:val="1"/>
      <w:numFmt w:val="decimal"/>
      <w:lvlText w:val="%7."/>
      <w:lvlJc w:val="left"/>
      <w:pPr>
        <w:ind w:left="5040" w:hanging="360"/>
      </w:pPr>
    </w:lvl>
    <w:lvl w:ilvl="7" w:tplc="DC8431C2" w:tentative="1">
      <w:start w:val="1"/>
      <w:numFmt w:val="lowerLetter"/>
      <w:lvlText w:val="%8."/>
      <w:lvlJc w:val="left"/>
      <w:pPr>
        <w:ind w:left="5760" w:hanging="360"/>
      </w:pPr>
    </w:lvl>
    <w:lvl w:ilvl="8" w:tplc="2B604662" w:tentative="1">
      <w:start w:val="1"/>
      <w:numFmt w:val="lowerRoman"/>
      <w:lvlText w:val="%9."/>
      <w:lvlJc w:val="right"/>
      <w:pPr>
        <w:ind w:left="6480" w:hanging="180"/>
      </w:pPr>
    </w:lvl>
  </w:abstractNum>
  <w:abstractNum w:abstractNumId="10" w15:restartNumberingAfterBreak="0">
    <w:nsid w:val="442D36A1"/>
    <w:multiLevelType w:val="multilevel"/>
    <w:tmpl w:val="81BA2A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4F3AA1"/>
    <w:multiLevelType w:val="hybridMultilevel"/>
    <w:tmpl w:val="B8A2B6C2"/>
    <w:lvl w:ilvl="0" w:tplc="AE66346E">
      <w:start w:val="1"/>
      <w:numFmt w:val="decimal"/>
      <w:lvlText w:val="%1."/>
      <w:lvlJc w:val="left"/>
      <w:pPr>
        <w:ind w:left="2062" w:hanging="360"/>
      </w:pPr>
      <w:rPr>
        <w:rFonts w:ascii="Lato" w:hAnsi="Lato" w:hint="default"/>
        <w:b/>
        <w:bCs/>
        <w:sz w:val="20"/>
        <w:szCs w:val="20"/>
      </w:rPr>
    </w:lvl>
    <w:lvl w:ilvl="1" w:tplc="D456755A" w:tentative="1">
      <w:start w:val="1"/>
      <w:numFmt w:val="lowerLetter"/>
      <w:lvlText w:val="%2."/>
      <w:lvlJc w:val="left"/>
      <w:pPr>
        <w:ind w:left="1440" w:hanging="360"/>
      </w:pPr>
    </w:lvl>
    <w:lvl w:ilvl="2" w:tplc="7E8A1AF2" w:tentative="1">
      <w:start w:val="1"/>
      <w:numFmt w:val="lowerRoman"/>
      <w:lvlText w:val="%3."/>
      <w:lvlJc w:val="right"/>
      <w:pPr>
        <w:ind w:left="2160" w:hanging="180"/>
      </w:pPr>
    </w:lvl>
    <w:lvl w:ilvl="3" w:tplc="10DAD5B6" w:tentative="1">
      <w:start w:val="1"/>
      <w:numFmt w:val="decimal"/>
      <w:lvlText w:val="%4."/>
      <w:lvlJc w:val="left"/>
      <w:pPr>
        <w:ind w:left="2880" w:hanging="360"/>
      </w:pPr>
    </w:lvl>
    <w:lvl w:ilvl="4" w:tplc="4E6E3452" w:tentative="1">
      <w:start w:val="1"/>
      <w:numFmt w:val="lowerLetter"/>
      <w:lvlText w:val="%5."/>
      <w:lvlJc w:val="left"/>
      <w:pPr>
        <w:ind w:left="3600" w:hanging="360"/>
      </w:pPr>
    </w:lvl>
    <w:lvl w:ilvl="5" w:tplc="9B14B300" w:tentative="1">
      <w:start w:val="1"/>
      <w:numFmt w:val="lowerRoman"/>
      <w:lvlText w:val="%6."/>
      <w:lvlJc w:val="right"/>
      <w:pPr>
        <w:ind w:left="4320" w:hanging="180"/>
      </w:pPr>
    </w:lvl>
    <w:lvl w:ilvl="6" w:tplc="773EE8CC" w:tentative="1">
      <w:start w:val="1"/>
      <w:numFmt w:val="decimal"/>
      <w:lvlText w:val="%7."/>
      <w:lvlJc w:val="left"/>
      <w:pPr>
        <w:ind w:left="5040" w:hanging="360"/>
      </w:pPr>
    </w:lvl>
    <w:lvl w:ilvl="7" w:tplc="65B65264" w:tentative="1">
      <w:start w:val="1"/>
      <w:numFmt w:val="lowerLetter"/>
      <w:lvlText w:val="%8."/>
      <w:lvlJc w:val="left"/>
      <w:pPr>
        <w:ind w:left="5760" w:hanging="360"/>
      </w:pPr>
    </w:lvl>
    <w:lvl w:ilvl="8" w:tplc="2B301BA8" w:tentative="1">
      <w:start w:val="1"/>
      <w:numFmt w:val="lowerRoman"/>
      <w:lvlText w:val="%9."/>
      <w:lvlJc w:val="right"/>
      <w:pPr>
        <w:ind w:left="6480" w:hanging="180"/>
      </w:pPr>
    </w:lvl>
  </w:abstractNum>
  <w:abstractNum w:abstractNumId="12" w15:restartNumberingAfterBreak="0">
    <w:nsid w:val="4DEE6296"/>
    <w:multiLevelType w:val="hybridMultilevel"/>
    <w:tmpl w:val="BA8E7D4E"/>
    <w:lvl w:ilvl="0" w:tplc="B4EA2532">
      <w:start w:val="1"/>
      <w:numFmt w:val="upperRoman"/>
      <w:lvlText w:val="%1."/>
      <w:lvlJc w:val="right"/>
      <w:pPr>
        <w:ind w:left="720" w:hanging="360"/>
      </w:pPr>
    </w:lvl>
    <w:lvl w:ilvl="1" w:tplc="31F4A2FA" w:tentative="1">
      <w:start w:val="1"/>
      <w:numFmt w:val="lowerLetter"/>
      <w:lvlText w:val="%2."/>
      <w:lvlJc w:val="left"/>
      <w:pPr>
        <w:ind w:left="1440" w:hanging="360"/>
      </w:pPr>
    </w:lvl>
    <w:lvl w:ilvl="2" w:tplc="CA548744" w:tentative="1">
      <w:start w:val="1"/>
      <w:numFmt w:val="lowerRoman"/>
      <w:lvlText w:val="%3."/>
      <w:lvlJc w:val="right"/>
      <w:pPr>
        <w:ind w:left="2160" w:hanging="180"/>
      </w:pPr>
    </w:lvl>
    <w:lvl w:ilvl="3" w:tplc="C6A66AD8" w:tentative="1">
      <w:start w:val="1"/>
      <w:numFmt w:val="decimal"/>
      <w:lvlText w:val="%4."/>
      <w:lvlJc w:val="left"/>
      <w:pPr>
        <w:ind w:left="2880" w:hanging="360"/>
      </w:pPr>
    </w:lvl>
    <w:lvl w:ilvl="4" w:tplc="6CD21DF2" w:tentative="1">
      <w:start w:val="1"/>
      <w:numFmt w:val="lowerLetter"/>
      <w:lvlText w:val="%5."/>
      <w:lvlJc w:val="left"/>
      <w:pPr>
        <w:ind w:left="3600" w:hanging="360"/>
      </w:pPr>
    </w:lvl>
    <w:lvl w:ilvl="5" w:tplc="1D161928" w:tentative="1">
      <w:start w:val="1"/>
      <w:numFmt w:val="lowerRoman"/>
      <w:lvlText w:val="%6."/>
      <w:lvlJc w:val="right"/>
      <w:pPr>
        <w:ind w:left="4320" w:hanging="180"/>
      </w:pPr>
    </w:lvl>
    <w:lvl w:ilvl="6" w:tplc="5EBCDC84" w:tentative="1">
      <w:start w:val="1"/>
      <w:numFmt w:val="decimal"/>
      <w:lvlText w:val="%7."/>
      <w:lvlJc w:val="left"/>
      <w:pPr>
        <w:ind w:left="5040" w:hanging="360"/>
      </w:pPr>
    </w:lvl>
    <w:lvl w:ilvl="7" w:tplc="44C0C568" w:tentative="1">
      <w:start w:val="1"/>
      <w:numFmt w:val="lowerLetter"/>
      <w:lvlText w:val="%8."/>
      <w:lvlJc w:val="left"/>
      <w:pPr>
        <w:ind w:left="5760" w:hanging="360"/>
      </w:pPr>
    </w:lvl>
    <w:lvl w:ilvl="8" w:tplc="B6EE76B4" w:tentative="1">
      <w:start w:val="1"/>
      <w:numFmt w:val="lowerRoman"/>
      <w:lvlText w:val="%9."/>
      <w:lvlJc w:val="right"/>
      <w:pPr>
        <w:ind w:left="6480" w:hanging="180"/>
      </w:pPr>
    </w:lvl>
  </w:abstractNum>
  <w:abstractNum w:abstractNumId="13" w15:restartNumberingAfterBreak="0">
    <w:nsid w:val="50B90DEF"/>
    <w:multiLevelType w:val="hybridMultilevel"/>
    <w:tmpl w:val="B8A2B6C2"/>
    <w:lvl w:ilvl="0" w:tplc="3EF4A9CE">
      <w:start w:val="1"/>
      <w:numFmt w:val="decimal"/>
      <w:lvlText w:val="%1."/>
      <w:lvlJc w:val="left"/>
      <w:pPr>
        <w:ind w:left="2062" w:hanging="360"/>
      </w:pPr>
      <w:rPr>
        <w:rFonts w:ascii="Lato" w:hAnsi="Lato" w:hint="default"/>
        <w:b/>
        <w:bCs/>
        <w:sz w:val="20"/>
        <w:szCs w:val="20"/>
      </w:rPr>
    </w:lvl>
    <w:lvl w:ilvl="1" w:tplc="D372727A" w:tentative="1">
      <w:start w:val="1"/>
      <w:numFmt w:val="lowerLetter"/>
      <w:lvlText w:val="%2."/>
      <w:lvlJc w:val="left"/>
      <w:pPr>
        <w:ind w:left="1440" w:hanging="360"/>
      </w:pPr>
    </w:lvl>
    <w:lvl w:ilvl="2" w:tplc="48C41CAE" w:tentative="1">
      <w:start w:val="1"/>
      <w:numFmt w:val="lowerRoman"/>
      <w:lvlText w:val="%3."/>
      <w:lvlJc w:val="right"/>
      <w:pPr>
        <w:ind w:left="2160" w:hanging="180"/>
      </w:pPr>
    </w:lvl>
    <w:lvl w:ilvl="3" w:tplc="9B220BA2" w:tentative="1">
      <w:start w:val="1"/>
      <w:numFmt w:val="decimal"/>
      <w:lvlText w:val="%4."/>
      <w:lvlJc w:val="left"/>
      <w:pPr>
        <w:ind w:left="2880" w:hanging="360"/>
      </w:pPr>
    </w:lvl>
    <w:lvl w:ilvl="4" w:tplc="961C1B04" w:tentative="1">
      <w:start w:val="1"/>
      <w:numFmt w:val="lowerLetter"/>
      <w:lvlText w:val="%5."/>
      <w:lvlJc w:val="left"/>
      <w:pPr>
        <w:ind w:left="3600" w:hanging="360"/>
      </w:pPr>
    </w:lvl>
    <w:lvl w:ilvl="5" w:tplc="B51C78C0" w:tentative="1">
      <w:start w:val="1"/>
      <w:numFmt w:val="lowerRoman"/>
      <w:lvlText w:val="%6."/>
      <w:lvlJc w:val="right"/>
      <w:pPr>
        <w:ind w:left="4320" w:hanging="180"/>
      </w:pPr>
    </w:lvl>
    <w:lvl w:ilvl="6" w:tplc="EA44B504" w:tentative="1">
      <w:start w:val="1"/>
      <w:numFmt w:val="decimal"/>
      <w:lvlText w:val="%7."/>
      <w:lvlJc w:val="left"/>
      <w:pPr>
        <w:ind w:left="5040" w:hanging="360"/>
      </w:pPr>
    </w:lvl>
    <w:lvl w:ilvl="7" w:tplc="103ACCCE" w:tentative="1">
      <w:start w:val="1"/>
      <w:numFmt w:val="lowerLetter"/>
      <w:lvlText w:val="%8."/>
      <w:lvlJc w:val="left"/>
      <w:pPr>
        <w:ind w:left="5760" w:hanging="360"/>
      </w:pPr>
    </w:lvl>
    <w:lvl w:ilvl="8" w:tplc="9D288C10" w:tentative="1">
      <w:start w:val="1"/>
      <w:numFmt w:val="lowerRoman"/>
      <w:lvlText w:val="%9."/>
      <w:lvlJc w:val="right"/>
      <w:pPr>
        <w:ind w:left="6480" w:hanging="180"/>
      </w:pPr>
    </w:lvl>
  </w:abstractNum>
  <w:abstractNum w:abstractNumId="14" w15:restartNumberingAfterBreak="0">
    <w:nsid w:val="50BC7EB5"/>
    <w:multiLevelType w:val="hybridMultilevel"/>
    <w:tmpl w:val="6986B48C"/>
    <w:lvl w:ilvl="0" w:tplc="0BD8B2CE">
      <w:start w:val="1"/>
      <w:numFmt w:val="bullet"/>
      <w:lvlText w:val=""/>
      <w:lvlJc w:val="left"/>
      <w:pPr>
        <w:ind w:left="1571" w:hanging="360"/>
      </w:pPr>
      <w:rPr>
        <w:rFonts w:ascii="Symbol" w:hAnsi="Symbol" w:hint="default"/>
      </w:rPr>
    </w:lvl>
    <w:lvl w:ilvl="1" w:tplc="410A685A" w:tentative="1">
      <w:start w:val="1"/>
      <w:numFmt w:val="bullet"/>
      <w:lvlText w:val="o"/>
      <w:lvlJc w:val="left"/>
      <w:pPr>
        <w:ind w:left="2291" w:hanging="360"/>
      </w:pPr>
      <w:rPr>
        <w:rFonts w:ascii="Courier New" w:hAnsi="Courier New" w:cs="Courier New" w:hint="default"/>
      </w:rPr>
    </w:lvl>
    <w:lvl w:ilvl="2" w:tplc="E46468E2" w:tentative="1">
      <w:start w:val="1"/>
      <w:numFmt w:val="bullet"/>
      <w:lvlText w:val=""/>
      <w:lvlJc w:val="left"/>
      <w:pPr>
        <w:ind w:left="3011" w:hanging="360"/>
      </w:pPr>
      <w:rPr>
        <w:rFonts w:ascii="Wingdings" w:hAnsi="Wingdings" w:hint="default"/>
      </w:rPr>
    </w:lvl>
    <w:lvl w:ilvl="3" w:tplc="1D0E1488" w:tentative="1">
      <w:start w:val="1"/>
      <w:numFmt w:val="bullet"/>
      <w:lvlText w:val=""/>
      <w:lvlJc w:val="left"/>
      <w:pPr>
        <w:ind w:left="3731" w:hanging="360"/>
      </w:pPr>
      <w:rPr>
        <w:rFonts w:ascii="Symbol" w:hAnsi="Symbol" w:hint="default"/>
      </w:rPr>
    </w:lvl>
    <w:lvl w:ilvl="4" w:tplc="F014E6CC" w:tentative="1">
      <w:start w:val="1"/>
      <w:numFmt w:val="bullet"/>
      <w:lvlText w:val="o"/>
      <w:lvlJc w:val="left"/>
      <w:pPr>
        <w:ind w:left="4451" w:hanging="360"/>
      </w:pPr>
      <w:rPr>
        <w:rFonts w:ascii="Courier New" w:hAnsi="Courier New" w:cs="Courier New" w:hint="default"/>
      </w:rPr>
    </w:lvl>
    <w:lvl w:ilvl="5" w:tplc="C20855EC" w:tentative="1">
      <w:start w:val="1"/>
      <w:numFmt w:val="bullet"/>
      <w:lvlText w:val=""/>
      <w:lvlJc w:val="left"/>
      <w:pPr>
        <w:ind w:left="5171" w:hanging="360"/>
      </w:pPr>
      <w:rPr>
        <w:rFonts w:ascii="Wingdings" w:hAnsi="Wingdings" w:hint="default"/>
      </w:rPr>
    </w:lvl>
    <w:lvl w:ilvl="6" w:tplc="A04E7732" w:tentative="1">
      <w:start w:val="1"/>
      <w:numFmt w:val="bullet"/>
      <w:lvlText w:val=""/>
      <w:lvlJc w:val="left"/>
      <w:pPr>
        <w:ind w:left="5891" w:hanging="360"/>
      </w:pPr>
      <w:rPr>
        <w:rFonts w:ascii="Symbol" w:hAnsi="Symbol" w:hint="default"/>
      </w:rPr>
    </w:lvl>
    <w:lvl w:ilvl="7" w:tplc="29D4F3AE" w:tentative="1">
      <w:start w:val="1"/>
      <w:numFmt w:val="bullet"/>
      <w:lvlText w:val="o"/>
      <w:lvlJc w:val="left"/>
      <w:pPr>
        <w:ind w:left="6611" w:hanging="360"/>
      </w:pPr>
      <w:rPr>
        <w:rFonts w:ascii="Courier New" w:hAnsi="Courier New" w:cs="Courier New" w:hint="default"/>
      </w:rPr>
    </w:lvl>
    <w:lvl w:ilvl="8" w:tplc="DC04099E" w:tentative="1">
      <w:start w:val="1"/>
      <w:numFmt w:val="bullet"/>
      <w:lvlText w:val=""/>
      <w:lvlJc w:val="left"/>
      <w:pPr>
        <w:ind w:left="7331" w:hanging="360"/>
      </w:pPr>
      <w:rPr>
        <w:rFonts w:ascii="Wingdings" w:hAnsi="Wingdings" w:hint="default"/>
      </w:rPr>
    </w:lvl>
  </w:abstractNum>
  <w:abstractNum w:abstractNumId="15" w15:restartNumberingAfterBreak="0">
    <w:nsid w:val="53BF116E"/>
    <w:multiLevelType w:val="hybridMultilevel"/>
    <w:tmpl w:val="97202532"/>
    <w:lvl w:ilvl="0" w:tplc="C9D440CC">
      <w:start w:val="1"/>
      <w:numFmt w:val="lowerLetter"/>
      <w:lvlText w:val="%1)"/>
      <w:lvlJc w:val="left"/>
      <w:pPr>
        <w:ind w:left="1320" w:hanging="360"/>
      </w:pPr>
    </w:lvl>
    <w:lvl w:ilvl="1" w:tplc="3CDAF35C" w:tentative="1">
      <w:start w:val="1"/>
      <w:numFmt w:val="lowerLetter"/>
      <w:lvlText w:val="%2."/>
      <w:lvlJc w:val="left"/>
      <w:pPr>
        <w:ind w:left="2040" w:hanging="360"/>
      </w:pPr>
    </w:lvl>
    <w:lvl w:ilvl="2" w:tplc="D8AE28CC" w:tentative="1">
      <w:start w:val="1"/>
      <w:numFmt w:val="lowerRoman"/>
      <w:lvlText w:val="%3."/>
      <w:lvlJc w:val="right"/>
      <w:pPr>
        <w:ind w:left="2760" w:hanging="180"/>
      </w:pPr>
    </w:lvl>
    <w:lvl w:ilvl="3" w:tplc="88F0F93E" w:tentative="1">
      <w:start w:val="1"/>
      <w:numFmt w:val="decimal"/>
      <w:lvlText w:val="%4."/>
      <w:lvlJc w:val="left"/>
      <w:pPr>
        <w:ind w:left="3480" w:hanging="360"/>
      </w:pPr>
    </w:lvl>
    <w:lvl w:ilvl="4" w:tplc="88545F16" w:tentative="1">
      <w:start w:val="1"/>
      <w:numFmt w:val="lowerLetter"/>
      <w:lvlText w:val="%5."/>
      <w:lvlJc w:val="left"/>
      <w:pPr>
        <w:ind w:left="4200" w:hanging="360"/>
      </w:pPr>
    </w:lvl>
    <w:lvl w:ilvl="5" w:tplc="3850E738" w:tentative="1">
      <w:start w:val="1"/>
      <w:numFmt w:val="lowerRoman"/>
      <w:lvlText w:val="%6."/>
      <w:lvlJc w:val="right"/>
      <w:pPr>
        <w:ind w:left="4920" w:hanging="180"/>
      </w:pPr>
    </w:lvl>
    <w:lvl w:ilvl="6" w:tplc="0EE6CCB4" w:tentative="1">
      <w:start w:val="1"/>
      <w:numFmt w:val="decimal"/>
      <w:lvlText w:val="%7."/>
      <w:lvlJc w:val="left"/>
      <w:pPr>
        <w:ind w:left="5640" w:hanging="360"/>
      </w:pPr>
    </w:lvl>
    <w:lvl w:ilvl="7" w:tplc="8E7CA670" w:tentative="1">
      <w:start w:val="1"/>
      <w:numFmt w:val="lowerLetter"/>
      <w:lvlText w:val="%8."/>
      <w:lvlJc w:val="left"/>
      <w:pPr>
        <w:ind w:left="6360" w:hanging="360"/>
      </w:pPr>
    </w:lvl>
    <w:lvl w:ilvl="8" w:tplc="87CE5450" w:tentative="1">
      <w:start w:val="1"/>
      <w:numFmt w:val="lowerRoman"/>
      <w:lvlText w:val="%9."/>
      <w:lvlJc w:val="right"/>
      <w:pPr>
        <w:ind w:left="7080" w:hanging="180"/>
      </w:pPr>
    </w:lvl>
  </w:abstractNum>
  <w:abstractNum w:abstractNumId="16" w15:restartNumberingAfterBreak="0">
    <w:nsid w:val="557A6911"/>
    <w:multiLevelType w:val="hybridMultilevel"/>
    <w:tmpl w:val="AAAE734C"/>
    <w:lvl w:ilvl="0" w:tplc="3FD05914">
      <w:start w:val="1"/>
      <w:numFmt w:val="bullet"/>
      <w:lvlText w:val=""/>
      <w:lvlJc w:val="left"/>
      <w:pPr>
        <w:ind w:left="7165" w:hanging="360"/>
      </w:pPr>
      <w:rPr>
        <w:rFonts w:ascii="Symbol" w:hAnsi="Symbol" w:hint="default"/>
      </w:rPr>
    </w:lvl>
    <w:lvl w:ilvl="1" w:tplc="EBE8D768">
      <w:start w:val="1"/>
      <w:numFmt w:val="bullet"/>
      <w:lvlText w:val="o"/>
      <w:lvlJc w:val="left"/>
      <w:pPr>
        <w:ind w:left="1440" w:hanging="360"/>
      </w:pPr>
      <w:rPr>
        <w:rFonts w:ascii="Courier New" w:hAnsi="Courier New" w:cs="Courier New" w:hint="default"/>
      </w:rPr>
    </w:lvl>
    <w:lvl w:ilvl="2" w:tplc="61BA9184" w:tentative="1">
      <w:start w:val="1"/>
      <w:numFmt w:val="bullet"/>
      <w:lvlText w:val=""/>
      <w:lvlJc w:val="left"/>
      <w:pPr>
        <w:ind w:left="2160" w:hanging="360"/>
      </w:pPr>
      <w:rPr>
        <w:rFonts w:ascii="Wingdings" w:hAnsi="Wingdings" w:hint="default"/>
      </w:rPr>
    </w:lvl>
    <w:lvl w:ilvl="3" w:tplc="03344F80" w:tentative="1">
      <w:start w:val="1"/>
      <w:numFmt w:val="bullet"/>
      <w:lvlText w:val=""/>
      <w:lvlJc w:val="left"/>
      <w:pPr>
        <w:ind w:left="2880" w:hanging="360"/>
      </w:pPr>
      <w:rPr>
        <w:rFonts w:ascii="Symbol" w:hAnsi="Symbol" w:hint="default"/>
      </w:rPr>
    </w:lvl>
    <w:lvl w:ilvl="4" w:tplc="44668C04" w:tentative="1">
      <w:start w:val="1"/>
      <w:numFmt w:val="bullet"/>
      <w:lvlText w:val="o"/>
      <w:lvlJc w:val="left"/>
      <w:pPr>
        <w:ind w:left="3600" w:hanging="360"/>
      </w:pPr>
      <w:rPr>
        <w:rFonts w:ascii="Courier New" w:hAnsi="Courier New" w:cs="Courier New" w:hint="default"/>
      </w:rPr>
    </w:lvl>
    <w:lvl w:ilvl="5" w:tplc="05D2C646" w:tentative="1">
      <w:start w:val="1"/>
      <w:numFmt w:val="bullet"/>
      <w:lvlText w:val=""/>
      <w:lvlJc w:val="left"/>
      <w:pPr>
        <w:ind w:left="4320" w:hanging="360"/>
      </w:pPr>
      <w:rPr>
        <w:rFonts w:ascii="Wingdings" w:hAnsi="Wingdings" w:hint="default"/>
      </w:rPr>
    </w:lvl>
    <w:lvl w:ilvl="6" w:tplc="F2845818" w:tentative="1">
      <w:start w:val="1"/>
      <w:numFmt w:val="bullet"/>
      <w:lvlText w:val=""/>
      <w:lvlJc w:val="left"/>
      <w:pPr>
        <w:ind w:left="5040" w:hanging="360"/>
      </w:pPr>
      <w:rPr>
        <w:rFonts w:ascii="Symbol" w:hAnsi="Symbol" w:hint="default"/>
      </w:rPr>
    </w:lvl>
    <w:lvl w:ilvl="7" w:tplc="27DA53C2" w:tentative="1">
      <w:start w:val="1"/>
      <w:numFmt w:val="bullet"/>
      <w:lvlText w:val="o"/>
      <w:lvlJc w:val="left"/>
      <w:pPr>
        <w:ind w:left="5760" w:hanging="360"/>
      </w:pPr>
      <w:rPr>
        <w:rFonts w:ascii="Courier New" w:hAnsi="Courier New" w:cs="Courier New" w:hint="default"/>
      </w:rPr>
    </w:lvl>
    <w:lvl w:ilvl="8" w:tplc="A0F09608" w:tentative="1">
      <w:start w:val="1"/>
      <w:numFmt w:val="bullet"/>
      <w:lvlText w:val=""/>
      <w:lvlJc w:val="left"/>
      <w:pPr>
        <w:ind w:left="6480" w:hanging="360"/>
      </w:pPr>
      <w:rPr>
        <w:rFonts w:ascii="Wingdings" w:hAnsi="Wingdings" w:hint="default"/>
      </w:rPr>
    </w:lvl>
  </w:abstractNum>
  <w:abstractNum w:abstractNumId="17" w15:restartNumberingAfterBreak="0">
    <w:nsid w:val="589F17EE"/>
    <w:multiLevelType w:val="hybridMultilevel"/>
    <w:tmpl w:val="74A6709C"/>
    <w:lvl w:ilvl="0" w:tplc="7412405E">
      <w:start w:val="1"/>
      <w:numFmt w:val="upperRoman"/>
      <w:lvlText w:val="%1."/>
      <w:lvlJc w:val="right"/>
      <w:pPr>
        <w:ind w:left="720" w:hanging="360"/>
      </w:pPr>
      <w:rPr>
        <w:rFonts w:hint="default"/>
      </w:rPr>
    </w:lvl>
    <w:lvl w:ilvl="1" w:tplc="BA1E8B5A" w:tentative="1">
      <w:start w:val="1"/>
      <w:numFmt w:val="bullet"/>
      <w:lvlText w:val="o"/>
      <w:lvlJc w:val="left"/>
      <w:pPr>
        <w:ind w:left="1440" w:hanging="360"/>
      </w:pPr>
      <w:rPr>
        <w:rFonts w:ascii="Courier New" w:hAnsi="Courier New" w:cs="Courier New" w:hint="default"/>
      </w:rPr>
    </w:lvl>
    <w:lvl w:ilvl="2" w:tplc="7F068D56" w:tentative="1">
      <w:start w:val="1"/>
      <w:numFmt w:val="bullet"/>
      <w:lvlText w:val=""/>
      <w:lvlJc w:val="left"/>
      <w:pPr>
        <w:ind w:left="2160" w:hanging="360"/>
      </w:pPr>
      <w:rPr>
        <w:rFonts w:ascii="Wingdings" w:hAnsi="Wingdings" w:hint="default"/>
      </w:rPr>
    </w:lvl>
    <w:lvl w:ilvl="3" w:tplc="BD38AFF2" w:tentative="1">
      <w:start w:val="1"/>
      <w:numFmt w:val="bullet"/>
      <w:lvlText w:val=""/>
      <w:lvlJc w:val="left"/>
      <w:pPr>
        <w:ind w:left="2880" w:hanging="360"/>
      </w:pPr>
      <w:rPr>
        <w:rFonts w:ascii="Symbol" w:hAnsi="Symbol" w:hint="default"/>
      </w:rPr>
    </w:lvl>
    <w:lvl w:ilvl="4" w:tplc="7136AFF0" w:tentative="1">
      <w:start w:val="1"/>
      <w:numFmt w:val="bullet"/>
      <w:lvlText w:val="o"/>
      <w:lvlJc w:val="left"/>
      <w:pPr>
        <w:ind w:left="3600" w:hanging="360"/>
      </w:pPr>
      <w:rPr>
        <w:rFonts w:ascii="Courier New" w:hAnsi="Courier New" w:cs="Courier New" w:hint="default"/>
      </w:rPr>
    </w:lvl>
    <w:lvl w:ilvl="5" w:tplc="24785ECE" w:tentative="1">
      <w:start w:val="1"/>
      <w:numFmt w:val="bullet"/>
      <w:lvlText w:val=""/>
      <w:lvlJc w:val="left"/>
      <w:pPr>
        <w:ind w:left="4320" w:hanging="360"/>
      </w:pPr>
      <w:rPr>
        <w:rFonts w:ascii="Wingdings" w:hAnsi="Wingdings" w:hint="default"/>
      </w:rPr>
    </w:lvl>
    <w:lvl w:ilvl="6" w:tplc="7CEA8554" w:tentative="1">
      <w:start w:val="1"/>
      <w:numFmt w:val="bullet"/>
      <w:lvlText w:val=""/>
      <w:lvlJc w:val="left"/>
      <w:pPr>
        <w:ind w:left="5040" w:hanging="360"/>
      </w:pPr>
      <w:rPr>
        <w:rFonts w:ascii="Symbol" w:hAnsi="Symbol" w:hint="default"/>
      </w:rPr>
    </w:lvl>
    <w:lvl w:ilvl="7" w:tplc="8D0ED770" w:tentative="1">
      <w:start w:val="1"/>
      <w:numFmt w:val="bullet"/>
      <w:lvlText w:val="o"/>
      <w:lvlJc w:val="left"/>
      <w:pPr>
        <w:ind w:left="5760" w:hanging="360"/>
      </w:pPr>
      <w:rPr>
        <w:rFonts w:ascii="Courier New" w:hAnsi="Courier New" w:cs="Courier New" w:hint="default"/>
      </w:rPr>
    </w:lvl>
    <w:lvl w:ilvl="8" w:tplc="6530558A" w:tentative="1">
      <w:start w:val="1"/>
      <w:numFmt w:val="bullet"/>
      <w:lvlText w:val=""/>
      <w:lvlJc w:val="left"/>
      <w:pPr>
        <w:ind w:left="6480" w:hanging="360"/>
      </w:pPr>
      <w:rPr>
        <w:rFonts w:ascii="Wingdings" w:hAnsi="Wingdings" w:hint="default"/>
      </w:rPr>
    </w:lvl>
  </w:abstractNum>
  <w:abstractNum w:abstractNumId="18" w15:restartNumberingAfterBreak="0">
    <w:nsid w:val="596E1076"/>
    <w:multiLevelType w:val="hybridMultilevel"/>
    <w:tmpl w:val="6734D140"/>
    <w:lvl w:ilvl="0" w:tplc="823EF52A">
      <w:start w:val="1"/>
      <w:numFmt w:val="decimal"/>
      <w:lvlText w:val="%1."/>
      <w:lvlJc w:val="left"/>
      <w:pPr>
        <w:ind w:left="720" w:hanging="360"/>
      </w:pPr>
    </w:lvl>
    <w:lvl w:ilvl="1" w:tplc="D6644404" w:tentative="1">
      <w:start w:val="1"/>
      <w:numFmt w:val="lowerLetter"/>
      <w:lvlText w:val="%2."/>
      <w:lvlJc w:val="left"/>
      <w:pPr>
        <w:ind w:left="1440" w:hanging="360"/>
      </w:pPr>
    </w:lvl>
    <w:lvl w:ilvl="2" w:tplc="C112436C" w:tentative="1">
      <w:start w:val="1"/>
      <w:numFmt w:val="lowerRoman"/>
      <w:lvlText w:val="%3."/>
      <w:lvlJc w:val="right"/>
      <w:pPr>
        <w:ind w:left="2160" w:hanging="180"/>
      </w:pPr>
    </w:lvl>
    <w:lvl w:ilvl="3" w:tplc="1B26D832" w:tentative="1">
      <w:start w:val="1"/>
      <w:numFmt w:val="decimal"/>
      <w:lvlText w:val="%4."/>
      <w:lvlJc w:val="left"/>
      <w:pPr>
        <w:ind w:left="2880" w:hanging="360"/>
      </w:pPr>
    </w:lvl>
    <w:lvl w:ilvl="4" w:tplc="9A543534" w:tentative="1">
      <w:start w:val="1"/>
      <w:numFmt w:val="lowerLetter"/>
      <w:lvlText w:val="%5."/>
      <w:lvlJc w:val="left"/>
      <w:pPr>
        <w:ind w:left="3600" w:hanging="360"/>
      </w:pPr>
    </w:lvl>
    <w:lvl w:ilvl="5" w:tplc="982C6924" w:tentative="1">
      <w:start w:val="1"/>
      <w:numFmt w:val="lowerRoman"/>
      <w:lvlText w:val="%6."/>
      <w:lvlJc w:val="right"/>
      <w:pPr>
        <w:ind w:left="4320" w:hanging="180"/>
      </w:pPr>
    </w:lvl>
    <w:lvl w:ilvl="6" w:tplc="112286BC" w:tentative="1">
      <w:start w:val="1"/>
      <w:numFmt w:val="decimal"/>
      <w:lvlText w:val="%7."/>
      <w:lvlJc w:val="left"/>
      <w:pPr>
        <w:ind w:left="5040" w:hanging="360"/>
      </w:pPr>
    </w:lvl>
    <w:lvl w:ilvl="7" w:tplc="81366352" w:tentative="1">
      <w:start w:val="1"/>
      <w:numFmt w:val="lowerLetter"/>
      <w:lvlText w:val="%8."/>
      <w:lvlJc w:val="left"/>
      <w:pPr>
        <w:ind w:left="5760" w:hanging="360"/>
      </w:pPr>
    </w:lvl>
    <w:lvl w:ilvl="8" w:tplc="A4503A9E" w:tentative="1">
      <w:start w:val="1"/>
      <w:numFmt w:val="lowerRoman"/>
      <w:lvlText w:val="%9."/>
      <w:lvlJc w:val="right"/>
      <w:pPr>
        <w:ind w:left="6480" w:hanging="180"/>
      </w:pPr>
    </w:lvl>
  </w:abstractNum>
  <w:abstractNum w:abstractNumId="19" w15:restartNumberingAfterBreak="0">
    <w:nsid w:val="5BD24BAD"/>
    <w:multiLevelType w:val="hybridMultilevel"/>
    <w:tmpl w:val="BDBA2C28"/>
    <w:lvl w:ilvl="0" w:tplc="F61C1CB2">
      <w:start w:val="1"/>
      <w:numFmt w:val="decimal"/>
      <w:lvlText w:val="%1."/>
      <w:lvlJc w:val="left"/>
      <w:pPr>
        <w:ind w:left="1020" w:hanging="360"/>
      </w:pPr>
    </w:lvl>
    <w:lvl w:ilvl="1" w:tplc="3C1E9E5C">
      <w:start w:val="1"/>
      <w:numFmt w:val="decimal"/>
      <w:lvlText w:val="%2."/>
      <w:lvlJc w:val="left"/>
      <w:pPr>
        <w:ind w:left="1020" w:hanging="360"/>
      </w:pPr>
    </w:lvl>
    <w:lvl w:ilvl="2" w:tplc="A2DC46C0">
      <w:start w:val="1"/>
      <w:numFmt w:val="decimal"/>
      <w:lvlText w:val="%3."/>
      <w:lvlJc w:val="left"/>
      <w:pPr>
        <w:ind w:left="1020" w:hanging="360"/>
      </w:pPr>
    </w:lvl>
    <w:lvl w:ilvl="3" w:tplc="897E50B0">
      <w:start w:val="1"/>
      <w:numFmt w:val="decimal"/>
      <w:lvlText w:val="%4."/>
      <w:lvlJc w:val="left"/>
      <w:pPr>
        <w:ind w:left="1020" w:hanging="360"/>
      </w:pPr>
    </w:lvl>
    <w:lvl w:ilvl="4" w:tplc="CA98ACDE">
      <w:start w:val="1"/>
      <w:numFmt w:val="decimal"/>
      <w:lvlText w:val="%5."/>
      <w:lvlJc w:val="left"/>
      <w:pPr>
        <w:ind w:left="1020" w:hanging="360"/>
      </w:pPr>
    </w:lvl>
    <w:lvl w:ilvl="5" w:tplc="64EE838E">
      <w:start w:val="1"/>
      <w:numFmt w:val="decimal"/>
      <w:lvlText w:val="%6."/>
      <w:lvlJc w:val="left"/>
      <w:pPr>
        <w:ind w:left="1020" w:hanging="360"/>
      </w:pPr>
    </w:lvl>
    <w:lvl w:ilvl="6" w:tplc="7E167472">
      <w:start w:val="1"/>
      <w:numFmt w:val="decimal"/>
      <w:lvlText w:val="%7."/>
      <w:lvlJc w:val="left"/>
      <w:pPr>
        <w:ind w:left="1020" w:hanging="360"/>
      </w:pPr>
    </w:lvl>
    <w:lvl w:ilvl="7" w:tplc="CC824D7A">
      <w:start w:val="1"/>
      <w:numFmt w:val="decimal"/>
      <w:lvlText w:val="%8."/>
      <w:lvlJc w:val="left"/>
      <w:pPr>
        <w:ind w:left="1020" w:hanging="360"/>
      </w:pPr>
    </w:lvl>
    <w:lvl w:ilvl="8" w:tplc="C0E6AD9E">
      <w:start w:val="1"/>
      <w:numFmt w:val="decimal"/>
      <w:lvlText w:val="%9."/>
      <w:lvlJc w:val="left"/>
      <w:pPr>
        <w:ind w:left="1020" w:hanging="360"/>
      </w:pPr>
    </w:lvl>
  </w:abstractNum>
  <w:abstractNum w:abstractNumId="20" w15:restartNumberingAfterBreak="0">
    <w:nsid w:val="5C502916"/>
    <w:multiLevelType w:val="multilevel"/>
    <w:tmpl w:val="C614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9C6EFB"/>
    <w:multiLevelType w:val="hybridMultilevel"/>
    <w:tmpl w:val="BA8E7D4E"/>
    <w:lvl w:ilvl="0" w:tplc="2AFA2A94">
      <w:start w:val="1"/>
      <w:numFmt w:val="upperRoman"/>
      <w:lvlText w:val="%1."/>
      <w:lvlJc w:val="right"/>
      <w:pPr>
        <w:ind w:left="720" w:hanging="360"/>
      </w:pPr>
    </w:lvl>
    <w:lvl w:ilvl="1" w:tplc="E738CDBE" w:tentative="1">
      <w:start w:val="1"/>
      <w:numFmt w:val="lowerLetter"/>
      <w:lvlText w:val="%2."/>
      <w:lvlJc w:val="left"/>
      <w:pPr>
        <w:ind w:left="1440" w:hanging="360"/>
      </w:pPr>
    </w:lvl>
    <w:lvl w:ilvl="2" w:tplc="812884AC" w:tentative="1">
      <w:start w:val="1"/>
      <w:numFmt w:val="lowerRoman"/>
      <w:lvlText w:val="%3."/>
      <w:lvlJc w:val="right"/>
      <w:pPr>
        <w:ind w:left="2160" w:hanging="180"/>
      </w:pPr>
    </w:lvl>
    <w:lvl w:ilvl="3" w:tplc="56CC257A" w:tentative="1">
      <w:start w:val="1"/>
      <w:numFmt w:val="decimal"/>
      <w:lvlText w:val="%4."/>
      <w:lvlJc w:val="left"/>
      <w:pPr>
        <w:ind w:left="2880" w:hanging="360"/>
      </w:pPr>
    </w:lvl>
    <w:lvl w:ilvl="4" w:tplc="FFBC9A0A" w:tentative="1">
      <w:start w:val="1"/>
      <w:numFmt w:val="lowerLetter"/>
      <w:lvlText w:val="%5."/>
      <w:lvlJc w:val="left"/>
      <w:pPr>
        <w:ind w:left="3600" w:hanging="360"/>
      </w:pPr>
    </w:lvl>
    <w:lvl w:ilvl="5" w:tplc="D8E4534C" w:tentative="1">
      <w:start w:val="1"/>
      <w:numFmt w:val="lowerRoman"/>
      <w:lvlText w:val="%6."/>
      <w:lvlJc w:val="right"/>
      <w:pPr>
        <w:ind w:left="4320" w:hanging="180"/>
      </w:pPr>
    </w:lvl>
    <w:lvl w:ilvl="6" w:tplc="059208BA" w:tentative="1">
      <w:start w:val="1"/>
      <w:numFmt w:val="decimal"/>
      <w:lvlText w:val="%7."/>
      <w:lvlJc w:val="left"/>
      <w:pPr>
        <w:ind w:left="5040" w:hanging="360"/>
      </w:pPr>
    </w:lvl>
    <w:lvl w:ilvl="7" w:tplc="20BC4182" w:tentative="1">
      <w:start w:val="1"/>
      <w:numFmt w:val="lowerLetter"/>
      <w:lvlText w:val="%8."/>
      <w:lvlJc w:val="left"/>
      <w:pPr>
        <w:ind w:left="5760" w:hanging="360"/>
      </w:pPr>
    </w:lvl>
    <w:lvl w:ilvl="8" w:tplc="62BC326C" w:tentative="1">
      <w:start w:val="1"/>
      <w:numFmt w:val="lowerRoman"/>
      <w:lvlText w:val="%9."/>
      <w:lvlJc w:val="right"/>
      <w:pPr>
        <w:ind w:left="6480" w:hanging="180"/>
      </w:pPr>
    </w:lvl>
  </w:abstractNum>
  <w:abstractNum w:abstractNumId="22" w15:restartNumberingAfterBreak="0">
    <w:nsid w:val="5E622513"/>
    <w:multiLevelType w:val="hybridMultilevel"/>
    <w:tmpl w:val="0046BFA0"/>
    <w:lvl w:ilvl="0" w:tplc="31365A9A">
      <w:start w:val="1"/>
      <w:numFmt w:val="decimal"/>
      <w:lvlText w:val="%1."/>
      <w:lvlJc w:val="left"/>
      <w:pPr>
        <w:ind w:left="786" w:hanging="360"/>
      </w:pPr>
    </w:lvl>
    <w:lvl w:ilvl="1" w:tplc="5900EF72" w:tentative="1">
      <w:start w:val="1"/>
      <w:numFmt w:val="lowerLetter"/>
      <w:lvlText w:val="%2."/>
      <w:lvlJc w:val="left"/>
      <w:pPr>
        <w:ind w:left="1506" w:hanging="360"/>
      </w:pPr>
    </w:lvl>
    <w:lvl w:ilvl="2" w:tplc="852E9B56" w:tentative="1">
      <w:start w:val="1"/>
      <w:numFmt w:val="lowerRoman"/>
      <w:lvlText w:val="%3."/>
      <w:lvlJc w:val="right"/>
      <w:pPr>
        <w:ind w:left="2226" w:hanging="180"/>
      </w:pPr>
    </w:lvl>
    <w:lvl w:ilvl="3" w:tplc="AAB0C2BC" w:tentative="1">
      <w:start w:val="1"/>
      <w:numFmt w:val="decimal"/>
      <w:lvlText w:val="%4."/>
      <w:lvlJc w:val="left"/>
      <w:pPr>
        <w:ind w:left="2946" w:hanging="360"/>
      </w:pPr>
    </w:lvl>
    <w:lvl w:ilvl="4" w:tplc="37565952" w:tentative="1">
      <w:start w:val="1"/>
      <w:numFmt w:val="lowerLetter"/>
      <w:lvlText w:val="%5."/>
      <w:lvlJc w:val="left"/>
      <w:pPr>
        <w:ind w:left="3666" w:hanging="360"/>
      </w:pPr>
    </w:lvl>
    <w:lvl w:ilvl="5" w:tplc="EFCAAA28" w:tentative="1">
      <w:start w:val="1"/>
      <w:numFmt w:val="lowerRoman"/>
      <w:lvlText w:val="%6."/>
      <w:lvlJc w:val="right"/>
      <w:pPr>
        <w:ind w:left="4386" w:hanging="180"/>
      </w:pPr>
    </w:lvl>
    <w:lvl w:ilvl="6" w:tplc="6F5C914C" w:tentative="1">
      <w:start w:val="1"/>
      <w:numFmt w:val="decimal"/>
      <w:lvlText w:val="%7."/>
      <w:lvlJc w:val="left"/>
      <w:pPr>
        <w:ind w:left="5106" w:hanging="360"/>
      </w:pPr>
    </w:lvl>
    <w:lvl w:ilvl="7" w:tplc="78329926" w:tentative="1">
      <w:start w:val="1"/>
      <w:numFmt w:val="lowerLetter"/>
      <w:lvlText w:val="%8."/>
      <w:lvlJc w:val="left"/>
      <w:pPr>
        <w:ind w:left="5826" w:hanging="360"/>
      </w:pPr>
    </w:lvl>
    <w:lvl w:ilvl="8" w:tplc="EA86ACD4" w:tentative="1">
      <w:start w:val="1"/>
      <w:numFmt w:val="lowerRoman"/>
      <w:lvlText w:val="%9."/>
      <w:lvlJc w:val="right"/>
      <w:pPr>
        <w:ind w:left="6546" w:hanging="180"/>
      </w:pPr>
    </w:lvl>
  </w:abstractNum>
  <w:abstractNum w:abstractNumId="23" w15:restartNumberingAfterBreak="0">
    <w:nsid w:val="61041BCA"/>
    <w:multiLevelType w:val="hybridMultilevel"/>
    <w:tmpl w:val="1C94A782"/>
    <w:lvl w:ilvl="0" w:tplc="9698BE24">
      <w:start w:val="1"/>
      <w:numFmt w:val="bullet"/>
      <w:lvlText w:val=""/>
      <w:lvlJc w:val="left"/>
      <w:pPr>
        <w:ind w:left="1287" w:hanging="360"/>
      </w:pPr>
      <w:rPr>
        <w:rFonts w:ascii="Symbol" w:hAnsi="Symbol" w:hint="default"/>
      </w:rPr>
    </w:lvl>
    <w:lvl w:ilvl="1" w:tplc="11425C74" w:tentative="1">
      <w:start w:val="1"/>
      <w:numFmt w:val="bullet"/>
      <w:lvlText w:val="o"/>
      <w:lvlJc w:val="left"/>
      <w:pPr>
        <w:ind w:left="2007" w:hanging="360"/>
      </w:pPr>
      <w:rPr>
        <w:rFonts w:ascii="Courier New" w:hAnsi="Courier New" w:cs="Courier New" w:hint="default"/>
      </w:rPr>
    </w:lvl>
    <w:lvl w:ilvl="2" w:tplc="3E06BE44" w:tentative="1">
      <w:start w:val="1"/>
      <w:numFmt w:val="bullet"/>
      <w:lvlText w:val=""/>
      <w:lvlJc w:val="left"/>
      <w:pPr>
        <w:ind w:left="2727" w:hanging="360"/>
      </w:pPr>
      <w:rPr>
        <w:rFonts w:ascii="Wingdings" w:hAnsi="Wingdings" w:hint="default"/>
      </w:rPr>
    </w:lvl>
    <w:lvl w:ilvl="3" w:tplc="BB321334" w:tentative="1">
      <w:start w:val="1"/>
      <w:numFmt w:val="bullet"/>
      <w:lvlText w:val=""/>
      <w:lvlJc w:val="left"/>
      <w:pPr>
        <w:ind w:left="3447" w:hanging="360"/>
      </w:pPr>
      <w:rPr>
        <w:rFonts w:ascii="Symbol" w:hAnsi="Symbol" w:hint="default"/>
      </w:rPr>
    </w:lvl>
    <w:lvl w:ilvl="4" w:tplc="1E4A42C0" w:tentative="1">
      <w:start w:val="1"/>
      <w:numFmt w:val="bullet"/>
      <w:lvlText w:val="o"/>
      <w:lvlJc w:val="left"/>
      <w:pPr>
        <w:ind w:left="4167" w:hanging="360"/>
      </w:pPr>
      <w:rPr>
        <w:rFonts w:ascii="Courier New" w:hAnsi="Courier New" w:cs="Courier New" w:hint="default"/>
      </w:rPr>
    </w:lvl>
    <w:lvl w:ilvl="5" w:tplc="232C9158" w:tentative="1">
      <w:start w:val="1"/>
      <w:numFmt w:val="bullet"/>
      <w:lvlText w:val=""/>
      <w:lvlJc w:val="left"/>
      <w:pPr>
        <w:ind w:left="4887" w:hanging="360"/>
      </w:pPr>
      <w:rPr>
        <w:rFonts w:ascii="Wingdings" w:hAnsi="Wingdings" w:hint="default"/>
      </w:rPr>
    </w:lvl>
    <w:lvl w:ilvl="6" w:tplc="4032383E" w:tentative="1">
      <w:start w:val="1"/>
      <w:numFmt w:val="bullet"/>
      <w:lvlText w:val=""/>
      <w:lvlJc w:val="left"/>
      <w:pPr>
        <w:ind w:left="5607" w:hanging="360"/>
      </w:pPr>
      <w:rPr>
        <w:rFonts w:ascii="Symbol" w:hAnsi="Symbol" w:hint="default"/>
      </w:rPr>
    </w:lvl>
    <w:lvl w:ilvl="7" w:tplc="EAA0A148" w:tentative="1">
      <w:start w:val="1"/>
      <w:numFmt w:val="bullet"/>
      <w:lvlText w:val="o"/>
      <w:lvlJc w:val="left"/>
      <w:pPr>
        <w:ind w:left="6327" w:hanging="360"/>
      </w:pPr>
      <w:rPr>
        <w:rFonts w:ascii="Courier New" w:hAnsi="Courier New" w:cs="Courier New" w:hint="default"/>
      </w:rPr>
    </w:lvl>
    <w:lvl w:ilvl="8" w:tplc="B0C29CC0" w:tentative="1">
      <w:start w:val="1"/>
      <w:numFmt w:val="bullet"/>
      <w:lvlText w:val=""/>
      <w:lvlJc w:val="left"/>
      <w:pPr>
        <w:ind w:left="7047" w:hanging="360"/>
      </w:pPr>
      <w:rPr>
        <w:rFonts w:ascii="Wingdings" w:hAnsi="Wingdings" w:hint="default"/>
      </w:rPr>
    </w:lvl>
  </w:abstractNum>
  <w:abstractNum w:abstractNumId="24" w15:restartNumberingAfterBreak="0">
    <w:nsid w:val="621C065A"/>
    <w:multiLevelType w:val="hybridMultilevel"/>
    <w:tmpl w:val="9A509DD0"/>
    <w:lvl w:ilvl="0" w:tplc="BEF0B85E">
      <w:start w:val="1"/>
      <w:numFmt w:val="decimal"/>
      <w:lvlText w:val="%1."/>
      <w:lvlJc w:val="left"/>
      <w:pPr>
        <w:ind w:left="1020" w:hanging="360"/>
      </w:pPr>
    </w:lvl>
    <w:lvl w:ilvl="1" w:tplc="78E44414">
      <w:start w:val="1"/>
      <w:numFmt w:val="decimal"/>
      <w:lvlText w:val="%2."/>
      <w:lvlJc w:val="left"/>
      <w:pPr>
        <w:ind w:left="1020" w:hanging="360"/>
      </w:pPr>
    </w:lvl>
    <w:lvl w:ilvl="2" w:tplc="0EE27A5C">
      <w:start w:val="1"/>
      <w:numFmt w:val="decimal"/>
      <w:lvlText w:val="%3."/>
      <w:lvlJc w:val="left"/>
      <w:pPr>
        <w:ind w:left="1020" w:hanging="360"/>
      </w:pPr>
    </w:lvl>
    <w:lvl w:ilvl="3" w:tplc="B79090A0">
      <w:start w:val="1"/>
      <w:numFmt w:val="decimal"/>
      <w:lvlText w:val="%4."/>
      <w:lvlJc w:val="left"/>
      <w:pPr>
        <w:ind w:left="1020" w:hanging="360"/>
      </w:pPr>
    </w:lvl>
    <w:lvl w:ilvl="4" w:tplc="DBFAB04A">
      <w:start w:val="1"/>
      <w:numFmt w:val="decimal"/>
      <w:lvlText w:val="%5."/>
      <w:lvlJc w:val="left"/>
      <w:pPr>
        <w:ind w:left="1020" w:hanging="360"/>
      </w:pPr>
    </w:lvl>
    <w:lvl w:ilvl="5" w:tplc="95AC5A62">
      <w:start w:val="1"/>
      <w:numFmt w:val="decimal"/>
      <w:lvlText w:val="%6."/>
      <w:lvlJc w:val="left"/>
      <w:pPr>
        <w:ind w:left="1020" w:hanging="360"/>
      </w:pPr>
    </w:lvl>
    <w:lvl w:ilvl="6" w:tplc="D0F4B6F8">
      <w:start w:val="1"/>
      <w:numFmt w:val="decimal"/>
      <w:lvlText w:val="%7."/>
      <w:lvlJc w:val="left"/>
      <w:pPr>
        <w:ind w:left="1020" w:hanging="360"/>
      </w:pPr>
    </w:lvl>
    <w:lvl w:ilvl="7" w:tplc="D2EC2A5C">
      <w:start w:val="1"/>
      <w:numFmt w:val="decimal"/>
      <w:lvlText w:val="%8."/>
      <w:lvlJc w:val="left"/>
      <w:pPr>
        <w:ind w:left="1020" w:hanging="360"/>
      </w:pPr>
    </w:lvl>
    <w:lvl w:ilvl="8" w:tplc="8C1A3F5A">
      <w:start w:val="1"/>
      <w:numFmt w:val="decimal"/>
      <w:lvlText w:val="%9."/>
      <w:lvlJc w:val="left"/>
      <w:pPr>
        <w:ind w:left="1020" w:hanging="360"/>
      </w:pPr>
    </w:lvl>
  </w:abstractNum>
  <w:abstractNum w:abstractNumId="25" w15:restartNumberingAfterBreak="0">
    <w:nsid w:val="62657ACF"/>
    <w:multiLevelType w:val="hybridMultilevel"/>
    <w:tmpl w:val="5C4AE1E2"/>
    <w:lvl w:ilvl="0" w:tplc="0896CC2C">
      <w:start w:val="1"/>
      <w:numFmt w:val="decimal"/>
      <w:lvlText w:val="%1."/>
      <w:lvlJc w:val="left"/>
      <w:pPr>
        <w:ind w:left="1440" w:hanging="360"/>
      </w:pPr>
    </w:lvl>
    <w:lvl w:ilvl="1" w:tplc="2AC2D834" w:tentative="1">
      <w:start w:val="1"/>
      <w:numFmt w:val="lowerLetter"/>
      <w:lvlText w:val="%2."/>
      <w:lvlJc w:val="left"/>
      <w:pPr>
        <w:ind w:left="2160" w:hanging="360"/>
      </w:pPr>
    </w:lvl>
    <w:lvl w:ilvl="2" w:tplc="CBA4CCE2" w:tentative="1">
      <w:start w:val="1"/>
      <w:numFmt w:val="lowerRoman"/>
      <w:lvlText w:val="%3."/>
      <w:lvlJc w:val="right"/>
      <w:pPr>
        <w:ind w:left="2880" w:hanging="180"/>
      </w:pPr>
    </w:lvl>
    <w:lvl w:ilvl="3" w:tplc="A524EF60" w:tentative="1">
      <w:start w:val="1"/>
      <w:numFmt w:val="decimal"/>
      <w:lvlText w:val="%4."/>
      <w:lvlJc w:val="left"/>
      <w:pPr>
        <w:ind w:left="3600" w:hanging="360"/>
      </w:pPr>
    </w:lvl>
    <w:lvl w:ilvl="4" w:tplc="E3885838" w:tentative="1">
      <w:start w:val="1"/>
      <w:numFmt w:val="lowerLetter"/>
      <w:lvlText w:val="%5."/>
      <w:lvlJc w:val="left"/>
      <w:pPr>
        <w:ind w:left="4320" w:hanging="360"/>
      </w:pPr>
    </w:lvl>
    <w:lvl w:ilvl="5" w:tplc="C624E408" w:tentative="1">
      <w:start w:val="1"/>
      <w:numFmt w:val="lowerRoman"/>
      <w:lvlText w:val="%6."/>
      <w:lvlJc w:val="right"/>
      <w:pPr>
        <w:ind w:left="5040" w:hanging="180"/>
      </w:pPr>
    </w:lvl>
    <w:lvl w:ilvl="6" w:tplc="BC348898" w:tentative="1">
      <w:start w:val="1"/>
      <w:numFmt w:val="decimal"/>
      <w:lvlText w:val="%7."/>
      <w:lvlJc w:val="left"/>
      <w:pPr>
        <w:ind w:left="5760" w:hanging="360"/>
      </w:pPr>
    </w:lvl>
    <w:lvl w:ilvl="7" w:tplc="B922EBB6" w:tentative="1">
      <w:start w:val="1"/>
      <w:numFmt w:val="lowerLetter"/>
      <w:lvlText w:val="%8."/>
      <w:lvlJc w:val="left"/>
      <w:pPr>
        <w:ind w:left="6480" w:hanging="360"/>
      </w:pPr>
    </w:lvl>
    <w:lvl w:ilvl="8" w:tplc="5AECAC10" w:tentative="1">
      <w:start w:val="1"/>
      <w:numFmt w:val="lowerRoman"/>
      <w:lvlText w:val="%9."/>
      <w:lvlJc w:val="right"/>
      <w:pPr>
        <w:ind w:left="7200" w:hanging="180"/>
      </w:pPr>
    </w:lvl>
  </w:abstractNum>
  <w:abstractNum w:abstractNumId="26" w15:restartNumberingAfterBreak="0">
    <w:nsid w:val="7B571440"/>
    <w:multiLevelType w:val="hybridMultilevel"/>
    <w:tmpl w:val="694603AA"/>
    <w:lvl w:ilvl="0" w:tplc="F69EB0A2">
      <w:start w:val="1"/>
      <w:numFmt w:val="bullet"/>
      <w:lvlText w:val=""/>
      <w:lvlJc w:val="left"/>
      <w:pPr>
        <w:ind w:left="1440" w:hanging="360"/>
      </w:pPr>
      <w:rPr>
        <w:rFonts w:ascii="Symbol" w:hAnsi="Symbol" w:hint="default"/>
      </w:rPr>
    </w:lvl>
    <w:lvl w:ilvl="1" w:tplc="D8141A4C" w:tentative="1">
      <w:start w:val="1"/>
      <w:numFmt w:val="bullet"/>
      <w:lvlText w:val="o"/>
      <w:lvlJc w:val="left"/>
      <w:pPr>
        <w:ind w:left="2160" w:hanging="360"/>
      </w:pPr>
      <w:rPr>
        <w:rFonts w:ascii="Courier New" w:hAnsi="Courier New" w:cs="Courier New" w:hint="default"/>
      </w:rPr>
    </w:lvl>
    <w:lvl w:ilvl="2" w:tplc="23DAA33C" w:tentative="1">
      <w:start w:val="1"/>
      <w:numFmt w:val="bullet"/>
      <w:lvlText w:val=""/>
      <w:lvlJc w:val="left"/>
      <w:pPr>
        <w:ind w:left="2880" w:hanging="360"/>
      </w:pPr>
      <w:rPr>
        <w:rFonts w:ascii="Wingdings" w:hAnsi="Wingdings" w:hint="default"/>
      </w:rPr>
    </w:lvl>
    <w:lvl w:ilvl="3" w:tplc="E1203FFA" w:tentative="1">
      <w:start w:val="1"/>
      <w:numFmt w:val="bullet"/>
      <w:lvlText w:val=""/>
      <w:lvlJc w:val="left"/>
      <w:pPr>
        <w:ind w:left="3600" w:hanging="360"/>
      </w:pPr>
      <w:rPr>
        <w:rFonts w:ascii="Symbol" w:hAnsi="Symbol" w:hint="default"/>
      </w:rPr>
    </w:lvl>
    <w:lvl w:ilvl="4" w:tplc="B3D68D3E" w:tentative="1">
      <w:start w:val="1"/>
      <w:numFmt w:val="bullet"/>
      <w:lvlText w:val="o"/>
      <w:lvlJc w:val="left"/>
      <w:pPr>
        <w:ind w:left="4320" w:hanging="360"/>
      </w:pPr>
      <w:rPr>
        <w:rFonts w:ascii="Courier New" w:hAnsi="Courier New" w:cs="Courier New" w:hint="default"/>
      </w:rPr>
    </w:lvl>
    <w:lvl w:ilvl="5" w:tplc="F7A8833A" w:tentative="1">
      <w:start w:val="1"/>
      <w:numFmt w:val="bullet"/>
      <w:lvlText w:val=""/>
      <w:lvlJc w:val="left"/>
      <w:pPr>
        <w:ind w:left="5040" w:hanging="360"/>
      </w:pPr>
      <w:rPr>
        <w:rFonts w:ascii="Wingdings" w:hAnsi="Wingdings" w:hint="default"/>
      </w:rPr>
    </w:lvl>
    <w:lvl w:ilvl="6" w:tplc="B2C84612" w:tentative="1">
      <w:start w:val="1"/>
      <w:numFmt w:val="bullet"/>
      <w:lvlText w:val=""/>
      <w:lvlJc w:val="left"/>
      <w:pPr>
        <w:ind w:left="5760" w:hanging="360"/>
      </w:pPr>
      <w:rPr>
        <w:rFonts w:ascii="Symbol" w:hAnsi="Symbol" w:hint="default"/>
      </w:rPr>
    </w:lvl>
    <w:lvl w:ilvl="7" w:tplc="941C8A86" w:tentative="1">
      <w:start w:val="1"/>
      <w:numFmt w:val="bullet"/>
      <w:lvlText w:val="o"/>
      <w:lvlJc w:val="left"/>
      <w:pPr>
        <w:ind w:left="6480" w:hanging="360"/>
      </w:pPr>
      <w:rPr>
        <w:rFonts w:ascii="Courier New" w:hAnsi="Courier New" w:cs="Courier New" w:hint="default"/>
      </w:rPr>
    </w:lvl>
    <w:lvl w:ilvl="8" w:tplc="9BB033AE" w:tentative="1">
      <w:start w:val="1"/>
      <w:numFmt w:val="bullet"/>
      <w:lvlText w:val=""/>
      <w:lvlJc w:val="left"/>
      <w:pPr>
        <w:ind w:left="7200" w:hanging="360"/>
      </w:pPr>
      <w:rPr>
        <w:rFonts w:ascii="Wingdings" w:hAnsi="Wingdings" w:hint="default"/>
      </w:rPr>
    </w:lvl>
  </w:abstractNum>
  <w:abstractNum w:abstractNumId="27" w15:restartNumberingAfterBreak="0">
    <w:nsid w:val="7D725A21"/>
    <w:multiLevelType w:val="hybridMultilevel"/>
    <w:tmpl w:val="FEC2F584"/>
    <w:lvl w:ilvl="0" w:tplc="B6AEB81E">
      <w:start w:val="1"/>
      <w:numFmt w:val="bullet"/>
      <w:lvlText w:val=""/>
      <w:lvlJc w:val="left"/>
      <w:pPr>
        <w:ind w:left="720" w:hanging="360"/>
      </w:pPr>
      <w:rPr>
        <w:rFonts w:ascii="Symbol" w:hAnsi="Symbol" w:hint="default"/>
      </w:rPr>
    </w:lvl>
    <w:lvl w:ilvl="1" w:tplc="06DA4AEA" w:tentative="1">
      <w:start w:val="1"/>
      <w:numFmt w:val="bullet"/>
      <w:lvlText w:val="o"/>
      <w:lvlJc w:val="left"/>
      <w:pPr>
        <w:ind w:left="1440" w:hanging="360"/>
      </w:pPr>
      <w:rPr>
        <w:rFonts w:ascii="Courier New" w:hAnsi="Courier New" w:cs="Courier New" w:hint="default"/>
      </w:rPr>
    </w:lvl>
    <w:lvl w:ilvl="2" w:tplc="6FE62CC6" w:tentative="1">
      <w:start w:val="1"/>
      <w:numFmt w:val="bullet"/>
      <w:lvlText w:val=""/>
      <w:lvlJc w:val="left"/>
      <w:pPr>
        <w:ind w:left="2160" w:hanging="360"/>
      </w:pPr>
      <w:rPr>
        <w:rFonts w:ascii="Wingdings" w:hAnsi="Wingdings" w:hint="default"/>
      </w:rPr>
    </w:lvl>
    <w:lvl w:ilvl="3" w:tplc="347A7D16" w:tentative="1">
      <w:start w:val="1"/>
      <w:numFmt w:val="bullet"/>
      <w:lvlText w:val=""/>
      <w:lvlJc w:val="left"/>
      <w:pPr>
        <w:ind w:left="2880" w:hanging="360"/>
      </w:pPr>
      <w:rPr>
        <w:rFonts w:ascii="Symbol" w:hAnsi="Symbol" w:hint="default"/>
      </w:rPr>
    </w:lvl>
    <w:lvl w:ilvl="4" w:tplc="54907816" w:tentative="1">
      <w:start w:val="1"/>
      <w:numFmt w:val="bullet"/>
      <w:lvlText w:val="o"/>
      <w:lvlJc w:val="left"/>
      <w:pPr>
        <w:ind w:left="3600" w:hanging="360"/>
      </w:pPr>
      <w:rPr>
        <w:rFonts w:ascii="Courier New" w:hAnsi="Courier New" w:cs="Courier New" w:hint="default"/>
      </w:rPr>
    </w:lvl>
    <w:lvl w:ilvl="5" w:tplc="65EEF70A" w:tentative="1">
      <w:start w:val="1"/>
      <w:numFmt w:val="bullet"/>
      <w:lvlText w:val=""/>
      <w:lvlJc w:val="left"/>
      <w:pPr>
        <w:ind w:left="4320" w:hanging="360"/>
      </w:pPr>
      <w:rPr>
        <w:rFonts w:ascii="Wingdings" w:hAnsi="Wingdings" w:hint="default"/>
      </w:rPr>
    </w:lvl>
    <w:lvl w:ilvl="6" w:tplc="C49E82B8" w:tentative="1">
      <w:start w:val="1"/>
      <w:numFmt w:val="bullet"/>
      <w:lvlText w:val=""/>
      <w:lvlJc w:val="left"/>
      <w:pPr>
        <w:ind w:left="5040" w:hanging="360"/>
      </w:pPr>
      <w:rPr>
        <w:rFonts w:ascii="Symbol" w:hAnsi="Symbol" w:hint="default"/>
      </w:rPr>
    </w:lvl>
    <w:lvl w:ilvl="7" w:tplc="4B0442DC" w:tentative="1">
      <w:start w:val="1"/>
      <w:numFmt w:val="bullet"/>
      <w:lvlText w:val="o"/>
      <w:lvlJc w:val="left"/>
      <w:pPr>
        <w:ind w:left="5760" w:hanging="360"/>
      </w:pPr>
      <w:rPr>
        <w:rFonts w:ascii="Courier New" w:hAnsi="Courier New" w:cs="Courier New" w:hint="default"/>
      </w:rPr>
    </w:lvl>
    <w:lvl w:ilvl="8" w:tplc="7512D082" w:tentative="1">
      <w:start w:val="1"/>
      <w:numFmt w:val="bullet"/>
      <w:lvlText w:val=""/>
      <w:lvlJc w:val="left"/>
      <w:pPr>
        <w:ind w:left="6480" w:hanging="360"/>
      </w:pPr>
      <w:rPr>
        <w:rFonts w:ascii="Wingdings" w:hAnsi="Wingdings" w:hint="default"/>
      </w:rPr>
    </w:lvl>
  </w:abstractNum>
  <w:num w:numId="1" w16cid:durableId="1653362938">
    <w:abstractNumId w:val="27"/>
  </w:num>
  <w:num w:numId="2" w16cid:durableId="1488596977">
    <w:abstractNumId w:val="5"/>
  </w:num>
  <w:num w:numId="3" w16cid:durableId="139540047">
    <w:abstractNumId w:val="16"/>
  </w:num>
  <w:num w:numId="4" w16cid:durableId="1527675370">
    <w:abstractNumId w:val="7"/>
  </w:num>
  <w:num w:numId="5" w16cid:durableId="757940835">
    <w:abstractNumId w:val="20"/>
  </w:num>
  <w:num w:numId="6" w16cid:durableId="1314289405">
    <w:abstractNumId w:val="26"/>
  </w:num>
  <w:num w:numId="7" w16cid:durableId="1082096521">
    <w:abstractNumId w:val="17"/>
    <w:lvlOverride w:ilvl="0">
      <w:startOverride w:val="1"/>
    </w:lvlOverride>
    <w:lvlOverride w:ilvl="1"/>
    <w:lvlOverride w:ilvl="2"/>
    <w:lvlOverride w:ilvl="3"/>
    <w:lvlOverride w:ilvl="4"/>
    <w:lvlOverride w:ilvl="5"/>
    <w:lvlOverride w:ilvl="6"/>
    <w:lvlOverride w:ilvl="7"/>
    <w:lvlOverride w:ilvl="8"/>
  </w:num>
  <w:num w:numId="8" w16cid:durableId="1630745300">
    <w:abstractNumId w:val="0"/>
  </w:num>
  <w:num w:numId="9" w16cid:durableId="1684866880">
    <w:abstractNumId w:val="22"/>
  </w:num>
  <w:num w:numId="10" w16cid:durableId="1781141532">
    <w:abstractNumId w:val="21"/>
  </w:num>
  <w:num w:numId="11" w16cid:durableId="1142383524">
    <w:abstractNumId w:val="10"/>
  </w:num>
  <w:num w:numId="12" w16cid:durableId="891506497">
    <w:abstractNumId w:val="12"/>
  </w:num>
  <w:num w:numId="13" w16cid:durableId="1017393003">
    <w:abstractNumId w:val="11"/>
  </w:num>
  <w:num w:numId="14" w16cid:durableId="923343708">
    <w:abstractNumId w:val="1"/>
  </w:num>
  <w:num w:numId="15" w16cid:durableId="1850220989">
    <w:abstractNumId w:val="2"/>
  </w:num>
  <w:num w:numId="16" w16cid:durableId="954215887">
    <w:abstractNumId w:val="25"/>
  </w:num>
  <w:num w:numId="17" w16cid:durableId="123356220">
    <w:abstractNumId w:val="9"/>
  </w:num>
  <w:num w:numId="18" w16cid:durableId="2142069134">
    <w:abstractNumId w:val="8"/>
  </w:num>
  <w:num w:numId="19" w16cid:durableId="1372808091">
    <w:abstractNumId w:val="3"/>
  </w:num>
  <w:num w:numId="20" w16cid:durableId="230429903">
    <w:abstractNumId w:val="13"/>
  </w:num>
  <w:num w:numId="21" w16cid:durableId="62412363">
    <w:abstractNumId w:val="15"/>
  </w:num>
  <w:num w:numId="22" w16cid:durableId="577524934">
    <w:abstractNumId w:val="6"/>
  </w:num>
  <w:num w:numId="23" w16cid:durableId="2074741538">
    <w:abstractNumId w:val="4"/>
  </w:num>
  <w:num w:numId="24" w16cid:durableId="935864748">
    <w:abstractNumId w:val="18"/>
  </w:num>
  <w:num w:numId="25" w16cid:durableId="1189415615">
    <w:abstractNumId w:val="14"/>
  </w:num>
  <w:num w:numId="26" w16cid:durableId="2008441254">
    <w:abstractNumId w:val="23"/>
  </w:num>
  <w:num w:numId="27" w16cid:durableId="420032680">
    <w:abstractNumId w:val="16"/>
  </w:num>
  <w:num w:numId="28" w16cid:durableId="1612588236">
    <w:abstractNumId w:val="19"/>
  </w:num>
  <w:num w:numId="29" w16cid:durableId="185927221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embedSystemFonts/>
  <w:saveSubsetFont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8CE"/>
    <w:rsid w:val="000B2B01"/>
    <w:rsid w:val="002D08CE"/>
    <w:rsid w:val="006D1030"/>
    <w:rsid w:val="00914E87"/>
    <w:rsid w:val="00934A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1E29F"/>
  <w15:docId w15:val="{B589E838-B1E4-4FC6-92C4-4CE564A3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3659B"/>
    <w:pPr>
      <w:jc w:val="both"/>
    </w:pPr>
    <w:rPr>
      <w:rFonts w:ascii="Lato" w:hAnsi="Lato"/>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qFormat/>
    <w:rsid w:val="00E8502A"/>
    <w:pPr>
      <w:tabs>
        <w:tab w:val="center" w:pos="4536"/>
        <w:tab w:val="right" w:pos="9072"/>
      </w:tabs>
      <w:spacing w:after="0" w:line="240" w:lineRule="auto"/>
      <w:jc w:val="left"/>
    </w:pPr>
    <w:rPr>
      <w:sz w:val="16"/>
    </w:rPr>
  </w:style>
  <w:style w:type="character" w:customStyle="1" w:styleId="StopkaZnak">
    <w:name w:val="Stopka Znak"/>
    <w:basedOn w:val="Domylnaczcionkaakapitu"/>
    <w:link w:val="Stopka"/>
    <w:uiPriority w:val="99"/>
    <w:rsid w:val="00E8502A"/>
    <w:rPr>
      <w:rFonts w:ascii="Lato" w:hAnsi="Lato"/>
      <w:sz w:val="16"/>
    </w:rPr>
  </w:style>
  <w:style w:type="paragraph" w:styleId="Akapitzlist">
    <w:name w:val="List Paragraph"/>
    <w:aliases w:val="Dot pt,F5 List Paragraph,Indicator Text,LISTA,List Paragraph Char Char Char,List Paragraph à moi,List Paragraph1,List Paragraph11,Listaszerű bekezdés1,Listaszerű bekezdés2,Listaszerű bekezdés3,No Spacing1,Numbered Para 1,Recommendation"/>
    <w:basedOn w:val="Normalny"/>
    <w:link w:val="AkapitzlistZnak"/>
    <w:uiPriority w:val="34"/>
    <w:qFormat/>
    <w:rsid w:val="004A46B6"/>
    <w:pPr>
      <w:ind w:left="720"/>
      <w:contextualSpacing/>
      <w:jc w:val="left"/>
    </w:pPr>
    <w:rPr>
      <w:rFonts w:asciiTheme="minorHAnsi" w:hAnsiTheme="minorHAnsi"/>
      <w:kern w:val="2"/>
      <w:sz w:val="22"/>
      <w14:ligatures w14:val="standardContextual"/>
    </w:rPr>
  </w:style>
  <w:style w:type="paragraph" w:styleId="Tekstprzypisudolnego">
    <w:name w:val="footnote text"/>
    <w:aliases w:val="Footnote,Podrozdzia3,Podrozdział,Tekst przypisu,Tekst przypisu Znak Znak Znak Znak,Tekst przypisu Znak Znak Znak Znak Znak,Tekst przypisu Znak Znak Znak Znak Znak Znak Znak,Tekst przypisu Znak Znak Znak Znak Znak Znak Znak Znak Zn"/>
    <w:basedOn w:val="Normalny"/>
    <w:link w:val="TekstprzypisudolnegoZnak"/>
    <w:uiPriority w:val="99"/>
    <w:unhideWhenUsed/>
    <w:qFormat/>
    <w:rsid w:val="004A46B6"/>
    <w:pPr>
      <w:spacing w:after="0" w:line="240" w:lineRule="auto"/>
      <w:jc w:val="left"/>
    </w:pPr>
    <w:rPr>
      <w:rFonts w:asciiTheme="minorHAnsi" w:hAnsiTheme="minorHAnsi"/>
      <w:kern w:val="2"/>
      <w:szCs w:val="20"/>
      <w14:ligatures w14:val="standardContextual"/>
    </w:rPr>
  </w:style>
  <w:style w:type="character" w:customStyle="1" w:styleId="TekstprzypisudolnegoZnak">
    <w:name w:val="Tekst przypisu dolnego Znak"/>
    <w:aliases w:val="Footnote Znak,Podrozdzia3 Znak,Podrozdział Znak,Tekst przypisu Znak,Tekst przypisu Znak Znak Znak Znak Znak1,Tekst przypisu Znak Znak Znak Znak Znak Znak,Tekst przypisu Znak Znak Znak Znak Znak Znak Znak Znak"/>
    <w:basedOn w:val="Domylnaczcionkaakapitu"/>
    <w:link w:val="Tekstprzypisudolnego"/>
    <w:uiPriority w:val="99"/>
    <w:qFormat/>
    <w:rsid w:val="004A46B6"/>
    <w:rPr>
      <w:kern w:val="2"/>
      <w:sz w:val="20"/>
      <w:szCs w:val="20"/>
      <w14:ligatures w14:val="standardContextual"/>
    </w:rPr>
  </w:style>
  <w:style w:type="character" w:styleId="Odwoanieprzypisudolnego">
    <w:name w:val="footnote reference"/>
    <w:aliases w:val="1_przypis,EN Footnote Reference,Footnote Reference Number,Footnote Reference Superscript,Footnote number,Footnote reference number,Footnote symbol,Odwołanie przypisu,SUPERS,note TESI"/>
    <w:basedOn w:val="Domylnaczcionkaakapitu"/>
    <w:unhideWhenUsed/>
    <w:qFormat/>
    <w:rsid w:val="004A46B6"/>
    <w:rPr>
      <w:vertAlign w:val="superscript"/>
    </w:rPr>
  </w:style>
  <w:style w:type="character" w:customStyle="1" w:styleId="AkapitzlistZnak">
    <w:name w:val="Akapit z listą Znak"/>
    <w:aliases w:val="Dot pt Znak,F5 List Paragraph Znak,Indicator Text Znak,LISTA Znak,List Paragraph Char Char Char Znak,List Paragraph à moi Znak,List Paragraph1 Znak,List Paragraph11 Znak,Listaszerű bekezdés1 Znak,Listaszerű bekezdés2 Znak"/>
    <w:link w:val="Akapitzlist"/>
    <w:uiPriority w:val="34"/>
    <w:qFormat/>
    <w:locked/>
    <w:rsid w:val="004A46B6"/>
    <w:rPr>
      <w:kern w:val="2"/>
      <w14:ligatures w14:val="standardContextual"/>
    </w:rPr>
  </w:style>
  <w:style w:type="character" w:styleId="Odwoaniedokomentarza">
    <w:name w:val="annotation reference"/>
    <w:basedOn w:val="Domylnaczcionkaakapitu"/>
    <w:uiPriority w:val="99"/>
    <w:semiHidden/>
    <w:unhideWhenUsed/>
    <w:rsid w:val="004A46B6"/>
    <w:rPr>
      <w:sz w:val="16"/>
      <w:szCs w:val="16"/>
    </w:rPr>
  </w:style>
  <w:style w:type="paragraph" w:styleId="Tekstkomentarza">
    <w:name w:val="annotation text"/>
    <w:basedOn w:val="Normalny"/>
    <w:link w:val="TekstkomentarzaZnak"/>
    <w:uiPriority w:val="99"/>
    <w:unhideWhenUsed/>
    <w:rsid w:val="004A46B6"/>
    <w:pPr>
      <w:spacing w:line="240" w:lineRule="auto"/>
    </w:pPr>
    <w:rPr>
      <w:szCs w:val="20"/>
    </w:rPr>
  </w:style>
  <w:style w:type="character" w:customStyle="1" w:styleId="TekstkomentarzaZnak">
    <w:name w:val="Tekst komentarza Znak"/>
    <w:basedOn w:val="Domylnaczcionkaakapitu"/>
    <w:link w:val="Tekstkomentarza"/>
    <w:uiPriority w:val="99"/>
    <w:rsid w:val="004A46B6"/>
    <w:rPr>
      <w:rFonts w:ascii="Lato" w:hAnsi="Lato"/>
      <w:sz w:val="20"/>
      <w:szCs w:val="20"/>
    </w:rPr>
  </w:style>
  <w:style w:type="character" w:styleId="Uwydatnienie">
    <w:name w:val="Emphasis"/>
    <w:basedOn w:val="Domylnaczcionkaakapitu"/>
    <w:uiPriority w:val="20"/>
    <w:qFormat/>
    <w:rsid w:val="004A46B6"/>
    <w:rPr>
      <w:i/>
      <w:iCs/>
    </w:rPr>
  </w:style>
  <w:style w:type="character" w:customStyle="1" w:styleId="highlight-disabled">
    <w:name w:val="highlight-disabled"/>
    <w:basedOn w:val="Domylnaczcionkaakapitu"/>
    <w:rsid w:val="004A46B6"/>
  </w:style>
  <w:style w:type="character" w:styleId="Pogrubienie">
    <w:name w:val="Strong"/>
    <w:basedOn w:val="Domylnaczcionkaakapitu"/>
    <w:uiPriority w:val="22"/>
    <w:qFormat/>
    <w:rsid w:val="004A46B6"/>
    <w:rPr>
      <w:b/>
      <w:bCs/>
    </w:rPr>
  </w:style>
  <w:style w:type="character" w:styleId="Hipercze">
    <w:name w:val="Hyperlink"/>
    <w:semiHidden/>
    <w:unhideWhenUsed/>
    <w:rsid w:val="004A46B6"/>
    <w:rPr>
      <w:color w:val="0000FF"/>
      <w:u w:val="single"/>
    </w:rPr>
  </w:style>
  <w:style w:type="character" w:customStyle="1" w:styleId="object">
    <w:name w:val="object"/>
    <w:basedOn w:val="Domylnaczcionkaakapitu"/>
    <w:rsid w:val="004A46B6"/>
  </w:style>
  <w:style w:type="paragraph" w:styleId="Tematkomentarza">
    <w:name w:val="annotation subject"/>
    <w:basedOn w:val="Tekstkomentarza"/>
    <w:next w:val="Tekstkomentarza"/>
    <w:link w:val="TematkomentarzaZnak"/>
    <w:uiPriority w:val="99"/>
    <w:semiHidden/>
    <w:unhideWhenUsed/>
    <w:rsid w:val="0031178A"/>
    <w:rPr>
      <w:b/>
      <w:bCs/>
    </w:rPr>
  </w:style>
  <w:style w:type="character" w:customStyle="1" w:styleId="TematkomentarzaZnak">
    <w:name w:val="Temat komentarza Znak"/>
    <w:basedOn w:val="TekstkomentarzaZnak"/>
    <w:link w:val="Tematkomentarza"/>
    <w:uiPriority w:val="99"/>
    <w:semiHidden/>
    <w:rsid w:val="0031178A"/>
    <w:rPr>
      <w:rFonts w:ascii="Lato" w:hAnsi="Lato"/>
      <w:b/>
      <w:bCs/>
      <w:sz w:val="20"/>
      <w:szCs w:val="20"/>
    </w:rPr>
  </w:style>
  <w:style w:type="paragraph" w:styleId="Poprawka">
    <w:name w:val="Revision"/>
    <w:hidden/>
    <w:uiPriority w:val="99"/>
    <w:semiHidden/>
    <w:rsid w:val="00E83E22"/>
    <w:pPr>
      <w:spacing w:after="0" w:line="240" w:lineRule="auto"/>
    </w:pPr>
    <w:rPr>
      <w:rFonts w:ascii="Lato" w:hAnsi="Lato"/>
      <w:sz w:val="20"/>
    </w:rPr>
  </w:style>
  <w:style w:type="paragraph" w:styleId="Tekstprzypisukocowego">
    <w:name w:val="endnote text"/>
    <w:basedOn w:val="Normalny"/>
    <w:link w:val="TekstprzypisukocowegoZnak"/>
    <w:uiPriority w:val="99"/>
    <w:semiHidden/>
    <w:unhideWhenUsed/>
    <w:rsid w:val="00156F2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156F21"/>
    <w:rPr>
      <w:rFonts w:ascii="Lato" w:hAnsi="Lato"/>
      <w:sz w:val="20"/>
      <w:szCs w:val="20"/>
    </w:rPr>
  </w:style>
  <w:style w:type="character" w:styleId="Odwoanieprzypisukocowego">
    <w:name w:val="endnote reference"/>
    <w:basedOn w:val="Domylnaczcionkaakapitu"/>
    <w:uiPriority w:val="99"/>
    <w:semiHidden/>
    <w:unhideWhenUsed/>
    <w:rsid w:val="00156F21"/>
    <w:rPr>
      <w:vertAlign w:val="superscript"/>
    </w:rPr>
  </w:style>
  <w:style w:type="character" w:customStyle="1" w:styleId="articletitle">
    <w:name w:val="articletitle"/>
    <w:basedOn w:val="Domylnaczcionkaakapitu"/>
    <w:rsid w:val="00000507"/>
  </w:style>
  <w:style w:type="character" w:customStyle="1" w:styleId="cf01">
    <w:name w:val="cf01"/>
    <w:basedOn w:val="Domylnaczcionkaakapitu"/>
    <w:rsid w:val="00BF0E43"/>
    <w:rPr>
      <w:rFonts w:ascii="Segoe UI" w:hAnsi="Segoe UI" w:cs="Segoe UI" w:hint="default"/>
      <w:sz w:val="18"/>
      <w:szCs w:val="18"/>
    </w:rPr>
  </w:style>
  <w:style w:type="character" w:customStyle="1" w:styleId="akapitwgrupieZnak">
    <w:name w:val="akapit w grupie Znak"/>
    <w:link w:val="akapitwgrupie"/>
    <w:locked/>
    <w:rsid w:val="00B959C2"/>
    <w:rPr>
      <w:rFonts w:ascii="Times New Roman" w:eastAsia="Times New Roman" w:hAnsi="Times New Roman" w:cs="Times New Roman"/>
      <w:sz w:val="24"/>
      <w:lang w:eastAsia="pl-PL"/>
    </w:rPr>
  </w:style>
  <w:style w:type="paragraph" w:customStyle="1" w:styleId="akapitwgrupie">
    <w:name w:val="akapit w grupie"/>
    <w:basedOn w:val="Normalny"/>
    <w:link w:val="akapitwgrupieZnak"/>
    <w:qFormat/>
    <w:rsid w:val="00B959C2"/>
    <w:pPr>
      <w:spacing w:after="0" w:line="300" w:lineRule="atLeast"/>
      <w:ind w:firstLine="567"/>
    </w:pPr>
    <w:rPr>
      <w:rFonts w:ascii="Times New Roman" w:eastAsia="Times New Roman" w:hAnsi="Times New Roman" w:cs="Times New Roman"/>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2D3AC-0BE1-4B5B-AC95-AE3CE1C5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3175</Words>
  <Characters>21234</Characters>
  <Application>Microsoft Office Word</Application>
  <DocSecurity>0</DocSecurity>
  <Lines>327</Lines>
  <Paragraphs>100</Paragraphs>
  <ScaleCrop>false</ScaleCrop>
  <HeadingPairs>
    <vt:vector size="2" baseType="variant">
      <vt:variant>
        <vt:lpstr>Tytuł</vt:lpstr>
      </vt:variant>
      <vt:variant>
        <vt:i4>1</vt:i4>
      </vt:variant>
    </vt:vector>
  </HeadingPairs>
  <TitlesOfParts>
    <vt:vector size="1" baseType="lpstr">
      <vt:lpstr>Podsekretarz Stanu Mikołaj Dorożała kolor</vt:lpstr>
    </vt:vector>
  </TitlesOfParts>
  <Company>Ministerstwo Klimatu i Środowiska</Company>
  <LinksUpToDate>false</LinksUpToDate>
  <CharactersWithSpaces>24282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Podsekretarz Stanu Mikołaj Dorożała kolor</dc:title>
  <dc:creator>Brodziuk Waldemar</dc:creator>
  <cp:keywords>PL, KOLOR, GKP</cp:keywords>
  <cp:lastModifiedBy>Jarosławska Magda</cp:lastModifiedBy>
  <cp:revision>3</cp:revision>
  <cp:lastPrinted>2025-08-12T23:28:00Z</cp:lastPrinted>
  <dcterms:created xsi:type="dcterms:W3CDTF">2025-12-19T14:09:00Z</dcterms:created>
  <dcterms:modified xsi:type="dcterms:W3CDTF">2025-12-19T14:37:00Z</dcterms:modified>
  <cp:category>KIEROWNICTWO</cp:category>
</cp:coreProperties>
</file>