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456A1" w:rsidRPr="006E5B39" w:rsidRDefault="00F07173" w:rsidP="00AD7E69">
      <w:pPr>
        <w:ind w:hanging="1418"/>
        <w:jc w:val="right"/>
        <w:rPr>
          <w:rFonts w:ascii="Century Gothic" w:hAnsi="Century Gothic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0</wp:posOffset>
                </wp:positionV>
                <wp:extent cx="2609850" cy="660400"/>
                <wp:effectExtent l="0" t="0" r="0" b="6350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5292" w:rsidRPr="006E5B39" w:rsidRDefault="00F07173" w:rsidP="000B529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6463AF" w:rsidRDefault="00F07173" w:rsidP="000B529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</w:p>
                          <w:p w:rsidR="000B5292" w:rsidRPr="006E5B39" w:rsidRDefault="00F07173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2pt;margin-left:509.7pt;margin-top:0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0B5292" w:rsidRPr="006E5B39" w:rsidP="000B529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6463AF" w:rsidP="000B529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</w:p>
                    <w:p w:rsidR="000B5292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11 sierpnia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F07173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F07173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F07173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F07173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23</w:t>
      </w:r>
      <w:r w:rsidRPr="006E5B39">
        <w:rPr>
          <w:rFonts w:ascii="Century Gothic" w:hAnsi="Century Gothic"/>
          <w:b/>
        </w:rPr>
        <w:t>)</w:t>
      </w:r>
    </w:p>
    <w:tbl>
      <w:tblPr>
        <w:tblW w:w="16081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984"/>
      </w:tblGrid>
      <w:tr w:rsidR="00317DED" w:rsidTr="00FC1BC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07173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317DED" w:rsidTr="00FC1BC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07173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07173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07173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F07173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317DED" w:rsidTr="00FC1BC8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8D2" w:rsidRDefault="00F07173" w:rsidP="003E4CCC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42.</w:t>
            </w:r>
          </w:p>
        </w:tc>
        <w:tc>
          <w:tcPr>
            <w:tcW w:w="3119" w:type="dxa"/>
          </w:tcPr>
          <w:p w:rsidR="00CA48D2" w:rsidRDefault="00F07173" w:rsidP="00E657A9">
            <w:pPr>
              <w:pStyle w:val="TYTUAKTUprzedmiotregulacjiustawylubrozporzdzenia"/>
              <w:spacing w:before="60" w:after="60" w:line="240" w:lineRule="auto"/>
              <w:jc w:val="left"/>
              <w:rPr>
                <w:rStyle w:val="Hipercze"/>
                <w:rFonts w:ascii="Century Gothic" w:hAnsi="Century Gothic"/>
                <w:b w:val="0"/>
                <w:color w:val="auto"/>
                <w:sz w:val="16"/>
                <w:szCs w:val="16"/>
                <w:u w:val="none"/>
              </w:rPr>
            </w:pPr>
            <w:r w:rsidRPr="00010D43">
              <w:rPr>
                <w:rStyle w:val="Hipercze"/>
                <w:rFonts w:ascii="Century Gothic" w:hAnsi="Century Gothic"/>
                <w:b w:val="0"/>
                <w:color w:val="auto"/>
                <w:sz w:val="16"/>
                <w:szCs w:val="16"/>
                <w:u w:val="none"/>
              </w:rPr>
              <w:t xml:space="preserve">Rozporządzenie </w:t>
            </w:r>
            <w:r>
              <w:rPr>
                <w:rStyle w:val="Hipercze"/>
                <w:rFonts w:ascii="Century Gothic" w:hAnsi="Century Gothic"/>
                <w:b w:val="0"/>
                <w:color w:val="auto"/>
                <w:sz w:val="16"/>
                <w:szCs w:val="16"/>
                <w:u w:val="none"/>
              </w:rPr>
              <w:br/>
              <w:t>Ministra Edukacji Narodowej</w:t>
            </w:r>
          </w:p>
          <w:p w:rsidR="00E657A9" w:rsidRDefault="00F07173" w:rsidP="00E657A9">
            <w:pPr>
              <w:pStyle w:val="TYTUAKTUprzedmiotregulacjiustawylubrozporzdzenia"/>
              <w:spacing w:before="60" w:after="60" w:line="240" w:lineRule="auto"/>
              <w:jc w:val="left"/>
              <w:rPr>
                <w:rStyle w:val="Hipercze"/>
                <w:rFonts w:ascii="Century Gothic" w:hAnsi="Century Gothic"/>
                <w:b w:val="0"/>
                <w:color w:val="auto"/>
                <w:sz w:val="16"/>
                <w:szCs w:val="16"/>
                <w:u w:val="none"/>
              </w:rPr>
            </w:pPr>
            <w:r w:rsidRPr="00CD7993">
              <w:rPr>
                <w:rStyle w:val="Hipercze"/>
                <w:rFonts w:ascii="Century Gothic" w:hAnsi="Century Gothic"/>
                <w:b w:val="0"/>
                <w:color w:val="auto"/>
                <w:sz w:val="16"/>
                <w:szCs w:val="16"/>
                <w:u w:val="none"/>
              </w:rPr>
              <w:t xml:space="preserve">zmieniające rozporządzenie </w:t>
            </w:r>
          </w:p>
          <w:p w:rsidR="00CA48D2" w:rsidRPr="008A1F11" w:rsidRDefault="00F07173" w:rsidP="00E657A9">
            <w:pPr>
              <w:pStyle w:val="TYTUAKTUprzedmiotregulacjiustawylubrozporzdzenia"/>
              <w:spacing w:before="60" w:after="60" w:line="240" w:lineRule="auto"/>
              <w:jc w:val="left"/>
              <w:rPr>
                <w:rStyle w:val="Hipercze"/>
                <w:rFonts w:cs="Arial"/>
                <w:color w:val="auto"/>
                <w:u w:val="none"/>
              </w:rPr>
            </w:pPr>
            <w:r w:rsidRPr="00CD7993">
              <w:rPr>
                <w:rStyle w:val="Hipercze"/>
                <w:rFonts w:ascii="Century Gothic" w:hAnsi="Century Gothic"/>
                <w:b w:val="0"/>
                <w:color w:val="auto"/>
                <w:sz w:val="16"/>
                <w:szCs w:val="16"/>
                <w:u w:val="none"/>
              </w:rPr>
              <w:t>w sprawie bezpieczeństwa i higieny w publicznych i niep</w:t>
            </w:r>
            <w:r>
              <w:rPr>
                <w:rStyle w:val="Hipercze"/>
                <w:rFonts w:ascii="Century Gothic" w:hAnsi="Century Gothic"/>
                <w:b w:val="0"/>
                <w:color w:val="auto"/>
                <w:sz w:val="16"/>
                <w:szCs w:val="16"/>
                <w:u w:val="none"/>
              </w:rPr>
              <w:t>ublicznych szkołach i placówkach</w:t>
            </w:r>
          </w:p>
        </w:tc>
        <w:tc>
          <w:tcPr>
            <w:tcW w:w="4579" w:type="dxa"/>
          </w:tcPr>
          <w:p w:rsidR="00CA48D2" w:rsidRPr="000264A6" w:rsidRDefault="00F07173" w:rsidP="00467951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C0B42">
              <w:rPr>
                <w:rFonts w:ascii="Century Gothic" w:hAnsi="Century Gothic" w:cstheme="minorHAnsi"/>
                <w:bCs/>
                <w:sz w:val="16"/>
                <w:szCs w:val="16"/>
              </w:rPr>
              <w:t>Nowelizacja rozporządzenia</w:t>
            </w:r>
            <w:r w:rsidRPr="00D92CFF">
              <w:rPr>
                <w:rFonts w:ascii="Times New Roman" w:eastAsiaTheme="minorEastAsia" w:hAnsi="Times New Roman"/>
                <w:szCs w:val="20"/>
              </w:rPr>
              <w:t xml:space="preserve"> </w:t>
            </w:r>
            <w:r w:rsidRPr="00D92CFF"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Ministra Edukacji Narodowej i Sportu z dnia 31 grudnia 2002 r. w sprawie bezpieczeństwa i higieny w publicznych </w:t>
            </w:r>
            <w:r>
              <w:rPr>
                <w:rFonts w:ascii="Century Gothic" w:hAnsi="Century Gothic" w:cstheme="minorHAnsi"/>
                <w:bCs/>
                <w:sz w:val="16"/>
                <w:szCs w:val="16"/>
              </w:rPr>
              <w:br/>
            </w:r>
            <w:r w:rsidRPr="00D92CFF">
              <w:rPr>
                <w:rFonts w:ascii="Century Gothic" w:hAnsi="Century Gothic" w:cstheme="minorHAnsi"/>
                <w:bCs/>
                <w:sz w:val="16"/>
                <w:szCs w:val="16"/>
              </w:rPr>
              <w:t>i niepublicznych szkołach i placówkach (Dz. U. z 2020 r. poz. 1166</w:t>
            </w:r>
            <w:r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) wynika z konieczności uwzględnienia możliwości zawieszenia zajęć w szkole lub placówce przez dyrektora szkoły lub placówki </w:t>
            </w:r>
            <w:r>
              <w:rPr>
                <w:rFonts w:ascii="Century Gothic" w:hAnsi="Century Gothic" w:cstheme="minorHAnsi"/>
                <w:bCs/>
                <w:sz w:val="16"/>
                <w:szCs w:val="16"/>
              </w:rPr>
              <w:br/>
              <w:t>ze względu na  sytuację</w:t>
            </w:r>
            <w:r w:rsidRPr="00C50924"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 epidemiologiczną</w:t>
            </w:r>
            <w:r>
              <w:rPr>
                <w:rFonts w:ascii="Century Gothic" w:hAnsi="Century Gothic" w:cstheme="minorHAnsi"/>
                <w:bCs/>
                <w:sz w:val="16"/>
                <w:szCs w:val="16"/>
              </w:rPr>
              <w:t>, która może zagrażać</w:t>
            </w:r>
            <w:r w:rsidRPr="00C50924"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bCs/>
                <w:sz w:val="16"/>
                <w:szCs w:val="16"/>
              </w:rPr>
              <w:t>zdrowiu</w:t>
            </w:r>
            <w:r w:rsidRPr="00C50924"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 uczniów</w:t>
            </w:r>
            <w:r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4539" w:type="dxa"/>
          </w:tcPr>
          <w:p w:rsidR="00CA48D2" w:rsidRPr="000264A6" w:rsidRDefault="00F07173" w:rsidP="00467951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Przepisy umożliwią dyrektorowi szkoły lub placówki, </w:t>
            </w:r>
            <w:r>
              <w:rPr>
                <w:rFonts w:ascii="Century Gothic" w:hAnsi="Century Gothic" w:cstheme="minorHAnsi"/>
                <w:bCs/>
                <w:sz w:val="16"/>
                <w:szCs w:val="16"/>
              </w:rPr>
              <w:br/>
              <w:t>po uzyskaniu zgody organu prowadzącego oraz  pozytywnej opinii P</w:t>
            </w:r>
            <w:r w:rsidRPr="00C50924"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aństwowego </w:t>
            </w:r>
            <w:r>
              <w:rPr>
                <w:rFonts w:ascii="Century Gothic" w:hAnsi="Century Gothic" w:cstheme="minorHAnsi"/>
                <w:bCs/>
                <w:sz w:val="16"/>
                <w:szCs w:val="16"/>
              </w:rPr>
              <w:t>Powiatowego Inspektora S</w:t>
            </w:r>
            <w:r w:rsidRPr="00C50924">
              <w:rPr>
                <w:rFonts w:ascii="Century Gothic" w:hAnsi="Century Gothic" w:cstheme="minorHAnsi"/>
                <w:bCs/>
                <w:sz w:val="16"/>
                <w:szCs w:val="16"/>
              </w:rPr>
              <w:t>anitarnego</w:t>
            </w:r>
            <w:r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, zawieszenie zajęć na czas oznaczony,  </w:t>
            </w:r>
            <w:r w:rsidRPr="0057183E">
              <w:rPr>
                <w:rFonts w:ascii="Century Gothic" w:hAnsi="Century Gothic" w:cstheme="minorHAnsi"/>
                <w:bCs/>
                <w:sz w:val="16"/>
                <w:szCs w:val="16"/>
              </w:rPr>
              <w:t>jeżeli ze względu na sytuację epidemiologiczną może być zagrożone zdrowie uczniów</w:t>
            </w:r>
            <w:r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. Zawieszenie zajęć w formie stacjonarnej może dotyczyć w szczególności </w:t>
            </w:r>
            <w:r w:rsidRPr="00C50924">
              <w:rPr>
                <w:rFonts w:ascii="Century Gothic" w:hAnsi="Century Gothic" w:cstheme="minorHAnsi"/>
                <w:bCs/>
                <w:sz w:val="16"/>
                <w:szCs w:val="16"/>
              </w:rPr>
              <w:t>grupy, grupy wychowawczej, oddziału, klasy, etapu edukacyjnego lub całej szkoły lub placówki, w zakresie wszystkich lub poszczególnych zajęć</w:t>
            </w:r>
            <w:r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230" w:type="dxa"/>
          </w:tcPr>
          <w:p w:rsidR="00CA48D2" w:rsidRPr="000264A6" w:rsidRDefault="00F07173" w:rsidP="00E657A9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III kwartał 2020 r.</w:t>
            </w:r>
          </w:p>
        </w:tc>
        <w:tc>
          <w:tcPr>
            <w:tcW w:w="1984" w:type="dxa"/>
            <w:shd w:val="clear" w:color="auto" w:fill="auto"/>
          </w:tcPr>
          <w:p w:rsidR="00E657A9" w:rsidRDefault="00F07173" w:rsidP="00E657A9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Agnieszka Rodkiewicz-Bogusławska </w:t>
            </w:r>
          </w:p>
          <w:p w:rsidR="00CA48D2" w:rsidRDefault="00F07173" w:rsidP="00E657A9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 starszy specjalista</w:t>
            </w:r>
          </w:p>
          <w:p w:rsidR="009B6FDF" w:rsidRDefault="000502A1" w:rsidP="00E657A9">
            <w:pPr>
              <w:spacing w:before="60" w:after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CA48D2" w:rsidRPr="00010D43" w:rsidRDefault="00F07173" w:rsidP="00E657A9">
            <w:pPr>
              <w:spacing w:before="60" w:after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10D43">
              <w:rPr>
                <w:rFonts w:ascii="Century Gothic" w:hAnsi="Century Gothic"/>
                <w:b/>
                <w:sz w:val="16"/>
                <w:szCs w:val="16"/>
              </w:rPr>
              <w:t xml:space="preserve">Departament Wychowania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br/>
            </w:r>
            <w:r w:rsidRPr="00010D43">
              <w:rPr>
                <w:rFonts w:ascii="Century Gothic" w:hAnsi="Century Gothic"/>
                <w:b/>
                <w:sz w:val="16"/>
                <w:szCs w:val="16"/>
              </w:rPr>
              <w:t>i Kształcenia Integracyjnego</w:t>
            </w:r>
          </w:p>
        </w:tc>
      </w:tr>
      <w:tr w:rsidR="00317DED" w:rsidTr="00FC1BC8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88" w:rsidRPr="00E14A88" w:rsidRDefault="00F07173" w:rsidP="00E14A88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4A88">
              <w:rPr>
                <w:rFonts w:ascii="Century Gothic" w:hAnsi="Century Gothic"/>
                <w:sz w:val="16"/>
                <w:szCs w:val="16"/>
              </w:rPr>
              <w:lastRenderedPageBreak/>
              <w:t>43.</w:t>
            </w:r>
          </w:p>
        </w:tc>
        <w:tc>
          <w:tcPr>
            <w:tcW w:w="3119" w:type="dxa"/>
            <w:shd w:val="clear" w:color="auto" w:fill="FFFFFF"/>
          </w:tcPr>
          <w:p w:rsidR="00E14A88" w:rsidRPr="00E14A88" w:rsidRDefault="00F07173" w:rsidP="00E14A88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Rozporządzenie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br/>
              <w:t>Ministra Edukacji Narodowej</w:t>
            </w:r>
          </w:p>
          <w:p w:rsidR="00E14A88" w:rsidRPr="00E14A88" w:rsidRDefault="00F07173" w:rsidP="00E14A88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w sprawie czasowego ograniczenia funkcjonowania jednostek systemu oświaty w związku z zapobieganiem, przeciwdziałaniem i zwalczaniem COVID-19</w:t>
            </w:r>
          </w:p>
        </w:tc>
        <w:tc>
          <w:tcPr>
            <w:tcW w:w="4579" w:type="dxa"/>
            <w:shd w:val="clear" w:color="auto" w:fill="FFFFFF"/>
          </w:tcPr>
          <w:p w:rsidR="00E14A88" w:rsidRPr="00E14A88" w:rsidRDefault="00F07173" w:rsidP="00467951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Wydanie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nowego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rozporządzenia na podstawie upoważnienia zawartego w art. 30b ustawy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br/>
              <w:t xml:space="preserve">z dnia 14 grudnia 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2016 r. – Prawo oświatowe (Dz. U. </w:t>
            </w:r>
            <w:r>
              <w:rPr>
                <w:rFonts w:ascii="Century Gothic" w:hAnsi="Century Gothic" w:cs="Calibri"/>
                <w:sz w:val="16"/>
                <w:szCs w:val="16"/>
              </w:rPr>
              <w:br/>
              <w:t>z 2020 r. poz. 910)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 wynika z potrzeby doprecyzowania sposobu realizacji zadań jednostki systemu oświaty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br/>
              <w:t xml:space="preserve">w nowym roku szkolnym w sytuacji trwającego nadal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br/>
              <w:t>na terenie Polski stanu epidemii.</w:t>
            </w:r>
          </w:p>
        </w:tc>
        <w:tc>
          <w:tcPr>
            <w:tcW w:w="4539" w:type="dxa"/>
            <w:shd w:val="clear" w:color="auto" w:fill="FFFFFF"/>
          </w:tcPr>
          <w:p w:rsidR="00E14A88" w:rsidRPr="00E14A88" w:rsidRDefault="00F07173" w:rsidP="00467951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W roku szkolnym 2020/2021 ogranicza się w całości lub w części funkcjonowanie publicznych i niepublicznych jednostek systemu oświaty, w których odpowiednio wszystkie lub poszczególne zajęcia zostały zawieszone na podstawie przepisów wydanych na podstawie 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rozporządzenia </w:t>
            </w:r>
            <w:r w:rsidRPr="009C2EA6">
              <w:rPr>
                <w:rFonts w:ascii="Century Gothic" w:hAnsi="Century Gothic" w:cs="Calibri"/>
                <w:sz w:val="16"/>
                <w:szCs w:val="16"/>
              </w:rPr>
              <w:t xml:space="preserve">w sprawie bezpieczeństwa i higieny </w:t>
            </w:r>
            <w:r>
              <w:rPr>
                <w:rFonts w:ascii="Century Gothic" w:hAnsi="Century Gothic" w:cs="Calibri"/>
                <w:sz w:val="16"/>
                <w:szCs w:val="16"/>
              </w:rPr>
              <w:br/>
            </w:r>
            <w:r w:rsidRPr="009C2EA6">
              <w:rPr>
                <w:rFonts w:ascii="Century Gothic" w:hAnsi="Century Gothic" w:cs="Calibri"/>
                <w:sz w:val="16"/>
                <w:szCs w:val="16"/>
              </w:rPr>
              <w:t>w publicznych i niepublicznych szkołach i placówkach</w:t>
            </w:r>
            <w:r>
              <w:rPr>
                <w:rFonts w:ascii="Century Gothic" w:hAnsi="Century Gothic" w:cs="Calibri"/>
                <w:sz w:val="16"/>
                <w:szCs w:val="16"/>
              </w:rPr>
              <w:t>.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br/>
              <w:t xml:space="preserve">Ograniczenie wprowadza się na czas, na jaki zostały zawieszone odpowiednio wszystkie lub poszczególne zajęcia. </w:t>
            </w:r>
          </w:p>
          <w:p w:rsidR="00E14A88" w:rsidRPr="00E14A88" w:rsidRDefault="00F07173" w:rsidP="00467951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W jednostce systemu oświaty, której funkcjonowanie zostało w całości lub w części ograniczone, zawieszone zajęcia są realizowane z wykorzystaniem metod </w:t>
            </w:r>
            <w:r>
              <w:rPr>
                <w:rFonts w:ascii="Century Gothic" w:hAnsi="Century Gothic" w:cs="Calibri"/>
                <w:sz w:val="16"/>
                <w:szCs w:val="16"/>
              </w:rPr>
              <w:br/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i technik kształcenia na odległość zgodnie z przepisami wydanymi na podstawie art. 30c ustawy z dnia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br/>
              <w:t xml:space="preserve">14 grudnia 2016 r. – Prawo oświatowe. </w:t>
            </w:r>
          </w:p>
          <w:p w:rsidR="00E14A88" w:rsidRPr="00E14A88" w:rsidRDefault="00F07173" w:rsidP="00467951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W przypadku gdy zawieszone zajęcia nie mogą być realizowane w ww. sposób, dyrektor jednostki systemu oświaty ustala inny sposób realizowania tych zajęć. </w:t>
            </w:r>
          </w:p>
        </w:tc>
        <w:tc>
          <w:tcPr>
            <w:tcW w:w="1230" w:type="dxa"/>
            <w:shd w:val="clear" w:color="auto" w:fill="FFFFFF"/>
          </w:tcPr>
          <w:p w:rsidR="00E14A88" w:rsidRPr="00E14A88" w:rsidRDefault="00F07173" w:rsidP="00E14A88">
            <w:pPr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III kwartał 2020 r.</w:t>
            </w:r>
          </w:p>
        </w:tc>
        <w:tc>
          <w:tcPr>
            <w:tcW w:w="1984" w:type="dxa"/>
            <w:shd w:val="clear" w:color="auto" w:fill="auto"/>
          </w:tcPr>
          <w:p w:rsidR="00E14A88" w:rsidRPr="00E14A88" w:rsidRDefault="00F07173" w:rsidP="00E14A88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Monika Łukaszewicz</w:t>
            </w:r>
          </w:p>
          <w:p w:rsidR="00E14A88" w:rsidRPr="00E14A88" w:rsidRDefault="00F07173" w:rsidP="00E14A88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- naczelnik wydziału</w:t>
            </w:r>
          </w:p>
          <w:p w:rsidR="009B6FDF" w:rsidRDefault="000502A1" w:rsidP="00E14A88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  <w:p w:rsidR="00E14A88" w:rsidRPr="00E14A88" w:rsidRDefault="00F07173" w:rsidP="00E14A88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b/>
                <w:sz w:val="16"/>
                <w:szCs w:val="16"/>
              </w:rPr>
              <w:t>Departament Kształcenia Ogólnego</w:t>
            </w:r>
          </w:p>
        </w:tc>
      </w:tr>
      <w:tr w:rsidR="00317DED" w:rsidTr="00FC1BC8">
        <w:trPr>
          <w:trHeight w:val="6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943" w:rsidRPr="00E14A88" w:rsidRDefault="00F07173" w:rsidP="00940943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6B" w:rsidRDefault="00F07173" w:rsidP="0094094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940943">
              <w:rPr>
                <w:rFonts w:ascii="Century Gothic" w:hAnsi="Century Gothic"/>
                <w:sz w:val="16"/>
                <w:szCs w:val="16"/>
              </w:rPr>
              <w:t>Rozporządzeni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Narodowej</w:t>
            </w:r>
          </w:p>
          <w:p w:rsidR="00940943" w:rsidRPr="00940943" w:rsidRDefault="00F07173" w:rsidP="0094094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940943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940943" w:rsidRPr="00940943" w:rsidRDefault="00F07173" w:rsidP="0094094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940943">
              <w:rPr>
                <w:rFonts w:ascii="Century Gothic" w:hAnsi="Century Gothic"/>
                <w:sz w:val="16"/>
                <w:szCs w:val="16"/>
              </w:rPr>
              <w:t xml:space="preserve">w sprawie szczególnych rozwiązań </w:t>
            </w:r>
            <w:r w:rsidRPr="00940943">
              <w:rPr>
                <w:rFonts w:ascii="Century Gothic" w:hAnsi="Century Gothic"/>
                <w:sz w:val="16"/>
                <w:szCs w:val="16"/>
              </w:rPr>
              <w:br/>
              <w:t xml:space="preserve">w okresie czasowego ograniczenia funkcjonowania jednostek systemu oświaty w związku z zapobieganiem, przeciwdziałaniem i zwalczaniem COVID-19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6F9" w:rsidRPr="00940943" w:rsidRDefault="00F07173" w:rsidP="00467951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B46F9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Ministra Edukacji Narodowej z dnia 20 marca 2020 r. w sprawie szczególnych rozwiązań w okresie czasowego ograniczenia funkcjonowania jednostek systemu oświaty w związku z zapobieganiem, przeciwdziałaniem i zwalczaniem COVID-19 (Dz. U. poz. 493, z </w:t>
            </w:r>
            <w:proofErr w:type="spellStart"/>
            <w:r w:rsidRPr="005B46F9">
              <w:rPr>
                <w:rFonts w:ascii="Century Gothic" w:hAnsi="Century Gothic"/>
                <w:sz w:val="16"/>
                <w:szCs w:val="16"/>
              </w:rPr>
              <w:t>późn</w:t>
            </w:r>
            <w:proofErr w:type="spellEnd"/>
            <w:r w:rsidRPr="005B46F9">
              <w:rPr>
                <w:rFonts w:ascii="Century Gothic" w:hAnsi="Century Gothic"/>
                <w:sz w:val="16"/>
                <w:szCs w:val="16"/>
              </w:rPr>
              <w:t>. zm.)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5B46F9">
              <w:rPr>
                <w:rFonts w:ascii="Century Gothic" w:hAnsi="Century Gothic"/>
                <w:sz w:val="16"/>
                <w:szCs w:val="16"/>
              </w:rPr>
              <w:t xml:space="preserve"> wydanego na podstawie upoważnienia zawartego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B46F9">
              <w:rPr>
                <w:rFonts w:ascii="Century Gothic" w:hAnsi="Century Gothic"/>
                <w:sz w:val="16"/>
                <w:szCs w:val="16"/>
              </w:rPr>
              <w:t xml:space="preserve">w art. 30c ustawy z dnia 14 grudnia 2016 r. – Prawo oświatowe (Dz. U. z 2020 r. poz. 910), wynika z potrzeby doprecyzowania sposobu realizacji zadań jednostki systemu oświaty w roku szkolnym 2020/2021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B46F9">
              <w:rPr>
                <w:rFonts w:ascii="Century Gothic" w:hAnsi="Century Gothic"/>
                <w:sz w:val="16"/>
                <w:szCs w:val="16"/>
              </w:rPr>
              <w:t>w warunkach nadal trwającej w Polsce epidemii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5B46F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B46F9">
              <w:rPr>
                <w:rFonts w:ascii="Century Gothic" w:hAnsi="Century Gothic"/>
                <w:sz w:val="16"/>
                <w:szCs w:val="16"/>
              </w:rPr>
              <w:t>z zachowaniem ogólnopolskich standardów w zakresie zasad bezpieczeństwa związanych ze zwalczaniem epidemii COVID-19.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6F9" w:rsidRPr="005B46F9" w:rsidRDefault="00F07173" w:rsidP="00467951">
            <w:pPr>
              <w:pStyle w:val="Akapitzlist"/>
              <w:spacing w:before="60" w:after="60"/>
              <w:ind w:left="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5B46F9">
              <w:rPr>
                <w:rFonts w:ascii="Century Gothic" w:hAnsi="Century Gothic"/>
                <w:sz w:val="16"/>
                <w:szCs w:val="16"/>
              </w:rPr>
              <w:t>Projektowane szczegółowe rozwiązania dotyczą funkcjonowania szkół podczas trwającej w Polsce epidemii, w tym w okresie zawieszenia zajęć przez dyrektora szkoły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5B46F9">
              <w:rPr>
                <w:rFonts w:ascii="Century Gothic" w:hAnsi="Century Gothic"/>
                <w:sz w:val="16"/>
                <w:szCs w:val="16"/>
              </w:rPr>
              <w:t xml:space="preserve"> z zachowaniem ogólnopolskich standardów w zakresie zasad bezpieczeństwa związanych ze zwalczaniem epidemii COVID-19. </w:t>
            </w:r>
          </w:p>
          <w:p w:rsidR="00467951" w:rsidRPr="005B46F9" w:rsidRDefault="00F07173" w:rsidP="00467951">
            <w:pPr>
              <w:pStyle w:val="Akapitzlist"/>
              <w:spacing w:before="60" w:after="60"/>
              <w:ind w:left="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5B46F9">
              <w:rPr>
                <w:rFonts w:ascii="Century Gothic" w:hAnsi="Century Gothic"/>
                <w:sz w:val="16"/>
                <w:szCs w:val="16"/>
              </w:rPr>
              <w:t xml:space="preserve">W przypadku wystąpienia zagrożenia epidemiologicznego dyrektor jednostki systemu oświaty, </w:t>
            </w:r>
            <w:r>
              <w:rPr>
                <w:rFonts w:ascii="Century Gothic" w:hAnsi="Century Gothic"/>
                <w:sz w:val="16"/>
                <w:szCs w:val="16"/>
              </w:rPr>
              <w:t>po uzyskaniu pozytywnej opinii Państwowego Powiatowego Inspektora S</w:t>
            </w:r>
            <w:r w:rsidRPr="005B46F9">
              <w:rPr>
                <w:rFonts w:ascii="Century Gothic" w:hAnsi="Century Gothic"/>
                <w:sz w:val="16"/>
                <w:szCs w:val="16"/>
              </w:rPr>
              <w:t xml:space="preserve">anitarnego i za zgodą organu prowadzącego, będzie mógł częściowo lub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B46F9">
              <w:rPr>
                <w:rFonts w:ascii="Century Gothic" w:hAnsi="Century Gothic"/>
                <w:sz w:val="16"/>
                <w:szCs w:val="16"/>
              </w:rPr>
              <w:t xml:space="preserve">w całości zawiesić stacjonarną pracę tej jednostki oraz ustalić sposób realizacji jej zadań, w tym sposób realizacji zawieszonych zajęć - z wykorzystaniem metod i technik kształcenia na odległość lub innego sposobu realizacji tych zajęć. </w:t>
            </w:r>
          </w:p>
          <w:p w:rsidR="005B46F9" w:rsidRPr="005B46F9" w:rsidRDefault="00F07173" w:rsidP="00467951">
            <w:pPr>
              <w:pStyle w:val="Akapitzlist"/>
              <w:spacing w:before="60" w:after="60"/>
              <w:ind w:left="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5B46F9">
              <w:rPr>
                <w:rFonts w:ascii="Century Gothic" w:hAnsi="Century Gothic"/>
                <w:sz w:val="16"/>
                <w:szCs w:val="16"/>
              </w:rPr>
              <w:t xml:space="preserve">W rozporządzeniu utrzymano część rozwiązań obowiązujących w roku szkolnym 2019/2020 oraz zaproponowano znowelizowane rozwiązania, które umożliwią realizację procesu kształcenia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B46F9">
              <w:rPr>
                <w:rFonts w:ascii="Century Gothic" w:hAnsi="Century Gothic"/>
                <w:sz w:val="16"/>
                <w:szCs w:val="16"/>
              </w:rPr>
              <w:t>w zmienionych warunkach organizacyjnych.</w:t>
            </w:r>
          </w:p>
          <w:p w:rsidR="005B46F9" w:rsidRPr="00940943" w:rsidRDefault="00F07173" w:rsidP="00467951">
            <w:pPr>
              <w:pStyle w:val="Akapitzlist"/>
              <w:spacing w:before="60" w:after="60"/>
              <w:ind w:left="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5B46F9">
              <w:rPr>
                <w:rFonts w:ascii="Century Gothic" w:hAnsi="Century Gothic"/>
                <w:sz w:val="16"/>
                <w:szCs w:val="16"/>
              </w:rPr>
              <w:t>Doprecyzowano zadania dyrektora szkoły, w tym także kierownika szkoły polskiej związane z organizowaniem kształcenia z wykorzystaniem metod i technik kształcenia na odległość lub w inny sposób u</w:t>
            </w:r>
            <w:r>
              <w:rPr>
                <w:rFonts w:ascii="Century Gothic" w:hAnsi="Century Gothic"/>
                <w:sz w:val="16"/>
                <w:szCs w:val="16"/>
              </w:rPr>
              <w:t>zgodniony z organem prowadzącym</w:t>
            </w:r>
            <w:r w:rsidRPr="005B46F9">
              <w:rPr>
                <w:rFonts w:ascii="Century Gothic" w:hAnsi="Century Gothic"/>
                <w:sz w:val="16"/>
                <w:szCs w:val="16"/>
              </w:rPr>
              <w:t>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B46F9">
              <w:rPr>
                <w:rFonts w:ascii="Century Gothic" w:hAnsi="Century Gothic"/>
                <w:sz w:val="16"/>
                <w:szCs w:val="16"/>
              </w:rPr>
              <w:t xml:space="preserve">Kształcenie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B46F9">
              <w:rPr>
                <w:rFonts w:ascii="Century Gothic" w:hAnsi="Century Gothic"/>
                <w:sz w:val="16"/>
                <w:szCs w:val="16"/>
              </w:rPr>
              <w:t>z wykorzystaniem metod i technik kształcenia na odległość będzie możliwe zarówno w zakresie kształcenia ogólnego, jak i zawodowego.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943" w:rsidRPr="00940943" w:rsidRDefault="00F07173" w:rsidP="00940943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940943">
              <w:rPr>
                <w:rFonts w:ascii="Century Gothic" w:hAnsi="Century Gothic"/>
                <w:sz w:val="16"/>
                <w:szCs w:val="16"/>
              </w:rPr>
              <w:t>II kwartał 2020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1" w:rsidRPr="008A1F11" w:rsidRDefault="00F07173" w:rsidP="008A1F11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A1F11">
              <w:rPr>
                <w:rFonts w:ascii="Century Gothic" w:hAnsi="Century Gothic"/>
                <w:sz w:val="16"/>
                <w:szCs w:val="16"/>
              </w:rPr>
              <w:t>Monika Łukaszewicz</w:t>
            </w:r>
          </w:p>
          <w:p w:rsidR="008A1F11" w:rsidRPr="008A1F11" w:rsidRDefault="00F07173" w:rsidP="008A1F11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A1F11">
              <w:rPr>
                <w:rFonts w:ascii="Century Gothic" w:hAnsi="Century Gothic"/>
                <w:sz w:val="16"/>
                <w:szCs w:val="16"/>
              </w:rPr>
              <w:t>- naczelnik wydziału</w:t>
            </w:r>
          </w:p>
          <w:p w:rsidR="00467951" w:rsidRDefault="000502A1" w:rsidP="008A1F11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40943" w:rsidRPr="00297A6B" w:rsidRDefault="00F07173" w:rsidP="008A1F11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A1F11"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  <w:tr w:rsidR="00317DED" w:rsidTr="00FC1BC8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A88" w:rsidRPr="00E14A88" w:rsidRDefault="00F07173" w:rsidP="00297A6B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4A88">
              <w:rPr>
                <w:rFonts w:ascii="Century Gothic" w:hAnsi="Century Gothic"/>
                <w:sz w:val="16"/>
                <w:szCs w:val="16"/>
              </w:rPr>
              <w:lastRenderedPageBreak/>
              <w:t>4</w:t>
            </w:r>
            <w:r>
              <w:rPr>
                <w:rFonts w:ascii="Century Gothic" w:hAnsi="Century Gothic"/>
                <w:sz w:val="16"/>
                <w:szCs w:val="16"/>
              </w:rPr>
              <w:t>5</w:t>
            </w:r>
            <w:r w:rsidRPr="00E14A88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  <w:shd w:val="clear" w:color="auto" w:fill="FFFFFF"/>
          </w:tcPr>
          <w:p w:rsidR="00E14A88" w:rsidRPr="00E14A88" w:rsidRDefault="00F07173" w:rsidP="00E14A88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Rozporządzenie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br/>
              <w:t>Ministra Edukacji Narodowej</w:t>
            </w:r>
          </w:p>
          <w:p w:rsidR="00E14A88" w:rsidRPr="00E14A88" w:rsidRDefault="00F07173" w:rsidP="00E14A88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zmieniające rozporządzenie </w:t>
            </w:r>
          </w:p>
          <w:p w:rsidR="00E14A88" w:rsidRPr="00E14A88" w:rsidRDefault="00F07173" w:rsidP="00E14A88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w sprawie rodzajów innych form wychowania przedszkolnego, warunków tworzenia i organizowania tych form oraz sposobu ich działania</w:t>
            </w:r>
          </w:p>
        </w:tc>
        <w:tc>
          <w:tcPr>
            <w:tcW w:w="4579" w:type="dxa"/>
            <w:shd w:val="clear" w:color="auto" w:fill="FFFFFF"/>
          </w:tcPr>
          <w:p w:rsidR="00E14A88" w:rsidRPr="00E14A88" w:rsidRDefault="00F07173" w:rsidP="00467951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Nowelizacja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 rozporządzenia </w:t>
            </w:r>
            <w:r w:rsidRPr="00050FD3">
              <w:rPr>
                <w:rFonts w:ascii="Century Gothic" w:hAnsi="Century Gothic" w:cs="Calibri"/>
                <w:sz w:val="16"/>
                <w:szCs w:val="16"/>
              </w:rPr>
              <w:t>Ministra Edukacji Narodowej z dnia 28 sierpnia 2017 r. w sprawie rodzajów innych form wychowania przedszkolnego, warunków tworzenia i organizowania tych form oraz sposobu ich działania (Dz. U. poz. 1657 i 2446)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wynika z potrzeby doprecyzowania działalności tych jednostek </w:t>
            </w:r>
            <w:r>
              <w:rPr>
                <w:rFonts w:ascii="Century Gothic" w:hAnsi="Century Gothic" w:cs="Calibri"/>
                <w:sz w:val="16"/>
                <w:szCs w:val="16"/>
              </w:rPr>
              <w:br/>
              <w:t>w warunkach epidemii.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</w:p>
        </w:tc>
        <w:tc>
          <w:tcPr>
            <w:tcW w:w="4539" w:type="dxa"/>
            <w:shd w:val="clear" w:color="auto" w:fill="FFFFFF"/>
          </w:tcPr>
          <w:p w:rsidR="00E14A88" w:rsidRPr="00E14A88" w:rsidRDefault="00F07173" w:rsidP="00B952EF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Projekt rozporządzenia wprowadza możliwość zawieszenia zajęć w innej formie wychowania przedszkolnego przez organ prowadzący lub dyrektora, w sytuacji zagrożenia bezpieczeństwa uczniów, w tym także ze względu na aktualn</w:t>
            </w:r>
            <w:r>
              <w:rPr>
                <w:rFonts w:ascii="Century Gothic" w:hAnsi="Century Gothic" w:cs="Calibri"/>
                <w:sz w:val="16"/>
                <w:szCs w:val="16"/>
              </w:rPr>
              <w:t>ą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 sytuację epidemiologiczną </w:t>
            </w:r>
            <w:r>
              <w:rPr>
                <w:rFonts w:ascii="Century Gothic" w:hAnsi="Century Gothic" w:cs="Calibri"/>
                <w:sz w:val="16"/>
                <w:szCs w:val="16"/>
              </w:rPr>
              <w:t>–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 za zgodą organu prowadzącego i </w:t>
            </w:r>
            <w:r>
              <w:rPr>
                <w:rFonts w:ascii="Century Gothic" w:hAnsi="Century Gothic" w:cs="Calibri"/>
                <w:sz w:val="16"/>
                <w:szCs w:val="16"/>
              </w:rPr>
              <w:t>po uzyskaniu pozytywnej opinii Państwowego Powiatowego Inspektora S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anitarnego. </w:t>
            </w:r>
            <w:r>
              <w:rPr>
                <w:rFonts w:ascii="Century Gothic" w:hAnsi="Century Gothic" w:cs="Calibri"/>
                <w:sz w:val="16"/>
                <w:szCs w:val="16"/>
              </w:rPr>
              <w:br/>
            </w:r>
            <w:r w:rsidRPr="004B3D79">
              <w:rPr>
                <w:rFonts w:ascii="Century Gothic" w:hAnsi="Century Gothic" w:cs="Calibri"/>
                <w:sz w:val="16"/>
                <w:szCs w:val="16"/>
              </w:rPr>
              <w:t>O zawieszeniu zajęć odpowiednio organ prowadzący lub dyrektor przedszkola lub szkoły podstawowej albo osoba kierująca daną inną formą wychowania przedszkolnego zawiadamia organ sprawujący nadzór pedagogiczny</w:t>
            </w:r>
            <w:r>
              <w:rPr>
                <w:rFonts w:ascii="Century Gothic" w:hAnsi="Century Gothic" w:cs="Calibri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30" w:type="dxa"/>
            <w:shd w:val="clear" w:color="auto" w:fill="FFFFFF"/>
          </w:tcPr>
          <w:p w:rsidR="00E14A88" w:rsidRPr="00E14A88" w:rsidRDefault="00F07173" w:rsidP="00E14A88">
            <w:pPr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III kwartał 2020 r.</w:t>
            </w:r>
          </w:p>
        </w:tc>
        <w:tc>
          <w:tcPr>
            <w:tcW w:w="1984" w:type="dxa"/>
            <w:shd w:val="clear" w:color="auto" w:fill="auto"/>
          </w:tcPr>
          <w:p w:rsidR="00E14A88" w:rsidRPr="00E14A88" w:rsidRDefault="00F07173" w:rsidP="00E14A88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Monika Łukaszewicz</w:t>
            </w:r>
          </w:p>
          <w:p w:rsidR="00E14A88" w:rsidRPr="00E14A88" w:rsidRDefault="00F07173" w:rsidP="00E14A88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- naczelnik wydziału</w:t>
            </w:r>
          </w:p>
          <w:p w:rsidR="00467951" w:rsidRDefault="000502A1" w:rsidP="00E14A88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  <w:p w:rsidR="00E14A88" w:rsidRPr="00E14A88" w:rsidRDefault="00F07173" w:rsidP="00E14A88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b/>
                <w:sz w:val="16"/>
                <w:szCs w:val="16"/>
              </w:rPr>
              <w:t>Departament Kształcenia Ogólnego</w:t>
            </w:r>
          </w:p>
        </w:tc>
      </w:tr>
      <w:tr w:rsidR="00317DED" w:rsidTr="00FC1BC8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EAA" w:rsidRPr="00E14A88" w:rsidRDefault="00F07173" w:rsidP="00297A6B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46.</w:t>
            </w:r>
          </w:p>
        </w:tc>
        <w:tc>
          <w:tcPr>
            <w:tcW w:w="3119" w:type="dxa"/>
            <w:shd w:val="clear" w:color="auto" w:fill="FFFFFF"/>
          </w:tcPr>
          <w:p w:rsidR="007F6EAA" w:rsidRDefault="00F07173" w:rsidP="007F6EAA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Rozporządzenie</w:t>
            </w:r>
            <w:r>
              <w:rPr>
                <w:rFonts w:ascii="Century Gothic" w:hAnsi="Century Gothic" w:cs="Calibri"/>
                <w:sz w:val="16"/>
                <w:szCs w:val="16"/>
              </w:rPr>
              <w:br/>
            </w:r>
            <w:r w:rsidRPr="007F6EAA">
              <w:rPr>
                <w:rFonts w:ascii="Century Gothic" w:hAnsi="Century Gothic" w:cs="Calibri"/>
                <w:sz w:val="16"/>
                <w:szCs w:val="16"/>
              </w:rPr>
              <w:t xml:space="preserve">Ministra Edukacji Narodowej </w:t>
            </w:r>
          </w:p>
          <w:p w:rsidR="007F6EAA" w:rsidRDefault="00F07173" w:rsidP="007F6EAA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zmieniające rozporządzenie</w:t>
            </w:r>
          </w:p>
          <w:p w:rsidR="007F6EAA" w:rsidRPr="00E14A88" w:rsidRDefault="00F07173" w:rsidP="007F6EAA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7F6EAA">
              <w:rPr>
                <w:rFonts w:ascii="Century Gothic" w:hAnsi="Century Gothic" w:cs="Calibri"/>
                <w:sz w:val="16"/>
                <w:szCs w:val="16"/>
              </w:rPr>
              <w:t>w sprawie organizacji kształcenia dzieci obywateli polskich czasowo przebywających za granicą</w:t>
            </w:r>
          </w:p>
        </w:tc>
        <w:tc>
          <w:tcPr>
            <w:tcW w:w="4579" w:type="dxa"/>
            <w:shd w:val="clear" w:color="auto" w:fill="FFFFFF"/>
          </w:tcPr>
          <w:p w:rsidR="007F6EAA" w:rsidRPr="00E14A88" w:rsidRDefault="00F07173" w:rsidP="00467951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D6501">
              <w:rPr>
                <w:rFonts w:ascii="Century Gothic" w:hAnsi="Century Gothic" w:cs="Calibri"/>
                <w:sz w:val="16"/>
                <w:szCs w:val="16"/>
              </w:rPr>
              <w:t xml:space="preserve">Nowelizacja rozporządzenia </w:t>
            </w:r>
            <w:r w:rsidRPr="003115A8">
              <w:rPr>
                <w:rFonts w:ascii="Century Gothic" w:hAnsi="Century Gothic" w:cs="Calibri"/>
                <w:sz w:val="16"/>
                <w:szCs w:val="16"/>
              </w:rPr>
              <w:t xml:space="preserve">Ministra Edukacji Narodowej z dnia 9 sierpnia 2019 r. w sprawie organizacji kształcenia dzieci obywateli polskich czasowo przebywających za granicą (Dz. U. poz. 1652) </w:t>
            </w:r>
            <w:r w:rsidRPr="00ED6501">
              <w:rPr>
                <w:rFonts w:ascii="Century Gothic" w:hAnsi="Century Gothic" w:cs="Calibri"/>
                <w:sz w:val="16"/>
                <w:szCs w:val="16"/>
              </w:rPr>
              <w:t xml:space="preserve">wynika z konieczności uwzględnienia możliwości zawieszenia zajęć w szkole 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za granicą </w:t>
            </w:r>
            <w:r w:rsidRPr="00ED6501">
              <w:rPr>
                <w:rFonts w:ascii="Century Gothic" w:hAnsi="Century Gothic" w:cs="Calibri"/>
                <w:sz w:val="16"/>
                <w:szCs w:val="16"/>
              </w:rPr>
              <w:t xml:space="preserve">lub </w:t>
            </w:r>
            <w:r>
              <w:rPr>
                <w:rFonts w:ascii="Century Gothic" w:hAnsi="Century Gothic" w:cs="Calibri"/>
                <w:sz w:val="16"/>
                <w:szCs w:val="16"/>
              </w:rPr>
              <w:t>szkole polskiej</w:t>
            </w:r>
            <w:r w:rsidRPr="00ED6501">
              <w:rPr>
                <w:rFonts w:ascii="Century Gothic" w:hAnsi="Century Gothic" w:cs="Calibri"/>
                <w:sz w:val="16"/>
                <w:szCs w:val="16"/>
              </w:rPr>
              <w:t xml:space="preserve"> przez dyrektor</w:t>
            </w:r>
            <w:r>
              <w:rPr>
                <w:rFonts w:ascii="Century Gothic" w:hAnsi="Century Gothic" w:cs="Calibri"/>
                <w:sz w:val="16"/>
                <w:szCs w:val="16"/>
              </w:rPr>
              <w:t>a</w:t>
            </w:r>
            <w:r w:rsidRPr="00ED6501">
              <w:rPr>
                <w:rFonts w:ascii="Century Gothic" w:hAnsi="Century Gothic" w:cs="Calibri"/>
                <w:sz w:val="16"/>
                <w:szCs w:val="16"/>
              </w:rPr>
              <w:t xml:space="preserve"> szkoły za granicą oraz kierownik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a </w:t>
            </w:r>
            <w:r w:rsidRPr="00ED6501">
              <w:rPr>
                <w:rFonts w:ascii="Century Gothic" w:hAnsi="Century Gothic" w:cs="Calibri"/>
                <w:sz w:val="16"/>
                <w:szCs w:val="16"/>
              </w:rPr>
              <w:t>szkoły polskiej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  <w:r w:rsidRPr="00ED6501">
              <w:rPr>
                <w:rFonts w:ascii="Century Gothic" w:hAnsi="Century Gothic" w:cs="Calibri"/>
                <w:sz w:val="16"/>
                <w:szCs w:val="16"/>
              </w:rPr>
              <w:t>ze względu na  sytuację epidemiologiczną, która może zagrażać zdrowiu uczniów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i nauczycieli</w:t>
            </w:r>
            <w:r w:rsidRPr="00ED6501">
              <w:rPr>
                <w:rFonts w:ascii="Century Gothic" w:hAnsi="Century Gothic" w:cs="Calibri"/>
                <w:sz w:val="16"/>
                <w:szCs w:val="16"/>
              </w:rPr>
              <w:t>.</w:t>
            </w:r>
          </w:p>
        </w:tc>
        <w:tc>
          <w:tcPr>
            <w:tcW w:w="4539" w:type="dxa"/>
            <w:shd w:val="clear" w:color="auto" w:fill="FFFFFF"/>
          </w:tcPr>
          <w:p w:rsidR="007F6EAA" w:rsidRPr="007F6EAA" w:rsidRDefault="00F07173" w:rsidP="00467951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7F6EAA">
              <w:rPr>
                <w:rFonts w:ascii="Century Gothic" w:hAnsi="Century Gothic" w:cs="Calibri"/>
                <w:sz w:val="16"/>
                <w:szCs w:val="16"/>
              </w:rPr>
              <w:t xml:space="preserve">Niniejsze rozporządzenie jest wydawane w celu minimalizowania ryzyka dla zdrowia uczniów </w:t>
            </w:r>
            <w:r>
              <w:rPr>
                <w:rFonts w:ascii="Century Gothic" w:hAnsi="Century Gothic" w:cs="Calibri"/>
                <w:sz w:val="16"/>
                <w:szCs w:val="16"/>
              </w:rPr>
              <w:br/>
            </w:r>
            <w:r w:rsidRPr="007F6EAA">
              <w:rPr>
                <w:rFonts w:ascii="Century Gothic" w:hAnsi="Century Gothic" w:cs="Calibri"/>
                <w:sz w:val="16"/>
                <w:szCs w:val="16"/>
              </w:rPr>
              <w:t xml:space="preserve">i nauczycieli w związku sytuacją epidemiczną lub </w:t>
            </w:r>
            <w:r>
              <w:rPr>
                <w:rFonts w:ascii="Century Gothic" w:hAnsi="Century Gothic" w:cs="Calibri"/>
                <w:sz w:val="16"/>
                <w:szCs w:val="16"/>
              </w:rPr>
              <w:br/>
            </w:r>
            <w:r w:rsidRPr="007F6EAA">
              <w:rPr>
                <w:rFonts w:ascii="Century Gothic" w:hAnsi="Century Gothic" w:cs="Calibri"/>
                <w:sz w:val="16"/>
                <w:szCs w:val="16"/>
              </w:rPr>
              <w:t>w przypadku wystąpienia innych miejscowych zagrożeń.</w:t>
            </w:r>
          </w:p>
          <w:p w:rsidR="007F6EAA" w:rsidRPr="00E14A88" w:rsidRDefault="00F07173" w:rsidP="00B952EF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7F6EAA">
              <w:rPr>
                <w:rFonts w:ascii="Century Gothic" w:hAnsi="Century Gothic" w:cs="Calibri"/>
                <w:sz w:val="16"/>
                <w:szCs w:val="16"/>
              </w:rPr>
              <w:t xml:space="preserve">Projektowane rozporządzenie wprowadza zmianę </w:t>
            </w:r>
            <w:r>
              <w:rPr>
                <w:rFonts w:ascii="Century Gothic" w:hAnsi="Century Gothic" w:cs="Calibri"/>
                <w:sz w:val="16"/>
                <w:szCs w:val="16"/>
              </w:rPr>
              <w:br/>
            </w:r>
            <w:r w:rsidRPr="007F6EAA">
              <w:rPr>
                <w:rFonts w:ascii="Century Gothic" w:hAnsi="Century Gothic" w:cs="Calibri"/>
                <w:sz w:val="16"/>
                <w:szCs w:val="16"/>
              </w:rPr>
              <w:t xml:space="preserve">w rozporządzeniu Ministra Edukacji Narodowej z dnia </w:t>
            </w:r>
            <w:r>
              <w:rPr>
                <w:rFonts w:ascii="Century Gothic" w:hAnsi="Century Gothic" w:cs="Calibri"/>
                <w:sz w:val="16"/>
                <w:szCs w:val="16"/>
              </w:rPr>
              <w:br/>
            </w:r>
            <w:r w:rsidRPr="007F6EAA">
              <w:rPr>
                <w:rFonts w:ascii="Century Gothic" w:hAnsi="Century Gothic" w:cs="Calibri"/>
                <w:sz w:val="16"/>
                <w:szCs w:val="16"/>
              </w:rPr>
              <w:t>9 sierpnia 2019 r. w sprawie organizacji kształcenia dzieci obywateli polskich czasowo przebywających za granicą p</w:t>
            </w:r>
            <w:r>
              <w:rPr>
                <w:rFonts w:ascii="Century Gothic" w:hAnsi="Century Gothic" w:cs="Calibri"/>
                <w:sz w:val="16"/>
                <w:szCs w:val="16"/>
              </w:rPr>
              <w:t>oprzez dodanie przepisów</w:t>
            </w:r>
            <w:r w:rsidRPr="007F6EAA">
              <w:rPr>
                <w:rFonts w:ascii="Century Gothic" w:hAnsi="Century Gothic" w:cs="Calibri"/>
                <w:sz w:val="16"/>
                <w:szCs w:val="16"/>
              </w:rPr>
              <w:t>, które umożliwią dyrektorowi szkoły za granicą oraz kierownikowi szkoły polskiej zawie</w:t>
            </w:r>
            <w:r>
              <w:rPr>
                <w:rFonts w:ascii="Century Gothic" w:hAnsi="Century Gothic" w:cs="Calibri"/>
                <w:sz w:val="16"/>
                <w:szCs w:val="16"/>
              </w:rPr>
              <w:t>szenie</w:t>
            </w:r>
            <w:r w:rsidRPr="007F6EAA">
              <w:rPr>
                <w:rFonts w:ascii="Century Gothic" w:hAnsi="Century Gothic" w:cs="Calibri"/>
                <w:sz w:val="16"/>
                <w:szCs w:val="16"/>
              </w:rPr>
              <w:t xml:space="preserve"> zaję</w:t>
            </w:r>
            <w:r>
              <w:rPr>
                <w:rFonts w:ascii="Century Gothic" w:hAnsi="Century Gothic" w:cs="Calibri"/>
                <w:sz w:val="16"/>
                <w:szCs w:val="16"/>
              </w:rPr>
              <w:t>ć</w:t>
            </w:r>
            <w:r w:rsidRPr="007F6EAA">
              <w:rPr>
                <w:rFonts w:ascii="Century Gothic" w:hAnsi="Century Gothic" w:cs="Calibri"/>
                <w:sz w:val="16"/>
                <w:szCs w:val="16"/>
              </w:rPr>
              <w:t xml:space="preserve"> na czas oznaczony, jeżeli ze względu na aktualną sytuację epidemiologiczną będzie zagrożone zdrowie uczniów. Decyzja będzie mogła być podjęta za zgodą organu prowadzącego.</w:t>
            </w:r>
          </w:p>
        </w:tc>
        <w:tc>
          <w:tcPr>
            <w:tcW w:w="1230" w:type="dxa"/>
            <w:shd w:val="clear" w:color="auto" w:fill="FFFFFF"/>
          </w:tcPr>
          <w:p w:rsidR="007F6EAA" w:rsidRPr="00E14A88" w:rsidRDefault="00F07173" w:rsidP="00E14A88">
            <w:pPr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III kwartał 2020 r.</w:t>
            </w:r>
          </w:p>
        </w:tc>
        <w:tc>
          <w:tcPr>
            <w:tcW w:w="1984" w:type="dxa"/>
            <w:shd w:val="clear" w:color="auto" w:fill="auto"/>
          </w:tcPr>
          <w:p w:rsidR="007F6EAA" w:rsidRDefault="00F07173" w:rsidP="00E14A88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Mariusz Tokarski</w:t>
            </w:r>
          </w:p>
          <w:p w:rsidR="007F6EAA" w:rsidRDefault="00F07173" w:rsidP="00E14A88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- główny specjalista</w:t>
            </w:r>
          </w:p>
          <w:p w:rsidR="003115A8" w:rsidRDefault="000502A1" w:rsidP="00E14A88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  <w:p w:rsidR="007F6EAA" w:rsidRPr="007F6EAA" w:rsidRDefault="00F07173" w:rsidP="00E14A88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7F6EAA">
              <w:rPr>
                <w:rFonts w:ascii="Century Gothic" w:hAnsi="Century Gothic" w:cs="Calibri"/>
                <w:b/>
                <w:sz w:val="16"/>
                <w:szCs w:val="16"/>
              </w:rPr>
              <w:t>Departament Współpracy Międzynarodowej</w:t>
            </w:r>
          </w:p>
        </w:tc>
      </w:tr>
    </w:tbl>
    <w:p w:rsidR="00326C55" w:rsidRPr="00C57C88" w:rsidRDefault="000502A1" w:rsidP="00FC49E2">
      <w:pPr>
        <w:tabs>
          <w:tab w:val="left" w:pos="1980"/>
        </w:tabs>
        <w:spacing w:before="60" w:after="60"/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2A1" w:rsidRDefault="000502A1">
      <w:r>
        <w:separator/>
      </w:r>
    </w:p>
  </w:endnote>
  <w:endnote w:type="continuationSeparator" w:id="0">
    <w:p w:rsidR="000502A1" w:rsidRDefault="0005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2A1" w:rsidRDefault="000502A1">
      <w:r>
        <w:separator/>
      </w:r>
    </w:p>
  </w:footnote>
  <w:footnote w:type="continuationSeparator" w:id="0">
    <w:p w:rsidR="000502A1" w:rsidRDefault="0005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0502A1" w:rsidP="00505043">
    <w:pPr>
      <w:pStyle w:val="Nagwek"/>
      <w:rPr>
        <w:sz w:val="28"/>
      </w:rPr>
    </w:pPr>
  </w:p>
  <w:p w:rsidR="00312C81" w:rsidRPr="00021A3B" w:rsidRDefault="00F07173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4B242CF8">
      <w:start w:val="1"/>
      <w:numFmt w:val="decimal"/>
      <w:lvlText w:val="%1)"/>
      <w:lvlJc w:val="left"/>
      <w:pPr>
        <w:ind w:left="360" w:hanging="360"/>
      </w:pPr>
    </w:lvl>
    <w:lvl w:ilvl="1" w:tplc="79AC1DE0" w:tentative="1">
      <w:start w:val="1"/>
      <w:numFmt w:val="lowerLetter"/>
      <w:lvlText w:val="%2."/>
      <w:lvlJc w:val="left"/>
      <w:pPr>
        <w:ind w:left="1080" w:hanging="360"/>
      </w:pPr>
    </w:lvl>
    <w:lvl w:ilvl="2" w:tplc="A1E2D37C" w:tentative="1">
      <w:start w:val="1"/>
      <w:numFmt w:val="lowerRoman"/>
      <w:lvlText w:val="%3."/>
      <w:lvlJc w:val="right"/>
      <w:pPr>
        <w:ind w:left="1800" w:hanging="180"/>
      </w:pPr>
    </w:lvl>
    <w:lvl w:ilvl="3" w:tplc="EEDAA132" w:tentative="1">
      <w:start w:val="1"/>
      <w:numFmt w:val="decimal"/>
      <w:lvlText w:val="%4."/>
      <w:lvlJc w:val="left"/>
      <w:pPr>
        <w:ind w:left="2520" w:hanging="360"/>
      </w:pPr>
    </w:lvl>
    <w:lvl w:ilvl="4" w:tplc="69E4F14A" w:tentative="1">
      <w:start w:val="1"/>
      <w:numFmt w:val="lowerLetter"/>
      <w:lvlText w:val="%5."/>
      <w:lvlJc w:val="left"/>
      <w:pPr>
        <w:ind w:left="3240" w:hanging="360"/>
      </w:pPr>
    </w:lvl>
    <w:lvl w:ilvl="5" w:tplc="6E52C464" w:tentative="1">
      <w:start w:val="1"/>
      <w:numFmt w:val="lowerRoman"/>
      <w:lvlText w:val="%6."/>
      <w:lvlJc w:val="right"/>
      <w:pPr>
        <w:ind w:left="3960" w:hanging="180"/>
      </w:pPr>
    </w:lvl>
    <w:lvl w:ilvl="6" w:tplc="A97C9424" w:tentative="1">
      <w:start w:val="1"/>
      <w:numFmt w:val="decimal"/>
      <w:lvlText w:val="%7."/>
      <w:lvlJc w:val="left"/>
      <w:pPr>
        <w:ind w:left="4680" w:hanging="360"/>
      </w:pPr>
    </w:lvl>
    <w:lvl w:ilvl="7" w:tplc="9A4CD9DE" w:tentative="1">
      <w:start w:val="1"/>
      <w:numFmt w:val="lowerLetter"/>
      <w:lvlText w:val="%8."/>
      <w:lvlJc w:val="left"/>
      <w:pPr>
        <w:ind w:left="5400" w:hanging="360"/>
      </w:pPr>
    </w:lvl>
    <w:lvl w:ilvl="8" w:tplc="CC42A5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5B5645C8">
      <w:start w:val="1"/>
      <w:numFmt w:val="decimal"/>
      <w:lvlText w:val="%1)"/>
      <w:lvlJc w:val="left"/>
      <w:pPr>
        <w:ind w:left="414" w:hanging="360"/>
      </w:pPr>
    </w:lvl>
    <w:lvl w:ilvl="1" w:tplc="6B10A80A" w:tentative="1">
      <w:start w:val="1"/>
      <w:numFmt w:val="lowerLetter"/>
      <w:lvlText w:val="%2."/>
      <w:lvlJc w:val="left"/>
      <w:pPr>
        <w:ind w:left="1134" w:hanging="360"/>
      </w:pPr>
    </w:lvl>
    <w:lvl w:ilvl="2" w:tplc="3328FE8E" w:tentative="1">
      <w:start w:val="1"/>
      <w:numFmt w:val="lowerRoman"/>
      <w:lvlText w:val="%3."/>
      <w:lvlJc w:val="right"/>
      <w:pPr>
        <w:ind w:left="1854" w:hanging="180"/>
      </w:pPr>
    </w:lvl>
    <w:lvl w:ilvl="3" w:tplc="25546714" w:tentative="1">
      <w:start w:val="1"/>
      <w:numFmt w:val="decimal"/>
      <w:lvlText w:val="%4."/>
      <w:lvlJc w:val="left"/>
      <w:pPr>
        <w:ind w:left="2574" w:hanging="360"/>
      </w:pPr>
    </w:lvl>
    <w:lvl w:ilvl="4" w:tplc="DEFAE0A0" w:tentative="1">
      <w:start w:val="1"/>
      <w:numFmt w:val="lowerLetter"/>
      <w:lvlText w:val="%5."/>
      <w:lvlJc w:val="left"/>
      <w:pPr>
        <w:ind w:left="3294" w:hanging="360"/>
      </w:pPr>
    </w:lvl>
    <w:lvl w:ilvl="5" w:tplc="FD704BC6" w:tentative="1">
      <w:start w:val="1"/>
      <w:numFmt w:val="lowerRoman"/>
      <w:lvlText w:val="%6."/>
      <w:lvlJc w:val="right"/>
      <w:pPr>
        <w:ind w:left="4014" w:hanging="180"/>
      </w:pPr>
    </w:lvl>
    <w:lvl w:ilvl="6" w:tplc="41AA8D5E" w:tentative="1">
      <w:start w:val="1"/>
      <w:numFmt w:val="decimal"/>
      <w:lvlText w:val="%7."/>
      <w:lvlJc w:val="left"/>
      <w:pPr>
        <w:ind w:left="4734" w:hanging="360"/>
      </w:pPr>
    </w:lvl>
    <w:lvl w:ilvl="7" w:tplc="F2E495F6" w:tentative="1">
      <w:start w:val="1"/>
      <w:numFmt w:val="lowerLetter"/>
      <w:lvlText w:val="%8."/>
      <w:lvlJc w:val="left"/>
      <w:pPr>
        <w:ind w:left="5454" w:hanging="360"/>
      </w:pPr>
    </w:lvl>
    <w:lvl w:ilvl="8" w:tplc="725A60DE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13A297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B4FE00" w:tentative="1">
      <w:start w:val="1"/>
      <w:numFmt w:val="lowerLetter"/>
      <w:lvlText w:val="%2."/>
      <w:lvlJc w:val="left"/>
      <w:pPr>
        <w:ind w:left="1080" w:hanging="360"/>
      </w:pPr>
    </w:lvl>
    <w:lvl w:ilvl="2" w:tplc="0E820230" w:tentative="1">
      <w:start w:val="1"/>
      <w:numFmt w:val="lowerRoman"/>
      <w:lvlText w:val="%3."/>
      <w:lvlJc w:val="right"/>
      <w:pPr>
        <w:ind w:left="1800" w:hanging="180"/>
      </w:pPr>
    </w:lvl>
    <w:lvl w:ilvl="3" w:tplc="48C8835A" w:tentative="1">
      <w:start w:val="1"/>
      <w:numFmt w:val="decimal"/>
      <w:lvlText w:val="%4."/>
      <w:lvlJc w:val="left"/>
      <w:pPr>
        <w:ind w:left="2520" w:hanging="360"/>
      </w:pPr>
    </w:lvl>
    <w:lvl w:ilvl="4" w:tplc="9B20A4E0" w:tentative="1">
      <w:start w:val="1"/>
      <w:numFmt w:val="lowerLetter"/>
      <w:lvlText w:val="%5."/>
      <w:lvlJc w:val="left"/>
      <w:pPr>
        <w:ind w:left="3240" w:hanging="360"/>
      </w:pPr>
    </w:lvl>
    <w:lvl w:ilvl="5" w:tplc="BEE4CB1C" w:tentative="1">
      <w:start w:val="1"/>
      <w:numFmt w:val="lowerRoman"/>
      <w:lvlText w:val="%6."/>
      <w:lvlJc w:val="right"/>
      <w:pPr>
        <w:ind w:left="3960" w:hanging="180"/>
      </w:pPr>
    </w:lvl>
    <w:lvl w:ilvl="6" w:tplc="6616E74E" w:tentative="1">
      <w:start w:val="1"/>
      <w:numFmt w:val="decimal"/>
      <w:lvlText w:val="%7."/>
      <w:lvlJc w:val="left"/>
      <w:pPr>
        <w:ind w:left="4680" w:hanging="360"/>
      </w:pPr>
    </w:lvl>
    <w:lvl w:ilvl="7" w:tplc="298E86BC" w:tentative="1">
      <w:start w:val="1"/>
      <w:numFmt w:val="lowerLetter"/>
      <w:lvlText w:val="%8."/>
      <w:lvlJc w:val="left"/>
      <w:pPr>
        <w:ind w:left="5400" w:hanging="360"/>
      </w:pPr>
    </w:lvl>
    <w:lvl w:ilvl="8" w:tplc="3AAC41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EC60CB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7DE08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7217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6819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767D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A238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A645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FAD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A024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17D4981E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3FC0F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A8D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653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6E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A5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A3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E9B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648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0DB8A192">
      <w:start w:val="1"/>
      <w:numFmt w:val="decimal"/>
      <w:lvlText w:val="%1)"/>
      <w:lvlJc w:val="left"/>
      <w:pPr>
        <w:ind w:left="360" w:hanging="360"/>
      </w:pPr>
    </w:lvl>
    <w:lvl w:ilvl="1" w:tplc="DC1237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C8EB304" w:tentative="1">
      <w:start w:val="1"/>
      <w:numFmt w:val="lowerRoman"/>
      <w:lvlText w:val="%3."/>
      <w:lvlJc w:val="right"/>
      <w:pPr>
        <w:ind w:left="1800" w:hanging="180"/>
      </w:pPr>
    </w:lvl>
    <w:lvl w:ilvl="3" w:tplc="55B205F0" w:tentative="1">
      <w:start w:val="1"/>
      <w:numFmt w:val="decimal"/>
      <w:lvlText w:val="%4."/>
      <w:lvlJc w:val="left"/>
      <w:pPr>
        <w:ind w:left="2520" w:hanging="360"/>
      </w:pPr>
    </w:lvl>
    <w:lvl w:ilvl="4" w:tplc="0052BA54" w:tentative="1">
      <w:start w:val="1"/>
      <w:numFmt w:val="lowerLetter"/>
      <w:lvlText w:val="%5."/>
      <w:lvlJc w:val="left"/>
      <w:pPr>
        <w:ind w:left="3240" w:hanging="360"/>
      </w:pPr>
    </w:lvl>
    <w:lvl w:ilvl="5" w:tplc="AE5A62B2" w:tentative="1">
      <w:start w:val="1"/>
      <w:numFmt w:val="lowerRoman"/>
      <w:lvlText w:val="%6."/>
      <w:lvlJc w:val="right"/>
      <w:pPr>
        <w:ind w:left="3960" w:hanging="180"/>
      </w:pPr>
    </w:lvl>
    <w:lvl w:ilvl="6" w:tplc="CB529FFE" w:tentative="1">
      <w:start w:val="1"/>
      <w:numFmt w:val="decimal"/>
      <w:lvlText w:val="%7."/>
      <w:lvlJc w:val="left"/>
      <w:pPr>
        <w:ind w:left="4680" w:hanging="360"/>
      </w:pPr>
    </w:lvl>
    <w:lvl w:ilvl="7" w:tplc="4668710C" w:tentative="1">
      <w:start w:val="1"/>
      <w:numFmt w:val="lowerLetter"/>
      <w:lvlText w:val="%8."/>
      <w:lvlJc w:val="left"/>
      <w:pPr>
        <w:ind w:left="5400" w:hanging="360"/>
      </w:pPr>
    </w:lvl>
    <w:lvl w:ilvl="8" w:tplc="543CD9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0D664FAC">
      <w:start w:val="1"/>
      <w:numFmt w:val="lowerLetter"/>
      <w:lvlText w:val="%1)"/>
      <w:lvlJc w:val="left"/>
      <w:pPr>
        <w:ind w:left="896" w:hanging="360"/>
      </w:pPr>
    </w:lvl>
    <w:lvl w:ilvl="1" w:tplc="CA7807B4">
      <w:start w:val="1"/>
      <w:numFmt w:val="lowerLetter"/>
      <w:lvlText w:val="%2)"/>
      <w:lvlJc w:val="left"/>
      <w:pPr>
        <w:ind w:left="786" w:hanging="360"/>
      </w:pPr>
    </w:lvl>
    <w:lvl w:ilvl="2" w:tplc="CC00BE9C" w:tentative="1">
      <w:start w:val="1"/>
      <w:numFmt w:val="lowerRoman"/>
      <w:lvlText w:val="%3."/>
      <w:lvlJc w:val="right"/>
      <w:pPr>
        <w:ind w:left="2336" w:hanging="180"/>
      </w:pPr>
    </w:lvl>
    <w:lvl w:ilvl="3" w:tplc="03AE6F92" w:tentative="1">
      <w:start w:val="1"/>
      <w:numFmt w:val="decimal"/>
      <w:lvlText w:val="%4."/>
      <w:lvlJc w:val="left"/>
      <w:pPr>
        <w:ind w:left="3056" w:hanging="360"/>
      </w:pPr>
    </w:lvl>
    <w:lvl w:ilvl="4" w:tplc="D07E1676" w:tentative="1">
      <w:start w:val="1"/>
      <w:numFmt w:val="lowerLetter"/>
      <w:lvlText w:val="%5."/>
      <w:lvlJc w:val="left"/>
      <w:pPr>
        <w:ind w:left="3776" w:hanging="360"/>
      </w:pPr>
    </w:lvl>
    <w:lvl w:ilvl="5" w:tplc="0F1C0406" w:tentative="1">
      <w:start w:val="1"/>
      <w:numFmt w:val="lowerRoman"/>
      <w:lvlText w:val="%6."/>
      <w:lvlJc w:val="right"/>
      <w:pPr>
        <w:ind w:left="4496" w:hanging="180"/>
      </w:pPr>
    </w:lvl>
    <w:lvl w:ilvl="6" w:tplc="A906EBE2" w:tentative="1">
      <w:start w:val="1"/>
      <w:numFmt w:val="decimal"/>
      <w:lvlText w:val="%7."/>
      <w:lvlJc w:val="left"/>
      <w:pPr>
        <w:ind w:left="5216" w:hanging="360"/>
      </w:pPr>
    </w:lvl>
    <w:lvl w:ilvl="7" w:tplc="D22443FE" w:tentative="1">
      <w:start w:val="1"/>
      <w:numFmt w:val="lowerLetter"/>
      <w:lvlText w:val="%8."/>
      <w:lvlJc w:val="left"/>
      <w:pPr>
        <w:ind w:left="5936" w:hanging="360"/>
      </w:pPr>
    </w:lvl>
    <w:lvl w:ilvl="8" w:tplc="DB8C0F5E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7466DE3"/>
    <w:multiLevelType w:val="hybridMultilevel"/>
    <w:tmpl w:val="C264FEF0"/>
    <w:lvl w:ilvl="0" w:tplc="3C8422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FF0000"/>
      </w:rPr>
    </w:lvl>
    <w:lvl w:ilvl="1" w:tplc="A9F23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1244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4E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1D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CC5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41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CF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69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06B19"/>
    <w:multiLevelType w:val="hybridMultilevel"/>
    <w:tmpl w:val="DE88BE5C"/>
    <w:lvl w:ilvl="0" w:tplc="CAA49442">
      <w:start w:val="1"/>
      <w:numFmt w:val="decimal"/>
      <w:lvlText w:val="%1)"/>
      <w:lvlJc w:val="left"/>
      <w:pPr>
        <w:ind w:left="720" w:hanging="360"/>
      </w:pPr>
    </w:lvl>
    <w:lvl w:ilvl="1" w:tplc="4A480908" w:tentative="1">
      <w:start w:val="1"/>
      <w:numFmt w:val="lowerLetter"/>
      <w:lvlText w:val="%2."/>
      <w:lvlJc w:val="left"/>
      <w:pPr>
        <w:ind w:left="1440" w:hanging="360"/>
      </w:pPr>
    </w:lvl>
    <w:lvl w:ilvl="2" w:tplc="EDB6FA18" w:tentative="1">
      <w:start w:val="1"/>
      <w:numFmt w:val="lowerRoman"/>
      <w:lvlText w:val="%3."/>
      <w:lvlJc w:val="right"/>
      <w:pPr>
        <w:ind w:left="2160" w:hanging="180"/>
      </w:pPr>
    </w:lvl>
    <w:lvl w:ilvl="3" w:tplc="104487B4" w:tentative="1">
      <w:start w:val="1"/>
      <w:numFmt w:val="decimal"/>
      <w:lvlText w:val="%4."/>
      <w:lvlJc w:val="left"/>
      <w:pPr>
        <w:ind w:left="2880" w:hanging="360"/>
      </w:pPr>
    </w:lvl>
    <w:lvl w:ilvl="4" w:tplc="84E84ED6" w:tentative="1">
      <w:start w:val="1"/>
      <w:numFmt w:val="lowerLetter"/>
      <w:lvlText w:val="%5."/>
      <w:lvlJc w:val="left"/>
      <w:pPr>
        <w:ind w:left="3600" w:hanging="360"/>
      </w:pPr>
    </w:lvl>
    <w:lvl w:ilvl="5" w:tplc="E7B0F8FA" w:tentative="1">
      <w:start w:val="1"/>
      <w:numFmt w:val="lowerRoman"/>
      <w:lvlText w:val="%6."/>
      <w:lvlJc w:val="right"/>
      <w:pPr>
        <w:ind w:left="4320" w:hanging="180"/>
      </w:pPr>
    </w:lvl>
    <w:lvl w:ilvl="6" w:tplc="1F9ABA8C" w:tentative="1">
      <w:start w:val="1"/>
      <w:numFmt w:val="decimal"/>
      <w:lvlText w:val="%7."/>
      <w:lvlJc w:val="left"/>
      <w:pPr>
        <w:ind w:left="5040" w:hanging="360"/>
      </w:pPr>
    </w:lvl>
    <w:lvl w:ilvl="7" w:tplc="0CC2B836" w:tentative="1">
      <w:start w:val="1"/>
      <w:numFmt w:val="lowerLetter"/>
      <w:lvlText w:val="%8."/>
      <w:lvlJc w:val="left"/>
      <w:pPr>
        <w:ind w:left="5760" w:hanging="360"/>
      </w:pPr>
    </w:lvl>
    <w:lvl w:ilvl="8" w:tplc="9C329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01563"/>
    <w:multiLevelType w:val="hybridMultilevel"/>
    <w:tmpl w:val="B650AD6C"/>
    <w:lvl w:ilvl="0" w:tplc="F4EED564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F5963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BAF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E9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29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440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EE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E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22DA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97C58"/>
    <w:multiLevelType w:val="hybridMultilevel"/>
    <w:tmpl w:val="5030D9FA"/>
    <w:lvl w:ilvl="0" w:tplc="8D546E42">
      <w:start w:val="1"/>
      <w:numFmt w:val="decimal"/>
      <w:lvlText w:val="%1)"/>
      <w:lvlJc w:val="left"/>
      <w:pPr>
        <w:ind w:left="360" w:hanging="360"/>
      </w:pPr>
    </w:lvl>
    <w:lvl w:ilvl="1" w:tplc="56FC60CE" w:tentative="1">
      <w:start w:val="1"/>
      <w:numFmt w:val="lowerLetter"/>
      <w:lvlText w:val="%2."/>
      <w:lvlJc w:val="left"/>
      <w:pPr>
        <w:ind w:left="1080" w:hanging="360"/>
      </w:pPr>
    </w:lvl>
    <w:lvl w:ilvl="2" w:tplc="28FCD9C4" w:tentative="1">
      <w:start w:val="1"/>
      <w:numFmt w:val="lowerRoman"/>
      <w:lvlText w:val="%3."/>
      <w:lvlJc w:val="right"/>
      <w:pPr>
        <w:ind w:left="1800" w:hanging="180"/>
      </w:pPr>
    </w:lvl>
    <w:lvl w:ilvl="3" w:tplc="B13E41EA" w:tentative="1">
      <w:start w:val="1"/>
      <w:numFmt w:val="decimal"/>
      <w:lvlText w:val="%4."/>
      <w:lvlJc w:val="left"/>
      <w:pPr>
        <w:ind w:left="2520" w:hanging="360"/>
      </w:pPr>
    </w:lvl>
    <w:lvl w:ilvl="4" w:tplc="10FCFC82" w:tentative="1">
      <w:start w:val="1"/>
      <w:numFmt w:val="lowerLetter"/>
      <w:lvlText w:val="%5."/>
      <w:lvlJc w:val="left"/>
      <w:pPr>
        <w:ind w:left="3240" w:hanging="360"/>
      </w:pPr>
    </w:lvl>
    <w:lvl w:ilvl="5" w:tplc="AE9AD34A" w:tentative="1">
      <w:start w:val="1"/>
      <w:numFmt w:val="lowerRoman"/>
      <w:lvlText w:val="%6."/>
      <w:lvlJc w:val="right"/>
      <w:pPr>
        <w:ind w:left="3960" w:hanging="180"/>
      </w:pPr>
    </w:lvl>
    <w:lvl w:ilvl="6" w:tplc="601697DC" w:tentative="1">
      <w:start w:val="1"/>
      <w:numFmt w:val="decimal"/>
      <w:lvlText w:val="%7."/>
      <w:lvlJc w:val="left"/>
      <w:pPr>
        <w:ind w:left="4680" w:hanging="360"/>
      </w:pPr>
    </w:lvl>
    <w:lvl w:ilvl="7" w:tplc="76D06D2E" w:tentative="1">
      <w:start w:val="1"/>
      <w:numFmt w:val="lowerLetter"/>
      <w:lvlText w:val="%8."/>
      <w:lvlJc w:val="left"/>
      <w:pPr>
        <w:ind w:left="5400" w:hanging="360"/>
      </w:pPr>
    </w:lvl>
    <w:lvl w:ilvl="8" w:tplc="DE2268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B6145B"/>
    <w:multiLevelType w:val="hybridMultilevel"/>
    <w:tmpl w:val="1EECAB3E"/>
    <w:lvl w:ilvl="0" w:tplc="70A008B8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D460F1E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B29C9E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8A8C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6E70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94F4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80BF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1CD2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EC13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ED"/>
    <w:rsid w:val="000502A1"/>
    <w:rsid w:val="000D4A81"/>
    <w:rsid w:val="00317DED"/>
    <w:rsid w:val="00391C7A"/>
    <w:rsid w:val="008B1D6D"/>
    <w:rsid w:val="00D0088C"/>
    <w:rsid w:val="00F0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A1F11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paragraph" w:customStyle="1" w:styleId="ZPKTzmpktartykuempunktem">
    <w:name w:val="Z/PKT – zm. pkt artykułem (punktem)"/>
    <w:basedOn w:val="Normalny"/>
    <w:link w:val="ZPKTzmpktartykuempunktemZnak"/>
    <w:uiPriority w:val="31"/>
    <w:qFormat/>
    <w:rsid w:val="00CA48D2"/>
    <w:pPr>
      <w:spacing w:line="360" w:lineRule="auto"/>
      <w:ind w:left="1020" w:hanging="510"/>
      <w:jc w:val="both"/>
    </w:pPr>
    <w:rPr>
      <w:rFonts w:ascii="Times" w:hAnsi="Times"/>
      <w:bCs/>
      <w:szCs w:val="20"/>
    </w:rPr>
  </w:style>
  <w:style w:type="character" w:customStyle="1" w:styleId="ZPKTzmpktartykuempunktemZnak">
    <w:name w:val="Z/PKT – zm. pkt artykułem (punktem) Znak"/>
    <w:link w:val="ZPKTzmpktartykuempunktem"/>
    <w:uiPriority w:val="31"/>
    <w:rsid w:val="00CA48D2"/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65F31-547B-43D8-9C2B-62BF415A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2020-09-14T11:25:00Z</dcterms:created>
  <dcterms:modified xsi:type="dcterms:W3CDTF">2020-09-14T11:25:00Z</dcterms:modified>
</cp:coreProperties>
</file>