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3851" w14:textId="7E3163A4" w:rsidR="00021A18" w:rsidRPr="00D072D6" w:rsidRDefault="00DF4527" w:rsidP="00062B92">
      <w:pPr>
        <w:pStyle w:val="Bezodstpw"/>
        <w:spacing w:line="276" w:lineRule="auto"/>
        <w:jc w:val="center"/>
        <w:rPr>
          <w:rFonts w:ascii="Times New Roman" w:hAnsi="Times New Roman" w:cs="Times New Roman"/>
          <w:b/>
          <w:bCs/>
        </w:rPr>
      </w:pPr>
      <w:r w:rsidRPr="00D072D6">
        <w:rPr>
          <w:rFonts w:ascii="Times New Roman" w:hAnsi="Times New Roman" w:cs="Times New Roman"/>
          <w:b/>
          <w:bCs/>
        </w:rPr>
        <w:t>Tabela uwag z</w:t>
      </w:r>
      <w:r w:rsidR="00110686" w:rsidRPr="00D072D6">
        <w:rPr>
          <w:rFonts w:ascii="Times New Roman" w:hAnsi="Times New Roman" w:cs="Times New Roman"/>
          <w:b/>
          <w:bCs/>
        </w:rPr>
        <w:t>głoszonych w ramach</w:t>
      </w:r>
      <w:r w:rsidRPr="00D072D6">
        <w:rPr>
          <w:rFonts w:ascii="Times New Roman" w:hAnsi="Times New Roman" w:cs="Times New Roman"/>
          <w:b/>
          <w:bCs/>
        </w:rPr>
        <w:t xml:space="preserve"> </w:t>
      </w:r>
      <w:r w:rsidR="008347E5" w:rsidRPr="00D072D6">
        <w:rPr>
          <w:rFonts w:ascii="Times New Roman" w:hAnsi="Times New Roman" w:cs="Times New Roman"/>
          <w:b/>
          <w:bCs/>
        </w:rPr>
        <w:t>konsultacji publicznych</w:t>
      </w:r>
      <w:r w:rsidR="00396DAE" w:rsidRPr="00D072D6">
        <w:rPr>
          <w:rFonts w:ascii="Times New Roman" w:hAnsi="Times New Roman" w:cs="Times New Roman"/>
          <w:b/>
          <w:bCs/>
        </w:rPr>
        <w:t xml:space="preserve"> </w:t>
      </w:r>
      <w:r w:rsidRPr="00D072D6">
        <w:rPr>
          <w:rFonts w:ascii="Times New Roman" w:hAnsi="Times New Roman" w:cs="Times New Roman"/>
          <w:b/>
          <w:bCs/>
        </w:rPr>
        <w:t xml:space="preserve">projektu rozporządzenia </w:t>
      </w:r>
      <w:bookmarkStart w:id="0" w:name="bookmark1"/>
      <w:r w:rsidR="00A15263" w:rsidRPr="00D072D6">
        <w:rPr>
          <w:rFonts w:ascii="Times New Roman" w:hAnsi="Times New Roman" w:cs="Times New Roman"/>
          <w:b/>
          <w:bCs/>
        </w:rPr>
        <w:t xml:space="preserve">Rady Ministrów w sprawie </w:t>
      </w:r>
      <w:bookmarkEnd w:id="0"/>
      <w:r w:rsidR="00A15263" w:rsidRPr="00D072D6">
        <w:rPr>
          <w:rFonts w:ascii="Times New Roman" w:hAnsi="Times New Roman" w:cs="Times New Roman"/>
          <w:b/>
          <w:bCs/>
        </w:rPr>
        <w:t xml:space="preserve">zapewnienia przez przedsiębiorcę telekomunikacyjnego warunków dostępu i utrwalania oraz przygotowania technicznych i organizacyjnych warunków udostępniania danych </w:t>
      </w:r>
      <w:r w:rsidR="00D17F79" w:rsidRPr="00D072D6">
        <w:rPr>
          <w:rFonts w:ascii="Times New Roman" w:hAnsi="Times New Roman" w:cs="Times New Roman"/>
          <w:b/>
          <w:bCs/>
        </w:rPr>
        <w:t>(</w:t>
      </w:r>
      <w:r w:rsidR="00A15263" w:rsidRPr="00D072D6">
        <w:rPr>
          <w:rFonts w:ascii="Times New Roman" w:hAnsi="Times New Roman" w:cs="Times New Roman"/>
          <w:b/>
          <w:bCs/>
        </w:rPr>
        <w:t>RD217</w:t>
      </w:r>
      <w:r w:rsidR="00D17F79" w:rsidRPr="00D072D6">
        <w:rPr>
          <w:rFonts w:ascii="Times New Roman" w:hAnsi="Times New Roman" w:cs="Times New Roman"/>
          <w:b/>
          <w:bCs/>
        </w:rPr>
        <w:t>)</w:t>
      </w:r>
    </w:p>
    <w:p w14:paraId="4B2CD379" w14:textId="77777777" w:rsidR="00DF4527" w:rsidRPr="00D072D6" w:rsidRDefault="00DF4527" w:rsidP="00DF4527">
      <w:pPr>
        <w:pStyle w:val="Bezodstpw"/>
        <w:spacing w:line="276" w:lineRule="auto"/>
        <w:jc w:val="center"/>
        <w:rPr>
          <w:rFonts w:ascii="Times New Roman" w:hAnsi="Times New Roman" w:cs="Times New Roman"/>
          <w:b/>
          <w:bCs/>
        </w:rPr>
      </w:pPr>
    </w:p>
    <w:tbl>
      <w:tblPr>
        <w:tblStyle w:val="Tabela-Siatka"/>
        <w:tblW w:w="15163" w:type="dxa"/>
        <w:tblLook w:val="04A0" w:firstRow="1" w:lastRow="0" w:firstColumn="1" w:lastColumn="0" w:noHBand="0" w:noVBand="1"/>
      </w:tblPr>
      <w:tblGrid>
        <w:gridCol w:w="596"/>
        <w:gridCol w:w="1560"/>
        <w:gridCol w:w="1785"/>
        <w:gridCol w:w="7052"/>
        <w:gridCol w:w="4170"/>
      </w:tblGrid>
      <w:tr w:rsidR="006F492C" w:rsidRPr="00D072D6" w14:paraId="35087CD2" w14:textId="77777777" w:rsidTr="00654898">
        <w:trPr>
          <w:cantSplit/>
          <w:trHeight w:val="840"/>
        </w:trPr>
        <w:tc>
          <w:tcPr>
            <w:tcW w:w="594" w:type="dxa"/>
            <w:tcBorders>
              <w:bottom w:val="single" w:sz="4" w:space="0" w:color="auto"/>
            </w:tcBorders>
            <w:shd w:val="clear" w:color="auto" w:fill="D9D9D9" w:themeFill="background1" w:themeFillShade="D9"/>
            <w:vAlign w:val="center"/>
          </w:tcPr>
          <w:p w14:paraId="40DC3DC8" w14:textId="27CBB89A" w:rsidR="00DF4527" w:rsidRPr="00D072D6" w:rsidRDefault="009753A3" w:rsidP="00654898">
            <w:pPr>
              <w:pStyle w:val="Bezodstpw"/>
              <w:jc w:val="center"/>
              <w:rPr>
                <w:rFonts w:ascii="Times New Roman" w:hAnsi="Times New Roman" w:cs="Times New Roman"/>
              </w:rPr>
            </w:pPr>
            <w:r w:rsidRPr="00D072D6">
              <w:rPr>
                <w:rFonts w:ascii="Times New Roman" w:hAnsi="Times New Roman" w:cs="Times New Roman"/>
                <w:b/>
              </w:rPr>
              <w:t>L.p.</w:t>
            </w:r>
          </w:p>
        </w:tc>
        <w:tc>
          <w:tcPr>
            <w:tcW w:w="1400" w:type="dxa"/>
            <w:tcBorders>
              <w:bottom w:val="single" w:sz="4" w:space="0" w:color="auto"/>
            </w:tcBorders>
            <w:shd w:val="clear" w:color="auto" w:fill="D9D9D9" w:themeFill="background1" w:themeFillShade="D9"/>
            <w:vAlign w:val="center"/>
          </w:tcPr>
          <w:p w14:paraId="5C3AEFCE" w14:textId="246D43B8" w:rsidR="00DF4527" w:rsidRPr="00D072D6" w:rsidRDefault="009753A3" w:rsidP="00822E68">
            <w:pPr>
              <w:pStyle w:val="Bezodstpw"/>
              <w:jc w:val="center"/>
              <w:rPr>
                <w:rFonts w:ascii="Times New Roman" w:hAnsi="Times New Roman" w:cs="Times New Roman"/>
              </w:rPr>
            </w:pPr>
            <w:r w:rsidRPr="00D072D6">
              <w:rPr>
                <w:rFonts w:ascii="Times New Roman" w:hAnsi="Times New Roman" w:cs="Times New Roman"/>
                <w:b/>
              </w:rPr>
              <w:t>Jednostka redakcyjna projektu</w:t>
            </w:r>
          </w:p>
        </w:tc>
        <w:tc>
          <w:tcPr>
            <w:tcW w:w="1669" w:type="dxa"/>
            <w:tcBorders>
              <w:bottom w:val="single" w:sz="4" w:space="0" w:color="auto"/>
            </w:tcBorders>
            <w:shd w:val="clear" w:color="auto" w:fill="D9D9D9" w:themeFill="background1" w:themeFillShade="D9"/>
            <w:vAlign w:val="center"/>
          </w:tcPr>
          <w:p w14:paraId="5C0E9CFB" w14:textId="45DC01C4" w:rsidR="00DF4527" w:rsidRPr="00D072D6" w:rsidRDefault="00110686" w:rsidP="00822E68">
            <w:pPr>
              <w:pStyle w:val="Bezodstpw"/>
              <w:jc w:val="center"/>
              <w:rPr>
                <w:rFonts w:ascii="Times New Roman" w:hAnsi="Times New Roman" w:cs="Times New Roman"/>
              </w:rPr>
            </w:pPr>
            <w:r w:rsidRPr="00D072D6">
              <w:rPr>
                <w:rFonts w:ascii="Times New Roman" w:hAnsi="Times New Roman" w:cs="Times New Roman"/>
                <w:b/>
              </w:rPr>
              <w:t>Podmiot z</w:t>
            </w:r>
            <w:r w:rsidR="009753A3" w:rsidRPr="00D072D6">
              <w:rPr>
                <w:rFonts w:ascii="Times New Roman" w:hAnsi="Times New Roman" w:cs="Times New Roman"/>
                <w:b/>
              </w:rPr>
              <w:t>głaszający</w:t>
            </w:r>
          </w:p>
        </w:tc>
        <w:tc>
          <w:tcPr>
            <w:tcW w:w="7105" w:type="dxa"/>
            <w:tcBorders>
              <w:bottom w:val="single" w:sz="4" w:space="0" w:color="auto"/>
            </w:tcBorders>
            <w:shd w:val="clear" w:color="auto" w:fill="D9D9D9" w:themeFill="background1" w:themeFillShade="D9"/>
            <w:vAlign w:val="center"/>
          </w:tcPr>
          <w:p w14:paraId="37A93FA5" w14:textId="0EBA8F04" w:rsidR="00DF4527" w:rsidRPr="00D072D6" w:rsidRDefault="009753A3" w:rsidP="00822E68">
            <w:pPr>
              <w:pStyle w:val="Bezodstpw"/>
              <w:jc w:val="center"/>
              <w:rPr>
                <w:rFonts w:ascii="Times New Roman" w:hAnsi="Times New Roman" w:cs="Times New Roman"/>
              </w:rPr>
            </w:pPr>
            <w:r w:rsidRPr="00D072D6">
              <w:rPr>
                <w:rFonts w:ascii="Times New Roman" w:hAnsi="Times New Roman" w:cs="Times New Roman"/>
                <w:b/>
              </w:rPr>
              <w:t>Treść uwagi</w:t>
            </w:r>
          </w:p>
        </w:tc>
        <w:tc>
          <w:tcPr>
            <w:tcW w:w="4395" w:type="dxa"/>
            <w:tcBorders>
              <w:bottom w:val="single" w:sz="4" w:space="0" w:color="auto"/>
            </w:tcBorders>
            <w:shd w:val="clear" w:color="auto" w:fill="D9D9D9" w:themeFill="background1" w:themeFillShade="D9"/>
            <w:vAlign w:val="center"/>
          </w:tcPr>
          <w:p w14:paraId="72FB7D72" w14:textId="243C8A95" w:rsidR="00DF4527" w:rsidRPr="00D072D6" w:rsidRDefault="009753A3" w:rsidP="00654898">
            <w:pPr>
              <w:pStyle w:val="Bezodstpw"/>
              <w:jc w:val="center"/>
              <w:rPr>
                <w:rFonts w:ascii="Times New Roman" w:hAnsi="Times New Roman" w:cs="Times New Roman"/>
              </w:rPr>
            </w:pPr>
            <w:r w:rsidRPr="00D072D6">
              <w:rPr>
                <w:rFonts w:ascii="Times New Roman" w:hAnsi="Times New Roman" w:cs="Times New Roman"/>
                <w:b/>
              </w:rPr>
              <w:t>Stanowisko M</w:t>
            </w:r>
            <w:r w:rsidR="00110686" w:rsidRPr="00D072D6">
              <w:rPr>
                <w:rFonts w:ascii="Times New Roman" w:hAnsi="Times New Roman" w:cs="Times New Roman"/>
                <w:b/>
              </w:rPr>
              <w:t>inistra Cyfryzacji</w:t>
            </w:r>
          </w:p>
        </w:tc>
      </w:tr>
      <w:tr w:rsidR="00396DAE" w:rsidRPr="00D072D6" w14:paraId="1D586EC5" w14:textId="77777777" w:rsidTr="00654898">
        <w:trPr>
          <w:cantSplit/>
        </w:trPr>
        <w:tc>
          <w:tcPr>
            <w:tcW w:w="15163" w:type="dxa"/>
            <w:gridSpan w:val="5"/>
            <w:shd w:val="pct10" w:color="auto" w:fill="auto"/>
          </w:tcPr>
          <w:p w14:paraId="1DA6A6C4" w14:textId="4E65B30B" w:rsidR="00396DAE" w:rsidRPr="00D072D6" w:rsidRDefault="00396DAE" w:rsidP="00654898">
            <w:pPr>
              <w:jc w:val="center"/>
              <w:rPr>
                <w:b/>
                <w:bCs/>
                <w:sz w:val="22"/>
                <w:szCs w:val="22"/>
                <w:highlight w:val="green"/>
              </w:rPr>
            </w:pPr>
            <w:r w:rsidRPr="00D072D6">
              <w:rPr>
                <w:b/>
                <w:bCs/>
                <w:sz w:val="22"/>
                <w:szCs w:val="22"/>
              </w:rPr>
              <w:t>UWAGI OGÓLNE DO PROJEKTU</w:t>
            </w:r>
          </w:p>
        </w:tc>
      </w:tr>
      <w:tr w:rsidR="00A110D8" w:rsidRPr="00D072D6" w14:paraId="04AFFE4E" w14:textId="77777777" w:rsidTr="00654898">
        <w:tc>
          <w:tcPr>
            <w:tcW w:w="594" w:type="dxa"/>
            <w:tcBorders>
              <w:bottom w:val="single" w:sz="4" w:space="0" w:color="auto"/>
            </w:tcBorders>
          </w:tcPr>
          <w:p w14:paraId="293418A1" w14:textId="77777777" w:rsidR="00A110D8" w:rsidRPr="00D072D6" w:rsidRDefault="00A110D8"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shd w:val="pct5" w:color="auto" w:fill="auto"/>
            <w:vAlign w:val="center"/>
          </w:tcPr>
          <w:p w14:paraId="4EA1AEE1" w14:textId="77777777" w:rsidR="00A110D8" w:rsidRPr="00D072D6" w:rsidRDefault="00A110D8" w:rsidP="0099273F">
            <w:pPr>
              <w:pStyle w:val="Bezodstpw"/>
              <w:jc w:val="center"/>
              <w:rPr>
                <w:rFonts w:ascii="Times New Roman" w:hAnsi="Times New Roman" w:cs="Times New Roman"/>
              </w:rPr>
            </w:pPr>
          </w:p>
        </w:tc>
        <w:tc>
          <w:tcPr>
            <w:tcW w:w="1669" w:type="dxa"/>
            <w:tcBorders>
              <w:bottom w:val="single" w:sz="4" w:space="0" w:color="auto"/>
            </w:tcBorders>
          </w:tcPr>
          <w:p w14:paraId="2BBED823" w14:textId="1438EC06" w:rsidR="00A110D8" w:rsidRPr="00D072D6" w:rsidRDefault="00A110D8" w:rsidP="00BE1830">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0F295045" w14:textId="77777777" w:rsidR="00A110D8" w:rsidRPr="00D072D6" w:rsidRDefault="00A110D8" w:rsidP="00654898">
            <w:pPr>
              <w:jc w:val="both"/>
              <w:rPr>
                <w:sz w:val="22"/>
                <w:szCs w:val="22"/>
              </w:rPr>
            </w:pPr>
            <w:r w:rsidRPr="00D072D6">
              <w:rPr>
                <w:sz w:val="22"/>
                <w:szCs w:val="22"/>
              </w:rPr>
              <w:t>Ponadto wskazane jest wziąć pod uwagę już istniejące i obowiązujące akty prawne regulujące podobne zagadnienia, to znaczy art. 218, 218a ustawy z dnia 6 czerwca 1997 r. Kodeks postępowania karnego (KPK) oraz rozporządzenie Ministra Sprawiedliwości wydanego na podstawie delegacji ustawowej zawartej w art. 218b KPK, a także art. 237 – 241 KPK oraz rozporządzenie Ministra Sprawiedliwości wydane na podstawie art. 242 KPK.</w:t>
            </w:r>
          </w:p>
          <w:p w14:paraId="3EF91DD7" w14:textId="4C106F4D" w:rsidR="00A110D8" w:rsidRPr="00D072D6" w:rsidRDefault="00A110D8" w:rsidP="00654898">
            <w:pPr>
              <w:jc w:val="both"/>
              <w:rPr>
                <w:sz w:val="22"/>
                <w:szCs w:val="22"/>
              </w:rPr>
            </w:pPr>
            <w:r w:rsidRPr="00D072D6">
              <w:rPr>
                <w:sz w:val="22"/>
                <w:szCs w:val="22"/>
              </w:rPr>
              <w:t xml:space="preserve">Opiniowany projekt rozporządzenia nie dotyczy spraw określonych w KPK, jednak wymagania określone w ww. przepisach definiują poziom obowiązków, które przedsiębiorca telekomunikacyjny musi wykonać, a które są wspólne dla obowiązków wynikających z ustaw kompetencyjnych, KPK i PKE. Na przykład przepisy 237 – 241 oraz </w:t>
            </w:r>
            <w:r w:rsidRPr="00D072D6">
              <w:rPr>
                <w:b/>
                <w:bCs/>
                <w:sz w:val="22"/>
                <w:szCs w:val="22"/>
              </w:rPr>
              <w:t>rozporządzenie Ministra Sprawiedliwości wydane na podstawie art. 242 KPK zobowiązują przedsiębiorcę telekomunikacyjnego do zapewnienia warunków ochrony informacji niejawnych oznaczonych klauzulą co najmniej „ściśle tajne”, potwierdzone świadectwem bezpieczeństwa przemysłowego co najmniej II stopnia</w:t>
            </w:r>
            <w:r w:rsidRPr="00D072D6">
              <w:rPr>
                <w:sz w:val="22"/>
                <w:szCs w:val="22"/>
              </w:rPr>
              <w:t>.</w:t>
            </w:r>
          </w:p>
          <w:p w14:paraId="418522EB" w14:textId="77777777" w:rsidR="00A110D8" w:rsidRPr="00D072D6" w:rsidRDefault="00A110D8" w:rsidP="00654898">
            <w:pPr>
              <w:jc w:val="both"/>
              <w:rPr>
                <w:sz w:val="22"/>
                <w:szCs w:val="22"/>
              </w:rPr>
            </w:pPr>
            <w:r w:rsidRPr="00D072D6">
              <w:rPr>
                <w:sz w:val="22"/>
                <w:szCs w:val="22"/>
              </w:rPr>
              <w:t>Oznacza to, że obniżenie poziomu wymagań w opiniowanym projekcie rozporządzenia nie przyniesie oczekiwanego skutku, ponieważ przedsiębiorca telekomunikacyjny będzie musiał spełniać obowiązki na „najwyższym poziomie”.</w:t>
            </w:r>
          </w:p>
          <w:p w14:paraId="0353F4C9" w14:textId="77777777" w:rsidR="00A110D8" w:rsidRPr="00D072D6" w:rsidRDefault="00A110D8" w:rsidP="00654898">
            <w:pPr>
              <w:jc w:val="both"/>
              <w:rPr>
                <w:sz w:val="22"/>
                <w:szCs w:val="22"/>
              </w:rPr>
            </w:pPr>
            <w:r w:rsidRPr="00D072D6">
              <w:rPr>
                <w:sz w:val="22"/>
                <w:szCs w:val="22"/>
              </w:rPr>
              <w:t>Zaznaczyć należy, że informacje związane z prowadzeniem kontroli operacyjnej objęte są ochroną właściwą dla informacji niejawnych oznaczonych klauzulą „tajne” lub „ściśle tajne”.</w:t>
            </w:r>
          </w:p>
          <w:p w14:paraId="46E27CF0" w14:textId="77777777" w:rsidR="00A110D8" w:rsidRPr="00D072D6" w:rsidRDefault="00A110D8" w:rsidP="00654898">
            <w:pPr>
              <w:jc w:val="both"/>
              <w:rPr>
                <w:sz w:val="22"/>
                <w:szCs w:val="22"/>
              </w:rPr>
            </w:pPr>
            <w:r w:rsidRPr="00D072D6">
              <w:rPr>
                <w:sz w:val="22"/>
                <w:szCs w:val="22"/>
              </w:rPr>
              <w:t>Przyjmując zasadę, że podmioty uczestniczące w procesie przetwarzania informacji niejawnych powinny spełniać wymogi ochrony informacji niejawnych właściwe dla informacji o najwyższej klauzuli tajności, to przedsiębiorcy telekomunikacyjni powinni spełniać wymogi ochrony informacji niejawnych oznaczonych klauzulą „ściśle tajne” potwierdzone Świadectwem Bezpieczeństwa Przemysłowego co najmniej II stopnia.</w:t>
            </w:r>
          </w:p>
          <w:p w14:paraId="4D5A60B7" w14:textId="77777777" w:rsidR="00A110D8" w:rsidRPr="00D072D6" w:rsidRDefault="00A110D8" w:rsidP="00654898">
            <w:pPr>
              <w:jc w:val="both"/>
              <w:rPr>
                <w:sz w:val="22"/>
                <w:szCs w:val="22"/>
              </w:rPr>
            </w:pPr>
            <w:r w:rsidRPr="00D072D6">
              <w:rPr>
                <w:sz w:val="22"/>
                <w:szCs w:val="22"/>
              </w:rPr>
              <w:t>Potwierdzenie takiego poglądu znaleźć można w przepisach ustawy z dnia 5 sierpnia 2010 r. o ochronie informacji niejawnych.</w:t>
            </w:r>
          </w:p>
          <w:p w14:paraId="53768DDB" w14:textId="1F3D23A0" w:rsidR="008250C7" w:rsidRPr="00D072D6" w:rsidRDefault="008250C7" w:rsidP="00654898">
            <w:pPr>
              <w:jc w:val="both"/>
              <w:rPr>
                <w:sz w:val="22"/>
                <w:szCs w:val="22"/>
              </w:rPr>
            </w:pPr>
            <w:r w:rsidRPr="00D072D6">
              <w:rPr>
                <w:sz w:val="22"/>
                <w:szCs w:val="22"/>
              </w:rPr>
              <w:t xml:space="preserve">Niestety, co tłumaczy się zakresem upoważnienia zawartego w art. 46 ust. 1 ustawy PKE, rozporządzenie regulujące problematykę przygotowania przedsiębiorcy do wykonania obowiązku zapewnienia możliwości </w:t>
            </w:r>
            <w:r w:rsidRPr="00D072D6">
              <w:rPr>
                <w:sz w:val="22"/>
                <w:szCs w:val="22"/>
              </w:rPr>
              <w:lastRenderedPageBreak/>
              <w:t>przeprowadzenia podsłuchu przez uprawniony podmiot w czynnościach przedprocesowych nie uwzględnia regulacji zawartej w treści rozporządzenia Ministra Sprawiedliwości z dnia 24 czerwca 2003 r. w sprawie sposobu technicznego przygotowania sieci służących do przekazywania informacji, do kontroli przekazów informacji oraz sposobu dokonywania, rejestracji, przechowywania, odtwarzania i niszczenia zapisów z kontrolowanych przekazów. Z punktu widzenia przedsiębiorcy jest to dokładnie ta sama problematyka technicznie i organizacyjne. Rozumiejąc ograniczenia wynikające z treści delegacji ustawowej apelujemy o podjęcie próby ujednolicenia obowiązku przedsiębiorcy.</w:t>
            </w:r>
          </w:p>
        </w:tc>
        <w:tc>
          <w:tcPr>
            <w:tcW w:w="4395" w:type="dxa"/>
            <w:tcBorders>
              <w:bottom w:val="single" w:sz="4" w:space="0" w:color="auto"/>
            </w:tcBorders>
          </w:tcPr>
          <w:p w14:paraId="0CBBD2B0" w14:textId="3479E7B3" w:rsidR="00A110D8" w:rsidRPr="00D072D6" w:rsidRDefault="00FE2E25" w:rsidP="00654898">
            <w:pPr>
              <w:pStyle w:val="Bezodstpw"/>
              <w:jc w:val="both"/>
              <w:rPr>
                <w:rFonts w:ascii="Times New Roman" w:eastAsia="Times New Roman" w:hAnsi="Times New Roman" w:cs="Times New Roman"/>
                <w:b/>
                <w:bCs/>
                <w:lang w:eastAsia="pl-PL"/>
              </w:rPr>
            </w:pPr>
            <w:r w:rsidRPr="00D072D6">
              <w:rPr>
                <w:rFonts w:ascii="Times New Roman" w:eastAsia="Times New Roman" w:hAnsi="Times New Roman" w:cs="Times New Roman"/>
                <w:b/>
                <w:bCs/>
                <w:lang w:eastAsia="pl-PL"/>
              </w:rPr>
              <w:lastRenderedPageBreak/>
              <w:t>Wyjaśnienie</w:t>
            </w:r>
            <w:r w:rsidR="00654898" w:rsidRPr="00D072D6">
              <w:rPr>
                <w:rFonts w:ascii="Times New Roman" w:eastAsia="Times New Roman" w:hAnsi="Times New Roman" w:cs="Times New Roman"/>
                <w:b/>
                <w:bCs/>
                <w:lang w:eastAsia="pl-PL"/>
              </w:rPr>
              <w:t xml:space="preserve"> uwagi</w:t>
            </w:r>
          </w:p>
          <w:p w14:paraId="062CEDEB" w14:textId="4771399B" w:rsidR="008250C7" w:rsidRPr="00D072D6" w:rsidRDefault="00654898"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Projektodawca</w:t>
            </w:r>
            <w:r w:rsidR="0093636D" w:rsidRPr="00D072D6">
              <w:rPr>
                <w:rFonts w:ascii="Times New Roman" w:eastAsia="Times New Roman" w:hAnsi="Times New Roman" w:cs="Times New Roman"/>
                <w:lang w:eastAsia="pl-PL"/>
              </w:rPr>
              <w:t xml:space="preserve"> wystąpił do Ministerstwa Sprawiedliwości z pismem w sprawie podnoszonej przez KIGEiT</w:t>
            </w:r>
            <w:r w:rsidR="00D42D05" w:rsidRPr="00D072D6">
              <w:rPr>
                <w:rFonts w:ascii="Times New Roman" w:eastAsia="Times New Roman" w:hAnsi="Times New Roman" w:cs="Times New Roman"/>
                <w:lang w:eastAsia="pl-PL"/>
              </w:rPr>
              <w:t>.</w:t>
            </w:r>
          </w:p>
        </w:tc>
      </w:tr>
      <w:tr w:rsidR="00BE1830" w:rsidRPr="00D072D6" w14:paraId="0ABEC815" w14:textId="77777777" w:rsidTr="00654898">
        <w:tc>
          <w:tcPr>
            <w:tcW w:w="594" w:type="dxa"/>
            <w:tcBorders>
              <w:bottom w:val="single" w:sz="4" w:space="0" w:color="auto"/>
            </w:tcBorders>
          </w:tcPr>
          <w:p w14:paraId="526390C3" w14:textId="77777777" w:rsidR="00BE1830" w:rsidRPr="00D072D6" w:rsidRDefault="00BE183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shd w:val="pct5" w:color="auto" w:fill="auto"/>
            <w:vAlign w:val="center"/>
          </w:tcPr>
          <w:p w14:paraId="50B55D0F" w14:textId="77777777" w:rsidR="00BE1830" w:rsidRPr="00D072D6" w:rsidRDefault="00BE1830" w:rsidP="00BE1830">
            <w:pPr>
              <w:pStyle w:val="Bezodstpw"/>
              <w:jc w:val="center"/>
              <w:rPr>
                <w:rFonts w:ascii="Times New Roman" w:hAnsi="Times New Roman" w:cs="Times New Roman"/>
              </w:rPr>
            </w:pPr>
          </w:p>
        </w:tc>
        <w:tc>
          <w:tcPr>
            <w:tcW w:w="1669" w:type="dxa"/>
            <w:tcBorders>
              <w:bottom w:val="single" w:sz="4" w:space="0" w:color="auto"/>
            </w:tcBorders>
          </w:tcPr>
          <w:p w14:paraId="58BFE895" w14:textId="17B3DCD7" w:rsidR="00BE1830" w:rsidRPr="00D072D6" w:rsidRDefault="00BE1830" w:rsidP="00BE1830">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2213A01D" w14:textId="77777777" w:rsidR="00BE1830" w:rsidRPr="00D072D6" w:rsidRDefault="00BE1830" w:rsidP="00654898">
            <w:pPr>
              <w:jc w:val="both"/>
              <w:rPr>
                <w:sz w:val="22"/>
                <w:szCs w:val="22"/>
              </w:rPr>
            </w:pPr>
            <w:r w:rsidRPr="00D072D6">
              <w:rPr>
                <w:sz w:val="22"/>
                <w:szCs w:val="22"/>
              </w:rPr>
              <w:t>Projekt, z punktu widzenia przedsiębiorcy, zawiera korzystne rozwiązania w stosunku do treści obowiązującego przepisu z dnia 13 września 2005 roku, jednak powiela zawarty w obowiązującym rozporządzeniu bardzo istotny błąd. Mianowicie, nie uwzględnia w określaniu obciążeń przedsiębiorców stosowanych przez nich technologii telekomunikacyjnych tj. rodzajów sieci transmisyjnej, systemów komutacyjnych i urządzeń telekomunikacyjnych.</w:t>
            </w:r>
          </w:p>
          <w:p w14:paraId="65F237EC" w14:textId="77777777" w:rsidR="00BE1830" w:rsidRPr="00D072D6" w:rsidRDefault="00BE1830" w:rsidP="00654898">
            <w:pPr>
              <w:jc w:val="both"/>
              <w:rPr>
                <w:sz w:val="22"/>
                <w:szCs w:val="22"/>
              </w:rPr>
            </w:pPr>
            <w:r w:rsidRPr="00D072D6">
              <w:rPr>
                <w:sz w:val="22"/>
                <w:szCs w:val="22"/>
              </w:rPr>
              <w:t>Praktyka stosowania przepisów rozporządzenia z dnia 13 września 2005 roku (20 lat) uzasadnia wprowadzone w projektowanym rozporządzeniu różne sposoby zapewnienia warunków dostępu i utrwalania w zakresie komunikatów elektronicznych i danych, o których mowa w art. 43 ust. 1 pkt 1 ustawy, w zależności od wielkości przedsiębiorcy telekomunikacyjnego, przy czym pomija inne niezwykle istotne kryterium jakim jest technologia telekomunikacyjna.</w:t>
            </w:r>
          </w:p>
          <w:p w14:paraId="18584C34" w14:textId="5ADF338E" w:rsidR="00BE1830" w:rsidRPr="00D072D6" w:rsidRDefault="00BE1830" w:rsidP="00654898">
            <w:pPr>
              <w:jc w:val="both"/>
              <w:rPr>
                <w:sz w:val="22"/>
                <w:szCs w:val="22"/>
              </w:rPr>
            </w:pPr>
            <w:r w:rsidRPr="00D072D6">
              <w:rPr>
                <w:sz w:val="22"/>
                <w:szCs w:val="22"/>
              </w:rPr>
              <w:t>Według informacji prasowych, rocznie realizowanych jest około 5500 – 6000 „podsłuchów operacyjnych”. Znamy również z tych źródeł podział na poszczególne podmioty uprawnione. Ważne jest jednak z punktu widzenie przedmiotowego rozporządzenia jaki jest podział tej liczby podsłuchów z punktu widzenia technologii stosowanej w świadczeniu usług użytkownikom będącym podmiotem tych podsłuchów.</w:t>
            </w:r>
          </w:p>
          <w:p w14:paraId="0E7016D9" w14:textId="77777777" w:rsidR="00BE1830" w:rsidRPr="00D072D6" w:rsidRDefault="00BE1830" w:rsidP="00654898">
            <w:pPr>
              <w:jc w:val="both"/>
              <w:rPr>
                <w:sz w:val="22"/>
                <w:szCs w:val="22"/>
              </w:rPr>
            </w:pPr>
            <w:r w:rsidRPr="00D072D6">
              <w:rPr>
                <w:sz w:val="22"/>
                <w:szCs w:val="22"/>
              </w:rPr>
              <w:t>Kluczowym elementem jest tu, upraszczając, rodzaj sieci transmisyjnej. Można zaryzykować tezę, że 99% podsłuchów dotyczy tych użytkowników, którzy wykorzystują sieć komórkową w odróżnieniu od sieci stacjonarnej. Sieć komórkowa, poza niezwykle istotnym elementem w działaniach przestępców jakim jest mobilność użytkowanych urządzeń końcowych, daje dodatkową zaletę w postaci nieporównywalnej z siecią stacjonarną anonimowością.</w:t>
            </w:r>
          </w:p>
          <w:p w14:paraId="554A77B1" w14:textId="7D293FE5" w:rsidR="00BE1830" w:rsidRPr="00D072D6" w:rsidRDefault="00BE1830" w:rsidP="00654898">
            <w:pPr>
              <w:jc w:val="both"/>
              <w:rPr>
                <w:sz w:val="22"/>
                <w:szCs w:val="22"/>
              </w:rPr>
            </w:pPr>
            <w:r w:rsidRPr="00D072D6">
              <w:rPr>
                <w:sz w:val="22"/>
                <w:szCs w:val="22"/>
              </w:rPr>
              <w:t xml:space="preserve">Konkludując, słuszne złagodzenie obowiązków nakładanych na mikro i małych przedsiębiorców powinno objąć w takim samym stopniu przedsiębiorców świadczących usługi w oparciu o stacjonarną sieć telekomunikacyjną bez względu na wielkość tych przedsiębiorców. Ilość </w:t>
            </w:r>
            <w:r w:rsidRPr="00D072D6">
              <w:rPr>
                <w:sz w:val="22"/>
                <w:szCs w:val="22"/>
              </w:rPr>
              <w:lastRenderedPageBreak/>
              <w:t>zdarzeń w postaci zarządzania w tych sieciach kontroli operacyjnych jest proporcjonalnie znikoma a wręcz ma charakter incydentalny.</w:t>
            </w:r>
          </w:p>
        </w:tc>
        <w:tc>
          <w:tcPr>
            <w:tcW w:w="4395" w:type="dxa"/>
            <w:tcBorders>
              <w:bottom w:val="single" w:sz="4" w:space="0" w:color="auto"/>
            </w:tcBorders>
          </w:tcPr>
          <w:p w14:paraId="2B05E6F3" w14:textId="77777777" w:rsidR="00BE1830" w:rsidRPr="00D072D6" w:rsidRDefault="003279E2" w:rsidP="00654898">
            <w:pPr>
              <w:pStyle w:val="Bezodstpw"/>
              <w:jc w:val="both"/>
              <w:rPr>
                <w:rFonts w:ascii="Times New Roman" w:eastAsia="Times New Roman" w:hAnsi="Times New Roman" w:cs="Times New Roman"/>
                <w:b/>
                <w:bCs/>
                <w:lang w:eastAsia="pl-PL"/>
              </w:rPr>
            </w:pPr>
            <w:r w:rsidRPr="00D072D6">
              <w:rPr>
                <w:rFonts w:ascii="Times New Roman" w:eastAsia="Times New Roman" w:hAnsi="Times New Roman" w:cs="Times New Roman"/>
                <w:b/>
                <w:bCs/>
                <w:lang w:eastAsia="pl-PL"/>
              </w:rPr>
              <w:lastRenderedPageBreak/>
              <w:t>Uwaga częściowo uwzględniona</w:t>
            </w:r>
          </w:p>
          <w:p w14:paraId="1FA1D338" w14:textId="387C8500" w:rsidR="003279E2" w:rsidRPr="00D072D6" w:rsidRDefault="00066747"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W trakcie warsztatów </w:t>
            </w:r>
            <w:r w:rsidR="00FB158C" w:rsidRPr="00D072D6">
              <w:rPr>
                <w:rFonts w:ascii="Times New Roman" w:eastAsia="Times New Roman" w:hAnsi="Times New Roman" w:cs="Times New Roman"/>
                <w:lang w:eastAsia="pl-PL"/>
              </w:rPr>
              <w:t>z udziałem przedstawicieli uprawnionych podmiotów i</w:t>
            </w:r>
            <w:r w:rsidR="001E2CBD">
              <w:rPr>
                <w:rFonts w:ascii="Times New Roman" w:eastAsia="Times New Roman" w:hAnsi="Times New Roman" w:cs="Times New Roman"/>
                <w:lang w:eastAsia="pl-PL"/>
              </w:rPr>
              <w:t> </w:t>
            </w:r>
            <w:r w:rsidR="00FB158C" w:rsidRPr="00D072D6">
              <w:rPr>
                <w:rFonts w:ascii="Times New Roman" w:eastAsia="Times New Roman" w:hAnsi="Times New Roman" w:cs="Times New Roman"/>
                <w:lang w:eastAsia="pl-PL"/>
              </w:rPr>
              <w:t xml:space="preserve">przedsiębiorców telekomunikacyjnych </w:t>
            </w:r>
            <w:r w:rsidR="00C53128" w:rsidRPr="00D072D6">
              <w:rPr>
                <w:rFonts w:ascii="Times New Roman" w:eastAsia="Times New Roman" w:hAnsi="Times New Roman" w:cs="Times New Roman"/>
                <w:lang w:eastAsia="pl-PL"/>
              </w:rPr>
              <w:t xml:space="preserve">zorganizowanych przez projektodawcę </w:t>
            </w:r>
            <w:r w:rsidRPr="00D072D6">
              <w:rPr>
                <w:rFonts w:ascii="Times New Roman" w:eastAsia="Times New Roman" w:hAnsi="Times New Roman" w:cs="Times New Roman"/>
                <w:lang w:eastAsia="pl-PL"/>
              </w:rPr>
              <w:t>podjęto ustalenia o dalszych ułatwieniach dla dużych i średnich</w:t>
            </w:r>
            <w:r w:rsidR="00C53128" w:rsidRPr="00D072D6">
              <w:rPr>
                <w:rFonts w:ascii="Times New Roman" w:eastAsia="Times New Roman" w:hAnsi="Times New Roman" w:cs="Times New Roman"/>
                <w:lang w:eastAsia="pl-PL"/>
              </w:rPr>
              <w:t xml:space="preserve"> przedsiębiorców</w:t>
            </w:r>
            <w:r w:rsidRPr="00D072D6">
              <w:rPr>
                <w:rFonts w:ascii="Times New Roman" w:eastAsia="Times New Roman" w:hAnsi="Times New Roman" w:cs="Times New Roman"/>
                <w:lang w:eastAsia="pl-PL"/>
              </w:rPr>
              <w:t xml:space="preserve">. </w:t>
            </w:r>
            <w:r w:rsidR="00E430A2" w:rsidRPr="00D072D6">
              <w:rPr>
                <w:rFonts w:ascii="Times New Roman" w:eastAsia="Times New Roman" w:hAnsi="Times New Roman" w:cs="Times New Roman"/>
                <w:lang w:eastAsia="pl-PL"/>
              </w:rPr>
              <w:t xml:space="preserve">Zrezygnowano ze spełniania przez urządzenia przedsiębiorcy </w:t>
            </w:r>
            <w:r w:rsidR="006069B8" w:rsidRPr="00D072D6">
              <w:rPr>
                <w:rFonts w:ascii="Times New Roman" w:eastAsia="Times New Roman" w:hAnsi="Times New Roman" w:cs="Times New Roman"/>
                <w:lang w:eastAsia="pl-PL"/>
              </w:rPr>
              <w:t>wymogów z</w:t>
            </w:r>
            <w:r w:rsidR="001E2CBD">
              <w:rPr>
                <w:rFonts w:ascii="Times New Roman" w:eastAsia="Times New Roman" w:hAnsi="Times New Roman" w:cs="Times New Roman"/>
                <w:lang w:eastAsia="pl-PL"/>
              </w:rPr>
              <w:t> </w:t>
            </w:r>
            <w:r w:rsidR="006069B8" w:rsidRPr="00D072D6">
              <w:rPr>
                <w:rFonts w:ascii="Times New Roman" w:eastAsia="Times New Roman" w:hAnsi="Times New Roman" w:cs="Times New Roman"/>
                <w:lang w:eastAsia="pl-PL"/>
              </w:rPr>
              <w:t>ustawy</w:t>
            </w:r>
            <w:r w:rsidR="00E430A2" w:rsidRPr="00D072D6">
              <w:rPr>
                <w:rFonts w:ascii="Times New Roman" w:eastAsia="Times New Roman" w:hAnsi="Times New Roman" w:cs="Times New Roman"/>
                <w:lang w:eastAsia="pl-PL"/>
              </w:rPr>
              <w:t xml:space="preserve"> o ochronie informacji niejawnych (</w:t>
            </w:r>
            <w:r w:rsidR="00B36658" w:rsidRPr="00D072D6">
              <w:rPr>
                <w:rFonts w:ascii="Times New Roman" w:eastAsia="Times New Roman" w:hAnsi="Times New Roman" w:cs="Times New Roman"/>
                <w:lang w:eastAsia="pl-PL"/>
              </w:rPr>
              <w:t>w projekcie była uprzednio propozycja w</w:t>
            </w:r>
            <w:r w:rsidR="001E2CBD">
              <w:rPr>
                <w:rFonts w:ascii="Times New Roman" w:eastAsia="Times New Roman" w:hAnsi="Times New Roman" w:cs="Times New Roman"/>
                <w:lang w:eastAsia="pl-PL"/>
              </w:rPr>
              <w:t> </w:t>
            </w:r>
            <w:r w:rsidR="00B36658" w:rsidRPr="00D072D6">
              <w:rPr>
                <w:rFonts w:ascii="Times New Roman" w:eastAsia="Times New Roman" w:hAnsi="Times New Roman" w:cs="Times New Roman"/>
                <w:lang w:eastAsia="pl-PL"/>
              </w:rPr>
              <w:t>zakresie wymogów ochrony dla informacji o klauzuli „tajne</w:t>
            </w:r>
            <w:r w:rsidR="00E430A2" w:rsidRPr="00D072D6">
              <w:rPr>
                <w:rFonts w:ascii="Times New Roman" w:eastAsia="Times New Roman" w:hAnsi="Times New Roman" w:cs="Times New Roman"/>
                <w:lang w:eastAsia="pl-PL"/>
              </w:rPr>
              <w:t xml:space="preserve">), oraz z wymogu posiadania przez średnich przedsiębiorców świadectwa bezpieczeństwa przemysłowego </w:t>
            </w:r>
            <w:r w:rsidR="00B36658" w:rsidRPr="00D072D6">
              <w:rPr>
                <w:rFonts w:ascii="Times New Roman" w:eastAsia="Times New Roman" w:hAnsi="Times New Roman" w:cs="Times New Roman"/>
                <w:lang w:eastAsia="pl-PL"/>
              </w:rPr>
              <w:t>I</w:t>
            </w:r>
            <w:r w:rsidR="00E430A2" w:rsidRPr="00D072D6">
              <w:rPr>
                <w:rFonts w:ascii="Times New Roman" w:eastAsia="Times New Roman" w:hAnsi="Times New Roman" w:cs="Times New Roman"/>
                <w:lang w:eastAsia="pl-PL"/>
              </w:rPr>
              <w:t xml:space="preserve"> stopnia i</w:t>
            </w:r>
            <w:r w:rsidR="001E2CBD">
              <w:rPr>
                <w:rFonts w:ascii="Times New Roman" w:eastAsia="Times New Roman" w:hAnsi="Times New Roman" w:cs="Times New Roman"/>
                <w:lang w:eastAsia="pl-PL"/>
              </w:rPr>
              <w:t> </w:t>
            </w:r>
            <w:r w:rsidR="00E430A2" w:rsidRPr="00D072D6">
              <w:rPr>
                <w:rFonts w:ascii="Times New Roman" w:eastAsia="Times New Roman" w:hAnsi="Times New Roman" w:cs="Times New Roman"/>
                <w:lang w:eastAsia="pl-PL"/>
              </w:rPr>
              <w:t xml:space="preserve">obniżono je do </w:t>
            </w:r>
            <w:r w:rsidR="00B36658" w:rsidRPr="00D072D6">
              <w:rPr>
                <w:rFonts w:ascii="Times New Roman" w:eastAsia="Times New Roman" w:hAnsi="Times New Roman" w:cs="Times New Roman"/>
                <w:lang w:eastAsia="pl-PL"/>
              </w:rPr>
              <w:t>III</w:t>
            </w:r>
            <w:r w:rsidR="00E430A2" w:rsidRPr="00D072D6">
              <w:rPr>
                <w:rFonts w:ascii="Times New Roman" w:eastAsia="Times New Roman" w:hAnsi="Times New Roman" w:cs="Times New Roman"/>
                <w:lang w:eastAsia="pl-PL"/>
              </w:rPr>
              <w:t xml:space="preserve"> stopnia.</w:t>
            </w:r>
          </w:p>
          <w:p w14:paraId="5B2446CC" w14:textId="590EF6C5" w:rsidR="00E430A2" w:rsidRPr="00D072D6" w:rsidRDefault="00E430A2"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Powyższe zmiany znacznie zminimalizowały różnice pomiędzy mikro i</w:t>
            </w:r>
            <w:r w:rsidR="001E2CBD">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małymi przedsiębiorcami telekomunikacyjnymi świadczącymi usługi stacjonarne, a dużymi i średnimi przedsiębiorcami świadczącymi takie usługi.</w:t>
            </w:r>
          </w:p>
          <w:p w14:paraId="4E007524" w14:textId="77777777" w:rsidR="00E430A2" w:rsidRPr="00D072D6" w:rsidRDefault="00E430A2"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Należy również podkreślić, że liczba zapytań (podsłuchów) nie może być przesłanką do ograniczenia albo zwolnienia z obowiązków.</w:t>
            </w:r>
          </w:p>
          <w:p w14:paraId="24DE99CB" w14:textId="66F89B96" w:rsidR="00E430A2" w:rsidRPr="00D072D6" w:rsidRDefault="00E430A2"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Ponadto zgodnie z art. 50 </w:t>
            </w:r>
            <w:r w:rsidR="001F5E85" w:rsidRPr="00D072D6">
              <w:rPr>
                <w:rFonts w:ascii="Times New Roman" w:eastAsia="Times New Roman" w:hAnsi="Times New Roman" w:cs="Times New Roman"/>
                <w:lang w:eastAsia="pl-PL"/>
              </w:rPr>
              <w:t>PKE</w:t>
            </w:r>
            <w:r w:rsidRPr="00D072D6">
              <w:rPr>
                <w:rFonts w:ascii="Times New Roman" w:eastAsia="Times New Roman" w:hAnsi="Times New Roman" w:cs="Times New Roman"/>
                <w:lang w:eastAsia="pl-PL"/>
              </w:rPr>
              <w:t xml:space="preserve"> istnieje możliwość wspólnego wykonywania obowiązków </w:t>
            </w:r>
            <w:r w:rsidR="006556BD" w:rsidRPr="00D072D6">
              <w:rPr>
                <w:rFonts w:ascii="Times New Roman" w:eastAsia="Times New Roman" w:hAnsi="Times New Roman" w:cs="Times New Roman"/>
                <w:lang w:eastAsia="pl-PL"/>
              </w:rPr>
              <w:t>albo powierzenia ich realizacji w drodze umowy innemu przedsiębiorcy telekomunikacyjnemu.</w:t>
            </w:r>
          </w:p>
        </w:tc>
      </w:tr>
      <w:tr w:rsidR="00BA645E" w:rsidRPr="00D072D6" w14:paraId="581880DE" w14:textId="77777777" w:rsidTr="00654898">
        <w:tc>
          <w:tcPr>
            <w:tcW w:w="594" w:type="dxa"/>
            <w:tcBorders>
              <w:bottom w:val="single" w:sz="4" w:space="0" w:color="auto"/>
            </w:tcBorders>
          </w:tcPr>
          <w:p w14:paraId="38C119B9" w14:textId="77777777" w:rsidR="00BA645E" w:rsidRPr="00D072D6" w:rsidRDefault="00BA645E"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shd w:val="pct5" w:color="auto" w:fill="auto"/>
            <w:vAlign w:val="center"/>
          </w:tcPr>
          <w:p w14:paraId="6304A1D3" w14:textId="77777777" w:rsidR="00BA645E" w:rsidRPr="00D072D6" w:rsidRDefault="00BA645E" w:rsidP="00BE1830">
            <w:pPr>
              <w:pStyle w:val="Bezodstpw"/>
              <w:jc w:val="center"/>
              <w:rPr>
                <w:rFonts w:ascii="Times New Roman" w:hAnsi="Times New Roman" w:cs="Times New Roman"/>
              </w:rPr>
            </w:pPr>
          </w:p>
        </w:tc>
        <w:tc>
          <w:tcPr>
            <w:tcW w:w="1669" w:type="dxa"/>
            <w:tcBorders>
              <w:bottom w:val="single" w:sz="4" w:space="0" w:color="auto"/>
            </w:tcBorders>
          </w:tcPr>
          <w:p w14:paraId="43C110C4" w14:textId="29FF4EB2" w:rsidR="00BA645E" w:rsidRPr="00D072D6" w:rsidRDefault="00BA645E" w:rsidP="00BE1830">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3F14A6E1" w14:textId="3FC9AFB1" w:rsidR="00BA645E" w:rsidRPr="00D072D6" w:rsidRDefault="00BA645E" w:rsidP="00654898">
            <w:pPr>
              <w:jc w:val="both"/>
              <w:rPr>
                <w:sz w:val="22"/>
                <w:szCs w:val="22"/>
              </w:rPr>
            </w:pPr>
            <w:r w:rsidRPr="00D072D6">
              <w:rPr>
                <w:sz w:val="22"/>
                <w:szCs w:val="22"/>
              </w:rPr>
              <w:t>… zarówno warunki dostępu i utrwalania, o których mowa w art. 43 ust. 1 PKE jak również, techniczne i organizacyjne warunki udostępniania danych zgodnie z art. 45 ust. 1 PKE są określone w porozumieniach zawartych przez uprawnione podmioty z przedsiębiorcami telekomunikacyjnymi. Porozumienia te określają w szczególności sposób działania i komunikacji systemów teleinformatycznych i interfejsów wykorzystywanych przez zarówno przedsiębiorców telekomunikacyjnych oraz podmioty uprawnione zgodnie z wymaganiami określonymi w ustawie Prawo telekomunikacyjne oraz dotychczas obowiązujących rozporządzeniach. Kluczowe zatem w ocenie Izby jest zapewnienie w toku prac nad ww. projektami rozporządzeń, aby funkcjonujące w chwili obecnej zasady realizacji obowiązków określonych w art. 43 ust. 1 oraz art. 45 ust. 1 PKE, jak również wykorzystywane w tym celu systemy teleinformatyczne mogły być w dalszym ciągu wykorzystywane. Jest to w ocenie Izby warunkiem ciągłości realizacji obowiązków dot. bezpieczeństwa państwa oraz bezpieczeństwa i porządku publicznego.</w:t>
            </w:r>
          </w:p>
          <w:p w14:paraId="60AD055E" w14:textId="4BF77AC9" w:rsidR="00BA645E" w:rsidRPr="00D072D6" w:rsidRDefault="00BA645E" w:rsidP="00654898">
            <w:pPr>
              <w:jc w:val="both"/>
              <w:rPr>
                <w:sz w:val="22"/>
                <w:szCs w:val="22"/>
              </w:rPr>
            </w:pPr>
            <w:r w:rsidRPr="00D072D6">
              <w:rPr>
                <w:sz w:val="22"/>
                <w:szCs w:val="22"/>
              </w:rPr>
              <w:t>Należy w szczególności wziąć pod uwagę, że systemy teleinformatyczne, w których są przetwarzane informacje niejawne, podlegają obowiązkowej certyfikacji bezpieczeństwa teleinformatycznego. Sam proces akredytacji przez organy uprawnione tj. Agencję Bezpieczeństwa Wewnętrznego jest procesem czasochłonnym i wymagającym szeregu uzgodnień pomiędzy przedsiębiorcą telekomunikacyjnym i organem uprawnionym. Konieczność wdrażania nowych systemów teleinformatycznych na skutek projektowanych zmian, z jednej strony w ocenie Izby mogłaby prowadzić do ponoszenia nieadekwatnych  do celów nakładów ze strony uprawnionych podmiotów oraz przedsiębiorców telekomunikacyjnych, z drugiej zaś wiązałaby się z koniecznością czasochłonnego procesu wdrożenia uwzględniającego realizację obowiązków wynikających m.in. z przepisów ustawy o ochronie informacji niejawnych.</w:t>
            </w:r>
          </w:p>
        </w:tc>
        <w:tc>
          <w:tcPr>
            <w:tcW w:w="4395" w:type="dxa"/>
            <w:tcBorders>
              <w:bottom w:val="single" w:sz="4" w:space="0" w:color="auto"/>
            </w:tcBorders>
          </w:tcPr>
          <w:p w14:paraId="17A25BEF" w14:textId="24C178A0" w:rsidR="000D0FE3" w:rsidRPr="00D072D6" w:rsidRDefault="000D0FE3" w:rsidP="00654898">
            <w:pPr>
              <w:pStyle w:val="Bezodstpw"/>
              <w:jc w:val="both"/>
              <w:rPr>
                <w:rFonts w:ascii="Times New Roman" w:eastAsia="Times New Roman" w:hAnsi="Times New Roman" w:cs="Times New Roman"/>
                <w:b/>
                <w:bCs/>
                <w:lang w:eastAsia="pl-PL"/>
              </w:rPr>
            </w:pPr>
            <w:r w:rsidRPr="00D072D6">
              <w:rPr>
                <w:rFonts w:ascii="Times New Roman" w:eastAsia="Times New Roman" w:hAnsi="Times New Roman" w:cs="Times New Roman"/>
                <w:b/>
                <w:bCs/>
                <w:lang w:eastAsia="pl-PL"/>
              </w:rPr>
              <w:t>Wyjaśnienie</w:t>
            </w:r>
            <w:r w:rsidR="00654898" w:rsidRPr="00D072D6">
              <w:rPr>
                <w:rFonts w:ascii="Times New Roman" w:eastAsia="Times New Roman" w:hAnsi="Times New Roman" w:cs="Times New Roman"/>
                <w:b/>
                <w:bCs/>
                <w:lang w:eastAsia="pl-PL"/>
              </w:rPr>
              <w:t xml:space="preserve"> uwagi</w:t>
            </w:r>
          </w:p>
          <w:p w14:paraId="21C94667" w14:textId="6A75BCF4" w:rsidR="0013024C" w:rsidRPr="00D072D6" w:rsidRDefault="0013024C"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Uwaga dotyczy brzmienia § 2 projektu rozporządzenia</w:t>
            </w:r>
            <w:r w:rsidR="001F5E85" w:rsidRPr="00D072D6">
              <w:rPr>
                <w:rFonts w:ascii="Times New Roman" w:eastAsia="Times New Roman" w:hAnsi="Times New Roman" w:cs="Times New Roman"/>
                <w:lang w:eastAsia="pl-PL"/>
              </w:rPr>
              <w:t xml:space="preserve"> Rady Ministrów w sprawie wymagań technicznych i eksploatacyjnych dla interfejsów</w:t>
            </w:r>
            <w:r w:rsidR="008427C4" w:rsidRPr="00D072D6">
              <w:rPr>
                <w:rFonts w:ascii="Times New Roman" w:eastAsia="Times New Roman" w:hAnsi="Times New Roman" w:cs="Times New Roman"/>
                <w:lang w:eastAsia="pl-PL"/>
              </w:rPr>
              <w:t>.</w:t>
            </w:r>
          </w:p>
          <w:p w14:paraId="68B3E301" w14:textId="1D440239" w:rsidR="00BA645E" w:rsidRPr="00D072D6" w:rsidRDefault="008427C4"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Stanowisko do tej propozycji zostało przedstawione w tabeli uwag do </w:t>
            </w:r>
            <w:r w:rsidR="001F5E85" w:rsidRPr="00D072D6">
              <w:rPr>
                <w:rFonts w:ascii="Times New Roman" w:eastAsia="Times New Roman" w:hAnsi="Times New Roman" w:cs="Times New Roman"/>
                <w:lang w:eastAsia="pl-PL"/>
              </w:rPr>
              <w:t xml:space="preserve">ww. </w:t>
            </w:r>
            <w:r w:rsidRPr="00D072D6">
              <w:rPr>
                <w:rFonts w:ascii="Times New Roman" w:eastAsia="Times New Roman" w:hAnsi="Times New Roman" w:cs="Times New Roman"/>
                <w:lang w:eastAsia="pl-PL"/>
              </w:rPr>
              <w:t>rozporządzenia</w:t>
            </w:r>
            <w:r w:rsidR="00BA645E" w:rsidRPr="00D072D6">
              <w:rPr>
                <w:rFonts w:ascii="Times New Roman" w:eastAsia="Times New Roman" w:hAnsi="Times New Roman" w:cs="Times New Roman"/>
                <w:lang w:eastAsia="pl-PL"/>
              </w:rPr>
              <w:t>.</w:t>
            </w:r>
          </w:p>
        </w:tc>
      </w:tr>
      <w:tr w:rsidR="00603581" w:rsidRPr="00D072D6" w14:paraId="1B65A7AC" w14:textId="77777777" w:rsidTr="00654898">
        <w:trPr>
          <w:cantSplit/>
          <w:trHeight w:val="2410"/>
        </w:trPr>
        <w:tc>
          <w:tcPr>
            <w:tcW w:w="594" w:type="dxa"/>
            <w:tcBorders>
              <w:bottom w:val="single" w:sz="4" w:space="0" w:color="auto"/>
            </w:tcBorders>
          </w:tcPr>
          <w:p w14:paraId="1415E194" w14:textId="77777777" w:rsidR="00603581" w:rsidRPr="00D072D6" w:rsidRDefault="00603581"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shd w:val="pct5" w:color="auto" w:fill="auto"/>
            <w:vAlign w:val="center"/>
          </w:tcPr>
          <w:p w14:paraId="267BB446" w14:textId="77777777" w:rsidR="00603581" w:rsidRPr="00D072D6" w:rsidRDefault="00603581" w:rsidP="00BE1830">
            <w:pPr>
              <w:pStyle w:val="Bezodstpw"/>
              <w:jc w:val="center"/>
              <w:rPr>
                <w:rFonts w:ascii="Times New Roman" w:hAnsi="Times New Roman" w:cs="Times New Roman"/>
              </w:rPr>
            </w:pPr>
          </w:p>
        </w:tc>
        <w:tc>
          <w:tcPr>
            <w:tcW w:w="1669" w:type="dxa"/>
            <w:tcBorders>
              <w:bottom w:val="single" w:sz="4" w:space="0" w:color="auto"/>
            </w:tcBorders>
          </w:tcPr>
          <w:p w14:paraId="72BF9C2C" w14:textId="206906B9" w:rsidR="00603581" w:rsidRPr="00D072D6" w:rsidRDefault="00603581" w:rsidP="00BE1830">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25DE3CCA" w14:textId="376602BA" w:rsidR="00603581" w:rsidRPr="00D072D6" w:rsidRDefault="00603581" w:rsidP="00654898">
            <w:pPr>
              <w:ind w:left="-5"/>
              <w:jc w:val="both"/>
              <w:rPr>
                <w:sz w:val="22"/>
                <w:szCs w:val="22"/>
              </w:rPr>
            </w:pPr>
            <w:r w:rsidRPr="00D072D6">
              <w:rPr>
                <w:sz w:val="22"/>
                <w:szCs w:val="22"/>
              </w:rPr>
              <w:t>Według wiedzy przedsiębiorców zrzeszonych w Izbie</w:t>
            </w:r>
            <w:r w:rsidRPr="00D072D6">
              <w:rPr>
                <w:rFonts w:eastAsia="Calibri"/>
                <w:sz w:val="22"/>
                <w:szCs w:val="22"/>
              </w:rPr>
              <w:t xml:space="preserve">, </w:t>
            </w:r>
            <w:r w:rsidRPr="00D072D6">
              <w:rPr>
                <w:sz w:val="22"/>
                <w:szCs w:val="22"/>
              </w:rPr>
              <w:t>pomimo obowiązywania rozporządzenia Rady Ministrów z dnia 20 stycznia 2012 r. w sprawie wymagań technicznych i eksploatacyjnych dla interfejsów umożliwiających wykonywanie zadań i obowiązków na rzecz obronności, bezpieczeństwa państwa oraz bezpieczeństwa i porządku publicznego</w:t>
            </w:r>
            <w:r w:rsidRPr="00D072D6">
              <w:rPr>
                <w:rFonts w:eastAsia="Calibri"/>
                <w:b/>
                <w:sz w:val="22"/>
                <w:szCs w:val="22"/>
              </w:rPr>
              <w:t xml:space="preserve">, </w:t>
            </w:r>
            <w:r w:rsidRPr="00D072D6">
              <w:rPr>
                <w:sz w:val="22"/>
                <w:szCs w:val="22"/>
              </w:rPr>
              <w:t>które przewidywało możliwość zastosowania interfejsu HI A</w:t>
            </w:r>
            <w:r w:rsidRPr="00D072D6">
              <w:rPr>
                <w:rFonts w:eastAsia="Calibri"/>
                <w:sz w:val="22"/>
                <w:szCs w:val="22"/>
              </w:rPr>
              <w:t xml:space="preserve">-B </w:t>
            </w:r>
            <w:r w:rsidRPr="00D072D6">
              <w:rPr>
                <w:sz w:val="22"/>
                <w:szCs w:val="22"/>
              </w:rPr>
              <w:t>ani uprawnione podmioty ani przedsiębiorcy telekomunikacyjni nie wdrożyli i nie wykorzystują w celu udostępniania danych określonych w art. 45 ust. 1 PKE zaproponowanego interfejsu. W ramach uzgodnień pomiędzy uprawnionymi podmiotami oraz przedsiębiorcami telekomunikacyjnymi zostały wyspecyfikowane i wdrożone zgodnie z aktualną wiedza techniczną i najlepszymi standardami systemy teleinformatyczne, które są wykorzystywane przez podmioty uprawnione do uzyskiwania dostępu do danych. Wobec powyższego Izba postuluje usunięcie z treści obu rozporządzeń przepisów referujących i definiujących ww. interfejsy.</w:t>
            </w:r>
          </w:p>
          <w:p w14:paraId="59CED9EA" w14:textId="5F8362D9" w:rsidR="00603581" w:rsidRPr="00D072D6" w:rsidRDefault="00603581" w:rsidP="00654898">
            <w:pPr>
              <w:ind w:left="-6" w:right="5296"/>
              <w:jc w:val="both"/>
              <w:rPr>
                <w:sz w:val="22"/>
                <w:szCs w:val="22"/>
              </w:rPr>
            </w:pPr>
            <w:r w:rsidRPr="00D072D6">
              <w:rPr>
                <w:rFonts w:eastAsia="Calibri"/>
                <w:sz w:val="22"/>
                <w:szCs w:val="22"/>
                <w:u w:val="single" w:color="000000"/>
              </w:rPr>
              <w:t>Propozycja PIIT:</w:t>
            </w:r>
          </w:p>
          <w:p w14:paraId="3BD72D69" w14:textId="4E741166" w:rsidR="00603581" w:rsidRPr="00D072D6" w:rsidRDefault="00603581" w:rsidP="00654898">
            <w:pPr>
              <w:ind w:left="-5"/>
              <w:jc w:val="both"/>
              <w:rPr>
                <w:sz w:val="22"/>
                <w:szCs w:val="22"/>
              </w:rPr>
            </w:pPr>
            <w:r w:rsidRPr="00D072D6">
              <w:rPr>
                <w:rFonts w:eastAsia="Calibri"/>
                <w:sz w:val="22"/>
                <w:szCs w:val="22"/>
              </w:rPr>
              <w:t xml:space="preserve">- </w:t>
            </w:r>
            <w:r w:rsidRPr="00D072D6">
              <w:rPr>
                <w:sz w:val="22"/>
                <w:szCs w:val="22"/>
              </w:rPr>
              <w:t>usunięcie przepisów definiujących interfejs HI A</w:t>
            </w:r>
            <w:r w:rsidRPr="00D072D6">
              <w:rPr>
                <w:rFonts w:eastAsia="Calibri"/>
                <w:sz w:val="22"/>
                <w:szCs w:val="22"/>
              </w:rPr>
              <w:t>-</w:t>
            </w:r>
            <w:r w:rsidRPr="00D072D6">
              <w:rPr>
                <w:sz w:val="22"/>
                <w:szCs w:val="22"/>
              </w:rPr>
              <w:t>B oraz referujących do tych interfejsów z treści obu przepisów rozporządzeń.</w:t>
            </w:r>
          </w:p>
        </w:tc>
        <w:tc>
          <w:tcPr>
            <w:tcW w:w="4395" w:type="dxa"/>
            <w:tcBorders>
              <w:bottom w:val="single" w:sz="4" w:space="0" w:color="auto"/>
            </w:tcBorders>
          </w:tcPr>
          <w:p w14:paraId="0A862431" w14:textId="2E19AD74" w:rsidR="00603581" w:rsidRPr="00D072D6" w:rsidRDefault="00372427" w:rsidP="00654898">
            <w:pPr>
              <w:pStyle w:val="Bezodstpw"/>
              <w:jc w:val="both"/>
              <w:rPr>
                <w:rFonts w:ascii="Times New Roman" w:eastAsia="Times New Roman" w:hAnsi="Times New Roman" w:cs="Times New Roman"/>
                <w:b/>
                <w:bCs/>
                <w:lang w:eastAsia="pl-PL"/>
              </w:rPr>
            </w:pPr>
            <w:r w:rsidRPr="00D072D6">
              <w:rPr>
                <w:rFonts w:ascii="Times New Roman" w:eastAsia="Times New Roman" w:hAnsi="Times New Roman" w:cs="Times New Roman"/>
                <w:b/>
                <w:bCs/>
                <w:lang w:eastAsia="pl-PL"/>
              </w:rPr>
              <w:t>Uwaga nieuwzględniona</w:t>
            </w:r>
          </w:p>
          <w:p w14:paraId="2C5BACA6" w14:textId="7428F2DE" w:rsidR="00372427" w:rsidRPr="00D072D6" w:rsidRDefault="00372427"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51832561" w14:textId="46A76890" w:rsidR="00372427" w:rsidRPr="00D072D6" w:rsidRDefault="00372427"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W trakcie warsztatów </w:t>
            </w:r>
            <w:r w:rsidR="00FB158C" w:rsidRPr="00D072D6">
              <w:rPr>
                <w:rFonts w:ascii="Times New Roman" w:eastAsia="Times New Roman" w:hAnsi="Times New Roman" w:cs="Times New Roman"/>
                <w:lang w:eastAsia="pl-PL"/>
              </w:rPr>
              <w:t>z udziałem przedstawicieli uprawnionych podmiotów i</w:t>
            </w:r>
            <w:r w:rsidR="001E2CBD">
              <w:rPr>
                <w:rFonts w:ascii="Times New Roman" w:eastAsia="Times New Roman" w:hAnsi="Times New Roman" w:cs="Times New Roman"/>
                <w:lang w:eastAsia="pl-PL"/>
              </w:rPr>
              <w:t> </w:t>
            </w:r>
            <w:r w:rsidR="00FB158C" w:rsidRPr="00D072D6">
              <w:rPr>
                <w:rFonts w:ascii="Times New Roman" w:eastAsia="Times New Roman" w:hAnsi="Times New Roman" w:cs="Times New Roman"/>
                <w:lang w:eastAsia="pl-PL"/>
              </w:rPr>
              <w:t>przedsiębiorców telekomunikacyjnych</w:t>
            </w:r>
            <w:r w:rsidR="001F5E85" w:rsidRPr="00D072D6">
              <w:rPr>
                <w:rFonts w:ascii="Times New Roman" w:eastAsia="Times New Roman" w:hAnsi="Times New Roman" w:cs="Times New Roman"/>
                <w:lang w:eastAsia="pl-PL"/>
              </w:rPr>
              <w:t xml:space="preserve"> zorganizowanych przez projektodawcę</w:t>
            </w:r>
            <w:r w:rsidR="00FB158C" w:rsidRPr="00D072D6">
              <w:rPr>
                <w:rFonts w:ascii="Times New Roman" w:eastAsia="Times New Roman" w:hAnsi="Times New Roman" w:cs="Times New Roman"/>
                <w:lang w:eastAsia="pl-PL"/>
              </w:rPr>
              <w:t xml:space="preserve"> </w:t>
            </w:r>
            <w:r w:rsidRPr="00D072D6">
              <w:rPr>
                <w:rFonts w:ascii="Times New Roman" w:eastAsia="Times New Roman" w:hAnsi="Times New Roman" w:cs="Times New Roman"/>
                <w:lang w:eastAsia="pl-PL"/>
              </w:rPr>
              <w:t>uprawnione podmioty wyraziły negatywną opinię w kwestii usunięcia przepisów dotyczących interfejsu HI A-B</w:t>
            </w:r>
            <w:r w:rsidR="0041668F" w:rsidRPr="00D072D6">
              <w:rPr>
                <w:rFonts w:ascii="Times New Roman" w:eastAsia="Times New Roman" w:hAnsi="Times New Roman" w:cs="Times New Roman"/>
                <w:lang w:eastAsia="pl-PL"/>
              </w:rPr>
              <w:t>.</w:t>
            </w:r>
          </w:p>
          <w:p w14:paraId="48F5DE80" w14:textId="66A43E14" w:rsidR="007A538E" w:rsidRPr="00D072D6" w:rsidRDefault="007A538E" w:rsidP="00654898">
            <w:pPr>
              <w:pStyle w:val="Bezodstpw"/>
              <w:jc w:val="both"/>
              <w:rPr>
                <w:rFonts w:ascii="Times New Roman" w:eastAsia="Times New Roman" w:hAnsi="Times New Roman" w:cs="Times New Roman"/>
                <w:lang w:eastAsia="pl-PL"/>
              </w:rPr>
            </w:pPr>
          </w:p>
        </w:tc>
      </w:tr>
      <w:tr w:rsidR="00603581" w:rsidRPr="00D072D6" w14:paraId="7445A5B4" w14:textId="77777777" w:rsidTr="00654898">
        <w:trPr>
          <w:cantSplit/>
          <w:trHeight w:val="2410"/>
        </w:trPr>
        <w:tc>
          <w:tcPr>
            <w:tcW w:w="594" w:type="dxa"/>
            <w:tcBorders>
              <w:bottom w:val="single" w:sz="4" w:space="0" w:color="auto"/>
            </w:tcBorders>
          </w:tcPr>
          <w:p w14:paraId="78167761" w14:textId="77777777" w:rsidR="00603581" w:rsidRPr="00D072D6" w:rsidRDefault="00603581"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shd w:val="pct5" w:color="auto" w:fill="auto"/>
            <w:vAlign w:val="center"/>
          </w:tcPr>
          <w:p w14:paraId="10EEC1AC" w14:textId="77777777" w:rsidR="00603581" w:rsidRPr="00D072D6" w:rsidRDefault="00603581" w:rsidP="00BE1830">
            <w:pPr>
              <w:pStyle w:val="Bezodstpw"/>
              <w:jc w:val="center"/>
              <w:rPr>
                <w:rFonts w:ascii="Times New Roman" w:hAnsi="Times New Roman" w:cs="Times New Roman"/>
              </w:rPr>
            </w:pPr>
          </w:p>
        </w:tc>
        <w:tc>
          <w:tcPr>
            <w:tcW w:w="1669" w:type="dxa"/>
            <w:tcBorders>
              <w:bottom w:val="single" w:sz="4" w:space="0" w:color="auto"/>
            </w:tcBorders>
          </w:tcPr>
          <w:p w14:paraId="328899A9" w14:textId="5E7D0A27" w:rsidR="00603581" w:rsidRPr="00D072D6" w:rsidRDefault="00603581" w:rsidP="00BE1830">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3D7BA862" w14:textId="55CC457A" w:rsidR="00603581" w:rsidRPr="00D072D6" w:rsidRDefault="00603581" w:rsidP="00654898">
            <w:pPr>
              <w:ind w:left="-5"/>
              <w:jc w:val="both"/>
              <w:rPr>
                <w:sz w:val="22"/>
                <w:szCs w:val="22"/>
              </w:rPr>
            </w:pPr>
            <w:r w:rsidRPr="00D072D6">
              <w:rPr>
                <w:rFonts w:eastAsia="Calibri"/>
                <w:b/>
                <w:sz w:val="22"/>
                <w:szCs w:val="22"/>
              </w:rPr>
              <w:t>… zwracamy się z uprzejmą prośbą</w:t>
            </w:r>
            <w:r w:rsidRPr="00D072D6">
              <w:rPr>
                <w:rFonts w:eastAsia="Calibri"/>
                <w:sz w:val="22"/>
                <w:szCs w:val="22"/>
              </w:rPr>
              <w:t xml:space="preserve"> </w:t>
            </w:r>
            <w:r w:rsidRPr="00D072D6">
              <w:rPr>
                <w:rFonts w:eastAsia="Calibri"/>
                <w:b/>
                <w:sz w:val="22"/>
                <w:szCs w:val="22"/>
              </w:rPr>
              <w:t>o niezwłoczną organizację spotkania w formule warsztatowej</w:t>
            </w:r>
            <w:r w:rsidRPr="00D072D6">
              <w:rPr>
                <w:sz w:val="22"/>
                <w:szCs w:val="22"/>
              </w:rPr>
              <w:t xml:space="preserve">, które umożliwi wymianę wątpliwości </w:t>
            </w:r>
            <w:r w:rsidRPr="00D072D6">
              <w:rPr>
                <w:rFonts w:eastAsia="Calibri"/>
                <w:sz w:val="22"/>
                <w:szCs w:val="22"/>
              </w:rPr>
              <w:t xml:space="preserve">i </w:t>
            </w:r>
            <w:r w:rsidRPr="00D072D6">
              <w:rPr>
                <w:sz w:val="22"/>
                <w:szCs w:val="22"/>
              </w:rPr>
              <w:t xml:space="preserve">spostrzeżeń praktycznych dotyczących procesów opartych na projektowanych rozporządzeniach, pomiędzy przedstawicielami Ministerstwa Cyfryzacji odpowiedzialnymi za proponowane rozporządzenia, przedstawicielami upoważnionych służb, w tym prokuratury, które są odbiorcami danych oraz ekspertami z zakresu bezpieczeństwa usług telekomunikacyjnych. Liczymy, że dyskusja uwzględniająca wskazanie oczekiwań, co do procesu ze strony administracji publicznej oraz wiedzę ekspercką przedstawicieli sektora telekomunikacyjnego, co do możliwości technicznych i obsługowych przedsiębiorców, umożliwi wypracowanie projektów rozporządzeń, których przepisy będą możliwe do </w:t>
            </w:r>
            <w:r w:rsidRPr="00D072D6">
              <w:rPr>
                <w:rFonts w:eastAsia="Calibri"/>
                <w:sz w:val="22"/>
                <w:szCs w:val="22"/>
              </w:rPr>
              <w:t>realizacji.</w:t>
            </w:r>
          </w:p>
        </w:tc>
        <w:tc>
          <w:tcPr>
            <w:tcW w:w="4395" w:type="dxa"/>
            <w:tcBorders>
              <w:bottom w:val="single" w:sz="4" w:space="0" w:color="auto"/>
            </w:tcBorders>
          </w:tcPr>
          <w:p w14:paraId="74779D3B" w14:textId="5F71DFD8" w:rsidR="007A538E" w:rsidRPr="00D072D6" w:rsidRDefault="007A538E" w:rsidP="00654898">
            <w:pPr>
              <w:pStyle w:val="Bezodstpw"/>
              <w:jc w:val="both"/>
              <w:rPr>
                <w:rFonts w:ascii="Times New Roman" w:eastAsia="Times New Roman" w:hAnsi="Times New Roman" w:cs="Times New Roman"/>
                <w:b/>
                <w:bCs/>
                <w:lang w:eastAsia="pl-PL"/>
              </w:rPr>
            </w:pPr>
            <w:r w:rsidRPr="00D072D6">
              <w:rPr>
                <w:rFonts w:ascii="Times New Roman" w:eastAsia="Times New Roman" w:hAnsi="Times New Roman" w:cs="Times New Roman"/>
                <w:b/>
                <w:bCs/>
                <w:lang w:eastAsia="pl-PL"/>
              </w:rPr>
              <w:t>Uwaga uwzględniona</w:t>
            </w:r>
          </w:p>
          <w:p w14:paraId="4BF79616" w14:textId="7198D0E5" w:rsidR="00603581" w:rsidRPr="00D072D6" w:rsidRDefault="001F5E85"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Projektodawca</w:t>
            </w:r>
            <w:r w:rsidR="007A538E" w:rsidRPr="00D072D6">
              <w:rPr>
                <w:rFonts w:ascii="Times New Roman" w:eastAsia="Times New Roman" w:hAnsi="Times New Roman" w:cs="Times New Roman"/>
                <w:lang w:eastAsia="pl-PL"/>
              </w:rPr>
              <w:t xml:space="preserve"> prowadzi</w:t>
            </w:r>
            <w:r w:rsidR="002A7FEF" w:rsidRPr="00D072D6">
              <w:rPr>
                <w:rFonts w:ascii="Times New Roman" w:eastAsia="Times New Roman" w:hAnsi="Times New Roman" w:cs="Times New Roman"/>
                <w:lang w:eastAsia="pl-PL"/>
              </w:rPr>
              <w:t>ł</w:t>
            </w:r>
            <w:r w:rsidR="007A538E" w:rsidRPr="00D072D6">
              <w:rPr>
                <w:rFonts w:ascii="Times New Roman" w:eastAsia="Times New Roman" w:hAnsi="Times New Roman" w:cs="Times New Roman"/>
                <w:lang w:eastAsia="pl-PL"/>
              </w:rPr>
              <w:t xml:space="preserve"> konsultacje społeczne w formie </w:t>
            </w:r>
            <w:r w:rsidR="002A7FEF" w:rsidRPr="00D072D6">
              <w:rPr>
                <w:rFonts w:ascii="Times New Roman" w:eastAsia="Times New Roman" w:hAnsi="Times New Roman" w:cs="Times New Roman"/>
                <w:lang w:eastAsia="pl-PL"/>
              </w:rPr>
              <w:t>warsztatów</w:t>
            </w:r>
            <w:r w:rsidR="00FB158C" w:rsidRPr="00D072D6">
              <w:rPr>
                <w:rFonts w:ascii="Times New Roman" w:eastAsia="Times New Roman" w:hAnsi="Times New Roman" w:cs="Times New Roman"/>
                <w:lang w:eastAsia="pl-PL"/>
              </w:rPr>
              <w:t xml:space="preserve"> z udziałem przedstawicieli uprawnionych podmiotów </w:t>
            </w:r>
            <w:r w:rsidR="001E2CBD">
              <w:rPr>
                <w:rFonts w:ascii="Times New Roman" w:eastAsia="Times New Roman" w:hAnsi="Times New Roman" w:cs="Times New Roman"/>
                <w:lang w:eastAsia="pl-PL"/>
              </w:rPr>
              <w:t> i </w:t>
            </w:r>
            <w:r w:rsidR="00FB158C" w:rsidRPr="00D072D6">
              <w:rPr>
                <w:rFonts w:ascii="Times New Roman" w:eastAsia="Times New Roman" w:hAnsi="Times New Roman" w:cs="Times New Roman"/>
                <w:lang w:eastAsia="pl-PL"/>
              </w:rPr>
              <w:t>przedsiębiorców telekomunikacyjnych</w:t>
            </w:r>
            <w:r w:rsidR="007A538E" w:rsidRPr="00D072D6">
              <w:rPr>
                <w:rFonts w:ascii="Times New Roman" w:eastAsia="Times New Roman" w:hAnsi="Times New Roman" w:cs="Times New Roman"/>
                <w:lang w:eastAsia="pl-PL"/>
              </w:rPr>
              <w:t>.</w:t>
            </w:r>
          </w:p>
        </w:tc>
      </w:tr>
      <w:tr w:rsidR="00BE1830" w:rsidRPr="00D072D6" w14:paraId="7385FCD3" w14:textId="77777777" w:rsidTr="00654898">
        <w:trPr>
          <w:cantSplit/>
        </w:trPr>
        <w:tc>
          <w:tcPr>
            <w:tcW w:w="15163" w:type="dxa"/>
            <w:gridSpan w:val="5"/>
            <w:shd w:val="pct10" w:color="auto" w:fill="auto"/>
          </w:tcPr>
          <w:p w14:paraId="2A289FC4" w14:textId="538DFA3A" w:rsidR="00BE1830" w:rsidRPr="00D072D6" w:rsidRDefault="00BE1830" w:rsidP="00654898">
            <w:pPr>
              <w:pStyle w:val="Bezodstpw"/>
              <w:jc w:val="center"/>
              <w:rPr>
                <w:rFonts w:ascii="Times New Roman" w:hAnsi="Times New Roman" w:cs="Times New Roman"/>
                <w:b/>
                <w:bCs/>
              </w:rPr>
            </w:pPr>
            <w:r w:rsidRPr="00D072D6">
              <w:rPr>
                <w:rFonts w:ascii="Times New Roman" w:hAnsi="Times New Roman" w:cs="Times New Roman"/>
                <w:b/>
                <w:bCs/>
              </w:rPr>
              <w:t>UWAGI SZCZEGÓŁOWE DO PROJEKTU</w:t>
            </w:r>
          </w:p>
        </w:tc>
      </w:tr>
      <w:tr w:rsidR="00650580" w:rsidRPr="00D072D6" w14:paraId="49EEEA10" w14:textId="77777777" w:rsidTr="00654898">
        <w:tc>
          <w:tcPr>
            <w:tcW w:w="594" w:type="dxa"/>
            <w:tcBorders>
              <w:bottom w:val="single" w:sz="4" w:space="0" w:color="auto"/>
            </w:tcBorders>
          </w:tcPr>
          <w:p w14:paraId="2444E58B"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0226CCD5" w14:textId="2AEA653C" w:rsidR="00650580" w:rsidRPr="00D072D6" w:rsidRDefault="00650580" w:rsidP="00650580">
            <w:pPr>
              <w:pStyle w:val="Bezodstpw"/>
              <w:jc w:val="center"/>
              <w:rPr>
                <w:rFonts w:ascii="Times New Roman" w:hAnsi="Times New Roman" w:cs="Times New Roman"/>
              </w:rPr>
            </w:pPr>
            <w:r w:rsidRPr="00D072D6">
              <w:rPr>
                <w:rFonts w:ascii="Times New Roman" w:hAnsi="Times New Roman" w:cs="Times New Roman"/>
              </w:rPr>
              <w:t>§1 pkt 1 lit. a</w:t>
            </w:r>
          </w:p>
        </w:tc>
        <w:tc>
          <w:tcPr>
            <w:tcW w:w="1669" w:type="dxa"/>
            <w:tcBorders>
              <w:bottom w:val="single" w:sz="4" w:space="0" w:color="auto"/>
            </w:tcBorders>
          </w:tcPr>
          <w:p w14:paraId="258CB7DC" w14:textId="6275E06A" w:rsidR="00650580" w:rsidRPr="00D072D6" w:rsidRDefault="00650580" w:rsidP="00650580">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22763A68" w14:textId="460C4FC1" w:rsidR="00650580" w:rsidRPr="00D072D6" w:rsidRDefault="00650580" w:rsidP="007B7682">
            <w:pPr>
              <w:pStyle w:val="Bezodstpw"/>
              <w:jc w:val="both"/>
              <w:rPr>
                <w:rFonts w:ascii="Times New Roman" w:hAnsi="Times New Roman" w:cs="Times New Roman"/>
              </w:rPr>
            </w:pPr>
            <w:r w:rsidRPr="00D072D6">
              <w:rPr>
                <w:rFonts w:ascii="Times New Roman" w:hAnsi="Times New Roman" w:cs="Times New Roman"/>
              </w:rPr>
              <w:t>Art. 43 ust. 1 pkt 1 lit. a tiret pierwsze nakłada na przedsiębiorcę telekomunikacyjnego obowiązek zapewnienia warunków dostępu wyłącznie do komunikatów elektronicznych i ich utrwalania. W PKE brak jest zapisu stanowiącego, że wraz z ww. komunikatem elektronicznym należy zapewnić dostęp i utrwalanie danych telekomunikacyjnych ściśle związanych z tymi komunikatami.</w:t>
            </w:r>
          </w:p>
        </w:tc>
        <w:tc>
          <w:tcPr>
            <w:tcW w:w="4395" w:type="dxa"/>
            <w:tcBorders>
              <w:bottom w:val="single" w:sz="4" w:space="0" w:color="auto"/>
            </w:tcBorders>
          </w:tcPr>
          <w:p w14:paraId="33AE6F4D" w14:textId="3F0F5652" w:rsidR="00650580" w:rsidRPr="00D072D6" w:rsidRDefault="0024617A" w:rsidP="00654898">
            <w:pPr>
              <w:pStyle w:val="Bezodstpw"/>
              <w:jc w:val="both"/>
              <w:rPr>
                <w:rFonts w:ascii="Times New Roman" w:hAnsi="Times New Roman" w:cs="Times New Roman"/>
                <w:b/>
                <w:bCs/>
              </w:rPr>
            </w:pPr>
            <w:r w:rsidRPr="00D072D6">
              <w:rPr>
                <w:rFonts w:ascii="Times New Roman" w:hAnsi="Times New Roman" w:cs="Times New Roman"/>
                <w:b/>
                <w:bCs/>
              </w:rPr>
              <w:t>Uwaga nieuwzględniona</w:t>
            </w:r>
          </w:p>
          <w:p w14:paraId="172E6385" w14:textId="2AE6C05F" w:rsidR="0024617A" w:rsidRPr="00D072D6" w:rsidRDefault="0024617A" w:rsidP="00654898">
            <w:pPr>
              <w:pStyle w:val="Bezodstpw"/>
              <w:jc w:val="both"/>
              <w:rPr>
                <w:rFonts w:ascii="Times New Roman" w:hAnsi="Times New Roman" w:cs="Times New Roman"/>
              </w:rPr>
            </w:pPr>
            <w:r w:rsidRPr="00D072D6">
              <w:rPr>
                <w:rFonts w:ascii="Times New Roman" w:hAnsi="Times New Roman" w:cs="Times New Roman"/>
              </w:rPr>
              <w:t xml:space="preserve">Uwaga odnosi się do </w:t>
            </w:r>
            <w:r w:rsidR="001F5E85" w:rsidRPr="00D072D6">
              <w:rPr>
                <w:rFonts w:ascii="Times New Roman" w:hAnsi="Times New Roman" w:cs="Times New Roman"/>
              </w:rPr>
              <w:t>PKE</w:t>
            </w:r>
            <w:r w:rsidRPr="00D072D6">
              <w:rPr>
                <w:rFonts w:ascii="Times New Roman" w:hAnsi="Times New Roman" w:cs="Times New Roman"/>
              </w:rPr>
              <w:t>, a nie do projektu rozporządzenia.</w:t>
            </w:r>
          </w:p>
          <w:p w14:paraId="78574C9E" w14:textId="341FCE8A" w:rsidR="0024617A" w:rsidRPr="00D072D6" w:rsidRDefault="0024617A" w:rsidP="00654898">
            <w:pPr>
              <w:pStyle w:val="Bezodstpw"/>
              <w:jc w:val="both"/>
              <w:rPr>
                <w:rFonts w:ascii="Times New Roman" w:hAnsi="Times New Roman" w:cs="Times New Roman"/>
              </w:rPr>
            </w:pPr>
            <w:r w:rsidRPr="00D072D6">
              <w:rPr>
                <w:rFonts w:ascii="Times New Roman" w:hAnsi="Times New Roman" w:cs="Times New Roman"/>
              </w:rPr>
              <w:t>Nie można się jednak zgodzić, że „</w:t>
            </w:r>
            <w:r w:rsidRPr="00D072D6">
              <w:rPr>
                <w:rFonts w:ascii="Times New Roman" w:hAnsi="Times New Roman" w:cs="Times New Roman"/>
                <w:i/>
                <w:iCs/>
              </w:rPr>
              <w:t>w PKE brak jest zapisu stanowiącego, że wraz z ww. komunikatem elektronicznym należy zapewnić dostęp i utrwalanie danych telekomunikacyjnych ściśle związanych z</w:t>
            </w:r>
            <w:r w:rsidR="001E2CBD">
              <w:rPr>
                <w:rFonts w:ascii="Times New Roman" w:hAnsi="Times New Roman" w:cs="Times New Roman"/>
                <w:i/>
                <w:iCs/>
              </w:rPr>
              <w:t> </w:t>
            </w:r>
            <w:r w:rsidRPr="00D072D6">
              <w:rPr>
                <w:rFonts w:ascii="Times New Roman" w:hAnsi="Times New Roman" w:cs="Times New Roman"/>
                <w:i/>
                <w:iCs/>
              </w:rPr>
              <w:t>tymi komunikatami.</w:t>
            </w:r>
            <w:r w:rsidRPr="00D072D6">
              <w:rPr>
                <w:rFonts w:ascii="Times New Roman" w:hAnsi="Times New Roman" w:cs="Times New Roman"/>
              </w:rPr>
              <w:t>” .</w:t>
            </w:r>
          </w:p>
          <w:p w14:paraId="2CAB7D33" w14:textId="0FA4749C" w:rsidR="0024617A" w:rsidRPr="00D072D6" w:rsidRDefault="0024617A" w:rsidP="00654898">
            <w:pPr>
              <w:pStyle w:val="Bezodstpw"/>
              <w:jc w:val="both"/>
              <w:rPr>
                <w:rFonts w:ascii="Times New Roman" w:hAnsi="Times New Roman" w:cs="Times New Roman"/>
              </w:rPr>
            </w:pPr>
            <w:r w:rsidRPr="00D072D6">
              <w:rPr>
                <w:rFonts w:ascii="Times New Roman" w:hAnsi="Times New Roman" w:cs="Times New Roman"/>
              </w:rPr>
              <w:lastRenderedPageBreak/>
              <w:t xml:space="preserve">Warunki dostępu i utrwalania, o których mowa w art. 43 ust. 1 pkt 1 </w:t>
            </w:r>
            <w:r w:rsidR="001F5E85" w:rsidRPr="00D072D6">
              <w:rPr>
                <w:rFonts w:ascii="Times New Roman" w:hAnsi="Times New Roman" w:cs="Times New Roman"/>
              </w:rPr>
              <w:t xml:space="preserve">PKE, </w:t>
            </w:r>
            <w:r w:rsidRPr="00D072D6">
              <w:rPr>
                <w:rFonts w:ascii="Times New Roman" w:hAnsi="Times New Roman" w:cs="Times New Roman"/>
              </w:rPr>
              <w:t>obejmują zarówno komunikaty (pierwsze tiret w lit. a), jak również dane związane z tymi komunikatami (dalsze tirety).</w:t>
            </w:r>
          </w:p>
        </w:tc>
      </w:tr>
      <w:tr w:rsidR="00650580" w:rsidRPr="00D072D6" w14:paraId="50949434" w14:textId="77777777" w:rsidTr="00654898">
        <w:tc>
          <w:tcPr>
            <w:tcW w:w="594" w:type="dxa"/>
            <w:tcBorders>
              <w:bottom w:val="single" w:sz="4" w:space="0" w:color="auto"/>
            </w:tcBorders>
          </w:tcPr>
          <w:p w14:paraId="00091C79"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7895FB23" w14:textId="615C768E"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§1 pkt 1 lit. b</w:t>
            </w:r>
          </w:p>
        </w:tc>
        <w:tc>
          <w:tcPr>
            <w:tcW w:w="1669" w:type="dxa"/>
            <w:tcBorders>
              <w:bottom w:val="single" w:sz="4" w:space="0" w:color="auto"/>
            </w:tcBorders>
          </w:tcPr>
          <w:p w14:paraId="2CD05BDD" w14:textId="30D4AC2C"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45FA6BF3"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Art. 43 ust. 1 pkt 1 lit. a tiret drugie do tiret piąte PKE nakłada na przedsiębiorcę telekomunikacyjnego obowiązek dostępu do danych telekomunikacyjnych i ich utrwalania.</w:t>
            </w:r>
          </w:p>
          <w:p w14:paraId="330C31E1"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Takie dane na co dzień są przetwarzane w różnych systemach, na ogół informatycznych, wykorzystywanych w celu prowadzenia działalności gospodarczej (świadczeniu usług telekomunikacyjnych). W razie potrzeby dane te pozyskiwane są z tych zasobów i gromadzone w celu udostępnienia uprawnionym podmiotom w ramach prowadzonej kontroli operacyjnej. </w:t>
            </w:r>
          </w:p>
          <w:p w14:paraId="75E24E17"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Dane, o których mowa w art. 43 ust. 1 pkt 1 lit. a tiret trzecie do tiret piąte PKE są udostępniane wyłącznie wskazanemu przedstawicielowi uprawnionego podmiotu, a po udostępnieniu (przekazaniu) dane te powinny być usunięte z systemu służącego do udostępniania i utrwalania.</w:t>
            </w:r>
          </w:p>
          <w:p w14:paraId="05DAC1E5"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Nieco inaczej należy postępować z danymi, o których mowa w art. 43 ust. 1 pkt 1 lit. a tiret drugie PKE. Dane to również na co dzień są przetwarzane w różnych systemach na potrzeby świadczenia usług telekomunikacyjnych. Jednak po udostępnieniu ich przedstawicielowi uprawnionego podmiotu, dane te należy przechowywać przez nieokreślony czas, a w razie zapytania uprawnionego podmiotu (również innego niż ten na potrzeby, którego te dane zostały przygotowane) udostępnić je na zasadach określonych w ustawach kompetencyjnych.</w:t>
            </w:r>
          </w:p>
          <w:p w14:paraId="344D1348"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W PKE brak normy prawnej określającej sposób postępowania z danymi telekomunikacyjnymi po udostępnieniu ich uprawnionemu podmiotowi, których kopie pozostają w dyspozycji przedsiębiorcy telekomunikacyjnego.</w:t>
            </w:r>
          </w:p>
          <w:p w14:paraId="0BE987A1"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Ponadto art. 43 ust. 1 pkt 1 lit a oraz art. 45 PKE zawierają katalog prawie tych samych danych, a uprawnione podmioty mogą żądać udostępnienia tych samych danych telekomunikacyjnych na podstawie kilku różnych podstaw prawnych zawartych w ustawach kompetencyjnych. Taki stan powoduje trudności w zrozumieniu i w prawidłowej realizacji nałożonych obowiązków.</w:t>
            </w:r>
          </w:p>
          <w:p w14:paraId="5060EEFF" w14:textId="1904D022"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Rekomenduje się niezwłocznie dokonać nowelizacji przepisów art. 45 ust. 1 PKE oraz przepisów ustaw kompetencyjnych i KPK na podstawie których uprawnione podmioty, sąd i prokurator mogą uzyskiwać dane, o których mowa w art. 43 ust. 1 pkt 1 lit. a tiret drugie PKE. Aktualny stan prawny nie gwarantuje bezpieczeństwa informacji przetwarzanej w związku z udostępnieniem ww. danych telekomunikacyjnych</w:t>
            </w:r>
          </w:p>
        </w:tc>
        <w:tc>
          <w:tcPr>
            <w:tcW w:w="4395" w:type="dxa"/>
            <w:tcBorders>
              <w:bottom w:val="single" w:sz="4" w:space="0" w:color="auto"/>
            </w:tcBorders>
          </w:tcPr>
          <w:p w14:paraId="7263BC35" w14:textId="09C87189" w:rsidR="00607237" w:rsidRPr="00D072D6" w:rsidRDefault="00C62C3C" w:rsidP="00654898">
            <w:pPr>
              <w:pStyle w:val="Bezodstpw"/>
              <w:jc w:val="both"/>
              <w:rPr>
                <w:rFonts w:ascii="Times New Roman" w:hAnsi="Times New Roman" w:cs="Times New Roman"/>
                <w:b/>
                <w:bCs/>
              </w:rPr>
            </w:pPr>
            <w:r w:rsidRPr="00D072D6">
              <w:rPr>
                <w:rFonts w:ascii="Times New Roman" w:hAnsi="Times New Roman" w:cs="Times New Roman"/>
                <w:b/>
                <w:bCs/>
              </w:rPr>
              <w:t>Uwaga nieuwzględniona</w:t>
            </w:r>
          </w:p>
          <w:p w14:paraId="31BD91F1" w14:textId="0CE29653" w:rsidR="00650580" w:rsidRPr="00D072D6" w:rsidRDefault="001F5E85" w:rsidP="00654898">
            <w:pPr>
              <w:pStyle w:val="Bezodstpw"/>
              <w:jc w:val="both"/>
              <w:rPr>
                <w:rFonts w:ascii="Times New Roman" w:hAnsi="Times New Roman" w:cs="Times New Roman"/>
              </w:rPr>
            </w:pPr>
            <w:r w:rsidRPr="00D072D6">
              <w:rPr>
                <w:rFonts w:ascii="Times New Roman" w:hAnsi="Times New Roman" w:cs="Times New Roman"/>
              </w:rPr>
              <w:t>Uwaga odnosi się do PKE, a nie do projektu rozporządzenia</w:t>
            </w:r>
            <w:r w:rsidR="001E2CBD">
              <w:rPr>
                <w:rFonts w:ascii="Times New Roman" w:hAnsi="Times New Roman" w:cs="Times New Roman"/>
              </w:rPr>
              <w:t>.</w:t>
            </w:r>
          </w:p>
        </w:tc>
      </w:tr>
      <w:tr w:rsidR="00650580" w:rsidRPr="00D072D6" w14:paraId="45D62213" w14:textId="77777777" w:rsidTr="00654898">
        <w:tc>
          <w:tcPr>
            <w:tcW w:w="594" w:type="dxa"/>
            <w:tcBorders>
              <w:bottom w:val="single" w:sz="4" w:space="0" w:color="auto"/>
            </w:tcBorders>
          </w:tcPr>
          <w:p w14:paraId="11A684DB"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C437597" w14:textId="78232C3D" w:rsidR="00650580" w:rsidRPr="00D072D6" w:rsidRDefault="00655CC6" w:rsidP="00654898">
            <w:pPr>
              <w:pStyle w:val="Bezodstpw"/>
              <w:jc w:val="center"/>
              <w:rPr>
                <w:rFonts w:ascii="Times New Roman" w:hAnsi="Times New Roman" w:cs="Times New Roman"/>
              </w:rPr>
            </w:pPr>
            <w:r w:rsidRPr="00D072D6">
              <w:rPr>
                <w:rFonts w:ascii="Times New Roman" w:hAnsi="Times New Roman" w:cs="Times New Roman"/>
              </w:rPr>
              <w:t>§ 1 ust. 1 pkt 1</w:t>
            </w:r>
          </w:p>
        </w:tc>
        <w:tc>
          <w:tcPr>
            <w:tcW w:w="1669" w:type="dxa"/>
            <w:tcBorders>
              <w:bottom w:val="single" w:sz="4" w:space="0" w:color="auto"/>
            </w:tcBorders>
          </w:tcPr>
          <w:p w14:paraId="0302E5E5" w14:textId="0169CFCB"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76171174" w14:textId="77777777" w:rsidR="00650580" w:rsidRPr="00D072D6" w:rsidRDefault="00650580" w:rsidP="00654898">
            <w:pPr>
              <w:jc w:val="both"/>
              <w:rPr>
                <w:sz w:val="22"/>
                <w:szCs w:val="22"/>
              </w:rPr>
            </w:pPr>
            <w:r w:rsidRPr="00D072D6">
              <w:rPr>
                <w:sz w:val="22"/>
                <w:szCs w:val="22"/>
              </w:rPr>
              <w:t xml:space="preserve">Przedmiot objęty regulacją opiniowanego projektu rozporządzenia nie dotyczy w żadnym miejscu spraw określonych w art. 242 ustawy z dnia 6 czerwca 1997 r. Kodeks postępowania karnego. </w:t>
            </w:r>
          </w:p>
          <w:p w14:paraId="213A32F9" w14:textId="6E058646"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W związku z tym powtarzanie za PKE frazy: „- z wyłączeniem spraw uregulowanych przepisami wydanymi na podstawie art. 242 ustawy z dnia 6 czerwca 1997 r. - Kodeks postępowania karnego (Dz. U. z 2025 r. poz. 46 i 304);” jest nadmiarowe.</w:t>
            </w:r>
          </w:p>
        </w:tc>
        <w:tc>
          <w:tcPr>
            <w:tcW w:w="4395" w:type="dxa"/>
            <w:tcBorders>
              <w:bottom w:val="single" w:sz="4" w:space="0" w:color="auto"/>
            </w:tcBorders>
          </w:tcPr>
          <w:p w14:paraId="57A23CEA" w14:textId="43806DC9" w:rsidR="00650580" w:rsidRPr="00D072D6" w:rsidRDefault="00174BB7" w:rsidP="00654898">
            <w:pPr>
              <w:pStyle w:val="Bezodstpw"/>
              <w:jc w:val="both"/>
              <w:rPr>
                <w:rFonts w:ascii="Times New Roman" w:hAnsi="Times New Roman" w:cs="Times New Roman"/>
              </w:rPr>
            </w:pPr>
            <w:r w:rsidRPr="00D072D6">
              <w:rPr>
                <w:rFonts w:ascii="Times New Roman" w:hAnsi="Times New Roman" w:cs="Times New Roman"/>
                <w:b/>
                <w:bCs/>
              </w:rPr>
              <w:t>Uwaga nieuwzględniona</w:t>
            </w:r>
          </w:p>
          <w:p w14:paraId="50C23773" w14:textId="2A15AA7D" w:rsidR="00174BB7" w:rsidRPr="00D072D6" w:rsidRDefault="00174BB7" w:rsidP="00654898">
            <w:pPr>
              <w:pStyle w:val="Bezodstpw"/>
              <w:jc w:val="both"/>
              <w:rPr>
                <w:rFonts w:ascii="Times New Roman" w:hAnsi="Times New Roman" w:cs="Times New Roman"/>
              </w:rPr>
            </w:pPr>
            <w:r w:rsidRPr="00D072D6">
              <w:rPr>
                <w:rFonts w:ascii="Times New Roman" w:hAnsi="Times New Roman" w:cs="Times New Roman"/>
              </w:rPr>
              <w:t>Uwaga dotyczy kwestii legislacyjn</w:t>
            </w:r>
            <w:r w:rsidR="00655CC6" w:rsidRPr="00D072D6">
              <w:rPr>
                <w:rFonts w:ascii="Times New Roman" w:hAnsi="Times New Roman" w:cs="Times New Roman"/>
              </w:rPr>
              <w:t>ej</w:t>
            </w:r>
            <w:r w:rsidR="00C62C3C" w:rsidRPr="00D072D6">
              <w:rPr>
                <w:rFonts w:ascii="Times New Roman" w:hAnsi="Times New Roman" w:cs="Times New Roman"/>
              </w:rPr>
              <w:t>. Kwestionowany zapis ma na celu zapewnienie jasności przepisu i jego zakresu</w:t>
            </w:r>
            <w:r w:rsidR="00655CC6" w:rsidRPr="00D072D6">
              <w:rPr>
                <w:rFonts w:ascii="Times New Roman" w:hAnsi="Times New Roman" w:cs="Times New Roman"/>
              </w:rPr>
              <w:t>.</w:t>
            </w:r>
            <w:r w:rsidR="004C3202" w:rsidRPr="00D072D6">
              <w:rPr>
                <w:rFonts w:ascii="Times New Roman" w:hAnsi="Times New Roman" w:cs="Times New Roman"/>
              </w:rPr>
              <w:t xml:space="preserve"> </w:t>
            </w:r>
          </w:p>
        </w:tc>
      </w:tr>
      <w:tr w:rsidR="00650580" w:rsidRPr="00D072D6" w14:paraId="7026FA29" w14:textId="77777777" w:rsidTr="00654898">
        <w:tc>
          <w:tcPr>
            <w:tcW w:w="594" w:type="dxa"/>
            <w:tcBorders>
              <w:bottom w:val="single" w:sz="4" w:space="0" w:color="auto"/>
            </w:tcBorders>
          </w:tcPr>
          <w:p w14:paraId="7B33EBBC"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11E78F53" w14:textId="64FD2470"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2 pkt 1</w:t>
            </w:r>
          </w:p>
        </w:tc>
        <w:tc>
          <w:tcPr>
            <w:tcW w:w="1669" w:type="dxa"/>
            <w:tcBorders>
              <w:bottom w:val="single" w:sz="4" w:space="0" w:color="auto"/>
            </w:tcBorders>
          </w:tcPr>
          <w:p w14:paraId="7B7218B9" w14:textId="0D510E96"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674B936F" w14:textId="19BFAEE8" w:rsidR="00650580" w:rsidRPr="00D072D6" w:rsidRDefault="00650580" w:rsidP="00654898">
            <w:pPr>
              <w:pStyle w:val="PKTpunkt"/>
              <w:numPr>
                <w:ilvl w:val="0"/>
                <w:numId w:val="17"/>
              </w:numPr>
              <w:spacing w:line="240" w:lineRule="auto"/>
              <w:ind w:left="240" w:hanging="255"/>
              <w:rPr>
                <w:rFonts w:ascii="Times New Roman" w:hAnsi="Times New Roman" w:cs="Times New Roman"/>
                <w:bCs w:val="0"/>
                <w:sz w:val="22"/>
                <w:szCs w:val="22"/>
              </w:rPr>
            </w:pPr>
            <w:r w:rsidRPr="00D072D6">
              <w:rPr>
                <w:rFonts w:ascii="Times New Roman" w:hAnsi="Times New Roman" w:cs="Times New Roman"/>
                <w:bCs w:val="0"/>
                <w:sz w:val="22"/>
                <w:szCs w:val="22"/>
              </w:rPr>
              <w:t>Czy czas reakcji dotyczy realizacji obowiązków, o których mowa w art. 43 ust.1 pkt 1 lit a i b PKE czy obowiązków, o których mowa w art. 45 ust. 1?</w:t>
            </w:r>
          </w:p>
          <w:p w14:paraId="5963FC30" w14:textId="77777777" w:rsidR="00650580" w:rsidRPr="00D072D6" w:rsidRDefault="00650580" w:rsidP="00654898">
            <w:pPr>
              <w:pStyle w:val="PKTpunkt"/>
              <w:numPr>
                <w:ilvl w:val="0"/>
                <w:numId w:val="17"/>
              </w:numPr>
              <w:spacing w:line="240" w:lineRule="auto"/>
              <w:ind w:left="240" w:hanging="255"/>
              <w:rPr>
                <w:rFonts w:ascii="Times New Roman" w:hAnsi="Times New Roman" w:cs="Times New Roman"/>
                <w:bCs w:val="0"/>
                <w:sz w:val="22"/>
                <w:szCs w:val="22"/>
              </w:rPr>
            </w:pPr>
            <w:r w:rsidRPr="00D072D6">
              <w:rPr>
                <w:rFonts w:ascii="Times New Roman" w:hAnsi="Times New Roman" w:cs="Times New Roman"/>
                <w:bCs w:val="0"/>
                <w:sz w:val="22"/>
                <w:szCs w:val="22"/>
              </w:rPr>
              <w:t>Czy zapotrzebowanie dotyczy realizacji obowiązków, o których mowa w art. 43 ust.1 pkt 1 PKE czy wyłącznie art. 45 ust. 1 PKE?</w:t>
            </w:r>
          </w:p>
          <w:p w14:paraId="6BCEA8BC" w14:textId="77777777" w:rsidR="00650580" w:rsidRPr="00D072D6" w:rsidRDefault="00650580" w:rsidP="00654898">
            <w:pPr>
              <w:ind w:left="204"/>
              <w:jc w:val="both"/>
              <w:rPr>
                <w:sz w:val="22"/>
                <w:szCs w:val="22"/>
              </w:rPr>
            </w:pPr>
            <w:r w:rsidRPr="00D072D6">
              <w:rPr>
                <w:sz w:val="22"/>
                <w:szCs w:val="22"/>
              </w:rPr>
              <w:t>Art. 43 ust. 4 PKE określa, że „zapotrzebowanie” dotyczy „… realizacji przez przedsiębiorcę telekomunikacyjnego warunków dostępu i utrwalania, o których mowa w art. 43 ust. 1 pkt 1 lit. a i b”.</w:t>
            </w:r>
          </w:p>
          <w:p w14:paraId="722C1254" w14:textId="77777777" w:rsidR="00650580" w:rsidRPr="00D072D6" w:rsidRDefault="00650580" w:rsidP="00654898">
            <w:pPr>
              <w:pStyle w:val="Akapitzlist"/>
              <w:numPr>
                <w:ilvl w:val="0"/>
                <w:numId w:val="17"/>
              </w:numPr>
              <w:ind w:left="240" w:hanging="255"/>
              <w:jc w:val="both"/>
              <w:rPr>
                <w:sz w:val="22"/>
                <w:szCs w:val="22"/>
              </w:rPr>
            </w:pPr>
            <w:r w:rsidRPr="00D072D6">
              <w:rPr>
                <w:sz w:val="22"/>
                <w:szCs w:val="22"/>
              </w:rPr>
              <w:t>Przepisy ustaw kompetencyjnych określają dokument zawierający żądanie udostępnienia danych telekomunikacyjnych. Dokumentem tym jest pisemny wniosek (np. art. 20c ustawy o Policji). Udostępnienie danych uprawnionemu podmiotowi może również nastąpić na ustne żądanie.</w:t>
            </w:r>
          </w:p>
          <w:p w14:paraId="632B6C8A" w14:textId="1FC81F39" w:rsidR="00650580" w:rsidRPr="00D072D6" w:rsidRDefault="00650580" w:rsidP="00654898">
            <w:pPr>
              <w:pStyle w:val="Bezodstpw"/>
              <w:numPr>
                <w:ilvl w:val="0"/>
                <w:numId w:val="17"/>
              </w:numPr>
              <w:ind w:left="240" w:hanging="255"/>
              <w:jc w:val="both"/>
              <w:rPr>
                <w:rFonts w:ascii="Times New Roman" w:hAnsi="Times New Roman" w:cs="Times New Roman"/>
              </w:rPr>
            </w:pPr>
            <w:r w:rsidRPr="00D072D6">
              <w:rPr>
                <w:rFonts w:ascii="Times New Roman" w:hAnsi="Times New Roman" w:cs="Times New Roman"/>
              </w:rPr>
              <w:t>Proponuje się w PRRM stosować pojęcia już stosowane w ustawach.</w:t>
            </w:r>
          </w:p>
        </w:tc>
        <w:tc>
          <w:tcPr>
            <w:tcW w:w="4395" w:type="dxa"/>
            <w:tcBorders>
              <w:bottom w:val="single" w:sz="4" w:space="0" w:color="auto"/>
            </w:tcBorders>
          </w:tcPr>
          <w:p w14:paraId="65920A3D" w14:textId="71D3286B" w:rsidR="00650580" w:rsidRPr="00D072D6" w:rsidRDefault="00412579" w:rsidP="00654898">
            <w:pPr>
              <w:pStyle w:val="Bezodstpw"/>
              <w:jc w:val="both"/>
              <w:rPr>
                <w:rFonts w:ascii="Times New Roman" w:hAnsi="Times New Roman" w:cs="Times New Roman"/>
                <w:b/>
                <w:bCs/>
              </w:rPr>
            </w:pPr>
            <w:r w:rsidRPr="00D072D6">
              <w:rPr>
                <w:rFonts w:ascii="Times New Roman" w:hAnsi="Times New Roman" w:cs="Times New Roman"/>
                <w:b/>
                <w:bCs/>
              </w:rPr>
              <w:t>Wyjaśnienia</w:t>
            </w:r>
            <w:r w:rsidR="00654898" w:rsidRPr="00D072D6">
              <w:rPr>
                <w:rFonts w:ascii="Times New Roman" w:hAnsi="Times New Roman" w:cs="Times New Roman"/>
                <w:b/>
                <w:bCs/>
              </w:rPr>
              <w:t xml:space="preserve"> uwagi</w:t>
            </w:r>
            <w:r w:rsidRPr="00D072D6">
              <w:rPr>
                <w:rFonts w:ascii="Times New Roman" w:hAnsi="Times New Roman" w:cs="Times New Roman"/>
                <w:b/>
                <w:bCs/>
              </w:rPr>
              <w:t>:</w:t>
            </w:r>
          </w:p>
          <w:p w14:paraId="484BA291" w14:textId="615C790E" w:rsidR="00412579" w:rsidRPr="00D072D6" w:rsidRDefault="00412579" w:rsidP="00654898">
            <w:pPr>
              <w:pStyle w:val="Bezodstpw"/>
              <w:numPr>
                <w:ilvl w:val="0"/>
                <w:numId w:val="18"/>
              </w:numPr>
              <w:ind w:left="295" w:hanging="272"/>
              <w:jc w:val="both"/>
              <w:rPr>
                <w:rFonts w:ascii="Times New Roman" w:hAnsi="Times New Roman" w:cs="Times New Roman"/>
              </w:rPr>
            </w:pPr>
            <w:r w:rsidRPr="00D072D6">
              <w:rPr>
                <w:rFonts w:ascii="Times New Roman" w:hAnsi="Times New Roman" w:cs="Times New Roman"/>
              </w:rPr>
              <w:t>zgodnie z definicją czas reakcji dotyczy udostępniania danych, o których mowa w</w:t>
            </w:r>
            <w:r w:rsidR="001E2CBD">
              <w:rPr>
                <w:rFonts w:ascii="Times New Roman" w:hAnsi="Times New Roman" w:cs="Times New Roman"/>
              </w:rPr>
              <w:t> </w:t>
            </w:r>
            <w:r w:rsidRPr="00D072D6">
              <w:rPr>
                <w:rFonts w:ascii="Times New Roman" w:hAnsi="Times New Roman" w:cs="Times New Roman"/>
              </w:rPr>
              <w:t>art. 45 ust. 1</w:t>
            </w:r>
            <w:r w:rsidR="001F5E85" w:rsidRPr="00D072D6">
              <w:rPr>
                <w:rFonts w:ascii="Times New Roman" w:hAnsi="Times New Roman" w:cs="Times New Roman"/>
              </w:rPr>
              <w:t xml:space="preserve"> PKE;</w:t>
            </w:r>
          </w:p>
          <w:p w14:paraId="3CFCC823" w14:textId="3CE47E93" w:rsidR="00412579" w:rsidRPr="00D072D6" w:rsidRDefault="00412579" w:rsidP="00654898">
            <w:pPr>
              <w:pStyle w:val="Bezodstpw"/>
              <w:numPr>
                <w:ilvl w:val="0"/>
                <w:numId w:val="18"/>
              </w:numPr>
              <w:ind w:left="295" w:hanging="272"/>
              <w:jc w:val="both"/>
              <w:rPr>
                <w:rFonts w:ascii="Times New Roman" w:hAnsi="Times New Roman" w:cs="Times New Roman"/>
              </w:rPr>
            </w:pPr>
            <w:r w:rsidRPr="00D072D6">
              <w:rPr>
                <w:rFonts w:ascii="Times New Roman" w:hAnsi="Times New Roman" w:cs="Times New Roman"/>
              </w:rPr>
              <w:t>pojęcie „zapotrzebowania” jest określone w ustawie w art. 4</w:t>
            </w:r>
            <w:r w:rsidR="005850B4" w:rsidRPr="00D072D6">
              <w:rPr>
                <w:rFonts w:ascii="Times New Roman" w:hAnsi="Times New Roman" w:cs="Times New Roman"/>
              </w:rPr>
              <w:t>3</w:t>
            </w:r>
            <w:r w:rsidRPr="00D072D6">
              <w:rPr>
                <w:rFonts w:ascii="Times New Roman" w:hAnsi="Times New Roman" w:cs="Times New Roman"/>
              </w:rPr>
              <w:t xml:space="preserve"> ust. 4 </w:t>
            </w:r>
            <w:r w:rsidR="001F5E85" w:rsidRPr="00D072D6">
              <w:rPr>
                <w:rFonts w:ascii="Times New Roman" w:hAnsi="Times New Roman" w:cs="Times New Roman"/>
              </w:rPr>
              <w:t xml:space="preserve">PKE </w:t>
            </w:r>
            <w:r w:rsidRPr="00D072D6">
              <w:rPr>
                <w:rFonts w:ascii="Times New Roman" w:hAnsi="Times New Roman" w:cs="Times New Roman"/>
              </w:rPr>
              <w:t>i dotyczy „warunków dostępu i utrwalania”</w:t>
            </w:r>
            <w:r w:rsidR="001F5E85" w:rsidRPr="00D072D6">
              <w:rPr>
                <w:rFonts w:ascii="Times New Roman" w:hAnsi="Times New Roman" w:cs="Times New Roman"/>
              </w:rPr>
              <w:t>;</w:t>
            </w:r>
          </w:p>
          <w:p w14:paraId="237110BF" w14:textId="3615E8DD" w:rsidR="00412579" w:rsidRPr="00D072D6" w:rsidRDefault="001F5E85" w:rsidP="00654898">
            <w:pPr>
              <w:pStyle w:val="Bezodstpw"/>
              <w:numPr>
                <w:ilvl w:val="0"/>
                <w:numId w:val="18"/>
              </w:numPr>
              <w:ind w:left="295" w:hanging="272"/>
              <w:jc w:val="both"/>
              <w:rPr>
                <w:rFonts w:ascii="Times New Roman" w:hAnsi="Times New Roman" w:cs="Times New Roman"/>
              </w:rPr>
            </w:pPr>
            <w:r w:rsidRPr="00D072D6">
              <w:rPr>
                <w:rFonts w:ascii="Times New Roman" w:hAnsi="Times New Roman" w:cs="Times New Roman"/>
              </w:rPr>
              <w:t xml:space="preserve">projektowane </w:t>
            </w:r>
            <w:r w:rsidR="006F310C" w:rsidRPr="00D072D6">
              <w:rPr>
                <w:rFonts w:ascii="Times New Roman" w:hAnsi="Times New Roman" w:cs="Times New Roman"/>
              </w:rPr>
              <w:t xml:space="preserve">rozporządzenie nie reguluje w jaki sposób uprawniony podmiot żąda dostępu do danych w przypadku stosowania art. 45 </w:t>
            </w:r>
            <w:r w:rsidRPr="00D072D6">
              <w:rPr>
                <w:rFonts w:ascii="Times New Roman" w:hAnsi="Times New Roman" w:cs="Times New Roman"/>
              </w:rPr>
              <w:t>PKE</w:t>
            </w:r>
            <w:r w:rsidR="006F310C" w:rsidRPr="00D072D6">
              <w:rPr>
                <w:rFonts w:ascii="Times New Roman" w:hAnsi="Times New Roman" w:cs="Times New Roman"/>
              </w:rPr>
              <w:t xml:space="preserve">. Sposób ten regulują ustawy kompetencyjne uprawnionych podmiotów. </w:t>
            </w:r>
            <w:r w:rsidRPr="00D072D6">
              <w:rPr>
                <w:rFonts w:ascii="Times New Roman" w:hAnsi="Times New Roman" w:cs="Times New Roman"/>
              </w:rPr>
              <w:t>Projektowane r</w:t>
            </w:r>
            <w:r w:rsidR="006F310C" w:rsidRPr="00D072D6">
              <w:rPr>
                <w:rFonts w:ascii="Times New Roman" w:hAnsi="Times New Roman" w:cs="Times New Roman"/>
              </w:rPr>
              <w:t>ozporządzeni</w:t>
            </w:r>
            <w:r w:rsidRPr="00D072D6">
              <w:rPr>
                <w:rFonts w:ascii="Times New Roman" w:hAnsi="Times New Roman" w:cs="Times New Roman"/>
              </w:rPr>
              <w:t>e</w:t>
            </w:r>
            <w:r w:rsidR="006F310C" w:rsidRPr="00D072D6">
              <w:rPr>
                <w:rFonts w:ascii="Times New Roman" w:hAnsi="Times New Roman" w:cs="Times New Roman"/>
              </w:rPr>
              <w:t xml:space="preserve"> reguluje w jaki sposób przedsiębiorca udostępnia dane</w:t>
            </w:r>
            <w:r w:rsidRPr="00D072D6">
              <w:rPr>
                <w:rFonts w:ascii="Times New Roman" w:hAnsi="Times New Roman" w:cs="Times New Roman"/>
              </w:rPr>
              <w:t>;</w:t>
            </w:r>
          </w:p>
          <w:p w14:paraId="13EFC360" w14:textId="7F2DE51D" w:rsidR="00412579" w:rsidRPr="00D072D6" w:rsidRDefault="001F5E85" w:rsidP="00654898">
            <w:pPr>
              <w:pStyle w:val="Bezodstpw"/>
              <w:numPr>
                <w:ilvl w:val="0"/>
                <w:numId w:val="18"/>
              </w:numPr>
              <w:ind w:left="290" w:hanging="270"/>
              <w:jc w:val="both"/>
              <w:rPr>
                <w:rFonts w:ascii="Times New Roman" w:hAnsi="Times New Roman" w:cs="Times New Roman"/>
              </w:rPr>
            </w:pPr>
            <w:r w:rsidRPr="00D072D6">
              <w:rPr>
                <w:rFonts w:ascii="Times New Roman" w:hAnsi="Times New Roman" w:cs="Times New Roman"/>
              </w:rPr>
              <w:t xml:space="preserve">projektowane </w:t>
            </w:r>
            <w:r w:rsidR="005850B4" w:rsidRPr="00D072D6">
              <w:rPr>
                <w:rFonts w:ascii="Times New Roman" w:hAnsi="Times New Roman" w:cs="Times New Roman"/>
              </w:rPr>
              <w:t>r</w:t>
            </w:r>
            <w:r w:rsidR="006F310C" w:rsidRPr="00D072D6">
              <w:rPr>
                <w:rFonts w:ascii="Times New Roman" w:hAnsi="Times New Roman" w:cs="Times New Roman"/>
              </w:rPr>
              <w:t>ozporządzenie stosuje pojęcia ustawowe. KIGEiT nie podaje przykładów braku takiego stosowania.</w:t>
            </w:r>
          </w:p>
        </w:tc>
      </w:tr>
      <w:tr w:rsidR="00650580" w:rsidRPr="00D072D6" w14:paraId="7F88BC3A" w14:textId="77777777" w:rsidTr="00654898">
        <w:tc>
          <w:tcPr>
            <w:tcW w:w="594" w:type="dxa"/>
            <w:tcBorders>
              <w:bottom w:val="single" w:sz="4" w:space="0" w:color="auto"/>
            </w:tcBorders>
          </w:tcPr>
          <w:p w14:paraId="05BB67C4"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01887A50" w14:textId="5B62872D"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2 pkt 7</w:t>
            </w:r>
          </w:p>
        </w:tc>
        <w:tc>
          <w:tcPr>
            <w:tcW w:w="1669" w:type="dxa"/>
            <w:tcBorders>
              <w:bottom w:val="single" w:sz="4" w:space="0" w:color="auto"/>
            </w:tcBorders>
          </w:tcPr>
          <w:p w14:paraId="6BC8F3B3" w14:textId="70A0D03C"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129DC508"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Art. 43 ust. 4 PKE nie określa zapotrzebowania lub treści jakie powinien zawierać taki dokument, określa jedynie sposób postępowania przedsiębiorcy telekomunikacyjnego oraz uprawnionego podmiotu po dostarczeniu do siedziby przedsiębiorcy telekomunikacyjnego zapotrzebowania w formie papierowej lub elektronicznej oraz zakres uzgodnień będących następstwem „zgłoszenia zapotrzebowania”. </w:t>
            </w:r>
          </w:p>
          <w:p w14:paraId="499C89D0"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Tu pojawia się wątpliwość dotycząca podmiotu, który decyduje o formie zapotrzebowania. Czy będzie to uprawniony podmiot, nadawca zapotrzebowania, czy przedsiębiorca telekomunikacyjny – adresat tego zapotrzebowania.</w:t>
            </w:r>
          </w:p>
          <w:p w14:paraId="155FDC76"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Jeżeli taki dokument będzie zawierał informacje niejawne i wykonany będzie w formie elektronicznej, to adresat będzie musiał posiadać ŚBP I stopnia, jeśli będzie to dokument w formie papierowej, to przedsiębiorca telekomunikacyjny będzie musiał posiadać ŚBP II stopnia. </w:t>
            </w:r>
          </w:p>
          <w:p w14:paraId="199963ED"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„Zapotrzebowanie” dotyczy zapewnienia warunków dostępu do komunikatów elektronicznych i danych telekomunikacyjnych oraz ich utrwalania. Natomiast </w:t>
            </w:r>
            <w:r w:rsidRPr="00D072D6">
              <w:rPr>
                <w:rFonts w:ascii="Times New Roman" w:hAnsi="Times New Roman" w:cs="Times New Roman"/>
                <w:bCs w:val="0"/>
                <w:sz w:val="22"/>
                <w:szCs w:val="22"/>
              </w:rPr>
              <w:lastRenderedPageBreak/>
              <w:t>nie dotyczy on danych, o których mowa w art. 45 ust. 1 PKE (no może tylko tych, które są zawarte w art. 43 ust. 1 pkt 1 lit. a tiret drugie PKE).</w:t>
            </w:r>
          </w:p>
          <w:p w14:paraId="2C9B3265"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Podkreślić należy, że na przyjęcie „zapotrzebowania” musi być przygotowany każdy przedsiębiorca telekomunikacyjny bez względu na wielkość, z wyłączeniem wskazanych w § 12 PRRM.</w:t>
            </w:r>
          </w:p>
          <w:p w14:paraId="58E9287A"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Proponuje się doprecyzować tę definicję o zawartość dokumentu oraz zmienić definicję zawartą w §2 pkt 1 PRRM.</w:t>
            </w:r>
          </w:p>
          <w:p w14:paraId="03C2BDB8"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Ustawy „Kompetencyjne” określają dokument, który uprawniony podmiot kieruje do przedsiębiorcy telekomunikacyjnego w celu uzyskania danych telekomunikacyjnych. Przykład: art. 20c ust. 2 pkt 1 ustawy z dnia 6 kwietnia 1990 r. o Policji stanowi, że takim dokumentem jest „pisemny wniosek Komendanta Głównego … ”. W ten sam sposób nazwany jest taki dokument w pozostałych ustawach określających kompetencje uprawnionych podmiotów.</w:t>
            </w:r>
          </w:p>
          <w:p w14:paraId="60F4F6D0"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Ponadto wskazane jest określić zawartość zapotrzebowania dotyczącego korzystania przez uprawnione podmioty z dostępu do komunikatów elektronicznych i danych telekomunikacyjnych.</w:t>
            </w:r>
          </w:p>
          <w:p w14:paraId="173A136A" w14:textId="30AD6188"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Aktualnie brak przepisów określających zawartość treści dokumentów dotyczących korzystania przez uprawnione podmioty z ww. uprawnień.</w:t>
            </w:r>
          </w:p>
        </w:tc>
        <w:tc>
          <w:tcPr>
            <w:tcW w:w="4395" w:type="dxa"/>
            <w:tcBorders>
              <w:bottom w:val="single" w:sz="4" w:space="0" w:color="auto"/>
            </w:tcBorders>
          </w:tcPr>
          <w:p w14:paraId="36D44217" w14:textId="77777777" w:rsidR="00650580" w:rsidRPr="00D072D6" w:rsidRDefault="006E01AF"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nieuwzględniona</w:t>
            </w:r>
          </w:p>
          <w:p w14:paraId="2A07926A" w14:textId="74A2D5BE" w:rsidR="006E01AF" w:rsidRPr="00D072D6" w:rsidRDefault="005850B4" w:rsidP="00654898">
            <w:pPr>
              <w:pStyle w:val="Bezodstpw"/>
              <w:jc w:val="both"/>
              <w:rPr>
                <w:rFonts w:ascii="Times New Roman" w:hAnsi="Times New Roman" w:cs="Times New Roman"/>
              </w:rPr>
            </w:pPr>
            <w:r w:rsidRPr="00D072D6">
              <w:rPr>
                <w:rFonts w:ascii="Times New Roman" w:hAnsi="Times New Roman" w:cs="Times New Roman"/>
              </w:rPr>
              <w:t xml:space="preserve">Upoważnienie ustawowe do wydania </w:t>
            </w:r>
            <w:r w:rsidR="001F5E85" w:rsidRPr="00D072D6">
              <w:rPr>
                <w:rFonts w:ascii="Times New Roman" w:hAnsi="Times New Roman" w:cs="Times New Roman"/>
              </w:rPr>
              <w:t xml:space="preserve">projektowanego </w:t>
            </w:r>
            <w:r w:rsidRPr="00D072D6">
              <w:rPr>
                <w:rFonts w:ascii="Times New Roman" w:hAnsi="Times New Roman" w:cs="Times New Roman"/>
              </w:rPr>
              <w:t>rozporządzenia nie obejmuje regulowania zawartości zapotrzebowania</w:t>
            </w:r>
            <w:r w:rsidR="001F5E85" w:rsidRPr="00D072D6">
              <w:rPr>
                <w:rFonts w:ascii="Times New Roman" w:hAnsi="Times New Roman" w:cs="Times New Roman"/>
              </w:rPr>
              <w:t>.</w:t>
            </w:r>
          </w:p>
        </w:tc>
      </w:tr>
      <w:tr w:rsidR="00283B9A" w:rsidRPr="00D072D6" w14:paraId="19670F72" w14:textId="77777777" w:rsidTr="00654898">
        <w:tc>
          <w:tcPr>
            <w:tcW w:w="594" w:type="dxa"/>
            <w:tcBorders>
              <w:bottom w:val="single" w:sz="4" w:space="0" w:color="auto"/>
            </w:tcBorders>
          </w:tcPr>
          <w:p w14:paraId="094EB606" w14:textId="77777777" w:rsidR="00283B9A" w:rsidRPr="00D072D6" w:rsidRDefault="00283B9A"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2BA9B1E3" w14:textId="0ECEE168" w:rsidR="00283B9A" w:rsidRPr="00D072D6" w:rsidRDefault="00283B9A" w:rsidP="00654898">
            <w:pPr>
              <w:pStyle w:val="Bezodstpw"/>
              <w:jc w:val="center"/>
              <w:rPr>
                <w:rStyle w:val="Ppogrubienie"/>
                <w:rFonts w:ascii="Times New Roman" w:hAnsi="Times New Roman" w:cs="Times New Roman"/>
                <w:b w:val="0"/>
                <w:bCs/>
              </w:rPr>
            </w:pPr>
            <w:r w:rsidRPr="00D072D6">
              <w:rPr>
                <w:rStyle w:val="Ppogrubienie"/>
                <w:rFonts w:ascii="Times New Roman" w:hAnsi="Times New Roman" w:cs="Times New Roman"/>
                <w:b w:val="0"/>
                <w:bCs/>
              </w:rPr>
              <w:t>§ 3 ust. 1</w:t>
            </w:r>
          </w:p>
        </w:tc>
        <w:tc>
          <w:tcPr>
            <w:tcW w:w="1669" w:type="dxa"/>
            <w:tcBorders>
              <w:bottom w:val="single" w:sz="4" w:space="0" w:color="auto"/>
            </w:tcBorders>
          </w:tcPr>
          <w:p w14:paraId="281A23AA" w14:textId="432560DE" w:rsidR="00283B9A" w:rsidRPr="00D072D6" w:rsidRDefault="00283B9A"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66AA0ECC" w14:textId="77777777" w:rsidR="00ED78C7" w:rsidRPr="00D072D6" w:rsidRDefault="00ED78C7" w:rsidP="00654898">
            <w:pPr>
              <w:pStyle w:val="ARTartustawynprozporzdzenia"/>
              <w:spacing w:before="0" w:line="240" w:lineRule="auto"/>
              <w:ind w:left="62" w:firstLine="0"/>
              <w:rPr>
                <w:rFonts w:ascii="Times New Roman" w:eastAsia="Calibri" w:hAnsi="Times New Roman" w:cs="Times New Roman"/>
                <w:i/>
                <w:iCs/>
                <w:sz w:val="22"/>
                <w:szCs w:val="22"/>
                <w:lang w:eastAsia="en-US"/>
              </w:rPr>
            </w:pPr>
            <w:r w:rsidRPr="00D072D6">
              <w:rPr>
                <w:rFonts w:ascii="Times New Roman" w:eastAsia="Calibri" w:hAnsi="Times New Roman" w:cs="Times New Roman"/>
                <w:b/>
                <w:i/>
                <w:iCs/>
                <w:sz w:val="22"/>
                <w:szCs w:val="22"/>
                <w:lang w:eastAsia="en-US"/>
              </w:rPr>
              <w:t>§ 3.</w:t>
            </w:r>
            <w:r w:rsidRPr="00D072D6">
              <w:rPr>
                <w:rFonts w:ascii="Times New Roman" w:eastAsia="Calibri" w:hAnsi="Times New Roman" w:cs="Times New Roman"/>
                <w:i/>
                <w:iCs/>
                <w:sz w:val="22"/>
                <w:szCs w:val="22"/>
                <w:lang w:eastAsia="en-US"/>
              </w:rPr>
              <w:t xml:space="preserve"> 1. Przedsiębiorca telekomunikacyjny zapewnia możliwość zgłoszenia zapotrzebowania w siedzibie przedsiębiorcy telekomunikacyjnego lub jednostki organizacyjnej lub osobie, o których mowa w art. 51 ust. 1 pkt 1 ustawy, lub upoważnionemu pracownikowi, o którym mowa w ust. 2, lub w systemie teleinformatycznym przedsiębiorcy telekomunikacyjnego </w:t>
            </w:r>
            <w:r w:rsidRPr="00D072D6">
              <w:rPr>
                <w:rFonts w:ascii="Times New Roman" w:eastAsia="Calibri" w:hAnsi="Times New Roman" w:cs="Times New Roman"/>
                <w:i/>
                <w:iCs/>
                <w:strike/>
                <w:sz w:val="22"/>
                <w:szCs w:val="22"/>
                <w:lang w:eastAsia="en-US"/>
              </w:rPr>
              <w:t>za pomocą interfejsu HI A-B</w:t>
            </w:r>
            <w:r w:rsidRPr="00D072D6">
              <w:rPr>
                <w:rFonts w:ascii="Times New Roman" w:eastAsia="Calibri" w:hAnsi="Times New Roman" w:cs="Times New Roman"/>
                <w:i/>
                <w:iCs/>
                <w:sz w:val="22"/>
                <w:szCs w:val="22"/>
                <w:lang w:eastAsia="en-US"/>
              </w:rPr>
              <w:t xml:space="preserve"> lub </w:t>
            </w:r>
            <w:r w:rsidRPr="00D072D6">
              <w:rPr>
                <w:rFonts w:ascii="Times New Roman" w:eastAsia="Calibri" w:hAnsi="Times New Roman" w:cs="Times New Roman"/>
                <w:b/>
                <w:bCs/>
                <w:i/>
                <w:iCs/>
                <w:sz w:val="22"/>
                <w:szCs w:val="22"/>
                <w:lang w:eastAsia="en-US"/>
              </w:rPr>
              <w:t>za pomocą</w:t>
            </w:r>
            <w:r w:rsidRPr="00D072D6">
              <w:rPr>
                <w:rFonts w:ascii="Times New Roman" w:eastAsia="Calibri" w:hAnsi="Times New Roman" w:cs="Times New Roman"/>
                <w:i/>
                <w:iCs/>
                <w:sz w:val="22"/>
                <w:szCs w:val="22"/>
                <w:lang w:eastAsia="en-US"/>
              </w:rPr>
              <w:t xml:space="preserve"> interfejsu LI HI:</w:t>
            </w:r>
          </w:p>
          <w:p w14:paraId="25069BF1" w14:textId="77777777" w:rsidR="00ED78C7" w:rsidRPr="00D072D6" w:rsidRDefault="00ED78C7" w:rsidP="00654898">
            <w:pPr>
              <w:pStyle w:val="PKTpunkt"/>
              <w:spacing w:line="240" w:lineRule="auto"/>
              <w:ind w:left="62" w:firstLine="0"/>
              <w:rPr>
                <w:rFonts w:ascii="Times New Roman" w:eastAsia="Calibri" w:hAnsi="Times New Roman" w:cs="Times New Roman"/>
                <w:b/>
                <w:i/>
                <w:iCs/>
                <w:strike/>
                <w:sz w:val="22"/>
                <w:szCs w:val="22"/>
                <w:lang w:eastAsia="en-US"/>
              </w:rPr>
            </w:pPr>
            <w:r w:rsidRPr="00D072D6">
              <w:rPr>
                <w:rFonts w:ascii="Times New Roman" w:eastAsia="Calibri" w:hAnsi="Times New Roman" w:cs="Times New Roman"/>
                <w:bCs w:val="0"/>
                <w:i/>
                <w:iCs/>
                <w:sz w:val="22"/>
                <w:szCs w:val="22"/>
                <w:lang w:eastAsia="en-US"/>
              </w:rPr>
              <w:t>1)</w:t>
            </w:r>
            <w:r w:rsidRPr="00D072D6">
              <w:rPr>
                <w:rFonts w:ascii="Times New Roman" w:eastAsia="Calibri" w:hAnsi="Times New Roman" w:cs="Times New Roman"/>
                <w:bCs w:val="0"/>
                <w:i/>
                <w:iCs/>
                <w:sz w:val="22"/>
                <w:szCs w:val="22"/>
                <w:lang w:eastAsia="en-US"/>
              </w:rPr>
              <w:tab/>
              <w:t xml:space="preserve">całodobowo – w przypadku </w:t>
            </w:r>
            <w:r w:rsidRPr="00D072D6">
              <w:rPr>
                <w:rFonts w:ascii="Times New Roman" w:eastAsia="Calibri" w:hAnsi="Times New Roman" w:cs="Times New Roman"/>
                <w:b/>
                <w:i/>
                <w:iCs/>
                <w:sz w:val="22"/>
                <w:szCs w:val="22"/>
                <w:lang w:eastAsia="en-US"/>
              </w:rPr>
              <w:t>zapotrzebowań zgłaszanych w systemie teleinformatycznych lub za pomocą  interfejsu LI HI o</w:t>
            </w:r>
            <w:r w:rsidRPr="00D072D6">
              <w:rPr>
                <w:rFonts w:ascii="Times New Roman" w:eastAsia="Calibri" w:hAnsi="Times New Roman" w:cs="Times New Roman"/>
                <w:bCs w:val="0"/>
                <w:i/>
                <w:iCs/>
                <w:sz w:val="22"/>
                <w:szCs w:val="22"/>
                <w:lang w:eastAsia="en-US"/>
              </w:rPr>
              <w:t xml:space="preserve"> </w:t>
            </w:r>
            <w:r w:rsidRPr="00D072D6">
              <w:rPr>
                <w:rFonts w:ascii="Times New Roman" w:eastAsia="Calibri" w:hAnsi="Times New Roman" w:cs="Times New Roman"/>
                <w:bCs w:val="0"/>
                <w:i/>
                <w:iCs/>
                <w:strike/>
                <w:sz w:val="22"/>
                <w:szCs w:val="22"/>
                <w:lang w:eastAsia="en-US"/>
              </w:rPr>
              <w:t>przedsiębiorcy telekomunikacyjnego, o którym mowa § 4 ust. 1, oraz przedsiębiorcy telekomunikacyjnego, o którym mowa w § 5 ust. 1, jeśli stosuje  interfejs LI HI</w:t>
            </w:r>
            <w:r w:rsidRPr="00D072D6">
              <w:rPr>
                <w:rFonts w:ascii="Times New Roman" w:eastAsia="Calibri" w:hAnsi="Times New Roman" w:cs="Times New Roman"/>
                <w:b/>
                <w:i/>
                <w:iCs/>
                <w:strike/>
                <w:sz w:val="22"/>
                <w:szCs w:val="22"/>
                <w:lang w:eastAsia="en-US"/>
              </w:rPr>
              <w:t>;</w:t>
            </w:r>
          </w:p>
          <w:p w14:paraId="09993011" w14:textId="77777777" w:rsidR="00ED78C7" w:rsidRPr="00D072D6" w:rsidRDefault="00ED78C7" w:rsidP="00654898">
            <w:pPr>
              <w:pStyle w:val="PKTpunkt"/>
              <w:spacing w:line="240" w:lineRule="auto"/>
              <w:ind w:left="62" w:firstLine="0"/>
              <w:rPr>
                <w:rFonts w:ascii="Times New Roman" w:eastAsia="Calibri" w:hAnsi="Times New Roman" w:cs="Times New Roman"/>
                <w:bCs w:val="0"/>
                <w:i/>
                <w:iCs/>
                <w:strike/>
                <w:sz w:val="22"/>
                <w:szCs w:val="22"/>
                <w:lang w:eastAsia="en-US"/>
              </w:rPr>
            </w:pPr>
            <w:r w:rsidRPr="00D072D6">
              <w:rPr>
                <w:rFonts w:ascii="Times New Roman" w:eastAsia="Calibri" w:hAnsi="Times New Roman" w:cs="Times New Roman"/>
                <w:bCs w:val="0"/>
                <w:i/>
                <w:iCs/>
                <w:sz w:val="22"/>
                <w:szCs w:val="22"/>
                <w:lang w:eastAsia="en-US"/>
              </w:rPr>
              <w:t>2)</w:t>
            </w:r>
            <w:r w:rsidRPr="00D072D6">
              <w:rPr>
                <w:rFonts w:ascii="Times New Roman" w:eastAsia="Calibri" w:hAnsi="Times New Roman" w:cs="Times New Roman"/>
                <w:bCs w:val="0"/>
                <w:i/>
                <w:iCs/>
                <w:sz w:val="22"/>
                <w:szCs w:val="22"/>
                <w:lang w:eastAsia="en-US"/>
              </w:rPr>
              <w:tab/>
              <w:t xml:space="preserve">w dni robocze w godzinach od 8:00 do 16:00 – w przypadku </w:t>
            </w:r>
            <w:r w:rsidRPr="00D072D6">
              <w:rPr>
                <w:rFonts w:ascii="Times New Roman" w:eastAsia="Calibri" w:hAnsi="Times New Roman" w:cs="Times New Roman"/>
                <w:b/>
                <w:i/>
                <w:iCs/>
                <w:sz w:val="22"/>
                <w:szCs w:val="22"/>
                <w:lang w:eastAsia="en-US"/>
              </w:rPr>
              <w:t>zapotrzebowań nie zgłaszanych w systemie teleinformatycznych lub za pomocą  interfejsu LI HI</w:t>
            </w:r>
            <w:r w:rsidRPr="00D072D6">
              <w:rPr>
                <w:rFonts w:ascii="Times New Roman" w:eastAsia="Calibri" w:hAnsi="Times New Roman" w:cs="Times New Roman"/>
                <w:bCs w:val="0"/>
                <w:i/>
                <w:iCs/>
                <w:sz w:val="22"/>
                <w:szCs w:val="22"/>
                <w:lang w:eastAsia="en-US"/>
              </w:rPr>
              <w:t xml:space="preserve"> </w:t>
            </w:r>
            <w:r w:rsidRPr="00D072D6">
              <w:rPr>
                <w:rFonts w:ascii="Times New Roman" w:eastAsia="Calibri" w:hAnsi="Times New Roman" w:cs="Times New Roman"/>
                <w:bCs w:val="0"/>
                <w:i/>
                <w:iCs/>
                <w:strike/>
                <w:sz w:val="22"/>
                <w:szCs w:val="22"/>
                <w:lang w:eastAsia="en-US"/>
              </w:rPr>
              <w:t>przedsiębiorcy telekomunikacyjnego, o którym mowa w § 5 ust. 1, jeśli nie stosuje interfejsu LI HI.</w:t>
            </w:r>
          </w:p>
          <w:p w14:paraId="7433E6A5" w14:textId="77777777" w:rsidR="00283B9A" w:rsidRPr="00D072D6" w:rsidRDefault="00283B9A" w:rsidP="00654898">
            <w:pPr>
              <w:spacing w:line="259" w:lineRule="auto"/>
              <w:ind w:left="-5" w:right="5298"/>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37E81116" w14:textId="4EF0EEA0" w:rsidR="00283B9A" w:rsidRPr="00D072D6" w:rsidRDefault="00283B9A" w:rsidP="00654898">
            <w:pPr>
              <w:ind w:left="-6"/>
              <w:jc w:val="both"/>
              <w:rPr>
                <w:rFonts w:eastAsia="Calibri"/>
                <w:sz w:val="22"/>
                <w:szCs w:val="22"/>
              </w:rPr>
            </w:pPr>
            <w:r w:rsidRPr="00D072D6">
              <w:rPr>
                <w:sz w:val="22"/>
                <w:szCs w:val="22"/>
              </w:rPr>
              <w:t>Zgodnie z wcześniejszą ogólną uwagą dot. interfejsu HI A</w:t>
            </w:r>
            <w:r w:rsidRPr="00D072D6">
              <w:rPr>
                <w:rFonts w:eastAsia="Calibri"/>
                <w:sz w:val="22"/>
                <w:szCs w:val="22"/>
              </w:rPr>
              <w:t>-</w:t>
            </w:r>
            <w:r w:rsidRPr="00D072D6">
              <w:rPr>
                <w:sz w:val="22"/>
                <w:szCs w:val="22"/>
              </w:rPr>
              <w:t xml:space="preserve">B Izba postuluje usunięcie z treści rozporządzeń przepisów referujących do tego interfejsu. </w:t>
            </w:r>
            <w:r w:rsidRPr="00D072D6">
              <w:rPr>
                <w:rFonts w:eastAsia="Calibri"/>
                <w:sz w:val="22"/>
                <w:szCs w:val="22"/>
              </w:rPr>
              <w:t xml:space="preserve"> </w:t>
            </w:r>
          </w:p>
          <w:p w14:paraId="05D938B0" w14:textId="77777777" w:rsidR="001F5E85" w:rsidRPr="00D072D6" w:rsidRDefault="001F5E85" w:rsidP="00654898">
            <w:pPr>
              <w:ind w:left="-6"/>
              <w:jc w:val="both"/>
              <w:rPr>
                <w:sz w:val="22"/>
                <w:szCs w:val="22"/>
              </w:rPr>
            </w:pPr>
          </w:p>
          <w:p w14:paraId="0DD6EE34" w14:textId="5CE454DA" w:rsidR="00283B9A" w:rsidRPr="00D072D6" w:rsidRDefault="00283B9A" w:rsidP="00654898">
            <w:pPr>
              <w:pStyle w:val="ARTartustawynprozporzdzenia"/>
              <w:spacing w:before="0" w:line="240" w:lineRule="auto"/>
              <w:ind w:firstLine="0"/>
              <w:rPr>
                <w:rStyle w:val="Ppogrubienie"/>
                <w:rFonts w:ascii="Times New Roman" w:hAnsi="Times New Roman" w:cs="Times New Roman"/>
                <w:b w:val="0"/>
                <w:bCs/>
                <w:sz w:val="22"/>
                <w:szCs w:val="22"/>
              </w:rPr>
            </w:pPr>
            <w:r w:rsidRPr="00D072D6">
              <w:rPr>
                <w:rFonts w:ascii="Times New Roman" w:hAnsi="Times New Roman" w:cs="Times New Roman"/>
                <w:sz w:val="22"/>
                <w:szCs w:val="22"/>
              </w:rPr>
              <w:t>W dalszej części Izba pragnie zauważyć, że całodobowa obsługa zapotrzebowań zgłaszanych przez podmioty uprawnione jest możliwa do realizacji –</w:t>
            </w:r>
            <w:r w:rsidRPr="00D072D6">
              <w:rPr>
                <w:rFonts w:ascii="Times New Roman" w:eastAsia="Calibri" w:hAnsi="Times New Roman" w:cs="Times New Roman"/>
                <w:sz w:val="22"/>
                <w:szCs w:val="22"/>
              </w:rPr>
              <w:t xml:space="preserve"> i tak jest w tej chwili realizowana - w przypadku </w:t>
            </w:r>
            <w:r w:rsidRPr="00D072D6">
              <w:rPr>
                <w:rFonts w:ascii="Times New Roman" w:hAnsi="Times New Roman" w:cs="Times New Roman"/>
                <w:sz w:val="22"/>
                <w:szCs w:val="22"/>
              </w:rPr>
              <w:t xml:space="preserve">wykorzystania </w:t>
            </w:r>
            <w:r w:rsidRPr="00D072D6">
              <w:rPr>
                <w:rFonts w:ascii="Times New Roman" w:hAnsi="Times New Roman" w:cs="Times New Roman"/>
                <w:sz w:val="22"/>
                <w:szCs w:val="22"/>
              </w:rPr>
              <w:lastRenderedPageBreak/>
              <w:t>automatycznych lub półautomatycznych rozwiązań teleinformatycznych, które umożliwiają  bezpośrednią komunikację i obsługę zapotrzebowań w celu realizacji obowiązków określonych w art. 43 ust. 1 PKE oraz art. 45 ust. 1 PKE</w:t>
            </w:r>
          </w:p>
        </w:tc>
        <w:tc>
          <w:tcPr>
            <w:tcW w:w="4395" w:type="dxa"/>
            <w:tcBorders>
              <w:bottom w:val="single" w:sz="4" w:space="0" w:color="auto"/>
            </w:tcBorders>
          </w:tcPr>
          <w:p w14:paraId="591963AE" w14:textId="1CD8525A" w:rsidR="00325476" w:rsidRPr="00D072D6" w:rsidRDefault="00573F97" w:rsidP="00654898">
            <w:pPr>
              <w:pStyle w:val="Bezodstpw"/>
              <w:jc w:val="both"/>
              <w:rPr>
                <w:rFonts w:ascii="Times New Roman" w:hAnsi="Times New Roman" w:cs="Times New Roman"/>
              </w:rPr>
            </w:pPr>
            <w:r w:rsidRPr="00D072D6">
              <w:rPr>
                <w:rFonts w:ascii="Times New Roman" w:hAnsi="Times New Roman" w:cs="Times New Roman"/>
                <w:b/>
                <w:bCs/>
              </w:rPr>
              <w:lastRenderedPageBreak/>
              <w:t xml:space="preserve">Uwaga </w:t>
            </w:r>
            <w:r w:rsidR="00325476" w:rsidRPr="00D072D6">
              <w:rPr>
                <w:rFonts w:ascii="Times New Roman" w:hAnsi="Times New Roman" w:cs="Times New Roman"/>
                <w:b/>
                <w:bCs/>
              </w:rPr>
              <w:t xml:space="preserve">częściowo </w:t>
            </w:r>
            <w:r w:rsidRPr="00D072D6">
              <w:rPr>
                <w:rFonts w:ascii="Times New Roman" w:hAnsi="Times New Roman" w:cs="Times New Roman"/>
                <w:b/>
                <w:bCs/>
              </w:rPr>
              <w:t>uwzględniona</w:t>
            </w:r>
          </w:p>
          <w:p w14:paraId="0ED295E5" w14:textId="77777777" w:rsidR="0048171B" w:rsidRPr="00D072D6" w:rsidRDefault="0048171B" w:rsidP="00654898">
            <w:pPr>
              <w:pStyle w:val="Bezodstpw"/>
              <w:jc w:val="both"/>
              <w:rPr>
                <w:rFonts w:ascii="Times New Roman" w:eastAsia="Times New Roman" w:hAnsi="Times New Roman" w:cs="Times New Roman"/>
                <w:lang w:eastAsia="pl-PL"/>
              </w:rPr>
            </w:pPr>
          </w:p>
          <w:p w14:paraId="337A6AFB" w14:textId="38240DA1" w:rsidR="0048171B" w:rsidRPr="00D072D6" w:rsidRDefault="0048171B"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b/>
                <w:bCs/>
                <w:lang w:eastAsia="pl-PL"/>
              </w:rPr>
              <w:t>Uwaga nieuwzględniona</w:t>
            </w:r>
            <w:r w:rsidRPr="00D072D6">
              <w:rPr>
                <w:rFonts w:ascii="Times New Roman" w:eastAsia="Times New Roman" w:hAnsi="Times New Roman" w:cs="Times New Roman"/>
                <w:lang w:eastAsia="pl-PL"/>
              </w:rPr>
              <w:t xml:space="preserve"> w zakresie skreślenia interfejsu HI A-B.</w:t>
            </w:r>
          </w:p>
          <w:p w14:paraId="504393BC" w14:textId="4A36CD9A" w:rsidR="00325476" w:rsidRPr="00D072D6" w:rsidRDefault="00325476"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4B877CDF" w14:textId="311D7C00" w:rsidR="00325476" w:rsidRPr="00D072D6" w:rsidRDefault="00325476"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W trakcie warsztatów </w:t>
            </w:r>
            <w:r w:rsidR="001F5E85" w:rsidRPr="00D072D6">
              <w:rPr>
                <w:rFonts w:ascii="Times New Roman" w:eastAsia="Times New Roman" w:hAnsi="Times New Roman" w:cs="Times New Roman"/>
                <w:lang w:eastAsia="pl-PL"/>
              </w:rPr>
              <w:t>z udziałem przedstawicieli uprawnionych podmiotów i</w:t>
            </w:r>
            <w:r w:rsidR="001E2CBD">
              <w:rPr>
                <w:rFonts w:ascii="Times New Roman" w:eastAsia="Times New Roman" w:hAnsi="Times New Roman" w:cs="Times New Roman"/>
                <w:lang w:eastAsia="pl-PL"/>
              </w:rPr>
              <w:t> </w:t>
            </w:r>
            <w:r w:rsidR="001F5E85" w:rsidRPr="00D072D6">
              <w:rPr>
                <w:rFonts w:ascii="Times New Roman" w:eastAsia="Times New Roman" w:hAnsi="Times New Roman" w:cs="Times New Roman"/>
                <w:lang w:eastAsia="pl-PL"/>
              </w:rPr>
              <w:t xml:space="preserve">przedsiębiorców telekomunikacyjnych zorganizowanych przez projektodawcę </w:t>
            </w:r>
            <w:r w:rsidRPr="00D072D6">
              <w:rPr>
                <w:rFonts w:ascii="Times New Roman" w:eastAsia="Times New Roman" w:hAnsi="Times New Roman" w:cs="Times New Roman"/>
                <w:lang w:eastAsia="pl-PL"/>
              </w:rPr>
              <w:t>uprawnione podmioty wyraziły negatywną opinię w kwestii usunięcia przepisów dotyczących interfejsu HI A-B</w:t>
            </w:r>
            <w:r w:rsidR="001E2CBD">
              <w:rPr>
                <w:rFonts w:ascii="Times New Roman" w:eastAsia="Times New Roman" w:hAnsi="Times New Roman" w:cs="Times New Roman"/>
                <w:lang w:eastAsia="pl-PL"/>
              </w:rPr>
              <w:t>.</w:t>
            </w:r>
          </w:p>
          <w:p w14:paraId="5ECB9F25" w14:textId="77777777" w:rsidR="00325476" w:rsidRPr="00D072D6" w:rsidRDefault="00325476" w:rsidP="00654898">
            <w:pPr>
              <w:pStyle w:val="Bezodstpw"/>
              <w:jc w:val="both"/>
              <w:rPr>
                <w:rFonts w:ascii="Times New Roman" w:hAnsi="Times New Roman" w:cs="Times New Roman"/>
              </w:rPr>
            </w:pPr>
          </w:p>
          <w:p w14:paraId="3897B1F8" w14:textId="77777777" w:rsidR="001F5E85" w:rsidRPr="00D072D6" w:rsidRDefault="001F5E85" w:rsidP="00654898">
            <w:pPr>
              <w:pStyle w:val="Bezodstpw"/>
              <w:jc w:val="both"/>
              <w:rPr>
                <w:rFonts w:ascii="Times New Roman" w:hAnsi="Times New Roman" w:cs="Times New Roman"/>
                <w:b/>
                <w:bCs/>
              </w:rPr>
            </w:pPr>
          </w:p>
          <w:p w14:paraId="5ABC4807" w14:textId="77777777" w:rsidR="001F5E85" w:rsidRPr="00D072D6" w:rsidRDefault="001F5E85" w:rsidP="00654898">
            <w:pPr>
              <w:pStyle w:val="Bezodstpw"/>
              <w:jc w:val="both"/>
              <w:rPr>
                <w:rFonts w:ascii="Times New Roman" w:hAnsi="Times New Roman" w:cs="Times New Roman"/>
                <w:b/>
                <w:bCs/>
              </w:rPr>
            </w:pPr>
          </w:p>
          <w:p w14:paraId="6CFAD2A5" w14:textId="77777777" w:rsidR="001F5E85" w:rsidRPr="00D072D6" w:rsidRDefault="001F5E85" w:rsidP="00654898">
            <w:pPr>
              <w:pStyle w:val="Bezodstpw"/>
              <w:jc w:val="both"/>
              <w:rPr>
                <w:rFonts w:ascii="Times New Roman" w:hAnsi="Times New Roman" w:cs="Times New Roman"/>
                <w:b/>
                <w:bCs/>
              </w:rPr>
            </w:pPr>
          </w:p>
          <w:p w14:paraId="260BD93C" w14:textId="77777777" w:rsidR="001F5E85" w:rsidRPr="00D072D6" w:rsidRDefault="001F5E85" w:rsidP="00654898">
            <w:pPr>
              <w:pStyle w:val="Bezodstpw"/>
              <w:jc w:val="both"/>
              <w:rPr>
                <w:rFonts w:ascii="Times New Roman" w:hAnsi="Times New Roman" w:cs="Times New Roman"/>
                <w:b/>
                <w:bCs/>
              </w:rPr>
            </w:pPr>
          </w:p>
          <w:p w14:paraId="309BF165" w14:textId="0193259B" w:rsidR="00325476" w:rsidRPr="00D072D6" w:rsidRDefault="0048171B" w:rsidP="00654898">
            <w:pPr>
              <w:pStyle w:val="Bezodstpw"/>
              <w:jc w:val="both"/>
              <w:rPr>
                <w:rFonts w:ascii="Times New Roman" w:hAnsi="Times New Roman" w:cs="Times New Roman"/>
              </w:rPr>
            </w:pPr>
            <w:r w:rsidRPr="00D072D6">
              <w:rPr>
                <w:rFonts w:ascii="Times New Roman" w:hAnsi="Times New Roman" w:cs="Times New Roman"/>
                <w:b/>
                <w:bCs/>
              </w:rPr>
              <w:t>Uwaga uwzględniona</w:t>
            </w:r>
            <w:r w:rsidRPr="00D072D6">
              <w:rPr>
                <w:rFonts w:ascii="Times New Roman" w:hAnsi="Times New Roman" w:cs="Times New Roman"/>
              </w:rPr>
              <w:t xml:space="preserve"> w kwestii</w:t>
            </w:r>
            <w:r w:rsidR="00325476" w:rsidRPr="00D072D6">
              <w:rPr>
                <w:rFonts w:ascii="Times New Roman" w:hAnsi="Times New Roman" w:cs="Times New Roman"/>
              </w:rPr>
              <w:t xml:space="preserve"> uzupełnienia o „</w:t>
            </w:r>
            <w:r w:rsidR="00325476" w:rsidRPr="00D072D6">
              <w:rPr>
                <w:rFonts w:ascii="Times New Roman" w:eastAsia="Calibri" w:hAnsi="Times New Roman" w:cs="Times New Roman"/>
                <w:i/>
                <w:iCs/>
              </w:rPr>
              <w:t xml:space="preserve">zapotrzebowań zgłaszanych </w:t>
            </w:r>
            <w:r w:rsidR="00325476" w:rsidRPr="00D072D6">
              <w:rPr>
                <w:rFonts w:ascii="Times New Roman" w:eastAsia="Calibri" w:hAnsi="Times New Roman" w:cs="Times New Roman"/>
                <w:i/>
                <w:iCs/>
              </w:rPr>
              <w:lastRenderedPageBreak/>
              <w:t xml:space="preserve">w systemie teleinformatycznych lub za pomocą  interfejsu LI HI” </w:t>
            </w:r>
            <w:r w:rsidRPr="00D072D6">
              <w:rPr>
                <w:rFonts w:ascii="Times New Roman" w:eastAsia="Calibri" w:hAnsi="Times New Roman" w:cs="Times New Roman"/>
              </w:rPr>
              <w:t xml:space="preserve">oraz </w:t>
            </w:r>
            <w:r w:rsidR="00F41C32" w:rsidRPr="00D072D6">
              <w:rPr>
                <w:rFonts w:ascii="Times New Roman" w:eastAsia="Calibri" w:hAnsi="Times New Roman" w:cs="Times New Roman"/>
              </w:rPr>
              <w:t>drugich części zdań w punktach 1 i 2.</w:t>
            </w:r>
          </w:p>
          <w:p w14:paraId="5C238C1E" w14:textId="05164B15" w:rsidR="00573F97" w:rsidRPr="00D072D6" w:rsidRDefault="00573F97" w:rsidP="00654898">
            <w:pPr>
              <w:pStyle w:val="Bezodstpw"/>
              <w:jc w:val="both"/>
              <w:rPr>
                <w:rFonts w:ascii="Times New Roman" w:hAnsi="Times New Roman" w:cs="Times New Roman"/>
              </w:rPr>
            </w:pPr>
          </w:p>
          <w:p w14:paraId="381B3D02" w14:textId="77777777" w:rsidR="00573F97" w:rsidRPr="00D072D6" w:rsidRDefault="00573F97" w:rsidP="00654898">
            <w:pPr>
              <w:pStyle w:val="Bezodstpw"/>
              <w:jc w:val="both"/>
              <w:rPr>
                <w:rFonts w:ascii="Times New Roman" w:hAnsi="Times New Roman" w:cs="Times New Roman"/>
              </w:rPr>
            </w:pPr>
          </w:p>
          <w:p w14:paraId="097CF246" w14:textId="3FFA8D8A" w:rsidR="00573F97" w:rsidRPr="00D072D6" w:rsidRDefault="00573F97" w:rsidP="00654898">
            <w:pPr>
              <w:pStyle w:val="Bezodstpw"/>
              <w:jc w:val="both"/>
              <w:rPr>
                <w:rFonts w:ascii="Times New Roman" w:hAnsi="Times New Roman" w:cs="Times New Roman"/>
              </w:rPr>
            </w:pPr>
          </w:p>
        </w:tc>
      </w:tr>
      <w:tr w:rsidR="00650580" w:rsidRPr="00D072D6" w14:paraId="1BC53BCE" w14:textId="77777777" w:rsidTr="00654898">
        <w:tc>
          <w:tcPr>
            <w:tcW w:w="594" w:type="dxa"/>
            <w:tcBorders>
              <w:bottom w:val="single" w:sz="4" w:space="0" w:color="auto"/>
            </w:tcBorders>
          </w:tcPr>
          <w:p w14:paraId="68DF7EC3"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610EEA23" w14:textId="71BEE24D"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3 ust. 1 pkt 1</w:t>
            </w:r>
          </w:p>
        </w:tc>
        <w:tc>
          <w:tcPr>
            <w:tcW w:w="1669" w:type="dxa"/>
            <w:tcBorders>
              <w:bottom w:val="single" w:sz="4" w:space="0" w:color="auto"/>
            </w:tcBorders>
          </w:tcPr>
          <w:p w14:paraId="14391EC1" w14:textId="2B5FE226"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6FC61471" w14:textId="77777777" w:rsidR="00650580" w:rsidRPr="00D072D6" w:rsidRDefault="00650580" w:rsidP="00654898">
            <w:pPr>
              <w:pStyle w:val="PKTpunkt"/>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Aby zapewnić możliwość zgłaszania zapotrzebowania całodobowo w siedzibie przedsiębiorcy, to przedsiębiorca ten musi zatrudnić co najmniej 5 osób.</w:t>
            </w:r>
          </w:p>
          <w:p w14:paraId="6E5D8403" w14:textId="015F3667"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Jeśli zapotrzebowanie zawiera informacje niejawne to dokument taki musi trafić do kancelarii tajnej tego przedsiębiorcy, Oznacza to, że w każdym przedsiębiorstwie telekomunikacyjnym, o którym mowa §</w:t>
            </w:r>
            <w:r w:rsidR="003D7705" w:rsidRPr="00D072D6">
              <w:rPr>
                <w:rFonts w:ascii="Times New Roman" w:hAnsi="Times New Roman" w:cs="Times New Roman"/>
              </w:rPr>
              <w:t xml:space="preserve"> </w:t>
            </w:r>
            <w:r w:rsidRPr="00D072D6">
              <w:rPr>
                <w:rFonts w:ascii="Times New Roman" w:hAnsi="Times New Roman" w:cs="Times New Roman"/>
              </w:rPr>
              <w:t>4 ust</w:t>
            </w:r>
            <w:r w:rsidR="00AB583B" w:rsidRPr="00D072D6">
              <w:rPr>
                <w:rFonts w:ascii="Times New Roman" w:hAnsi="Times New Roman" w:cs="Times New Roman"/>
              </w:rPr>
              <w:t xml:space="preserve">. </w:t>
            </w:r>
            <w:r w:rsidRPr="00D072D6">
              <w:rPr>
                <w:rFonts w:ascii="Times New Roman" w:hAnsi="Times New Roman" w:cs="Times New Roman"/>
              </w:rPr>
              <w:t>1 PRRM, należy zatrudnić co najmniej 5-cio osobowy personel kancelarii tajnej.</w:t>
            </w:r>
          </w:p>
        </w:tc>
        <w:tc>
          <w:tcPr>
            <w:tcW w:w="4395" w:type="dxa"/>
            <w:tcBorders>
              <w:bottom w:val="single" w:sz="4" w:space="0" w:color="auto"/>
            </w:tcBorders>
          </w:tcPr>
          <w:p w14:paraId="53CDDB61" w14:textId="60F13660" w:rsidR="00650580" w:rsidRPr="00D072D6" w:rsidRDefault="003D7705"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39D2BC46" w14:textId="45395B1E" w:rsidR="003D7705" w:rsidRPr="00D072D6" w:rsidRDefault="003D7705" w:rsidP="00654898">
            <w:pPr>
              <w:pStyle w:val="Bezodstpw"/>
              <w:jc w:val="both"/>
              <w:rPr>
                <w:rFonts w:ascii="Times New Roman" w:hAnsi="Times New Roman" w:cs="Times New Roman"/>
              </w:rPr>
            </w:pPr>
            <w:r w:rsidRPr="00D072D6">
              <w:rPr>
                <w:rFonts w:ascii="Times New Roman" w:hAnsi="Times New Roman" w:cs="Times New Roman"/>
              </w:rPr>
              <w:t xml:space="preserve">Przyjmowanie zgłoszeń całodobowo odbywa się tylko </w:t>
            </w:r>
            <w:r w:rsidR="00E76A17" w:rsidRPr="00D072D6">
              <w:rPr>
                <w:rFonts w:ascii="Times New Roman" w:hAnsi="Times New Roman" w:cs="Times New Roman"/>
              </w:rPr>
              <w:t xml:space="preserve">dla </w:t>
            </w:r>
            <w:r w:rsidRPr="00D072D6">
              <w:rPr>
                <w:rFonts w:ascii="Times New Roman" w:hAnsi="Times New Roman" w:cs="Times New Roman"/>
              </w:rPr>
              <w:t>zgłoszeń dokonywanych w</w:t>
            </w:r>
            <w:r w:rsidR="001E2CBD">
              <w:rPr>
                <w:rFonts w:ascii="Times New Roman" w:hAnsi="Times New Roman" w:cs="Times New Roman"/>
              </w:rPr>
              <w:t> </w:t>
            </w:r>
            <w:r w:rsidRPr="00D072D6">
              <w:rPr>
                <w:rFonts w:ascii="Times New Roman" w:hAnsi="Times New Roman" w:cs="Times New Roman"/>
              </w:rPr>
              <w:t>systemie teleinformatycznym lub przez interfejs.</w:t>
            </w:r>
          </w:p>
          <w:p w14:paraId="149E663F" w14:textId="18FF41C1" w:rsidR="003D7705" w:rsidRPr="00D072D6" w:rsidRDefault="00E76A17" w:rsidP="00654898">
            <w:pPr>
              <w:pStyle w:val="Bezodstpw"/>
              <w:jc w:val="both"/>
              <w:rPr>
                <w:rFonts w:ascii="Times New Roman" w:hAnsi="Times New Roman" w:cs="Times New Roman"/>
              </w:rPr>
            </w:pPr>
            <w:r w:rsidRPr="00D072D6">
              <w:rPr>
                <w:rFonts w:ascii="Times New Roman" w:hAnsi="Times New Roman" w:cs="Times New Roman"/>
              </w:rPr>
              <w:t xml:space="preserve">Treść wymagania zawartego w § 3 </w:t>
            </w:r>
            <w:r w:rsidR="001F5E85" w:rsidRPr="00D072D6">
              <w:rPr>
                <w:rFonts w:ascii="Times New Roman" w:hAnsi="Times New Roman" w:cs="Times New Roman"/>
              </w:rPr>
              <w:t xml:space="preserve">projektu rozporządzenia </w:t>
            </w:r>
            <w:r w:rsidRPr="00D072D6">
              <w:rPr>
                <w:rFonts w:ascii="Times New Roman" w:hAnsi="Times New Roman" w:cs="Times New Roman"/>
              </w:rPr>
              <w:t xml:space="preserve">został ustalona w trakcie warsztatów </w:t>
            </w:r>
            <w:r w:rsidR="00FB158C" w:rsidRPr="00D072D6">
              <w:rPr>
                <w:rFonts w:ascii="Times New Roman" w:hAnsi="Times New Roman" w:cs="Times New Roman"/>
              </w:rPr>
              <w:t>z udziałem przedstawicieli uprawnionych podmiotów i przedsiębiorców telekomunikacyjnych</w:t>
            </w:r>
            <w:r w:rsidR="001F5E85" w:rsidRPr="00D072D6">
              <w:rPr>
                <w:rFonts w:ascii="Times New Roman" w:eastAsia="Times New Roman" w:hAnsi="Times New Roman" w:cs="Times New Roman"/>
                <w:kern w:val="0"/>
                <w:lang w:eastAsia="pl-PL"/>
                <w14:ligatures w14:val="none"/>
              </w:rPr>
              <w:t xml:space="preserve"> </w:t>
            </w:r>
            <w:r w:rsidR="001F5E85" w:rsidRPr="00D072D6">
              <w:rPr>
                <w:rFonts w:ascii="Times New Roman" w:hAnsi="Times New Roman" w:cs="Times New Roman"/>
              </w:rPr>
              <w:t>zorganizowanych przez projektodawcę</w:t>
            </w:r>
            <w:r w:rsidRPr="00D072D6">
              <w:rPr>
                <w:rFonts w:ascii="Times New Roman" w:hAnsi="Times New Roman" w:cs="Times New Roman"/>
              </w:rPr>
              <w:t>.</w:t>
            </w:r>
          </w:p>
        </w:tc>
      </w:tr>
      <w:tr w:rsidR="00650580" w:rsidRPr="00D072D6" w14:paraId="2C1C6E14" w14:textId="77777777" w:rsidTr="00654898">
        <w:tc>
          <w:tcPr>
            <w:tcW w:w="594" w:type="dxa"/>
            <w:tcBorders>
              <w:bottom w:val="single" w:sz="4" w:space="0" w:color="auto"/>
            </w:tcBorders>
          </w:tcPr>
          <w:p w14:paraId="78DA26BB"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640CC97F" w14:textId="4F9ACEE0"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3 ust. 1 pkt 2</w:t>
            </w:r>
          </w:p>
        </w:tc>
        <w:tc>
          <w:tcPr>
            <w:tcW w:w="1669" w:type="dxa"/>
            <w:tcBorders>
              <w:bottom w:val="single" w:sz="4" w:space="0" w:color="auto"/>
            </w:tcBorders>
          </w:tcPr>
          <w:p w14:paraId="599AE6D3" w14:textId="24B55E80"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269616C1" w14:textId="6B70FB82"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 xml:space="preserve">Przedsiębiorcy telekomunikacji będący mikro lub małym przedsiębiorcą również będą zobowiązani posiadać </w:t>
            </w:r>
            <w:r w:rsidR="003D7705" w:rsidRPr="00D072D6">
              <w:rPr>
                <w:rFonts w:ascii="Times New Roman" w:hAnsi="Times New Roman" w:cs="Times New Roman"/>
              </w:rPr>
              <w:t>Ś</w:t>
            </w:r>
            <w:r w:rsidRPr="00D072D6">
              <w:rPr>
                <w:rFonts w:ascii="Times New Roman" w:hAnsi="Times New Roman" w:cs="Times New Roman"/>
              </w:rPr>
              <w:t xml:space="preserve">BP co najmniej II </w:t>
            </w:r>
            <w:r w:rsidR="003D7705" w:rsidRPr="00D072D6">
              <w:rPr>
                <w:rFonts w:ascii="Times New Roman" w:hAnsi="Times New Roman" w:cs="Times New Roman"/>
              </w:rPr>
              <w:t>s</w:t>
            </w:r>
            <w:r w:rsidRPr="00D072D6">
              <w:rPr>
                <w:rFonts w:ascii="Times New Roman" w:hAnsi="Times New Roman" w:cs="Times New Roman"/>
              </w:rPr>
              <w:t>topnia, przy czym nie będą musieli utrzymywać czynnej całą dobę kancelarię tajną, wystarczy, że będzie czynna w godzinach 8.00 – 16.00.</w:t>
            </w:r>
          </w:p>
        </w:tc>
        <w:tc>
          <w:tcPr>
            <w:tcW w:w="4395" w:type="dxa"/>
            <w:tcBorders>
              <w:bottom w:val="single" w:sz="4" w:space="0" w:color="auto"/>
            </w:tcBorders>
          </w:tcPr>
          <w:p w14:paraId="760F70EE" w14:textId="0E05ED4A" w:rsidR="00650580" w:rsidRPr="00D072D6" w:rsidRDefault="00AB583B"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66F3A561" w14:textId="434B18B5" w:rsidR="00AB583B" w:rsidRPr="00D072D6" w:rsidRDefault="001F5E85" w:rsidP="00654898">
            <w:pPr>
              <w:pStyle w:val="Bezodstpw"/>
              <w:jc w:val="both"/>
              <w:rPr>
                <w:rFonts w:ascii="Times New Roman" w:hAnsi="Times New Roman" w:cs="Times New Roman"/>
              </w:rPr>
            </w:pPr>
            <w:r w:rsidRPr="00D072D6">
              <w:rPr>
                <w:rFonts w:ascii="Times New Roman" w:hAnsi="Times New Roman" w:cs="Times New Roman"/>
              </w:rPr>
              <w:t>Projektowane r</w:t>
            </w:r>
            <w:r w:rsidR="00187D3C" w:rsidRPr="00D072D6">
              <w:rPr>
                <w:rFonts w:ascii="Times New Roman" w:hAnsi="Times New Roman" w:cs="Times New Roman"/>
              </w:rPr>
              <w:t>ozporządzenie nie narzuca wymogu dla mikro</w:t>
            </w:r>
            <w:r w:rsidRPr="00D072D6">
              <w:rPr>
                <w:rFonts w:ascii="Times New Roman" w:hAnsi="Times New Roman" w:cs="Times New Roman"/>
              </w:rPr>
              <w:t>-</w:t>
            </w:r>
            <w:r w:rsidR="00187D3C" w:rsidRPr="00D072D6">
              <w:rPr>
                <w:rFonts w:ascii="Times New Roman" w:hAnsi="Times New Roman" w:cs="Times New Roman"/>
              </w:rPr>
              <w:t xml:space="preserve"> i małych przedsiębiorców posiadania świadectwa bezpieczeństwa co najmniej II stopnia oraz kancelarii tajnej.</w:t>
            </w:r>
          </w:p>
        </w:tc>
      </w:tr>
      <w:tr w:rsidR="00650580" w:rsidRPr="00D072D6" w14:paraId="5EA76211" w14:textId="77777777" w:rsidTr="00654898">
        <w:tc>
          <w:tcPr>
            <w:tcW w:w="594" w:type="dxa"/>
            <w:tcBorders>
              <w:bottom w:val="single" w:sz="4" w:space="0" w:color="auto"/>
            </w:tcBorders>
          </w:tcPr>
          <w:p w14:paraId="60B25DD6"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4E094A8D" w14:textId="77777777"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3 ust. 1 pkt 2 lit a</w:t>
            </w:r>
          </w:p>
          <w:p w14:paraId="35C6B34F" w14:textId="1B62D4CD" w:rsidR="00626F99" w:rsidRPr="00D072D6" w:rsidRDefault="00626F99" w:rsidP="00654898">
            <w:pPr>
              <w:pStyle w:val="Bezodstpw"/>
              <w:jc w:val="center"/>
              <w:rPr>
                <w:rFonts w:ascii="Times New Roman" w:hAnsi="Times New Roman" w:cs="Times New Roman"/>
              </w:rPr>
            </w:pPr>
            <w:r w:rsidRPr="00D072D6">
              <w:rPr>
                <w:rFonts w:ascii="Times New Roman" w:hAnsi="Times New Roman" w:cs="Times New Roman"/>
              </w:rPr>
              <w:t>(brak takiej jednostki redakcyjnej w projekcie)</w:t>
            </w:r>
          </w:p>
        </w:tc>
        <w:tc>
          <w:tcPr>
            <w:tcW w:w="1669" w:type="dxa"/>
            <w:tcBorders>
              <w:bottom w:val="single" w:sz="4" w:space="0" w:color="auto"/>
            </w:tcBorders>
          </w:tcPr>
          <w:p w14:paraId="22D9AC00" w14:textId="0CBD4AB4"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3C874E6D"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W myśl art. 5 ust 1 lub 2 ustawy z dnia 5 sierpnia 2010 r. o ochronie informacji niejawnych informacjom takim należy nadać klauzulę „tajne” lub „ściśle tajne”, a zatem osoba mogąca mieć dostęp do takich informacji musi spełniać warunki dopuszczenia do pracy na stanowiskach albo wykonywania czynności zleconych, z którymi łączy się dostęp do informacji niejawnych o klauzuli ściśle tajne.</w:t>
            </w:r>
          </w:p>
          <w:p w14:paraId="2DD88FEE"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Podkreślić należy, że adresatem i administratorem informacji niejawnych związanych z dostępem do komunikatów elektronicznych i danych telekomunikacyjnych oraz ich utrwalaniem jest przedsiębiorca telekomunikacyjny a upoważniony pracownik realizuje czynności w imieniu tego przedsiębiorcy.</w:t>
            </w:r>
          </w:p>
          <w:p w14:paraId="13A84EB9" w14:textId="68165940"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Powyższe argumenty wskazują, że przedsiębiorca telekomunikacyjny powinien posiadać Świadectwo Bezpieczeństwa Przemysłowego potwierdzającego zdolność ochrony informacji o klauzuli „ściśle tajne”.</w:t>
            </w:r>
          </w:p>
        </w:tc>
        <w:tc>
          <w:tcPr>
            <w:tcW w:w="4395" w:type="dxa"/>
            <w:tcBorders>
              <w:bottom w:val="single" w:sz="4" w:space="0" w:color="auto"/>
            </w:tcBorders>
          </w:tcPr>
          <w:p w14:paraId="30817DB8" w14:textId="245532FB" w:rsidR="00626F99" w:rsidRPr="00D072D6" w:rsidRDefault="00626F99"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3BE3CA7B" w14:textId="639E4D3A" w:rsidR="00187D3C" w:rsidRPr="00D072D6" w:rsidRDefault="00187D3C" w:rsidP="00654898">
            <w:pPr>
              <w:pStyle w:val="Bezodstpw"/>
              <w:jc w:val="both"/>
              <w:rPr>
                <w:rFonts w:ascii="Times New Roman" w:hAnsi="Times New Roman" w:cs="Times New Roman"/>
              </w:rPr>
            </w:pPr>
            <w:r w:rsidRPr="00D072D6">
              <w:rPr>
                <w:rFonts w:ascii="Times New Roman" w:hAnsi="Times New Roman" w:cs="Times New Roman"/>
              </w:rPr>
              <w:t>O nadaniu sprawie określonej klauzuli decyduje uprawniony podmiot.</w:t>
            </w:r>
          </w:p>
          <w:p w14:paraId="3AE0D710" w14:textId="1D69B08E" w:rsidR="00650580" w:rsidRPr="00D072D6" w:rsidRDefault="00187D3C"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W trakcie warsztatów </w:t>
            </w:r>
            <w:r w:rsidR="001F5E85" w:rsidRPr="00D072D6">
              <w:rPr>
                <w:rFonts w:ascii="Times New Roman" w:eastAsia="Times New Roman" w:hAnsi="Times New Roman" w:cs="Times New Roman"/>
                <w:lang w:eastAsia="pl-PL"/>
              </w:rPr>
              <w:t>z udziałem przedstawicieli uprawnionych podmiotów i</w:t>
            </w:r>
            <w:r w:rsidR="001E2CBD">
              <w:rPr>
                <w:rFonts w:ascii="Times New Roman" w:eastAsia="Times New Roman" w:hAnsi="Times New Roman" w:cs="Times New Roman"/>
                <w:lang w:eastAsia="pl-PL"/>
              </w:rPr>
              <w:t> </w:t>
            </w:r>
            <w:r w:rsidR="001F5E85" w:rsidRPr="00D072D6">
              <w:rPr>
                <w:rFonts w:ascii="Times New Roman" w:eastAsia="Times New Roman" w:hAnsi="Times New Roman" w:cs="Times New Roman"/>
                <w:lang w:eastAsia="pl-PL"/>
              </w:rPr>
              <w:t xml:space="preserve">przedsiębiorców telekomunikacyjnych zorganizowanych przez projektodawcę </w:t>
            </w:r>
            <w:r w:rsidRPr="00D072D6">
              <w:rPr>
                <w:rFonts w:ascii="Times New Roman" w:eastAsia="Times New Roman" w:hAnsi="Times New Roman" w:cs="Times New Roman"/>
                <w:lang w:eastAsia="pl-PL"/>
              </w:rPr>
              <w:t>podjęto ustalenia o dalszych ułatwieniach dla przedsiębiorców dużych i średnich. Zrezygnowano z</w:t>
            </w:r>
            <w:r w:rsidR="00F45C04" w:rsidRPr="00D072D6">
              <w:rPr>
                <w:rFonts w:ascii="Times New Roman" w:eastAsia="Times New Roman" w:hAnsi="Times New Roman" w:cs="Times New Roman"/>
                <w:lang w:eastAsia="pl-PL"/>
              </w:rPr>
              <w:t xml:space="preserve"> obowiązku</w:t>
            </w:r>
            <w:r w:rsidRPr="00D072D6">
              <w:rPr>
                <w:rFonts w:ascii="Times New Roman" w:eastAsia="Times New Roman" w:hAnsi="Times New Roman" w:cs="Times New Roman"/>
                <w:lang w:eastAsia="pl-PL"/>
              </w:rPr>
              <w:t xml:space="preserve"> spełniania przez urządzenia przedsiębiorcy </w:t>
            </w:r>
            <w:r w:rsidR="00F45C04" w:rsidRPr="00D072D6">
              <w:rPr>
                <w:rFonts w:ascii="Times New Roman" w:eastAsia="Times New Roman" w:hAnsi="Times New Roman" w:cs="Times New Roman"/>
                <w:lang w:eastAsia="pl-PL"/>
              </w:rPr>
              <w:t xml:space="preserve">wymogów określonych w </w:t>
            </w:r>
            <w:r w:rsidRPr="00D072D6">
              <w:rPr>
                <w:rFonts w:ascii="Times New Roman" w:eastAsia="Times New Roman" w:hAnsi="Times New Roman" w:cs="Times New Roman"/>
                <w:lang w:eastAsia="pl-PL"/>
              </w:rPr>
              <w:t>przepis</w:t>
            </w:r>
            <w:r w:rsidR="00F45C04" w:rsidRPr="00D072D6">
              <w:rPr>
                <w:rFonts w:ascii="Times New Roman" w:eastAsia="Times New Roman" w:hAnsi="Times New Roman" w:cs="Times New Roman"/>
                <w:lang w:eastAsia="pl-PL"/>
              </w:rPr>
              <w:t>ach</w:t>
            </w:r>
            <w:r w:rsidRPr="00D072D6">
              <w:rPr>
                <w:rFonts w:ascii="Times New Roman" w:eastAsia="Times New Roman" w:hAnsi="Times New Roman" w:cs="Times New Roman"/>
                <w:lang w:eastAsia="pl-PL"/>
              </w:rPr>
              <w:t xml:space="preserve"> o ochronie informacji niejawnych (w projekcie była </w:t>
            </w:r>
            <w:r w:rsidR="00F45C04" w:rsidRPr="00D072D6">
              <w:rPr>
                <w:rFonts w:ascii="Times New Roman" w:eastAsia="Times New Roman" w:hAnsi="Times New Roman" w:cs="Times New Roman"/>
                <w:lang w:eastAsia="pl-PL"/>
              </w:rPr>
              <w:t xml:space="preserve">uprzednio </w:t>
            </w:r>
            <w:r w:rsidRPr="00D072D6">
              <w:rPr>
                <w:rFonts w:ascii="Times New Roman" w:eastAsia="Times New Roman" w:hAnsi="Times New Roman" w:cs="Times New Roman"/>
                <w:lang w:eastAsia="pl-PL"/>
              </w:rPr>
              <w:t xml:space="preserve">propozycja </w:t>
            </w:r>
            <w:r w:rsidR="00B36658" w:rsidRPr="00D072D6">
              <w:rPr>
                <w:rFonts w:ascii="Times New Roman" w:eastAsia="Times New Roman" w:hAnsi="Times New Roman" w:cs="Times New Roman"/>
                <w:lang w:eastAsia="pl-PL"/>
              </w:rPr>
              <w:t xml:space="preserve">w zakresie wymogów ochrony dla informacji o klauzuli </w:t>
            </w:r>
            <w:r w:rsidRPr="00D072D6">
              <w:rPr>
                <w:rFonts w:ascii="Times New Roman" w:eastAsia="Times New Roman" w:hAnsi="Times New Roman" w:cs="Times New Roman"/>
                <w:lang w:eastAsia="pl-PL"/>
              </w:rPr>
              <w:t xml:space="preserve">„tajne”), oraz z wymogu posiadania przez średnich przedsiębiorców świadectwa bezpieczeństwa </w:t>
            </w:r>
            <w:r w:rsidRPr="00D072D6">
              <w:rPr>
                <w:rFonts w:ascii="Times New Roman" w:eastAsia="Times New Roman" w:hAnsi="Times New Roman" w:cs="Times New Roman"/>
                <w:lang w:eastAsia="pl-PL"/>
              </w:rPr>
              <w:lastRenderedPageBreak/>
              <w:t xml:space="preserve">przemysłowego </w:t>
            </w:r>
            <w:r w:rsidR="00B36658" w:rsidRPr="00D072D6">
              <w:rPr>
                <w:rFonts w:ascii="Times New Roman" w:eastAsia="Times New Roman" w:hAnsi="Times New Roman" w:cs="Times New Roman"/>
                <w:lang w:eastAsia="pl-PL"/>
              </w:rPr>
              <w:t>I</w:t>
            </w:r>
            <w:r w:rsidRPr="00D072D6">
              <w:rPr>
                <w:rFonts w:ascii="Times New Roman" w:eastAsia="Times New Roman" w:hAnsi="Times New Roman" w:cs="Times New Roman"/>
                <w:lang w:eastAsia="pl-PL"/>
              </w:rPr>
              <w:t xml:space="preserve"> stopnia i obniżono je do III stopnia.</w:t>
            </w:r>
          </w:p>
        </w:tc>
      </w:tr>
      <w:tr w:rsidR="00283B9A" w:rsidRPr="00D072D6" w14:paraId="2EE388BB" w14:textId="77777777" w:rsidTr="00654898">
        <w:tc>
          <w:tcPr>
            <w:tcW w:w="594" w:type="dxa"/>
            <w:tcBorders>
              <w:bottom w:val="single" w:sz="4" w:space="0" w:color="auto"/>
            </w:tcBorders>
          </w:tcPr>
          <w:p w14:paraId="6098B56E" w14:textId="77777777" w:rsidR="00283B9A" w:rsidRPr="00D072D6" w:rsidRDefault="00283B9A"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5D7525C9" w14:textId="3F21975D" w:rsidR="00283B9A" w:rsidRPr="00D072D6" w:rsidRDefault="00283B9A" w:rsidP="00654898">
            <w:pPr>
              <w:pStyle w:val="Bezodstpw"/>
              <w:jc w:val="center"/>
              <w:rPr>
                <w:rFonts w:ascii="Times New Roman" w:hAnsi="Times New Roman" w:cs="Times New Roman"/>
              </w:rPr>
            </w:pPr>
            <w:r w:rsidRPr="00D072D6">
              <w:rPr>
                <w:rFonts w:ascii="Times New Roman" w:hAnsi="Times New Roman" w:cs="Times New Roman"/>
              </w:rPr>
              <w:t>§ 4 ust. 2 pkt 2</w:t>
            </w:r>
          </w:p>
        </w:tc>
        <w:tc>
          <w:tcPr>
            <w:tcW w:w="1669" w:type="dxa"/>
            <w:tcBorders>
              <w:bottom w:val="single" w:sz="4" w:space="0" w:color="auto"/>
            </w:tcBorders>
          </w:tcPr>
          <w:p w14:paraId="72376E47" w14:textId="0B2F8761" w:rsidR="00283B9A" w:rsidRPr="00D072D6" w:rsidRDefault="00283B9A"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2E912D58" w14:textId="77777777" w:rsidR="00283B9A" w:rsidRPr="00D072D6" w:rsidRDefault="00283B9A" w:rsidP="00654898">
            <w:pPr>
              <w:ind w:left="-5"/>
              <w:jc w:val="both"/>
              <w:rPr>
                <w:rFonts w:eastAsia="Calibri"/>
                <w:b/>
                <w:i/>
                <w:sz w:val="22"/>
                <w:szCs w:val="22"/>
              </w:rPr>
            </w:pPr>
            <w:r w:rsidRPr="00D072D6">
              <w:rPr>
                <w:rFonts w:eastAsia="Calibri"/>
                <w:i/>
                <w:sz w:val="22"/>
                <w:szCs w:val="22"/>
              </w:rPr>
              <w:t>2) równoczesny z wysyłaniem lub odbiorem komunikatów elektronicznych i danych, o których mowa w art. 43 ust. 1 pkt 1 ustawy, dostęp do tych komunikatów i danych</w:t>
            </w:r>
            <w:r w:rsidRPr="00D072D6">
              <w:rPr>
                <w:rFonts w:eastAsia="Calibri"/>
                <w:b/>
                <w:i/>
                <w:sz w:val="22"/>
                <w:szCs w:val="22"/>
              </w:rPr>
              <w:t>, a jeżeli dostęp równoczesny nie jest możliwy – niezwłoczne dostarczenie danych, które nie mogły być dostarczone, po zgłoszeniu zapotrzebowania;</w:t>
            </w:r>
          </w:p>
          <w:p w14:paraId="6A014BF7" w14:textId="7445A328" w:rsidR="00283B9A" w:rsidRPr="00D072D6" w:rsidRDefault="00283B9A" w:rsidP="00654898">
            <w:pPr>
              <w:ind w:left="-5"/>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538E86F6" w14:textId="4ECC415C" w:rsidR="00283B9A" w:rsidRPr="00D072D6" w:rsidRDefault="00283B9A"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sz w:val="22"/>
                <w:szCs w:val="22"/>
              </w:rPr>
              <w:t xml:space="preserve">Izba postuluje uzupełnienie treści § 4 ust. 2 pkt 2) rozporządzenia, aby zachować i doprecyzować zmianą jednostkę redakcyjną zgodnie z treścią par. 2 ust. 2 pkt 2) aktualnie obowiązującego rozporządzenia </w:t>
            </w:r>
            <w:r w:rsidRPr="00D072D6">
              <w:rPr>
                <w:rFonts w:ascii="Times New Roman" w:eastAsia="Calibri" w:hAnsi="Times New Roman" w:cs="Times New Roman"/>
                <w:sz w:val="22"/>
                <w:szCs w:val="22"/>
              </w:rPr>
              <w:t xml:space="preserve">z </w:t>
            </w:r>
            <w:r w:rsidRPr="00D072D6">
              <w:rPr>
                <w:rFonts w:ascii="Times New Roman" w:hAnsi="Times New Roman" w:cs="Times New Roman"/>
                <w:sz w:val="22"/>
                <w:szCs w:val="22"/>
              </w:rPr>
              <w:t xml:space="preserve">dnia 13 września 2005 r. w sprawie wypełniania przez przedsiębiorców telekomunikacyjnych zadań </w:t>
            </w:r>
            <w:r w:rsidRPr="00D072D6">
              <w:rPr>
                <w:rFonts w:ascii="Times New Roman" w:eastAsia="Calibri" w:hAnsi="Times New Roman" w:cs="Times New Roman"/>
                <w:sz w:val="22"/>
                <w:szCs w:val="22"/>
              </w:rPr>
              <w:t xml:space="preserve">i </w:t>
            </w:r>
            <w:r w:rsidRPr="00D072D6">
              <w:rPr>
                <w:rFonts w:ascii="Times New Roman" w:hAnsi="Times New Roman" w:cs="Times New Roman"/>
                <w:sz w:val="22"/>
                <w:szCs w:val="22"/>
              </w:rPr>
              <w:t xml:space="preserve">obowiązków na rzecz obronności, bezpieczeństwa państwa oraz bezpieczeństwa i porządku publicznego. Proponowana zmiana ma na celu zapewnienie, że w przypadku gdy z powodów technicznych brak jest po stronie podmiotów uprawnionych oraz przedsiębiorców telekomunikacyjnych możliwości dostarczenia wszystkich danych określonych w art. 43 ust. 1 pkt 1 PKE równocześnie wraz z treścią komunikatu, zapotrzebowanie takie jest realizowane niezwłocznie przez przedsiębiorcę </w:t>
            </w:r>
            <w:r w:rsidRPr="00D072D6">
              <w:rPr>
                <w:rFonts w:ascii="Times New Roman" w:eastAsia="Calibri" w:hAnsi="Times New Roman" w:cs="Times New Roman"/>
                <w:sz w:val="22"/>
                <w:szCs w:val="22"/>
              </w:rPr>
              <w:t>telekomunikacyjnego</w:t>
            </w:r>
          </w:p>
        </w:tc>
        <w:tc>
          <w:tcPr>
            <w:tcW w:w="4395" w:type="dxa"/>
            <w:tcBorders>
              <w:bottom w:val="single" w:sz="4" w:space="0" w:color="auto"/>
            </w:tcBorders>
          </w:tcPr>
          <w:p w14:paraId="5839B1C5" w14:textId="7F08E116" w:rsidR="000621FD" w:rsidRPr="00D072D6" w:rsidRDefault="000621FD" w:rsidP="00654898">
            <w:pPr>
              <w:pStyle w:val="Bezodstpw"/>
              <w:jc w:val="both"/>
              <w:rPr>
                <w:rFonts w:ascii="Times New Roman" w:hAnsi="Times New Roman" w:cs="Times New Roman"/>
                <w:b/>
                <w:bCs/>
              </w:rPr>
            </w:pPr>
            <w:r w:rsidRPr="00D072D6">
              <w:rPr>
                <w:rFonts w:ascii="Times New Roman" w:hAnsi="Times New Roman" w:cs="Times New Roman"/>
                <w:b/>
                <w:bCs/>
              </w:rPr>
              <w:t>Uwaga uwzględniona</w:t>
            </w:r>
          </w:p>
          <w:p w14:paraId="1DDC7E3C" w14:textId="5D571294" w:rsidR="00877E69" w:rsidRPr="00D072D6" w:rsidRDefault="00877E69" w:rsidP="00654898">
            <w:pPr>
              <w:pStyle w:val="Bezodstpw"/>
              <w:jc w:val="both"/>
              <w:rPr>
                <w:rFonts w:ascii="Times New Roman" w:hAnsi="Times New Roman" w:cs="Times New Roman"/>
              </w:rPr>
            </w:pPr>
            <w:r w:rsidRPr="00D072D6">
              <w:rPr>
                <w:rFonts w:ascii="Times New Roman" w:hAnsi="Times New Roman" w:cs="Times New Roman"/>
              </w:rPr>
              <w:t>Dopisano propozycję zawartą w uwadze.</w:t>
            </w:r>
          </w:p>
        </w:tc>
      </w:tr>
      <w:tr w:rsidR="00650580" w:rsidRPr="00D072D6" w14:paraId="1F8814E6" w14:textId="77777777" w:rsidTr="00654898">
        <w:tc>
          <w:tcPr>
            <w:tcW w:w="594" w:type="dxa"/>
            <w:tcBorders>
              <w:bottom w:val="single" w:sz="4" w:space="0" w:color="auto"/>
            </w:tcBorders>
          </w:tcPr>
          <w:p w14:paraId="299BE1D9"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5C34057E" w14:textId="3C6AEA81"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4 ust. 2 pkt 3</w:t>
            </w:r>
          </w:p>
        </w:tc>
        <w:tc>
          <w:tcPr>
            <w:tcW w:w="1669" w:type="dxa"/>
            <w:tcBorders>
              <w:bottom w:val="single" w:sz="4" w:space="0" w:color="auto"/>
            </w:tcBorders>
          </w:tcPr>
          <w:p w14:paraId="52C38D70" w14:textId="508F0145"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3315D349" w14:textId="31BF16CC"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Co oznacza pojęcie „przechwytywanie”? Wskazane jest zdefiniowanie tego pojęcia.</w:t>
            </w:r>
          </w:p>
        </w:tc>
        <w:tc>
          <w:tcPr>
            <w:tcW w:w="4395" w:type="dxa"/>
            <w:tcBorders>
              <w:bottom w:val="single" w:sz="4" w:space="0" w:color="auto"/>
            </w:tcBorders>
          </w:tcPr>
          <w:p w14:paraId="2AC1E6F5" w14:textId="36809244" w:rsidR="00650580" w:rsidRPr="00D072D6" w:rsidRDefault="000621FD"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030FFDBB" w14:textId="77777777" w:rsidR="006E2073" w:rsidRPr="00D072D6" w:rsidRDefault="00D209A1" w:rsidP="00654898">
            <w:pPr>
              <w:pStyle w:val="Bezodstpw"/>
              <w:jc w:val="both"/>
              <w:rPr>
                <w:rFonts w:ascii="Times New Roman" w:hAnsi="Times New Roman" w:cs="Times New Roman"/>
              </w:rPr>
            </w:pPr>
            <w:r w:rsidRPr="00D072D6">
              <w:rPr>
                <w:rFonts w:ascii="Times New Roman" w:hAnsi="Times New Roman" w:cs="Times New Roman"/>
              </w:rPr>
              <w:t xml:space="preserve">Pojęcie </w:t>
            </w:r>
            <w:r w:rsidRPr="00D072D6">
              <w:rPr>
                <w:rFonts w:ascii="Times New Roman" w:hAnsi="Times New Roman" w:cs="Times New Roman"/>
                <w:u w:val="single"/>
              </w:rPr>
              <w:t>przechwytywania</w:t>
            </w:r>
            <w:r w:rsidRPr="00D072D6">
              <w:rPr>
                <w:rFonts w:ascii="Times New Roman" w:hAnsi="Times New Roman" w:cs="Times New Roman"/>
              </w:rPr>
              <w:t xml:space="preserve"> wykorzystywane jest w polskim systemie prawnym, np. w</w:t>
            </w:r>
            <w:r w:rsidR="006E2073" w:rsidRPr="00D072D6">
              <w:rPr>
                <w:rFonts w:ascii="Times New Roman" w:hAnsi="Times New Roman" w:cs="Times New Roman"/>
              </w:rPr>
              <w:t>:</w:t>
            </w:r>
          </w:p>
          <w:p w14:paraId="4DBA2B01" w14:textId="1E955571" w:rsidR="006E2073" w:rsidRPr="00D072D6" w:rsidRDefault="001F5E85" w:rsidP="00654898">
            <w:pPr>
              <w:pStyle w:val="Bezodstpw"/>
              <w:numPr>
                <w:ilvl w:val="0"/>
                <w:numId w:val="28"/>
              </w:numPr>
              <w:ind w:left="238" w:hanging="218"/>
              <w:jc w:val="both"/>
              <w:rPr>
                <w:rFonts w:ascii="Times New Roman" w:hAnsi="Times New Roman" w:cs="Times New Roman"/>
              </w:rPr>
            </w:pPr>
            <w:r w:rsidRPr="00D072D6">
              <w:rPr>
                <w:rFonts w:ascii="Times New Roman" w:hAnsi="Times New Roman" w:cs="Times New Roman"/>
              </w:rPr>
              <w:t>r</w:t>
            </w:r>
            <w:r w:rsidR="006E2073" w:rsidRPr="00D072D6">
              <w:rPr>
                <w:rFonts w:ascii="Times New Roman" w:hAnsi="Times New Roman" w:cs="Times New Roman"/>
              </w:rPr>
              <w:t>ozporządzeni</w:t>
            </w:r>
            <w:r w:rsidR="008B0955" w:rsidRPr="00D072D6">
              <w:rPr>
                <w:rFonts w:ascii="Times New Roman" w:hAnsi="Times New Roman" w:cs="Times New Roman"/>
              </w:rPr>
              <w:t>u</w:t>
            </w:r>
            <w:r w:rsidR="006E2073" w:rsidRPr="00D072D6">
              <w:rPr>
                <w:rFonts w:ascii="Times New Roman" w:hAnsi="Times New Roman" w:cs="Times New Roman"/>
              </w:rPr>
              <w:t xml:space="preserve"> Ministra Sprawiedliwości z dnia 23 czerwca 2003 r.  </w:t>
            </w:r>
            <w:r w:rsidR="006E2073" w:rsidRPr="00D072D6">
              <w:rPr>
                <w:rFonts w:ascii="Times New Roman" w:hAnsi="Times New Roman" w:cs="Times New Roman"/>
                <w:i/>
                <w:iCs/>
              </w:rPr>
              <w:t>w</w:t>
            </w:r>
            <w:r w:rsidRPr="00D072D6">
              <w:rPr>
                <w:rFonts w:ascii="Times New Roman" w:hAnsi="Times New Roman" w:cs="Times New Roman"/>
                <w:i/>
                <w:iCs/>
              </w:rPr>
              <w:t xml:space="preserve"> sprawie </w:t>
            </w:r>
            <w:r w:rsidR="006E2073" w:rsidRPr="00D072D6">
              <w:rPr>
                <w:rFonts w:ascii="Times New Roman" w:hAnsi="Times New Roman" w:cs="Times New Roman"/>
              </w:rPr>
              <w:t xml:space="preserve"> </w:t>
            </w:r>
            <w:r w:rsidR="006E2073" w:rsidRPr="00D072D6">
              <w:rPr>
                <w:rFonts w:ascii="Times New Roman" w:hAnsi="Times New Roman" w:cs="Times New Roman"/>
                <w:i/>
                <w:iCs/>
              </w:rPr>
              <w:t>sposobu technicznego przygotowania sieci służących do przekazywania informacji, do kontroli przekazów informacji oraz sposobu dokonywania, rejestracji, przechowywania, odtwarzania i</w:t>
            </w:r>
            <w:r w:rsidR="001E2CBD">
              <w:rPr>
                <w:rFonts w:ascii="Times New Roman" w:hAnsi="Times New Roman" w:cs="Times New Roman"/>
                <w:i/>
                <w:iCs/>
              </w:rPr>
              <w:t> </w:t>
            </w:r>
            <w:r w:rsidR="006E2073" w:rsidRPr="00D072D6">
              <w:rPr>
                <w:rFonts w:ascii="Times New Roman" w:hAnsi="Times New Roman" w:cs="Times New Roman"/>
                <w:i/>
                <w:iCs/>
              </w:rPr>
              <w:t>niszczenia zapisów z kontrolowanych przekazów</w:t>
            </w:r>
            <w:r w:rsidR="005E3CA0" w:rsidRPr="00D072D6">
              <w:rPr>
                <w:rFonts w:ascii="Times New Roman" w:hAnsi="Times New Roman" w:cs="Times New Roman"/>
                <w:i/>
                <w:iCs/>
              </w:rPr>
              <w:t xml:space="preserve"> </w:t>
            </w:r>
            <w:r w:rsidR="005E3CA0" w:rsidRPr="00D072D6">
              <w:rPr>
                <w:rFonts w:ascii="Times New Roman" w:hAnsi="Times New Roman" w:cs="Times New Roman"/>
              </w:rPr>
              <w:t>(Dz.</w:t>
            </w:r>
            <w:r w:rsidRPr="00D072D6">
              <w:rPr>
                <w:rFonts w:ascii="Times New Roman" w:hAnsi="Times New Roman" w:cs="Times New Roman"/>
              </w:rPr>
              <w:t xml:space="preserve"> </w:t>
            </w:r>
            <w:r w:rsidR="005E3CA0" w:rsidRPr="00D072D6">
              <w:rPr>
                <w:rFonts w:ascii="Times New Roman" w:hAnsi="Times New Roman" w:cs="Times New Roman"/>
              </w:rPr>
              <w:t>U. poz. 1052)</w:t>
            </w:r>
            <w:r w:rsidR="006E2073" w:rsidRPr="00D072D6">
              <w:rPr>
                <w:rFonts w:ascii="Times New Roman" w:hAnsi="Times New Roman" w:cs="Times New Roman"/>
              </w:rPr>
              <w:t xml:space="preserve"> – w</w:t>
            </w:r>
            <w:r w:rsidR="001E2CBD">
              <w:rPr>
                <w:rFonts w:ascii="Times New Roman" w:hAnsi="Times New Roman" w:cs="Times New Roman"/>
              </w:rPr>
              <w:t> </w:t>
            </w:r>
            <w:r w:rsidR="006E2073" w:rsidRPr="00D072D6">
              <w:rPr>
                <w:rFonts w:ascii="Times New Roman" w:hAnsi="Times New Roman" w:cs="Times New Roman"/>
              </w:rPr>
              <w:t xml:space="preserve">odniesieniu do </w:t>
            </w:r>
            <w:r w:rsidR="006E2073" w:rsidRPr="00D072D6">
              <w:rPr>
                <w:rFonts w:ascii="Times New Roman" w:hAnsi="Times New Roman" w:cs="Times New Roman"/>
                <w:u w:val="single"/>
              </w:rPr>
              <w:t>przekazów informacji</w:t>
            </w:r>
            <w:r w:rsidR="001E2CBD">
              <w:rPr>
                <w:rFonts w:ascii="Times New Roman" w:hAnsi="Times New Roman" w:cs="Times New Roman"/>
                <w:u w:val="single"/>
              </w:rPr>
              <w:t>;</w:t>
            </w:r>
          </w:p>
          <w:p w14:paraId="11AA76DE" w14:textId="1B0088BC" w:rsidR="005E3CA0" w:rsidRPr="00D072D6" w:rsidRDefault="001F5E85" w:rsidP="00654898">
            <w:pPr>
              <w:pStyle w:val="Bezodstpw"/>
              <w:numPr>
                <w:ilvl w:val="0"/>
                <w:numId w:val="28"/>
              </w:numPr>
              <w:ind w:left="238" w:hanging="218"/>
              <w:jc w:val="both"/>
              <w:rPr>
                <w:rFonts w:ascii="Times New Roman" w:hAnsi="Times New Roman" w:cs="Times New Roman"/>
              </w:rPr>
            </w:pPr>
            <w:r w:rsidRPr="00D072D6">
              <w:rPr>
                <w:rFonts w:ascii="Times New Roman" w:hAnsi="Times New Roman" w:cs="Times New Roman"/>
              </w:rPr>
              <w:t>r</w:t>
            </w:r>
            <w:r w:rsidR="005E3CA0" w:rsidRPr="00D072D6">
              <w:rPr>
                <w:rFonts w:ascii="Times New Roman" w:hAnsi="Times New Roman" w:cs="Times New Roman"/>
              </w:rPr>
              <w:t>ozporządzeni</w:t>
            </w:r>
            <w:r w:rsidR="008B0955" w:rsidRPr="00D072D6">
              <w:rPr>
                <w:rFonts w:ascii="Times New Roman" w:hAnsi="Times New Roman" w:cs="Times New Roman"/>
              </w:rPr>
              <w:t>u</w:t>
            </w:r>
            <w:r w:rsidR="005E3CA0" w:rsidRPr="00D072D6">
              <w:rPr>
                <w:rFonts w:ascii="Times New Roman" w:hAnsi="Times New Roman" w:cs="Times New Roman"/>
              </w:rPr>
              <w:t xml:space="preserve"> Ministra Sprawiedliwości z dnia 5 grudnia 2022 r.  </w:t>
            </w:r>
            <w:r w:rsidR="000250A0" w:rsidRPr="00D072D6">
              <w:rPr>
                <w:rFonts w:ascii="Times New Roman" w:hAnsi="Times New Roman" w:cs="Times New Roman"/>
                <w:i/>
                <w:iCs/>
              </w:rPr>
              <w:t>w sprawie</w:t>
            </w:r>
            <w:r w:rsidR="000250A0" w:rsidRPr="00D072D6">
              <w:rPr>
                <w:rFonts w:ascii="Times New Roman" w:hAnsi="Times New Roman" w:cs="Times New Roman"/>
              </w:rPr>
              <w:t xml:space="preserve"> </w:t>
            </w:r>
            <w:r w:rsidR="005E3CA0" w:rsidRPr="00D072D6">
              <w:rPr>
                <w:rFonts w:ascii="Times New Roman" w:hAnsi="Times New Roman" w:cs="Times New Roman"/>
                <w:i/>
                <w:iCs/>
              </w:rPr>
              <w:t>wykazu kodów stosowanych przy przekazywaniu informacji za pośrednictwem systemu ECRIS oraz sposobu ich zastosowania</w:t>
            </w:r>
            <w:r w:rsidR="005E3CA0" w:rsidRPr="00D072D6">
              <w:rPr>
                <w:rFonts w:ascii="Times New Roman" w:hAnsi="Times New Roman" w:cs="Times New Roman"/>
              </w:rPr>
              <w:t xml:space="preserve"> </w:t>
            </w:r>
            <w:r w:rsidR="008B0955" w:rsidRPr="00D072D6">
              <w:rPr>
                <w:rFonts w:ascii="Times New Roman" w:hAnsi="Times New Roman" w:cs="Times New Roman"/>
              </w:rPr>
              <w:t>(Dz.</w:t>
            </w:r>
            <w:r w:rsidR="000250A0" w:rsidRPr="00D072D6">
              <w:rPr>
                <w:rFonts w:ascii="Times New Roman" w:hAnsi="Times New Roman" w:cs="Times New Roman"/>
              </w:rPr>
              <w:t xml:space="preserve"> </w:t>
            </w:r>
            <w:r w:rsidR="008B0955" w:rsidRPr="00D072D6">
              <w:rPr>
                <w:rFonts w:ascii="Times New Roman" w:hAnsi="Times New Roman" w:cs="Times New Roman"/>
              </w:rPr>
              <w:t xml:space="preserve">U. z 2023 r. poz. 34) – w odniesieniu do </w:t>
            </w:r>
            <w:r w:rsidR="008B0955" w:rsidRPr="00D072D6">
              <w:rPr>
                <w:rFonts w:ascii="Times New Roman" w:hAnsi="Times New Roman" w:cs="Times New Roman"/>
                <w:u w:val="single"/>
              </w:rPr>
              <w:t>danych lub przekazywanych informacji</w:t>
            </w:r>
            <w:r w:rsidR="00637BD0">
              <w:rPr>
                <w:rFonts w:ascii="Times New Roman" w:hAnsi="Times New Roman" w:cs="Times New Roman"/>
                <w:u w:val="single"/>
              </w:rPr>
              <w:t>;</w:t>
            </w:r>
          </w:p>
          <w:p w14:paraId="2816858E" w14:textId="2099BEBA" w:rsidR="00D209A1" w:rsidRPr="00D072D6" w:rsidRDefault="00D209A1" w:rsidP="000250A0">
            <w:pPr>
              <w:pStyle w:val="Bezodstpw"/>
              <w:numPr>
                <w:ilvl w:val="0"/>
                <w:numId w:val="28"/>
              </w:numPr>
              <w:ind w:left="238" w:hanging="218"/>
              <w:jc w:val="both"/>
              <w:rPr>
                <w:rFonts w:ascii="Times New Roman" w:hAnsi="Times New Roman" w:cs="Times New Roman"/>
                <w:i/>
                <w:iCs/>
              </w:rPr>
            </w:pPr>
            <w:r w:rsidRPr="00D072D6">
              <w:rPr>
                <w:rFonts w:ascii="Times New Roman" w:hAnsi="Times New Roman" w:cs="Times New Roman"/>
                <w:i/>
                <w:iCs/>
              </w:rPr>
              <w:lastRenderedPageBreak/>
              <w:t>Konwencji o pomocy prawnej w sprawach karnych pomiędzy państwami członkowskimi Unii Europejskiej, oraz Protokół do Konwencji o pomocy prawnej w sprawach karnych pomiędzy państwami członkowskimi Unii Europejskiej z dnia 29 maja 2000 r</w:t>
            </w:r>
            <w:r w:rsidR="006E2073" w:rsidRPr="00D072D6">
              <w:rPr>
                <w:rFonts w:ascii="Times New Roman" w:hAnsi="Times New Roman" w:cs="Times New Roman"/>
                <w:i/>
                <w:iCs/>
              </w:rPr>
              <w:t xml:space="preserve">. </w:t>
            </w:r>
            <w:r w:rsidR="000250A0" w:rsidRPr="00D072D6">
              <w:rPr>
                <w:rFonts w:ascii="Times New Roman" w:hAnsi="Times New Roman" w:cs="Times New Roman"/>
                <w:i/>
                <w:iCs/>
              </w:rPr>
              <w:t xml:space="preserve">sporządzony w Luksemburgu dnia 16 października 2001 r. </w:t>
            </w:r>
            <w:r w:rsidR="006E2073" w:rsidRPr="00D072D6">
              <w:rPr>
                <w:rFonts w:ascii="Times New Roman" w:hAnsi="Times New Roman" w:cs="Times New Roman"/>
              </w:rPr>
              <w:t>(Dz.</w:t>
            </w:r>
            <w:r w:rsidR="000250A0" w:rsidRPr="00D072D6">
              <w:rPr>
                <w:rFonts w:ascii="Times New Roman" w:hAnsi="Times New Roman" w:cs="Times New Roman"/>
              </w:rPr>
              <w:t xml:space="preserve"> </w:t>
            </w:r>
            <w:r w:rsidR="006E2073" w:rsidRPr="00D072D6">
              <w:rPr>
                <w:rFonts w:ascii="Times New Roman" w:hAnsi="Times New Roman" w:cs="Times New Roman"/>
              </w:rPr>
              <w:t>U. 2007</w:t>
            </w:r>
            <w:r w:rsidR="000250A0" w:rsidRPr="00D072D6">
              <w:rPr>
                <w:rFonts w:ascii="Times New Roman" w:hAnsi="Times New Roman" w:cs="Times New Roman"/>
              </w:rPr>
              <w:t xml:space="preserve"> r.</w:t>
            </w:r>
            <w:r w:rsidR="006E2073" w:rsidRPr="00D072D6">
              <w:rPr>
                <w:rFonts w:ascii="Times New Roman" w:hAnsi="Times New Roman" w:cs="Times New Roman"/>
              </w:rPr>
              <w:t xml:space="preserve"> poz. 950) – w odniesieniu do </w:t>
            </w:r>
            <w:r w:rsidR="006E2073" w:rsidRPr="00D072D6">
              <w:rPr>
                <w:rFonts w:ascii="Times New Roman" w:hAnsi="Times New Roman" w:cs="Times New Roman"/>
                <w:u w:val="single"/>
              </w:rPr>
              <w:t>przekazów telekomunikacyjnych</w:t>
            </w:r>
            <w:r w:rsidR="00637BD0">
              <w:rPr>
                <w:rFonts w:ascii="Times New Roman" w:hAnsi="Times New Roman" w:cs="Times New Roman"/>
                <w:u w:val="single"/>
              </w:rPr>
              <w:t>;</w:t>
            </w:r>
          </w:p>
          <w:p w14:paraId="5C369A9D" w14:textId="5E040BB7" w:rsidR="006E2073" w:rsidRPr="00D072D6" w:rsidRDefault="005E3CA0" w:rsidP="00654898">
            <w:pPr>
              <w:pStyle w:val="Bezodstpw"/>
              <w:numPr>
                <w:ilvl w:val="0"/>
                <w:numId w:val="28"/>
              </w:numPr>
              <w:ind w:left="238" w:hanging="218"/>
              <w:jc w:val="both"/>
              <w:rPr>
                <w:rFonts w:ascii="Times New Roman" w:hAnsi="Times New Roman" w:cs="Times New Roman"/>
              </w:rPr>
            </w:pPr>
            <w:r w:rsidRPr="00D072D6">
              <w:rPr>
                <w:rFonts w:ascii="Times New Roman" w:hAnsi="Times New Roman" w:cs="Times New Roman"/>
                <w:i/>
                <w:iCs/>
              </w:rPr>
              <w:t>Konwencji Rady Europy o</w:t>
            </w:r>
            <w:r w:rsidR="00637BD0">
              <w:rPr>
                <w:rFonts w:ascii="Times New Roman" w:hAnsi="Times New Roman" w:cs="Times New Roman"/>
                <w:i/>
                <w:iCs/>
              </w:rPr>
              <w:t> </w:t>
            </w:r>
            <w:r w:rsidRPr="00D072D6">
              <w:rPr>
                <w:rFonts w:ascii="Times New Roman" w:hAnsi="Times New Roman" w:cs="Times New Roman"/>
                <w:i/>
                <w:iCs/>
              </w:rPr>
              <w:t>cyberprzestępczości</w:t>
            </w:r>
            <w:r w:rsidRPr="00D072D6">
              <w:rPr>
                <w:rFonts w:ascii="Times New Roman" w:hAnsi="Times New Roman" w:cs="Times New Roman"/>
              </w:rPr>
              <w:t xml:space="preserve"> z  dnia 23 listopada 2001 r. </w:t>
            </w:r>
            <w:r w:rsidR="000250A0" w:rsidRPr="00D072D6">
              <w:rPr>
                <w:rFonts w:ascii="Times New Roman" w:hAnsi="Times New Roman" w:cs="Times New Roman"/>
              </w:rPr>
              <w:t xml:space="preserve">sporządzona w Budapeszcie dnia 23 listopada 2001 r. </w:t>
            </w:r>
            <w:r w:rsidRPr="00D072D6">
              <w:rPr>
                <w:rFonts w:ascii="Times New Roman" w:hAnsi="Times New Roman" w:cs="Times New Roman"/>
              </w:rPr>
              <w:t>(Dz.</w:t>
            </w:r>
            <w:r w:rsidR="000250A0" w:rsidRPr="00D072D6">
              <w:rPr>
                <w:rFonts w:ascii="Times New Roman" w:hAnsi="Times New Roman" w:cs="Times New Roman"/>
              </w:rPr>
              <w:t xml:space="preserve"> </w:t>
            </w:r>
            <w:r w:rsidRPr="00D072D6">
              <w:rPr>
                <w:rFonts w:ascii="Times New Roman" w:hAnsi="Times New Roman" w:cs="Times New Roman"/>
              </w:rPr>
              <w:t xml:space="preserve">U. z 2015 r. poz. 728) – w odniesieniu do </w:t>
            </w:r>
            <w:r w:rsidRPr="00D072D6">
              <w:rPr>
                <w:rFonts w:ascii="Times New Roman" w:hAnsi="Times New Roman" w:cs="Times New Roman"/>
                <w:u w:val="single"/>
              </w:rPr>
              <w:t>danych informatycznych</w:t>
            </w:r>
          </w:p>
          <w:p w14:paraId="6D323CC2" w14:textId="4EB0EB39" w:rsidR="008B0955" w:rsidRPr="00D072D6" w:rsidRDefault="000250A0" w:rsidP="00654898">
            <w:pPr>
              <w:pStyle w:val="Bezodstpw"/>
              <w:ind w:left="23"/>
              <w:jc w:val="both"/>
              <w:rPr>
                <w:rFonts w:ascii="Times New Roman" w:hAnsi="Times New Roman" w:cs="Times New Roman"/>
              </w:rPr>
            </w:pPr>
            <w:r w:rsidRPr="00D072D6">
              <w:rPr>
                <w:rFonts w:ascii="Times New Roman" w:hAnsi="Times New Roman" w:cs="Times New Roman"/>
              </w:rPr>
              <w:sym w:font="Symbol" w:char="F02D"/>
            </w:r>
            <w:r w:rsidRPr="00D072D6">
              <w:rPr>
                <w:rFonts w:ascii="Times New Roman" w:hAnsi="Times New Roman" w:cs="Times New Roman"/>
              </w:rPr>
              <w:t xml:space="preserve"> </w:t>
            </w:r>
            <w:r w:rsidR="006E2073" w:rsidRPr="00D072D6">
              <w:rPr>
                <w:rFonts w:ascii="Times New Roman" w:hAnsi="Times New Roman" w:cs="Times New Roman"/>
              </w:rPr>
              <w:t>a także w odniesieniu do przechwytywania statków powietrznych, pocisków</w:t>
            </w:r>
            <w:r w:rsidR="008B0955" w:rsidRPr="00D072D6">
              <w:rPr>
                <w:rFonts w:ascii="Times New Roman" w:hAnsi="Times New Roman" w:cs="Times New Roman"/>
              </w:rPr>
              <w:t>, ładunków transportu kolejowego,</w:t>
            </w:r>
            <w:r w:rsidR="006E2073" w:rsidRPr="00D072D6">
              <w:rPr>
                <w:rFonts w:ascii="Times New Roman" w:hAnsi="Times New Roman" w:cs="Times New Roman"/>
              </w:rPr>
              <w:t xml:space="preserve"> wod</w:t>
            </w:r>
            <w:r w:rsidR="008B0955" w:rsidRPr="00D072D6">
              <w:rPr>
                <w:rFonts w:ascii="Times New Roman" w:hAnsi="Times New Roman" w:cs="Times New Roman"/>
              </w:rPr>
              <w:t>y.</w:t>
            </w:r>
          </w:p>
          <w:p w14:paraId="21BDDE46" w14:textId="14C3460E" w:rsidR="002644BD" w:rsidRPr="00D072D6" w:rsidRDefault="002644BD" w:rsidP="00654898">
            <w:pPr>
              <w:pStyle w:val="Bezodstpw"/>
              <w:jc w:val="both"/>
              <w:rPr>
                <w:rFonts w:ascii="Times New Roman" w:hAnsi="Times New Roman" w:cs="Times New Roman"/>
              </w:rPr>
            </w:pPr>
            <w:r w:rsidRPr="00D072D6">
              <w:rPr>
                <w:rFonts w:ascii="Times New Roman" w:hAnsi="Times New Roman" w:cs="Times New Roman"/>
                <w:u w:val="single"/>
              </w:rPr>
              <w:t>Słownik języka polskiego</w:t>
            </w:r>
            <w:r w:rsidRPr="00D072D6">
              <w:rPr>
                <w:rFonts w:ascii="Times New Roman" w:hAnsi="Times New Roman" w:cs="Times New Roman"/>
              </w:rPr>
              <w:t xml:space="preserve"> definiuje czasownik „przechwycić - przechwytywać” jako </w:t>
            </w:r>
            <w:r w:rsidRPr="00D072D6">
              <w:rPr>
                <w:rFonts w:ascii="Times New Roman" w:hAnsi="Times New Roman" w:cs="Times New Roman"/>
                <w:u w:val="single"/>
              </w:rPr>
              <w:t>przejąć coś, co jest przeznaczone dla kogoś innego</w:t>
            </w:r>
            <w:r w:rsidRPr="00D072D6">
              <w:rPr>
                <w:rFonts w:ascii="Times New Roman" w:hAnsi="Times New Roman" w:cs="Times New Roman"/>
              </w:rPr>
              <w:t>, np. przejąć czyjąś korespondencję.</w:t>
            </w:r>
          </w:p>
          <w:p w14:paraId="675769F0" w14:textId="124F09A5" w:rsidR="008B0955" w:rsidRPr="00D072D6" w:rsidRDefault="002644BD" w:rsidP="00654898">
            <w:pPr>
              <w:pStyle w:val="Bezodstpw"/>
              <w:ind w:left="20"/>
              <w:jc w:val="both"/>
              <w:rPr>
                <w:rFonts w:ascii="Times New Roman" w:hAnsi="Times New Roman" w:cs="Times New Roman"/>
                <w:u w:val="single"/>
              </w:rPr>
            </w:pPr>
            <w:r w:rsidRPr="00D072D6">
              <w:rPr>
                <w:rFonts w:ascii="Times New Roman" w:hAnsi="Times New Roman" w:cs="Times New Roman"/>
              </w:rPr>
              <w:t>Biorąc pod uwagę powyższe,</w:t>
            </w:r>
            <w:r w:rsidRPr="00D072D6">
              <w:rPr>
                <w:rFonts w:ascii="Times New Roman" w:hAnsi="Times New Roman" w:cs="Times New Roman"/>
                <w:u w:val="single"/>
              </w:rPr>
              <w:t xml:space="preserve"> n</w:t>
            </w:r>
            <w:r w:rsidR="008B0955" w:rsidRPr="00D072D6">
              <w:rPr>
                <w:rFonts w:ascii="Times New Roman" w:hAnsi="Times New Roman" w:cs="Times New Roman"/>
                <w:u w:val="single"/>
              </w:rPr>
              <w:t>ie ma potrzeby definiowania pojęcia „przechwytywania”.</w:t>
            </w:r>
          </w:p>
        </w:tc>
      </w:tr>
      <w:tr w:rsidR="00650580" w:rsidRPr="00D072D6" w14:paraId="7C182D71" w14:textId="77777777" w:rsidTr="00654898">
        <w:tc>
          <w:tcPr>
            <w:tcW w:w="594" w:type="dxa"/>
            <w:tcBorders>
              <w:bottom w:val="single" w:sz="4" w:space="0" w:color="auto"/>
            </w:tcBorders>
          </w:tcPr>
          <w:p w14:paraId="3307FE91"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54BDD15F" w14:textId="0ADA54AC"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4 ust. 2 pkt 4</w:t>
            </w:r>
          </w:p>
        </w:tc>
        <w:tc>
          <w:tcPr>
            <w:tcW w:w="1669" w:type="dxa"/>
            <w:tcBorders>
              <w:bottom w:val="single" w:sz="4" w:space="0" w:color="auto"/>
            </w:tcBorders>
          </w:tcPr>
          <w:p w14:paraId="11161B68" w14:textId="78FFB516"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18261BDB" w14:textId="10B9AAB9"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Większość VoIP ma taką funkcjonalność, że odsłuchać można dopiero po zakończeniu sesji (po zamknięciu pliku). Czy taki sposób zapewnienia dostępu do komunikatów elektronicznych przesyłanych w technologii VoIP jest dopuszczalny?</w:t>
            </w:r>
          </w:p>
        </w:tc>
        <w:tc>
          <w:tcPr>
            <w:tcW w:w="4395" w:type="dxa"/>
            <w:tcBorders>
              <w:bottom w:val="single" w:sz="4" w:space="0" w:color="auto"/>
            </w:tcBorders>
          </w:tcPr>
          <w:p w14:paraId="15E0ED91" w14:textId="09C86CD1" w:rsidR="00650580" w:rsidRPr="00D072D6" w:rsidRDefault="00B263F1"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09076772" w14:textId="09461C6F" w:rsidR="00B263F1" w:rsidRPr="00D072D6" w:rsidRDefault="00B263F1" w:rsidP="00654898">
            <w:pPr>
              <w:pStyle w:val="Bezodstpw"/>
              <w:jc w:val="both"/>
              <w:rPr>
                <w:rFonts w:ascii="Times New Roman" w:hAnsi="Times New Roman" w:cs="Times New Roman"/>
              </w:rPr>
            </w:pPr>
            <w:r w:rsidRPr="00D072D6">
              <w:rPr>
                <w:rFonts w:ascii="Times New Roman" w:hAnsi="Times New Roman" w:cs="Times New Roman"/>
              </w:rPr>
              <w:t>Dostęp do komunikatów w technologii VoIP jest możliwy na bieżąco, i taki dostęp jest niezbędny dla uprawnionych podmiotów do realizacji swoich ustawowych zadań.</w:t>
            </w:r>
          </w:p>
        </w:tc>
      </w:tr>
      <w:tr w:rsidR="00650580" w:rsidRPr="00D072D6" w14:paraId="71AF2E05" w14:textId="77777777" w:rsidTr="00654898">
        <w:tc>
          <w:tcPr>
            <w:tcW w:w="594" w:type="dxa"/>
            <w:tcBorders>
              <w:bottom w:val="single" w:sz="4" w:space="0" w:color="auto"/>
            </w:tcBorders>
          </w:tcPr>
          <w:p w14:paraId="40D4CC3A"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EABB3B9" w14:textId="3DD72BD6"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4 ust. 2 pkt 5</w:t>
            </w:r>
          </w:p>
        </w:tc>
        <w:tc>
          <w:tcPr>
            <w:tcW w:w="1669" w:type="dxa"/>
            <w:tcBorders>
              <w:bottom w:val="single" w:sz="4" w:space="0" w:color="auto"/>
            </w:tcBorders>
          </w:tcPr>
          <w:p w14:paraId="5C1A9433" w14:textId="2CD3E9C3"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58C2F550" w14:textId="0770B605" w:rsidR="00650580" w:rsidRPr="00D072D6" w:rsidRDefault="00650580" w:rsidP="00654898">
            <w:pPr>
              <w:pStyle w:val="PKTpunkt"/>
              <w:numPr>
                <w:ilvl w:val="0"/>
                <w:numId w:val="20"/>
              </w:numPr>
              <w:spacing w:line="240" w:lineRule="auto"/>
              <w:ind w:left="345"/>
              <w:rPr>
                <w:rFonts w:ascii="Times New Roman" w:hAnsi="Times New Roman" w:cs="Times New Roman"/>
                <w:bCs w:val="0"/>
                <w:sz w:val="22"/>
                <w:szCs w:val="22"/>
              </w:rPr>
            </w:pPr>
            <w:r w:rsidRPr="00D072D6">
              <w:rPr>
                <w:rFonts w:ascii="Times New Roman" w:hAnsi="Times New Roman" w:cs="Times New Roman"/>
                <w:bCs w:val="0"/>
                <w:sz w:val="22"/>
                <w:szCs w:val="22"/>
              </w:rPr>
              <w:t>Czy jest to wymóg fakultatywny czy obligatoryjny?</w:t>
            </w:r>
            <w:r w:rsidR="00FF6F61" w:rsidRPr="00D072D6">
              <w:rPr>
                <w:rFonts w:ascii="Times New Roman" w:hAnsi="Times New Roman" w:cs="Times New Roman"/>
                <w:bCs w:val="0"/>
                <w:sz w:val="22"/>
                <w:szCs w:val="22"/>
              </w:rPr>
              <w:t xml:space="preserve"> </w:t>
            </w:r>
            <w:r w:rsidRPr="00D072D6">
              <w:rPr>
                <w:rFonts w:ascii="Times New Roman" w:hAnsi="Times New Roman" w:cs="Times New Roman"/>
                <w:bCs w:val="0"/>
                <w:sz w:val="22"/>
                <w:szCs w:val="22"/>
              </w:rPr>
              <w:t>Z treści tego przepisu wynika, że jest to wymóg obligatoryjny.</w:t>
            </w:r>
          </w:p>
          <w:p w14:paraId="4A49F38D" w14:textId="77777777" w:rsidR="00650580" w:rsidRPr="00D072D6" w:rsidRDefault="00650580" w:rsidP="00654898">
            <w:pPr>
              <w:pStyle w:val="PKTpunkt"/>
              <w:numPr>
                <w:ilvl w:val="0"/>
                <w:numId w:val="20"/>
              </w:numPr>
              <w:spacing w:line="240" w:lineRule="auto"/>
              <w:ind w:left="345"/>
              <w:rPr>
                <w:rFonts w:ascii="Times New Roman" w:hAnsi="Times New Roman" w:cs="Times New Roman"/>
                <w:bCs w:val="0"/>
                <w:sz w:val="22"/>
                <w:szCs w:val="22"/>
              </w:rPr>
            </w:pPr>
            <w:r w:rsidRPr="00D072D6">
              <w:rPr>
                <w:rFonts w:ascii="Times New Roman" w:hAnsi="Times New Roman" w:cs="Times New Roman"/>
                <w:bCs w:val="0"/>
                <w:sz w:val="22"/>
                <w:szCs w:val="22"/>
              </w:rPr>
              <w:t xml:space="preserve">Czy w przypadku, gdy przedsiębiorca telekomunikacyjny zdecyduje się zapewniać warunki dostępu i utrwalania we własnej infrastrukturze (bez wykorzystywania interfejsów) to zdolność do przesyłania komunikatów i danych do wszystkich dziesięciu uprawnionych podmiotów jest obowiązkiem?  Mając na względzie treść ust. 3 w § 4 PRRM urządzenie przedsiębiorcy musi spełniać wymogi przetwarzania informacji niejawnych o klauzuli co najmniej „tajne”. Urządzenia te muszą być </w:t>
            </w:r>
            <w:r w:rsidRPr="00D072D6">
              <w:rPr>
                <w:rFonts w:ascii="Times New Roman" w:hAnsi="Times New Roman" w:cs="Times New Roman"/>
                <w:bCs w:val="0"/>
                <w:sz w:val="22"/>
                <w:szCs w:val="22"/>
              </w:rPr>
              <w:lastRenderedPageBreak/>
              <w:t>podłączone do publicznej sieci telekomunikacyjnej i mieć możliwość przesyłania informacji niejawnych do każdego z dziesięciu uprawnionych podmiotów.</w:t>
            </w:r>
          </w:p>
          <w:p w14:paraId="02B45A1F" w14:textId="12113ADF" w:rsidR="00650580" w:rsidRPr="00D072D6" w:rsidRDefault="00650580" w:rsidP="00654898">
            <w:pPr>
              <w:pStyle w:val="Bezodstpw"/>
              <w:ind w:left="345"/>
              <w:jc w:val="both"/>
              <w:rPr>
                <w:rFonts w:ascii="Times New Roman" w:hAnsi="Times New Roman" w:cs="Times New Roman"/>
              </w:rPr>
            </w:pPr>
            <w:r w:rsidRPr="00D072D6">
              <w:rPr>
                <w:rFonts w:ascii="Times New Roman" w:hAnsi="Times New Roman" w:cs="Times New Roman"/>
              </w:rPr>
              <w:t>Spełnienie tego wymogu jest bardzo skomplikowane organizacyjnie oraz bardzo kosztowne. Wymóg ten łudząco przypomina wymagania dotyczące interfejsu, o którym mowa w art. 43 ust. 5 PKE.</w:t>
            </w:r>
          </w:p>
        </w:tc>
        <w:tc>
          <w:tcPr>
            <w:tcW w:w="4395" w:type="dxa"/>
            <w:tcBorders>
              <w:bottom w:val="single" w:sz="4" w:space="0" w:color="auto"/>
            </w:tcBorders>
          </w:tcPr>
          <w:p w14:paraId="14C58610" w14:textId="28CD1677" w:rsidR="00650580" w:rsidRPr="00D072D6" w:rsidRDefault="00FF6F61"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Wyjaśnienie</w:t>
            </w:r>
            <w:r w:rsidR="00654898" w:rsidRPr="00D072D6">
              <w:rPr>
                <w:rFonts w:ascii="Times New Roman" w:hAnsi="Times New Roman" w:cs="Times New Roman"/>
                <w:b/>
                <w:bCs/>
              </w:rPr>
              <w:t xml:space="preserve"> uwagi</w:t>
            </w:r>
          </w:p>
          <w:p w14:paraId="24AAF150" w14:textId="4FE6A3AE" w:rsidR="00FF6F61" w:rsidRPr="00D072D6" w:rsidRDefault="00FF6F61" w:rsidP="00654898">
            <w:pPr>
              <w:pStyle w:val="Bezodstpw"/>
              <w:numPr>
                <w:ilvl w:val="0"/>
                <w:numId w:val="21"/>
              </w:numPr>
              <w:ind w:left="238" w:hanging="218"/>
              <w:jc w:val="both"/>
              <w:rPr>
                <w:rFonts w:ascii="Times New Roman" w:hAnsi="Times New Roman" w:cs="Times New Roman"/>
              </w:rPr>
            </w:pPr>
            <w:r w:rsidRPr="00D072D6">
              <w:rPr>
                <w:rFonts w:ascii="Times New Roman" w:hAnsi="Times New Roman" w:cs="Times New Roman"/>
              </w:rPr>
              <w:t xml:space="preserve">Przepis ujęty w ust. 2 pkt 5 </w:t>
            </w:r>
            <w:r w:rsidR="000250A0" w:rsidRPr="00D072D6">
              <w:rPr>
                <w:rFonts w:ascii="Times New Roman" w:hAnsi="Times New Roman" w:cs="Times New Roman"/>
              </w:rPr>
              <w:t xml:space="preserve">projektu rozporządzenia </w:t>
            </w:r>
            <w:r w:rsidRPr="00D072D6">
              <w:rPr>
                <w:rFonts w:ascii="Times New Roman" w:hAnsi="Times New Roman" w:cs="Times New Roman"/>
              </w:rPr>
              <w:t xml:space="preserve">jest obligatoryjny i wynika to wprost z redakcji przepisu w zdaniu wstępnym („umożliwiają”, a nie </w:t>
            </w:r>
            <w:r w:rsidR="00111EA5" w:rsidRPr="00D072D6">
              <w:rPr>
                <w:rFonts w:ascii="Times New Roman" w:hAnsi="Times New Roman" w:cs="Times New Roman"/>
              </w:rPr>
              <w:t xml:space="preserve">np. </w:t>
            </w:r>
            <w:r w:rsidRPr="00D072D6">
              <w:rPr>
                <w:rFonts w:ascii="Times New Roman" w:hAnsi="Times New Roman" w:cs="Times New Roman"/>
              </w:rPr>
              <w:t>„mogą umożliwiać”)</w:t>
            </w:r>
            <w:r w:rsidR="00637BD0">
              <w:rPr>
                <w:rFonts w:ascii="Times New Roman" w:hAnsi="Times New Roman" w:cs="Times New Roman"/>
              </w:rPr>
              <w:t>;</w:t>
            </w:r>
          </w:p>
          <w:p w14:paraId="3C9F5397" w14:textId="3F4D845D" w:rsidR="00FF6F61" w:rsidRPr="00D072D6" w:rsidRDefault="00FF6F61" w:rsidP="00654898">
            <w:pPr>
              <w:pStyle w:val="Bezodstpw"/>
              <w:numPr>
                <w:ilvl w:val="0"/>
                <w:numId w:val="21"/>
              </w:numPr>
              <w:ind w:left="238" w:hanging="218"/>
              <w:jc w:val="both"/>
              <w:rPr>
                <w:rFonts w:ascii="Times New Roman" w:hAnsi="Times New Roman" w:cs="Times New Roman"/>
              </w:rPr>
            </w:pPr>
            <w:r w:rsidRPr="00D072D6">
              <w:rPr>
                <w:rFonts w:ascii="Times New Roman" w:hAnsi="Times New Roman" w:cs="Times New Roman"/>
              </w:rPr>
              <w:t xml:space="preserve">Przesyłanie komunikatów i danych za pomocą urządzeń (własnych) przedsiębiorcy jest obligatoryjne do </w:t>
            </w:r>
            <w:r w:rsidRPr="00D072D6">
              <w:rPr>
                <w:rFonts w:ascii="Times New Roman" w:hAnsi="Times New Roman" w:cs="Times New Roman"/>
              </w:rPr>
              <w:lastRenderedPageBreak/>
              <w:t>każdego z uprawnionych podmiotów. Wynika  to redakcji zdani</w:t>
            </w:r>
            <w:r w:rsidR="000250A0" w:rsidRPr="00D072D6">
              <w:rPr>
                <w:rFonts w:ascii="Times New Roman" w:hAnsi="Times New Roman" w:cs="Times New Roman"/>
              </w:rPr>
              <w:t>a</w:t>
            </w:r>
            <w:r w:rsidRPr="00D072D6">
              <w:rPr>
                <w:rFonts w:ascii="Times New Roman" w:hAnsi="Times New Roman" w:cs="Times New Roman"/>
              </w:rPr>
              <w:t xml:space="preserve"> wstępn</w:t>
            </w:r>
            <w:r w:rsidR="000250A0" w:rsidRPr="00D072D6">
              <w:rPr>
                <w:rFonts w:ascii="Times New Roman" w:hAnsi="Times New Roman" w:cs="Times New Roman"/>
              </w:rPr>
              <w:t>ego w</w:t>
            </w:r>
            <w:r w:rsidR="00637BD0">
              <w:rPr>
                <w:rFonts w:ascii="Times New Roman" w:hAnsi="Times New Roman" w:cs="Times New Roman"/>
              </w:rPr>
              <w:t> </w:t>
            </w:r>
            <w:r w:rsidRPr="00D072D6">
              <w:rPr>
                <w:rFonts w:ascii="Times New Roman" w:hAnsi="Times New Roman" w:cs="Times New Roman"/>
              </w:rPr>
              <w:t xml:space="preserve">ust. 2. </w:t>
            </w:r>
            <w:r w:rsidR="00E16F7E" w:rsidRPr="00D072D6">
              <w:rPr>
                <w:rFonts w:ascii="Times New Roman" w:hAnsi="Times New Roman" w:cs="Times New Roman"/>
              </w:rPr>
              <w:t>Obowiązek</w:t>
            </w:r>
            <w:r w:rsidR="00E15F33" w:rsidRPr="00D072D6">
              <w:rPr>
                <w:rFonts w:ascii="Times New Roman" w:hAnsi="Times New Roman" w:cs="Times New Roman"/>
              </w:rPr>
              <w:t xml:space="preserve"> przesyłania informacji do każdego z uprawnionych podmiot ów wynika wprost z art. 43 ust. 1 pkt 1 </w:t>
            </w:r>
            <w:r w:rsidR="000250A0" w:rsidRPr="00D072D6">
              <w:rPr>
                <w:rFonts w:ascii="Times New Roman" w:hAnsi="Times New Roman" w:cs="Times New Roman"/>
              </w:rPr>
              <w:t>PKE</w:t>
            </w:r>
            <w:r w:rsidR="0011170F" w:rsidRPr="00D072D6">
              <w:rPr>
                <w:rFonts w:ascii="Times New Roman" w:hAnsi="Times New Roman" w:cs="Times New Roman"/>
              </w:rPr>
              <w:t xml:space="preserve"> stanowiąc</w:t>
            </w:r>
            <w:r w:rsidR="000250A0" w:rsidRPr="00D072D6">
              <w:rPr>
                <w:rFonts w:ascii="Times New Roman" w:hAnsi="Times New Roman" w:cs="Times New Roman"/>
              </w:rPr>
              <w:t>ego</w:t>
            </w:r>
            <w:r w:rsidR="0011170F" w:rsidRPr="00D072D6">
              <w:rPr>
                <w:rFonts w:ascii="Times New Roman" w:hAnsi="Times New Roman" w:cs="Times New Roman"/>
              </w:rPr>
              <w:t>, że zapewnienie warunków dostępu i utrwalania umożliwia jednoczesne</w:t>
            </w:r>
            <w:r w:rsidR="00E16F7E" w:rsidRPr="00D072D6">
              <w:rPr>
                <w:rFonts w:ascii="Times New Roman" w:hAnsi="Times New Roman" w:cs="Times New Roman"/>
              </w:rPr>
              <w:t xml:space="preserve"> i</w:t>
            </w:r>
            <w:r w:rsidR="0011170F" w:rsidRPr="00D072D6">
              <w:rPr>
                <w:rFonts w:ascii="Times New Roman" w:hAnsi="Times New Roman" w:cs="Times New Roman"/>
              </w:rPr>
              <w:t xml:space="preserve"> wzajemne przesyłanie informacji.</w:t>
            </w:r>
          </w:p>
          <w:p w14:paraId="5BF218D3" w14:textId="384BCA57" w:rsidR="0011170F" w:rsidRPr="00D072D6" w:rsidRDefault="0011170F" w:rsidP="00654898">
            <w:pPr>
              <w:pStyle w:val="Bezodstpw"/>
              <w:ind w:left="238"/>
              <w:jc w:val="both"/>
              <w:rPr>
                <w:rFonts w:ascii="Times New Roman" w:hAnsi="Times New Roman" w:cs="Times New Roman"/>
              </w:rPr>
            </w:pPr>
            <w:r w:rsidRPr="00D072D6">
              <w:rPr>
                <w:rFonts w:ascii="Times New Roman" w:hAnsi="Times New Roman" w:cs="Times New Roman"/>
              </w:rPr>
              <w:t xml:space="preserve">Ponadto w trakcie warsztatów </w:t>
            </w:r>
            <w:r w:rsidR="00FB158C" w:rsidRPr="00D072D6">
              <w:rPr>
                <w:rFonts w:ascii="Times New Roman" w:hAnsi="Times New Roman" w:cs="Times New Roman"/>
              </w:rPr>
              <w:t xml:space="preserve">z udziałem przedstawicieli uprawnionych podmiotów i przedsiębiorców telekomunikacyjnych </w:t>
            </w:r>
            <w:r w:rsidR="000250A0" w:rsidRPr="00D072D6">
              <w:rPr>
                <w:rFonts w:ascii="Times New Roman" w:hAnsi="Times New Roman" w:cs="Times New Roman"/>
              </w:rPr>
              <w:t xml:space="preserve">zorganizowanych przez projektodawcę </w:t>
            </w:r>
            <w:r w:rsidRPr="00D072D6">
              <w:rPr>
                <w:rFonts w:ascii="Times New Roman" w:hAnsi="Times New Roman" w:cs="Times New Roman"/>
              </w:rPr>
              <w:t>uzgodniono z uprawnionymi podmiotami, że urządzenia przedsiębiorcy nie będą podlegały ochronie informacji niejawnych.</w:t>
            </w:r>
          </w:p>
        </w:tc>
      </w:tr>
      <w:tr w:rsidR="00650580" w:rsidRPr="00D072D6" w14:paraId="70FE50F9" w14:textId="77777777" w:rsidTr="00654898">
        <w:tc>
          <w:tcPr>
            <w:tcW w:w="594" w:type="dxa"/>
            <w:tcBorders>
              <w:bottom w:val="single" w:sz="4" w:space="0" w:color="auto"/>
            </w:tcBorders>
          </w:tcPr>
          <w:p w14:paraId="2BC09BBB"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17232EB3" w14:textId="3A0C3DE6"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4 ust. 3</w:t>
            </w:r>
          </w:p>
        </w:tc>
        <w:tc>
          <w:tcPr>
            <w:tcW w:w="1669" w:type="dxa"/>
            <w:tcBorders>
              <w:bottom w:val="single" w:sz="4" w:space="0" w:color="auto"/>
            </w:tcBorders>
          </w:tcPr>
          <w:p w14:paraId="3BC353BB" w14:textId="316063F7"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22B1F273"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Proponujemy precyzyjnie określić jakie informacje stanowią informacje niejawne oraz które urządzenia muszą spełniać wymogi ochrony takich informacji.</w:t>
            </w:r>
          </w:p>
          <w:p w14:paraId="1FAEEA57"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W procesie kontroli operacyjnej (zapewnienia warunków dostępu i utrwalania) występują trzy rodzaje informacji:</w:t>
            </w:r>
          </w:p>
          <w:p w14:paraId="1460DDCE" w14:textId="77777777" w:rsidR="00650580" w:rsidRPr="00D072D6" w:rsidRDefault="00650580" w:rsidP="00654898">
            <w:pPr>
              <w:pStyle w:val="USTustnpkodeksu"/>
              <w:numPr>
                <w:ilvl w:val="0"/>
                <w:numId w:val="4"/>
              </w:numPr>
              <w:spacing w:line="240" w:lineRule="auto"/>
              <w:ind w:left="487" w:hanging="357"/>
              <w:rPr>
                <w:rFonts w:ascii="Times New Roman" w:hAnsi="Times New Roman" w:cs="Times New Roman"/>
                <w:bCs w:val="0"/>
                <w:sz w:val="22"/>
                <w:szCs w:val="22"/>
              </w:rPr>
            </w:pPr>
            <w:r w:rsidRPr="00D072D6">
              <w:rPr>
                <w:rFonts w:ascii="Times New Roman" w:hAnsi="Times New Roman" w:cs="Times New Roman"/>
                <w:bCs w:val="0"/>
                <w:sz w:val="22"/>
                <w:szCs w:val="22"/>
              </w:rPr>
              <w:t>Informacje administracyjne: wniosek o wszczęcie kontroli operacyjnej, zapotrzebowanie (art. 43 ust. 4 PKE).  Pismo z załącznikami zawierającymi uzyskane w czasie kontroli operacyjnej komunikaty elektroniczne i dane telekomunikacyjne.</w:t>
            </w:r>
          </w:p>
          <w:p w14:paraId="6329E546" w14:textId="77777777" w:rsidR="00650580" w:rsidRPr="00D072D6" w:rsidRDefault="00650580" w:rsidP="00654898">
            <w:pPr>
              <w:pStyle w:val="USTustnpkodeksu"/>
              <w:numPr>
                <w:ilvl w:val="0"/>
                <w:numId w:val="4"/>
              </w:numPr>
              <w:spacing w:line="240" w:lineRule="auto"/>
              <w:ind w:left="487" w:hanging="357"/>
              <w:rPr>
                <w:rFonts w:ascii="Times New Roman" w:hAnsi="Times New Roman" w:cs="Times New Roman"/>
                <w:bCs w:val="0"/>
                <w:sz w:val="22"/>
                <w:szCs w:val="22"/>
              </w:rPr>
            </w:pPr>
            <w:r w:rsidRPr="00D072D6">
              <w:rPr>
                <w:rFonts w:ascii="Times New Roman" w:hAnsi="Times New Roman" w:cs="Times New Roman"/>
                <w:bCs w:val="0"/>
                <w:sz w:val="22"/>
                <w:szCs w:val="22"/>
              </w:rPr>
              <w:t>Treść komunikatów elektronicznych.</w:t>
            </w:r>
          </w:p>
          <w:p w14:paraId="594DAC88" w14:textId="77777777" w:rsidR="00650580" w:rsidRPr="00D072D6" w:rsidRDefault="00650580" w:rsidP="00654898">
            <w:pPr>
              <w:pStyle w:val="USTustnpkodeksu"/>
              <w:numPr>
                <w:ilvl w:val="0"/>
                <w:numId w:val="4"/>
              </w:numPr>
              <w:spacing w:line="240" w:lineRule="auto"/>
              <w:ind w:left="487" w:hanging="357"/>
              <w:rPr>
                <w:rFonts w:ascii="Times New Roman" w:hAnsi="Times New Roman" w:cs="Times New Roman"/>
                <w:bCs w:val="0"/>
                <w:sz w:val="22"/>
                <w:szCs w:val="22"/>
              </w:rPr>
            </w:pPr>
            <w:r w:rsidRPr="00D072D6">
              <w:rPr>
                <w:rFonts w:ascii="Times New Roman" w:hAnsi="Times New Roman" w:cs="Times New Roman"/>
                <w:bCs w:val="0"/>
                <w:sz w:val="22"/>
                <w:szCs w:val="22"/>
              </w:rPr>
              <w:t>Dane telekomunikacyjne.</w:t>
            </w:r>
          </w:p>
          <w:p w14:paraId="13E0D226"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Ad pkt 1. Te dane są informacjami niejawnymi, ponieważ zazwyczaj zawierają dane o przedmiocie kontroli, dane użytkownika objętego kontrolą, dane przedstawiciela uprawnionego podmiotu, może być również uzasadnienie prowadzonej kontroli operacyjnej. W myśl art. 5 ust 1 lub 2 ustawy z dnia 5 sierpnia 2010 r. o ochronie informacji niejawnych informacjom takim należy nadać klauzulę „tajne” lub „ściśle tajne”,</w:t>
            </w:r>
          </w:p>
          <w:p w14:paraId="4F700A72" w14:textId="32EAAF22"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Ad. pkt 2 i 3. Te dane stanowią informacje objęte tajemnicę telekomunikacyjną. Stają się one informacjami niejawnymi w momencie włączenia ich do akt prowadzonej kontroli operacyjnej np. w momencie oznaczenia płyt CD z utrwalonymi komunikatami elektronicznymi i danymi telekomunikacyjnymi sygnaturą sprawy. Nie ulega wątpliwości, że dane te wraz z pismem przewodnim stanowią informacje niejawne o klauzuli co najmniej „tajne”.</w:t>
            </w:r>
          </w:p>
        </w:tc>
        <w:tc>
          <w:tcPr>
            <w:tcW w:w="4395" w:type="dxa"/>
            <w:tcBorders>
              <w:bottom w:val="single" w:sz="4" w:space="0" w:color="auto"/>
            </w:tcBorders>
          </w:tcPr>
          <w:p w14:paraId="570F776C" w14:textId="39C28BB1" w:rsidR="009E0F8A" w:rsidRPr="00D072D6" w:rsidRDefault="009E0F8A"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3E4B5024" w14:textId="77777777" w:rsidR="009C476D" w:rsidRPr="00D072D6" w:rsidRDefault="009C476D" w:rsidP="00654898">
            <w:pPr>
              <w:pStyle w:val="Bezodstpw"/>
              <w:jc w:val="both"/>
              <w:rPr>
                <w:rFonts w:ascii="Times New Roman" w:hAnsi="Times New Roman" w:cs="Times New Roman"/>
              </w:rPr>
            </w:pPr>
            <w:r w:rsidRPr="00D072D6">
              <w:rPr>
                <w:rFonts w:ascii="Times New Roman" w:hAnsi="Times New Roman" w:cs="Times New Roman"/>
              </w:rPr>
              <w:t>W procesie kontroli operacyjnej wszystkie informacje objęte są ochroną informacji niejawnych.</w:t>
            </w:r>
          </w:p>
          <w:p w14:paraId="5648AD2C" w14:textId="583192DB" w:rsidR="00E0210C" w:rsidRPr="00D072D6" w:rsidRDefault="00E0210C" w:rsidP="00654898">
            <w:pPr>
              <w:pStyle w:val="Bezodstpw"/>
              <w:jc w:val="both"/>
              <w:rPr>
                <w:rFonts w:ascii="Times New Roman" w:hAnsi="Times New Roman" w:cs="Times New Roman"/>
              </w:rPr>
            </w:pPr>
            <w:r w:rsidRPr="00D072D6">
              <w:rPr>
                <w:rFonts w:ascii="Times New Roman" w:eastAsia="Times New Roman" w:hAnsi="Times New Roman" w:cs="Times New Roman"/>
                <w:lang w:eastAsia="pl-PL"/>
              </w:rPr>
              <w:t>Zrezygnowano ze spełniania przez urządzenia przedsiębiorcy przepisów o</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ochronie informacji niejawnych. Interfejsy muszą spełniać warunki ochrony informacji niejawnych o klauzuli „tajne”.</w:t>
            </w:r>
          </w:p>
          <w:p w14:paraId="5A50125E" w14:textId="2A6B0B56" w:rsidR="009E0F8A" w:rsidRPr="00D072D6" w:rsidRDefault="009C476D" w:rsidP="00654898">
            <w:pPr>
              <w:pStyle w:val="Bezodstpw"/>
              <w:jc w:val="both"/>
              <w:rPr>
                <w:rFonts w:ascii="Times New Roman" w:hAnsi="Times New Roman" w:cs="Times New Roman"/>
              </w:rPr>
            </w:pPr>
            <w:r w:rsidRPr="00D072D6">
              <w:rPr>
                <w:rFonts w:ascii="Times New Roman" w:hAnsi="Times New Roman" w:cs="Times New Roman"/>
              </w:rPr>
              <w:t>Duży i średni przedsiębiorca telekomunikacyjny musi dostosować się do wymogów bezpieczeństwa wskazanych w</w:t>
            </w:r>
            <w:r w:rsidR="00637BD0">
              <w:rPr>
                <w:rFonts w:ascii="Times New Roman" w:hAnsi="Times New Roman" w:cs="Times New Roman"/>
              </w:rPr>
              <w:t> </w:t>
            </w:r>
            <w:r w:rsidRPr="00D072D6">
              <w:rPr>
                <w:rFonts w:ascii="Times New Roman" w:hAnsi="Times New Roman" w:cs="Times New Roman"/>
              </w:rPr>
              <w:t xml:space="preserve">ustawie </w:t>
            </w:r>
            <w:r w:rsidR="000250A0" w:rsidRPr="00D072D6">
              <w:rPr>
                <w:rFonts w:ascii="Times New Roman" w:hAnsi="Times New Roman" w:cs="Times New Roman"/>
              </w:rPr>
              <w:t xml:space="preserve">z dnia 5 sierpnia 2010 r. </w:t>
            </w:r>
            <w:r w:rsidRPr="00D072D6">
              <w:rPr>
                <w:rFonts w:ascii="Times New Roman" w:hAnsi="Times New Roman" w:cs="Times New Roman"/>
              </w:rPr>
              <w:t xml:space="preserve">o ochronie  informacji niejawnych </w:t>
            </w:r>
            <w:r w:rsidR="000250A0" w:rsidRPr="00D072D6">
              <w:rPr>
                <w:rFonts w:ascii="Times New Roman" w:hAnsi="Times New Roman" w:cs="Times New Roman"/>
              </w:rPr>
              <w:t xml:space="preserve">(Dz. U. z 2025 r. poz. 1209) </w:t>
            </w:r>
            <w:r w:rsidRPr="00D072D6">
              <w:rPr>
                <w:rFonts w:ascii="Times New Roman" w:hAnsi="Times New Roman" w:cs="Times New Roman"/>
              </w:rPr>
              <w:t>zapewniając ochronę informacji o</w:t>
            </w:r>
            <w:r w:rsidR="00637BD0">
              <w:rPr>
                <w:rFonts w:ascii="Times New Roman" w:hAnsi="Times New Roman" w:cs="Times New Roman"/>
              </w:rPr>
              <w:t> </w:t>
            </w:r>
            <w:r w:rsidRPr="00D072D6">
              <w:rPr>
                <w:rFonts w:ascii="Times New Roman" w:hAnsi="Times New Roman" w:cs="Times New Roman"/>
              </w:rPr>
              <w:t>klauzuli nie niższej niż „tajne”, co potwierdza świadectwem bezpieczeństwa przemysłowego I stopnia (duży przedsiębiorca) i III stopnia (średni przedsiębiorca).</w:t>
            </w:r>
          </w:p>
          <w:p w14:paraId="184D8544" w14:textId="57E11655" w:rsidR="009C476D" w:rsidRPr="00D072D6" w:rsidRDefault="009C476D" w:rsidP="00654898">
            <w:pPr>
              <w:pStyle w:val="Bezodstpw"/>
              <w:jc w:val="both"/>
              <w:rPr>
                <w:rFonts w:ascii="Times New Roman" w:hAnsi="Times New Roman" w:cs="Times New Roman"/>
              </w:rPr>
            </w:pPr>
            <w:r w:rsidRPr="00D072D6">
              <w:rPr>
                <w:rFonts w:ascii="Times New Roman" w:hAnsi="Times New Roman" w:cs="Times New Roman"/>
              </w:rPr>
              <w:t>Upoważniony pracownik dużego i średniego przedsiębiorcy musi posiadać poświadczenie bezpieczeństwa o klauzuli „tajne”.</w:t>
            </w:r>
          </w:p>
        </w:tc>
      </w:tr>
      <w:tr w:rsidR="00650580" w:rsidRPr="00D072D6" w14:paraId="55C97241" w14:textId="77777777" w:rsidTr="00654898">
        <w:tc>
          <w:tcPr>
            <w:tcW w:w="594" w:type="dxa"/>
            <w:tcBorders>
              <w:bottom w:val="single" w:sz="4" w:space="0" w:color="auto"/>
            </w:tcBorders>
          </w:tcPr>
          <w:p w14:paraId="6E74EA68"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704D6F16" w14:textId="77777777" w:rsidR="00650580" w:rsidRPr="00D072D6" w:rsidRDefault="00650580" w:rsidP="00654898">
            <w:pPr>
              <w:pStyle w:val="USTustnpkodeksu"/>
              <w:spacing w:line="240" w:lineRule="auto"/>
              <w:ind w:firstLine="0"/>
              <w:rPr>
                <w:rFonts w:ascii="Times New Roman" w:eastAsia="Times New Roman" w:hAnsi="Times New Roman" w:cs="Times New Roman"/>
                <w:bCs w:val="0"/>
                <w:sz w:val="22"/>
                <w:szCs w:val="22"/>
              </w:rPr>
            </w:pPr>
            <w:r w:rsidRPr="00D072D6">
              <w:rPr>
                <w:rFonts w:ascii="Times New Roman" w:hAnsi="Times New Roman" w:cs="Times New Roman"/>
                <w:bCs w:val="0"/>
                <w:sz w:val="22"/>
                <w:szCs w:val="22"/>
              </w:rPr>
              <w:t xml:space="preserve">§ 4 ust. 3 (alternatywnie) oraz propozycja zmiany </w:t>
            </w:r>
            <w:r w:rsidRPr="00D072D6">
              <w:rPr>
                <w:rFonts w:ascii="Times New Roman" w:eastAsia="Times New Roman" w:hAnsi="Times New Roman" w:cs="Times New Roman"/>
                <w:bCs w:val="0"/>
                <w:sz w:val="22"/>
                <w:szCs w:val="22"/>
              </w:rPr>
              <w:t>§ 5 ust.1</w:t>
            </w:r>
          </w:p>
          <w:p w14:paraId="1651998F" w14:textId="77777777" w:rsidR="00650580" w:rsidRPr="00D072D6" w:rsidRDefault="00650580" w:rsidP="00654898">
            <w:pPr>
              <w:pStyle w:val="Bezodstpw"/>
              <w:jc w:val="center"/>
              <w:rPr>
                <w:rFonts w:ascii="Times New Roman" w:hAnsi="Times New Roman" w:cs="Times New Roman"/>
              </w:rPr>
            </w:pPr>
          </w:p>
        </w:tc>
        <w:tc>
          <w:tcPr>
            <w:tcW w:w="1669" w:type="dxa"/>
            <w:tcBorders>
              <w:bottom w:val="single" w:sz="4" w:space="0" w:color="auto"/>
            </w:tcBorders>
          </w:tcPr>
          <w:p w14:paraId="537CCD81" w14:textId="2D96596E"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7F7247AC"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Niezwykle istotny problem, który należy prawidłowo uregulować, to problem ochrony informacji niejawnych. Dotychczasowe próby uregulowania tej problematyki były nieudane. W konsekwencji np. UKE wydał opinię, zamieszczając ją na swojej stronie internetowej, która zwalniała z obowiązku posiadania świadectwa bezpieczeństwa przemysłowego przedsiębiorców, którzy powierzyli wykonywanie podsłuchów innemu przedsiębiorcy telekomunikacyjnemu, choć z prawnego punktu widzenia opinia ta była niedopuszczalna. Jej praktyczne znaczenie nie jest do przecenienia bowiem uratowała wielu przedsiębiorców przed zbędnymi, dużymi wydatkami. Wskazała przy tym właściwy kierunek oczekiwanej regulacji prawnej. </w:t>
            </w:r>
          </w:p>
          <w:p w14:paraId="5E34919C"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Istotą przepisów ustawy o ochronie informacji niejawnych, co jest oczywiste, jest zapewnienie poufności tym informacjom, których nieuprawnione ujawnienie spowodowałoby lub mogłoby spowodować szkody dla Rzeczypospolitej Polskiej albo byłoby z punktu widzenia jej interesów niekorzystne. </w:t>
            </w:r>
          </w:p>
          <w:p w14:paraId="21C2FEE4"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Kluczowym zatem jest określenie jakie informacje w procesie przygotowania się przedsiębiorców do wykonywania obowiązków z art. 43 PKE oraz w procesie realizacji podsłuchów są niejawne z punktu widzenia ustawy o ochronie informacji niejawnych. </w:t>
            </w:r>
          </w:p>
          <w:p w14:paraId="50B935E9"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Czy treść komunikatów stanowi taką informację. Otóż nie, to jest obszar tajemnicy telekomunikacyjnej, lecz nie informacji niejawnej w rozumieniu przepisów ustawy OIN. Słusznie zatem zarówno w treści rozporządzenia z 13 września 2005 roku jak i w części przepisów przedmiotowego projektu rozporządzenia odstąpiono od nakładania na przedsiębiorców obowiązku stosowania urządzeń posiadających zdolność przetwarzania informacji niejawnych potwierdzoną świadectwem akredytacji bezpieczeństwa systemu teleinformatycznego wydanym przez stosowny organ (ABW, SKW). </w:t>
            </w:r>
          </w:p>
          <w:p w14:paraId="6C56179D"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W przypadku przedmiotowego projektu zasada ta zawiera się w treści § 5. Treść tego paragrafu, w odróżnieniu od treści § 4 ust. 3 nie narzuca warunku zapewnienia przetwarzania informacji niejawnych oznaczonych klauzulą nie niższą niż „tajne” i to bez uszczegóławiania których urządzeń to dotyczy, co skutkuje zasadą, iż obejmuje wszystkie stosowane w procesie urządzenia spełniające warunki określone w § 2 pkt. 6). </w:t>
            </w:r>
          </w:p>
          <w:p w14:paraId="3DD4D86C"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Biorą powyższe pod uwagą oraz sposób rozwiązania problemu w treści § 4 rozporządzenia Ministra Sprawiedliwości z dnia 24 czerwca 2003 r należy przyjąć, że informacją niejawną jest ta, która wskazuje na nazwę podmiotu uprawnionego do przeprowadzenia podsłuchu.  </w:t>
            </w:r>
          </w:p>
          <w:p w14:paraId="297F80C6"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Zatem, z zachowaniem rygorów dotyczących informacji niejawnych o klauzuli „tajne” w rozumieniu UOIN powinno odbywać się przekazywanie wiadomości jedynie tych w których znajdują się informacje identyfikujące uprawniony podmiot. </w:t>
            </w:r>
          </w:p>
          <w:p w14:paraId="1B7C0818"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lastRenderedPageBreak/>
              <w:t>Zapewni to również spójność z treścią wspomnianego rozporządzenie Ministra Sprawiedliwości z dnia 24 czerwca 2003 r.  </w:t>
            </w:r>
          </w:p>
          <w:p w14:paraId="004F443C"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Zatem wystarczający jest warunek zawarty w treści § 6 ust. 2 pkt. 1) aby zapewnić ochronę informacji faktycznie stanowiących informacje niejawne w rozumieniu ustawy o OIN.  </w:t>
            </w:r>
          </w:p>
          <w:p w14:paraId="7BF95828"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Utrzymanie w projekcie treści § 4 ust. 3 spowoduje ponadto dodatkowe, trudne do oszacowania koszty przedsiębiorców zmuszonych do zakupu urządzeń spełniających warunki dopuszczenie do przetwarzania informacji niejawnych. Dzisiejszy stan prawny nie nakładał na przedsiębiorców takich wymagań – akredytacja systemów telekomunikacyjnych stosowanych w realizacji podsłuchów. Nadto doprowadzi to do lawiny wniosków kierowanych do DBTI ABW o przeprowadzenie postępowań akredytacyjnych. Postępowanie takie trwa obecnie kilka miesięcy, a w nowych okolicznościach wydłuży się znacząco (w tym kontekście vacatio legis wejścia w życie rozporządzenie nie może być krótsze od 36 miesięcy, o czym będzie mowa poniżej). </w:t>
            </w:r>
          </w:p>
          <w:p w14:paraId="27B7F6BD" w14:textId="77777777" w:rsidR="00650580" w:rsidRPr="00D072D6" w:rsidRDefault="00650580" w:rsidP="00654898">
            <w:pPr>
              <w:pStyle w:val="LITlitera"/>
              <w:spacing w:line="240" w:lineRule="auto"/>
              <w:ind w:left="0" w:firstLine="0"/>
              <w:rPr>
                <w:rFonts w:ascii="Times New Roman" w:hAnsi="Times New Roman" w:cs="Times New Roman"/>
                <w:bCs w:val="0"/>
                <w:sz w:val="22"/>
                <w:szCs w:val="22"/>
              </w:rPr>
            </w:pPr>
            <w:r w:rsidRPr="00D072D6">
              <w:rPr>
                <w:rFonts w:ascii="Times New Roman" w:hAnsi="Times New Roman" w:cs="Times New Roman"/>
                <w:bCs w:val="0"/>
                <w:sz w:val="22"/>
                <w:szCs w:val="22"/>
              </w:rPr>
              <w:t>Biorąc powyższe pod uwagę proponujemy następujące zmiany w treści projektu:</w:t>
            </w:r>
          </w:p>
          <w:p w14:paraId="57816A6E" w14:textId="77777777" w:rsidR="00650580" w:rsidRPr="00D072D6" w:rsidRDefault="00650580" w:rsidP="00654898">
            <w:pPr>
              <w:pStyle w:val="LITlitera"/>
              <w:numPr>
                <w:ilvl w:val="0"/>
                <w:numId w:val="11"/>
              </w:numPr>
              <w:spacing w:line="240" w:lineRule="auto"/>
              <w:ind w:left="487"/>
              <w:rPr>
                <w:rFonts w:ascii="Times New Roman" w:hAnsi="Times New Roman" w:cs="Times New Roman"/>
                <w:bCs w:val="0"/>
                <w:sz w:val="22"/>
                <w:szCs w:val="22"/>
              </w:rPr>
            </w:pPr>
            <w:r w:rsidRPr="00D072D6">
              <w:rPr>
                <w:rFonts w:ascii="Times New Roman" w:hAnsi="Times New Roman" w:cs="Times New Roman"/>
                <w:bCs w:val="0"/>
                <w:sz w:val="22"/>
                <w:szCs w:val="22"/>
              </w:rPr>
              <w:t>W § 4 usunąć treść ust. 3, a ust. 4 nadać numer 3. </w:t>
            </w:r>
          </w:p>
          <w:p w14:paraId="75E49D6F" w14:textId="1ADCD987" w:rsidR="00650580" w:rsidRPr="00D072D6" w:rsidRDefault="00650580" w:rsidP="00654898">
            <w:pPr>
              <w:pStyle w:val="Bezodstpw"/>
              <w:numPr>
                <w:ilvl w:val="0"/>
                <w:numId w:val="11"/>
              </w:numPr>
              <w:ind w:left="487"/>
              <w:jc w:val="both"/>
              <w:rPr>
                <w:rFonts w:ascii="Times New Roman" w:hAnsi="Times New Roman" w:cs="Times New Roman"/>
              </w:rPr>
            </w:pPr>
            <w:r w:rsidRPr="00D072D6">
              <w:rPr>
                <w:rFonts w:ascii="Times New Roman" w:hAnsi="Times New Roman" w:cs="Times New Roman"/>
              </w:rPr>
              <w:t>W § 5 ust.1, po wyrazach „Prawo przedsiębiorców” dodać słowa „oraz przedsiębiorca świadczący usługę komunikacji elektronicznej w oparciu o stacjonarną sieć telekomunikacyjną” </w:t>
            </w:r>
          </w:p>
        </w:tc>
        <w:tc>
          <w:tcPr>
            <w:tcW w:w="4395" w:type="dxa"/>
            <w:tcBorders>
              <w:bottom w:val="single" w:sz="4" w:space="0" w:color="auto"/>
            </w:tcBorders>
          </w:tcPr>
          <w:p w14:paraId="4944C283" w14:textId="77777777" w:rsidR="00E0210C" w:rsidRPr="00D072D6" w:rsidRDefault="00E0210C"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uwzględniona częściowo</w:t>
            </w:r>
          </w:p>
          <w:p w14:paraId="53872A6C" w14:textId="77777777" w:rsidR="00E0210C" w:rsidRPr="00D072D6" w:rsidRDefault="00E0210C" w:rsidP="00654898">
            <w:pPr>
              <w:pStyle w:val="Bezodstpw"/>
              <w:jc w:val="both"/>
              <w:rPr>
                <w:rFonts w:ascii="Times New Roman" w:hAnsi="Times New Roman" w:cs="Times New Roman"/>
              </w:rPr>
            </w:pPr>
          </w:p>
          <w:p w14:paraId="7083CE33" w14:textId="5DA028D2" w:rsidR="00E0210C" w:rsidRPr="00D072D6" w:rsidRDefault="00E0210C" w:rsidP="00654898">
            <w:pPr>
              <w:pStyle w:val="Bezodstpw"/>
              <w:jc w:val="both"/>
              <w:rPr>
                <w:rFonts w:ascii="Times New Roman" w:hAnsi="Times New Roman" w:cs="Times New Roman"/>
                <w:b/>
                <w:bCs/>
              </w:rPr>
            </w:pPr>
            <w:r w:rsidRPr="00D072D6">
              <w:rPr>
                <w:rFonts w:ascii="Times New Roman" w:hAnsi="Times New Roman" w:cs="Times New Roman"/>
                <w:b/>
                <w:bCs/>
              </w:rPr>
              <w:t>Uwaga uwzględniona</w:t>
            </w:r>
          </w:p>
          <w:p w14:paraId="7B9ED3E7" w14:textId="07C81DEA" w:rsidR="00E0210C" w:rsidRPr="00D072D6" w:rsidRDefault="00E0210C" w:rsidP="00654898">
            <w:pPr>
              <w:pStyle w:val="Bezodstpw"/>
              <w:jc w:val="both"/>
              <w:rPr>
                <w:rFonts w:ascii="Times New Roman" w:hAnsi="Times New Roman" w:cs="Times New Roman"/>
              </w:rPr>
            </w:pPr>
            <w:r w:rsidRPr="00D072D6">
              <w:rPr>
                <w:rFonts w:ascii="Times New Roman" w:hAnsi="Times New Roman" w:cs="Times New Roman"/>
              </w:rPr>
              <w:t>Zrezygnowano z treści § 4 ust. 3</w:t>
            </w:r>
            <w:r w:rsidR="000250A0" w:rsidRPr="00D072D6">
              <w:rPr>
                <w:rFonts w:ascii="Times New Roman" w:hAnsi="Times New Roman" w:cs="Times New Roman"/>
              </w:rPr>
              <w:t xml:space="preserve"> projektu rozporządzenia</w:t>
            </w:r>
            <w:r w:rsidR="002E34A8" w:rsidRPr="00D072D6">
              <w:rPr>
                <w:rFonts w:ascii="Times New Roman" w:hAnsi="Times New Roman" w:cs="Times New Roman"/>
              </w:rPr>
              <w:t xml:space="preserve"> nakładającego na urządzenia przedsiębiorcy posiadanie ochrony informacji niejawnych o klauzuli „tajne”.</w:t>
            </w:r>
          </w:p>
          <w:p w14:paraId="48E563AF" w14:textId="77777777" w:rsidR="002E34A8" w:rsidRPr="00D072D6" w:rsidRDefault="002E34A8" w:rsidP="00654898">
            <w:pPr>
              <w:pStyle w:val="Bezodstpw"/>
              <w:jc w:val="both"/>
              <w:rPr>
                <w:rFonts w:ascii="Times New Roman" w:hAnsi="Times New Roman" w:cs="Times New Roman"/>
              </w:rPr>
            </w:pPr>
          </w:p>
          <w:p w14:paraId="21A76639" w14:textId="77777777" w:rsidR="002E34A8" w:rsidRPr="00D072D6" w:rsidRDefault="002E34A8" w:rsidP="00654898">
            <w:pPr>
              <w:pStyle w:val="Bezodstpw"/>
              <w:jc w:val="both"/>
              <w:rPr>
                <w:rFonts w:ascii="Times New Roman" w:hAnsi="Times New Roman" w:cs="Times New Roman"/>
                <w:b/>
                <w:bCs/>
              </w:rPr>
            </w:pPr>
            <w:r w:rsidRPr="00D072D6">
              <w:rPr>
                <w:rFonts w:ascii="Times New Roman" w:hAnsi="Times New Roman" w:cs="Times New Roman"/>
                <w:b/>
                <w:bCs/>
              </w:rPr>
              <w:t>Uwaga nieuwzględniona</w:t>
            </w:r>
          </w:p>
          <w:p w14:paraId="310CE27B" w14:textId="603D5BCE" w:rsidR="002E34A8" w:rsidRPr="00D072D6" w:rsidRDefault="002E34A8"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W trakcie warsztatów </w:t>
            </w:r>
            <w:r w:rsidR="000250A0" w:rsidRPr="00D072D6">
              <w:rPr>
                <w:rFonts w:ascii="Times New Roman" w:eastAsia="Times New Roman" w:hAnsi="Times New Roman" w:cs="Times New Roman"/>
                <w:lang w:eastAsia="pl-PL"/>
              </w:rPr>
              <w:t>z udziałem przedstawicieli uprawnionych podmiotów i</w:t>
            </w:r>
            <w:r w:rsidR="00637BD0">
              <w:rPr>
                <w:rFonts w:ascii="Times New Roman" w:eastAsia="Times New Roman" w:hAnsi="Times New Roman" w:cs="Times New Roman"/>
                <w:lang w:eastAsia="pl-PL"/>
              </w:rPr>
              <w:t> </w:t>
            </w:r>
            <w:r w:rsidR="000250A0" w:rsidRPr="00D072D6">
              <w:rPr>
                <w:rFonts w:ascii="Times New Roman" w:eastAsia="Times New Roman" w:hAnsi="Times New Roman" w:cs="Times New Roman"/>
                <w:lang w:eastAsia="pl-PL"/>
              </w:rPr>
              <w:t xml:space="preserve">przedsiębiorców telekomunikacyjnych zorganizowanych przez projektodawcę </w:t>
            </w:r>
            <w:r w:rsidRPr="00D072D6">
              <w:rPr>
                <w:rFonts w:ascii="Times New Roman" w:eastAsia="Times New Roman" w:hAnsi="Times New Roman" w:cs="Times New Roman"/>
                <w:lang w:eastAsia="pl-PL"/>
              </w:rPr>
              <w:t>podjęto ustalenia o dalszych ułatwieniach dla przedsiębiorców dużych i średnich. Zrezygnowano ze spełniania przez urządzenia przedsiębiorcy przepisów o</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ochronie informacji niejawnych (w</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projekcie była propozycja „tajne”), oraz z</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wymogu posiadania przez średnich przedsiębiorców świadectwa bezpieczeństwa przemysłowego pierwszego stopnia i</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obniżono je do trzeciego stopnia.</w:t>
            </w:r>
          </w:p>
          <w:p w14:paraId="56594467" w14:textId="38918B12" w:rsidR="002E34A8" w:rsidRPr="00D072D6" w:rsidRDefault="002E34A8"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Powyższe zmiany znacznie zminimalizowały różnice pomiędzy mikro</w:t>
            </w:r>
            <w:r w:rsidR="000250A0" w:rsidRPr="00D072D6">
              <w:rPr>
                <w:rFonts w:ascii="Times New Roman" w:eastAsia="Times New Roman" w:hAnsi="Times New Roman" w:cs="Times New Roman"/>
                <w:lang w:eastAsia="pl-PL"/>
              </w:rPr>
              <w:t>-</w:t>
            </w:r>
            <w:r w:rsidRPr="00D072D6">
              <w:rPr>
                <w:rFonts w:ascii="Times New Roman" w:eastAsia="Times New Roman" w:hAnsi="Times New Roman" w:cs="Times New Roman"/>
                <w:lang w:eastAsia="pl-PL"/>
              </w:rPr>
              <w:t xml:space="preserve"> i małymi przedsiębiorcami telekomunikacyjnymi świadczącymi usługi stacjonarne, a dużymi i</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średnimi przedsiębiorcami świadczącymi takie usługi.</w:t>
            </w:r>
          </w:p>
          <w:p w14:paraId="39A1F457" w14:textId="77777777" w:rsidR="002E34A8" w:rsidRPr="00D072D6" w:rsidRDefault="002E34A8"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Należy również podkreślić, że liczba zapytań (podsłuchów) nie może być przesłanką do ograniczenia albo zwolnienia z obowiązków.</w:t>
            </w:r>
          </w:p>
          <w:p w14:paraId="5E78A7C7" w14:textId="294DF2EA" w:rsidR="002E34A8" w:rsidRPr="00D072D6" w:rsidRDefault="002E34A8" w:rsidP="00654898">
            <w:pPr>
              <w:pStyle w:val="Bezodstpw"/>
              <w:jc w:val="both"/>
              <w:rPr>
                <w:rFonts w:ascii="Times New Roman" w:hAnsi="Times New Roman" w:cs="Times New Roman"/>
              </w:rPr>
            </w:pPr>
            <w:r w:rsidRPr="00D072D6">
              <w:rPr>
                <w:rFonts w:ascii="Times New Roman" w:eastAsia="Times New Roman" w:hAnsi="Times New Roman" w:cs="Times New Roman"/>
                <w:lang w:eastAsia="pl-PL"/>
              </w:rPr>
              <w:t xml:space="preserve">Ponadto zgodnie z art. 50 </w:t>
            </w:r>
            <w:r w:rsidR="000250A0" w:rsidRPr="00D072D6">
              <w:rPr>
                <w:rFonts w:ascii="Times New Roman" w:eastAsia="Times New Roman" w:hAnsi="Times New Roman" w:cs="Times New Roman"/>
                <w:lang w:eastAsia="pl-PL"/>
              </w:rPr>
              <w:t>PKE</w:t>
            </w:r>
            <w:r w:rsidRPr="00D072D6">
              <w:rPr>
                <w:rFonts w:ascii="Times New Roman" w:eastAsia="Times New Roman" w:hAnsi="Times New Roman" w:cs="Times New Roman"/>
                <w:lang w:eastAsia="pl-PL"/>
              </w:rPr>
              <w:t xml:space="preserve"> istnieje możliwość wspólnego wykonywania obowiązków albo powierzenia ich realizacji w drodze umowy innemu przedsiębiorcy telekomunikacyjnemu.</w:t>
            </w:r>
          </w:p>
        </w:tc>
      </w:tr>
      <w:tr w:rsidR="00650580" w:rsidRPr="00D072D6" w14:paraId="4AACA7F6" w14:textId="77777777" w:rsidTr="00654898">
        <w:tc>
          <w:tcPr>
            <w:tcW w:w="594" w:type="dxa"/>
            <w:tcBorders>
              <w:bottom w:val="single" w:sz="4" w:space="0" w:color="auto"/>
            </w:tcBorders>
          </w:tcPr>
          <w:p w14:paraId="67D6B642"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31AF7C4" w14:textId="30169B9E"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xml:space="preserve">§ 4 ust. </w:t>
            </w:r>
            <w:r w:rsidR="00E16F7E" w:rsidRPr="00D072D6">
              <w:rPr>
                <w:rFonts w:ascii="Times New Roman" w:hAnsi="Times New Roman" w:cs="Times New Roman"/>
              </w:rPr>
              <w:t>2</w:t>
            </w:r>
            <w:r w:rsidRPr="00D072D6">
              <w:rPr>
                <w:rFonts w:ascii="Times New Roman" w:hAnsi="Times New Roman" w:cs="Times New Roman"/>
              </w:rPr>
              <w:t xml:space="preserve"> pkt </w:t>
            </w:r>
            <w:r w:rsidR="00E16F7E" w:rsidRPr="00D072D6">
              <w:rPr>
                <w:rFonts w:ascii="Times New Roman" w:hAnsi="Times New Roman" w:cs="Times New Roman"/>
              </w:rPr>
              <w:t>4</w:t>
            </w:r>
          </w:p>
        </w:tc>
        <w:tc>
          <w:tcPr>
            <w:tcW w:w="1669" w:type="dxa"/>
            <w:tcBorders>
              <w:bottom w:val="single" w:sz="4" w:space="0" w:color="auto"/>
            </w:tcBorders>
          </w:tcPr>
          <w:p w14:paraId="2C9FE25C" w14:textId="7CD9DE31"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2AE7CF45"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W wykonaniu norm prawnych zawartych w § 4 ust. 3 i § 4 ust.4 pkt 1 PRRM przedsiębiorca telekomunikacyjny będzie musiał przygotować 11 stanowisk komputerowych (10 dla uprawnionych podmiotów, 1 dla sądu i prokuratury), które będą spełniać warunki ochrony informacji niejawnych o klauzuli „tajne”. </w:t>
            </w:r>
          </w:p>
          <w:p w14:paraId="1A07518D"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Przedsięwzięcie to będzie bardzo kosztowne zarówno na etapie przygotowania jak i utrzymania tego systemu. </w:t>
            </w:r>
          </w:p>
          <w:p w14:paraId="25D04CA4" w14:textId="77777777" w:rsidR="00650580" w:rsidRPr="00D072D6" w:rsidRDefault="00650580" w:rsidP="00654898">
            <w:pPr>
              <w:pStyle w:val="USTustnpkodeksu"/>
              <w:numPr>
                <w:ilvl w:val="0"/>
                <w:numId w:val="6"/>
              </w:numPr>
              <w:spacing w:line="240" w:lineRule="auto"/>
              <w:ind w:left="487" w:hanging="357"/>
              <w:rPr>
                <w:rFonts w:ascii="Times New Roman" w:hAnsi="Times New Roman" w:cs="Times New Roman"/>
                <w:bCs w:val="0"/>
                <w:sz w:val="22"/>
                <w:szCs w:val="22"/>
              </w:rPr>
            </w:pPr>
            <w:r w:rsidRPr="00D072D6">
              <w:rPr>
                <w:rFonts w:ascii="Times New Roman" w:hAnsi="Times New Roman" w:cs="Times New Roman"/>
                <w:sz w:val="22"/>
                <w:szCs w:val="22"/>
              </w:rPr>
              <w:t xml:space="preserve">Przygotowanie: Zakup sprzętu informatycznego </w:t>
            </w:r>
            <w:r w:rsidRPr="00D072D6">
              <w:rPr>
                <w:rFonts w:ascii="Times New Roman" w:hAnsi="Times New Roman" w:cs="Times New Roman"/>
                <w:bCs w:val="0"/>
                <w:sz w:val="22"/>
                <w:szCs w:val="22"/>
              </w:rPr>
              <w:t>oraz oprogramowania</w:t>
            </w:r>
            <w:r w:rsidRPr="00D072D6">
              <w:rPr>
                <w:rFonts w:ascii="Times New Roman" w:hAnsi="Times New Roman" w:cs="Times New Roman"/>
                <w:sz w:val="22"/>
                <w:szCs w:val="22"/>
              </w:rPr>
              <w:t xml:space="preserve"> i ich konfiguracja, opracowanie i wdrożenie właściwej dokumentacji, przygotowanie odpowiednio zabezpieczonego pomieszczenia, uzyskanie Świadectwa Bezpieczeństwa Przemysłowego I stopnia. Szacunkowy koszt takiego przedsięwzięcia to co najmniej 1 mln PLN.</w:t>
            </w:r>
          </w:p>
          <w:p w14:paraId="4318EED1" w14:textId="77777777" w:rsidR="00650580" w:rsidRPr="00D072D6" w:rsidRDefault="00650580" w:rsidP="00654898">
            <w:pPr>
              <w:pStyle w:val="USTustnpkodeksu"/>
              <w:numPr>
                <w:ilvl w:val="0"/>
                <w:numId w:val="6"/>
              </w:numPr>
              <w:spacing w:line="240" w:lineRule="auto"/>
              <w:ind w:left="487"/>
              <w:rPr>
                <w:rFonts w:ascii="Times New Roman" w:hAnsi="Times New Roman" w:cs="Times New Roman"/>
                <w:bCs w:val="0"/>
                <w:sz w:val="22"/>
                <w:szCs w:val="22"/>
              </w:rPr>
            </w:pPr>
            <w:r w:rsidRPr="00D072D6">
              <w:rPr>
                <w:rFonts w:ascii="Times New Roman" w:hAnsi="Times New Roman" w:cs="Times New Roman"/>
                <w:bCs w:val="0"/>
                <w:sz w:val="22"/>
                <w:szCs w:val="22"/>
              </w:rPr>
              <w:t>Utrzymanie systemu: koszty eksploatacji sprzętu, pomieszczeń, urządzeń pomocniczych, aktualizacji oprogramowania. Szacunkowa wartość tych kosztów to kilka – kilkanaście tysięcy miesięcznie.</w:t>
            </w:r>
          </w:p>
          <w:p w14:paraId="2E8EAD74"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Niebagatelne wartości będą stanowiły koszty osobowe:</w:t>
            </w:r>
          </w:p>
          <w:p w14:paraId="32A119B4"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Kierownik kancelarii tajnej oraz administrator systemu informatycznego spełniający wymagania określone w § 3 ust. pkt 2 i 3 PRRM. Mając na względzie, że mają to być osoby dostępne całodobowo, to na każde stanowisko należy zatrudnić po 5 osób. Przyjmując najniższy koszt 10 000 zł na osobę x 10 osób to stanowi 100 000 zł miesięcznie.</w:t>
            </w:r>
          </w:p>
          <w:p w14:paraId="0CBBBA31" w14:textId="6963CAB5"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lastRenderedPageBreak/>
              <w:t>Mając powyższe na względzie rekomenduje się przeanalizować powyższe wymagania stawiane przedsiębiorcom telekomunikacyjnym.</w:t>
            </w:r>
          </w:p>
        </w:tc>
        <w:tc>
          <w:tcPr>
            <w:tcW w:w="4395" w:type="dxa"/>
            <w:tcBorders>
              <w:bottom w:val="single" w:sz="4" w:space="0" w:color="auto"/>
            </w:tcBorders>
          </w:tcPr>
          <w:p w14:paraId="37207479" w14:textId="0F4C2E39" w:rsidR="00A94F7E" w:rsidRPr="00D072D6" w:rsidRDefault="00E16F7E"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Wyjaśnienie</w:t>
            </w:r>
            <w:r w:rsidR="00654898" w:rsidRPr="00D072D6">
              <w:rPr>
                <w:rFonts w:ascii="Times New Roman" w:hAnsi="Times New Roman" w:cs="Times New Roman"/>
                <w:b/>
                <w:bCs/>
              </w:rPr>
              <w:t xml:space="preserve"> uwagi</w:t>
            </w:r>
          </w:p>
          <w:p w14:paraId="5F32D90D" w14:textId="1E682EF1" w:rsidR="00E16F7E" w:rsidRPr="00D072D6" w:rsidRDefault="00E16F7E" w:rsidP="00654898">
            <w:pPr>
              <w:pStyle w:val="Bezodstpw"/>
              <w:jc w:val="both"/>
              <w:rPr>
                <w:rFonts w:ascii="Times New Roman" w:hAnsi="Times New Roman" w:cs="Times New Roman"/>
              </w:rPr>
            </w:pPr>
            <w:r w:rsidRPr="00D072D6">
              <w:rPr>
                <w:rFonts w:ascii="Times New Roman" w:hAnsi="Times New Roman" w:cs="Times New Roman"/>
              </w:rPr>
              <w:t xml:space="preserve">Obowiązek przesyłania informacji do każdego z uprawnionych podmiotów wynika wprost z art. 43 ust. 1 pkt 1 </w:t>
            </w:r>
            <w:r w:rsidR="000250A0" w:rsidRPr="00D072D6">
              <w:rPr>
                <w:rFonts w:ascii="Times New Roman" w:hAnsi="Times New Roman" w:cs="Times New Roman"/>
              </w:rPr>
              <w:t>PKE</w:t>
            </w:r>
            <w:r w:rsidRPr="00D072D6">
              <w:rPr>
                <w:rFonts w:ascii="Times New Roman" w:hAnsi="Times New Roman" w:cs="Times New Roman"/>
              </w:rPr>
              <w:t xml:space="preserve"> stanowiąc</w:t>
            </w:r>
            <w:r w:rsidR="000250A0" w:rsidRPr="00D072D6">
              <w:rPr>
                <w:rFonts w:ascii="Times New Roman" w:hAnsi="Times New Roman" w:cs="Times New Roman"/>
              </w:rPr>
              <w:t>ego</w:t>
            </w:r>
            <w:r w:rsidRPr="00D072D6">
              <w:rPr>
                <w:rFonts w:ascii="Times New Roman" w:hAnsi="Times New Roman" w:cs="Times New Roman"/>
              </w:rPr>
              <w:t>, że zapewnienie warunków dostępu i utrwalania umożliwia jednoczesne i wzajemne przesyłanie informacji.</w:t>
            </w:r>
          </w:p>
          <w:p w14:paraId="18E2AA51" w14:textId="352DB94A" w:rsidR="00E16F7E" w:rsidRPr="00D072D6" w:rsidRDefault="00092369" w:rsidP="00654898">
            <w:pPr>
              <w:pStyle w:val="Bezodstpw"/>
              <w:jc w:val="both"/>
              <w:rPr>
                <w:rFonts w:ascii="Times New Roman" w:hAnsi="Times New Roman" w:cs="Times New Roman"/>
              </w:rPr>
            </w:pPr>
            <w:r w:rsidRPr="00D072D6">
              <w:rPr>
                <w:rFonts w:ascii="Times New Roman" w:hAnsi="Times New Roman" w:cs="Times New Roman"/>
              </w:rPr>
              <w:t xml:space="preserve">Przepis § 10 projektu </w:t>
            </w:r>
            <w:r w:rsidR="000250A0" w:rsidRPr="00D072D6">
              <w:rPr>
                <w:rFonts w:ascii="Times New Roman" w:hAnsi="Times New Roman" w:cs="Times New Roman"/>
              </w:rPr>
              <w:t xml:space="preserve">rozporządzenia </w:t>
            </w:r>
            <w:r w:rsidRPr="00D072D6">
              <w:rPr>
                <w:rFonts w:ascii="Times New Roman" w:hAnsi="Times New Roman" w:cs="Times New Roman"/>
              </w:rPr>
              <w:t>stanowi, że przedsiębiorca telekomunikacyjny zapewniając warunki dostępu i utrwalania bez wykorzystania interfejsu albo  korzysta z interfejsu, ale w</w:t>
            </w:r>
            <w:r w:rsidR="00637BD0">
              <w:rPr>
                <w:rFonts w:ascii="Times New Roman" w:hAnsi="Times New Roman" w:cs="Times New Roman"/>
              </w:rPr>
              <w:t> </w:t>
            </w:r>
            <w:r w:rsidRPr="00D072D6">
              <w:rPr>
                <w:rFonts w:ascii="Times New Roman" w:hAnsi="Times New Roman" w:cs="Times New Roman"/>
              </w:rPr>
              <w:t xml:space="preserve">umowie, o której mowa w art. 43 ust. 5 </w:t>
            </w:r>
            <w:r w:rsidR="000250A0" w:rsidRPr="00D072D6">
              <w:rPr>
                <w:rFonts w:ascii="Times New Roman" w:hAnsi="Times New Roman" w:cs="Times New Roman"/>
              </w:rPr>
              <w:t>PKE</w:t>
            </w:r>
            <w:r w:rsidRPr="00D072D6">
              <w:rPr>
                <w:rFonts w:ascii="Times New Roman" w:hAnsi="Times New Roman" w:cs="Times New Roman"/>
              </w:rPr>
              <w:t xml:space="preserve">, nie uzgodniono maksymalnej liczby użytkowników końcowych, zakończeń sieci lub telekomunikacyjnych urządzeń końcowych, które mogą być wskazane, w tym także jednocześnie przez uprawnione podmioty do zapewnienia warunków dostępu i utrwalania oraz minimalnej przepustowości </w:t>
            </w:r>
            <w:r w:rsidRPr="00D072D6">
              <w:rPr>
                <w:rFonts w:ascii="Times New Roman" w:hAnsi="Times New Roman" w:cs="Times New Roman"/>
              </w:rPr>
              <w:lastRenderedPageBreak/>
              <w:t>sieci zapewniającej warunki dostępu i</w:t>
            </w:r>
            <w:r w:rsidR="00637BD0">
              <w:rPr>
                <w:rFonts w:ascii="Times New Roman" w:hAnsi="Times New Roman" w:cs="Times New Roman"/>
              </w:rPr>
              <w:t> </w:t>
            </w:r>
            <w:r w:rsidRPr="00D072D6">
              <w:rPr>
                <w:rFonts w:ascii="Times New Roman" w:hAnsi="Times New Roman" w:cs="Times New Roman"/>
              </w:rPr>
              <w:t>utrwalania w zakresie pakietowej transmisji danych, wymagana jest realizacja zapewnienia warunków dostępu i utrwalania dla każdego zgłoszonego zapotrzebowania uprawnianych podmiotów.</w:t>
            </w:r>
          </w:p>
        </w:tc>
      </w:tr>
      <w:tr w:rsidR="00650580" w:rsidRPr="00D072D6" w14:paraId="5D32FD7D" w14:textId="77777777" w:rsidTr="00654898">
        <w:tc>
          <w:tcPr>
            <w:tcW w:w="594" w:type="dxa"/>
            <w:tcBorders>
              <w:bottom w:val="single" w:sz="4" w:space="0" w:color="auto"/>
            </w:tcBorders>
          </w:tcPr>
          <w:p w14:paraId="5A3785EC"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1F19A6C6" w14:textId="34646410" w:rsidR="00650580" w:rsidRPr="00D072D6" w:rsidRDefault="00650580" w:rsidP="00654898">
            <w:pPr>
              <w:pStyle w:val="Bezodstpw"/>
              <w:jc w:val="center"/>
              <w:rPr>
                <w:rFonts w:ascii="Times New Roman" w:hAnsi="Times New Roman" w:cs="Times New Roman"/>
                <w:b/>
                <w:bCs/>
              </w:rPr>
            </w:pPr>
            <w:r w:rsidRPr="00D072D6">
              <w:rPr>
                <w:rStyle w:val="Ppogrubienie"/>
                <w:rFonts w:ascii="Times New Roman" w:hAnsi="Times New Roman" w:cs="Times New Roman"/>
                <w:b w:val="0"/>
                <w:bCs/>
              </w:rPr>
              <w:t>§ 5 ust. 1 zdanie wstępne</w:t>
            </w:r>
          </w:p>
        </w:tc>
        <w:tc>
          <w:tcPr>
            <w:tcW w:w="1669" w:type="dxa"/>
            <w:tcBorders>
              <w:bottom w:val="single" w:sz="4" w:space="0" w:color="auto"/>
            </w:tcBorders>
          </w:tcPr>
          <w:p w14:paraId="361FACF5" w14:textId="75F25B13"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0BBC6CDE"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Zgodnie z art. 43 ust 10 PKE Przedsiębiorca telekomunikacyjny będący mikroprzedsiębiorcą albo małym przedsiębiorcą realizuje obowiązek zapewnienia warunków dostępu i utrwalania proporcjonalnie do skali prowadzonej działalności, osiąganych przychodów oraz możliwości technicznych, w szczególności z możliwością wykorzystania urządzeń uprawnionego podmiotu.</w:t>
            </w:r>
          </w:p>
          <w:p w14:paraId="56A92C7B"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Analizując ten przepis pojawia się wiele wątpliwości, na przykład:</w:t>
            </w:r>
          </w:p>
          <w:p w14:paraId="331C4E7D" w14:textId="78E1CFC2" w:rsidR="00650580" w:rsidRPr="00D072D6" w:rsidRDefault="00650580" w:rsidP="00654898">
            <w:pPr>
              <w:pStyle w:val="USTustnpkodeksu"/>
              <w:numPr>
                <w:ilvl w:val="0"/>
                <w:numId w:val="15"/>
              </w:numPr>
              <w:tabs>
                <w:tab w:val="left" w:pos="345"/>
              </w:tabs>
              <w:spacing w:line="240" w:lineRule="auto"/>
              <w:ind w:left="345"/>
              <w:rPr>
                <w:rFonts w:ascii="Times New Roman" w:hAnsi="Times New Roman" w:cs="Times New Roman"/>
                <w:bCs w:val="0"/>
                <w:sz w:val="22"/>
                <w:szCs w:val="22"/>
              </w:rPr>
            </w:pPr>
            <w:r w:rsidRPr="00D072D6">
              <w:rPr>
                <w:rFonts w:ascii="Times New Roman" w:hAnsi="Times New Roman" w:cs="Times New Roman"/>
                <w:bCs w:val="0"/>
                <w:sz w:val="22"/>
                <w:szCs w:val="22"/>
              </w:rPr>
              <w:t>Kto, kiedy i w jaki sposób oceni spełnienie przez przedsiębiorcę telekomunikacyjnego warunków określonych w art. 43 ust. 10 PKE w zakresie proporcjonalności skali prowadzonej działalności, osiąganych przychodów oraz możliwości technicznych zapewnienia warunków dostępu i utrwalania,</w:t>
            </w:r>
          </w:p>
          <w:p w14:paraId="5FFBE926" w14:textId="3E8F7104" w:rsidR="00650580" w:rsidRPr="00D072D6" w:rsidRDefault="00650580" w:rsidP="00654898">
            <w:pPr>
              <w:pStyle w:val="USTustnpkodeksu"/>
              <w:numPr>
                <w:ilvl w:val="0"/>
                <w:numId w:val="15"/>
              </w:numPr>
              <w:tabs>
                <w:tab w:val="left" w:pos="345"/>
              </w:tabs>
              <w:spacing w:line="240" w:lineRule="auto"/>
              <w:ind w:left="345"/>
              <w:rPr>
                <w:rFonts w:ascii="Times New Roman" w:hAnsi="Times New Roman" w:cs="Times New Roman"/>
                <w:bCs w:val="0"/>
                <w:sz w:val="22"/>
                <w:szCs w:val="22"/>
              </w:rPr>
            </w:pPr>
            <w:r w:rsidRPr="00D072D6">
              <w:rPr>
                <w:rFonts w:ascii="Times New Roman" w:hAnsi="Times New Roman" w:cs="Times New Roman"/>
                <w:bCs w:val="0"/>
                <w:sz w:val="22"/>
                <w:szCs w:val="22"/>
              </w:rPr>
              <w:t>Kto podejmie skuteczną decyzję o wykorzystaniu urządzeń uprawnionego podmiotu? Czy jeśli taką decyzję podejmie przedsiębiorca telekomunikacyjny to uprawniony podmiot musi to zaakceptować? Jak powinien postępować przedsiębiorca telekomunikacyjny, jeśli uprawniony podmiot nie będzie dysponował odpowiednimi urządzeniami albo nie wyrazi zgodny na wykorzystywanie jego urządzeń?</w:t>
            </w:r>
          </w:p>
          <w:p w14:paraId="5E2C4B8B" w14:textId="1FEF78BA" w:rsidR="00650580" w:rsidRPr="00D072D6" w:rsidRDefault="00650580" w:rsidP="00654898">
            <w:pPr>
              <w:pStyle w:val="USTustnpkodeksu"/>
              <w:numPr>
                <w:ilvl w:val="0"/>
                <w:numId w:val="15"/>
              </w:numPr>
              <w:tabs>
                <w:tab w:val="left" w:pos="345"/>
              </w:tabs>
              <w:spacing w:line="240" w:lineRule="auto"/>
              <w:ind w:left="345"/>
              <w:rPr>
                <w:rFonts w:ascii="Times New Roman" w:hAnsi="Times New Roman" w:cs="Times New Roman"/>
                <w:bCs w:val="0"/>
                <w:sz w:val="22"/>
                <w:szCs w:val="22"/>
              </w:rPr>
            </w:pPr>
            <w:r w:rsidRPr="00D072D6">
              <w:rPr>
                <w:rFonts w:ascii="Times New Roman" w:hAnsi="Times New Roman" w:cs="Times New Roman"/>
                <w:sz w:val="22"/>
                <w:szCs w:val="22"/>
              </w:rPr>
              <w:t xml:space="preserve">Skoro uznano w PRRM, że informacje związane z zapewnieniem warunków dostępu i utrwalania stanowią informacje niejawne, to czy urządzenia uprawnionego podmiotu wykorzystywane w trybie art. 43 ust. 10 PKE oraz </w:t>
            </w:r>
            <w:r w:rsidRPr="00D072D6">
              <w:rPr>
                <w:rFonts w:ascii="Times New Roman" w:hAnsi="Times New Roman" w:cs="Times New Roman"/>
                <w:bCs w:val="0"/>
                <w:sz w:val="22"/>
                <w:szCs w:val="22"/>
              </w:rPr>
              <w:t>pomieszczenie,</w:t>
            </w:r>
            <w:r w:rsidRPr="00D072D6">
              <w:rPr>
                <w:rFonts w:ascii="Times New Roman" w:hAnsi="Times New Roman" w:cs="Times New Roman"/>
                <w:sz w:val="22"/>
                <w:szCs w:val="22"/>
              </w:rPr>
              <w:t xml:space="preserve"> w którym te czynności będą realizowane muszą spełniać wymogi ochrony informacji niejawnych o klauzuli „tajne”? </w:t>
            </w:r>
          </w:p>
          <w:p w14:paraId="783B013A" w14:textId="52013980" w:rsidR="00650580" w:rsidRPr="00D072D6" w:rsidRDefault="00650580" w:rsidP="00654898">
            <w:pPr>
              <w:pStyle w:val="Bezodstpw"/>
              <w:numPr>
                <w:ilvl w:val="0"/>
                <w:numId w:val="15"/>
              </w:numPr>
              <w:tabs>
                <w:tab w:val="left" w:pos="345"/>
              </w:tabs>
              <w:ind w:left="345"/>
              <w:jc w:val="both"/>
              <w:rPr>
                <w:rFonts w:ascii="Times New Roman" w:hAnsi="Times New Roman" w:cs="Times New Roman"/>
              </w:rPr>
            </w:pPr>
            <w:r w:rsidRPr="00D072D6">
              <w:rPr>
                <w:rFonts w:ascii="Times New Roman" w:hAnsi="Times New Roman" w:cs="Times New Roman"/>
              </w:rPr>
              <w:t>Czy</w:t>
            </w:r>
            <w:r w:rsidR="00D87FC4" w:rsidRPr="00D072D6">
              <w:rPr>
                <w:rFonts w:ascii="Times New Roman" w:hAnsi="Times New Roman" w:cs="Times New Roman"/>
              </w:rPr>
              <w:t xml:space="preserve"> </w:t>
            </w:r>
            <w:r w:rsidRPr="00D072D6">
              <w:rPr>
                <w:rFonts w:ascii="Times New Roman" w:hAnsi="Times New Roman" w:cs="Times New Roman"/>
              </w:rPr>
              <w:t>w przypadku wykorzystywania urządzeń przedsiębiorcy telekomunikacyjnego urządzenia te oraz przedsiębiorstwo muszą spełniać warunki ochrony informacji niejawnych o klauzuli co najmniej „tajne”?</w:t>
            </w:r>
          </w:p>
        </w:tc>
        <w:tc>
          <w:tcPr>
            <w:tcW w:w="4395" w:type="dxa"/>
            <w:tcBorders>
              <w:bottom w:val="single" w:sz="4" w:space="0" w:color="auto"/>
            </w:tcBorders>
          </w:tcPr>
          <w:p w14:paraId="5A121F90" w14:textId="135DB173" w:rsidR="000B7603" w:rsidRPr="00D072D6" w:rsidRDefault="000B7603" w:rsidP="00654898">
            <w:pPr>
              <w:pStyle w:val="Bezodstpw"/>
              <w:jc w:val="both"/>
              <w:rPr>
                <w:rFonts w:ascii="Times New Roman" w:hAnsi="Times New Roman" w:cs="Times New Roman"/>
                <w:b/>
                <w:bCs/>
              </w:rPr>
            </w:pPr>
            <w:r w:rsidRPr="00D072D6">
              <w:rPr>
                <w:rFonts w:ascii="Times New Roman" w:hAnsi="Times New Roman" w:cs="Times New Roman"/>
                <w:b/>
                <w:bCs/>
              </w:rPr>
              <w:t>Wyjaśnieni</w:t>
            </w:r>
            <w:r w:rsidR="00A74264" w:rsidRPr="00D072D6">
              <w:rPr>
                <w:rFonts w:ascii="Times New Roman" w:hAnsi="Times New Roman" w:cs="Times New Roman"/>
                <w:b/>
                <w:bCs/>
              </w:rPr>
              <w:t>e</w:t>
            </w:r>
            <w:r w:rsidR="00654898" w:rsidRPr="00D072D6">
              <w:rPr>
                <w:rFonts w:ascii="Times New Roman" w:hAnsi="Times New Roman" w:cs="Times New Roman"/>
                <w:b/>
                <w:bCs/>
              </w:rPr>
              <w:t xml:space="preserve"> uwagi</w:t>
            </w:r>
          </w:p>
          <w:p w14:paraId="071672C1" w14:textId="3DE9066F" w:rsidR="000B7603" w:rsidRPr="00D072D6" w:rsidRDefault="008D254D" w:rsidP="00654898">
            <w:pPr>
              <w:pStyle w:val="Bezodstpw"/>
              <w:numPr>
                <w:ilvl w:val="0"/>
                <w:numId w:val="23"/>
              </w:numPr>
              <w:ind w:left="238" w:hanging="218"/>
              <w:jc w:val="both"/>
              <w:rPr>
                <w:rFonts w:ascii="Times New Roman" w:hAnsi="Times New Roman" w:cs="Times New Roman"/>
              </w:rPr>
            </w:pPr>
            <w:r w:rsidRPr="00D072D6">
              <w:rPr>
                <w:rFonts w:ascii="Times New Roman" w:hAnsi="Times New Roman" w:cs="Times New Roman"/>
              </w:rPr>
              <w:t xml:space="preserve">Delegacja ustawowa nie pozwala na uregulowanie w </w:t>
            </w:r>
            <w:r w:rsidR="00FE6500" w:rsidRPr="00D072D6">
              <w:rPr>
                <w:rFonts w:ascii="Times New Roman" w:hAnsi="Times New Roman" w:cs="Times New Roman"/>
              </w:rPr>
              <w:t xml:space="preserve">projektowanym </w:t>
            </w:r>
            <w:r w:rsidRPr="00D072D6">
              <w:rPr>
                <w:rFonts w:ascii="Times New Roman" w:hAnsi="Times New Roman" w:cs="Times New Roman"/>
              </w:rPr>
              <w:t xml:space="preserve">rozporządzeniu kwestii dokonywania oceny spełniania przez przedsiębiorcę warunków określonych w art. 43 ust. 10 </w:t>
            </w:r>
            <w:r w:rsidR="00FE6500" w:rsidRPr="00D072D6">
              <w:rPr>
                <w:rFonts w:ascii="Times New Roman" w:hAnsi="Times New Roman" w:cs="Times New Roman"/>
              </w:rPr>
              <w:t>PKE</w:t>
            </w:r>
            <w:r w:rsidRPr="00D072D6">
              <w:rPr>
                <w:rFonts w:ascii="Times New Roman" w:hAnsi="Times New Roman" w:cs="Times New Roman"/>
              </w:rPr>
              <w:t xml:space="preserve">. </w:t>
            </w:r>
            <w:r w:rsidR="009F1023" w:rsidRPr="00D072D6">
              <w:rPr>
                <w:rFonts w:ascii="Times New Roman" w:hAnsi="Times New Roman" w:cs="Times New Roman"/>
              </w:rPr>
              <w:t>Spełnienie warunków wynika wprost z przepisów ustawy</w:t>
            </w:r>
            <w:r w:rsidR="00FE6500" w:rsidRPr="00D072D6">
              <w:rPr>
                <w:rFonts w:ascii="Times New Roman" w:hAnsi="Times New Roman" w:cs="Times New Roman"/>
              </w:rPr>
              <w:t xml:space="preserve"> z dnia 6 marca 2018 r. – </w:t>
            </w:r>
            <w:r w:rsidR="009F1023" w:rsidRPr="00D072D6">
              <w:rPr>
                <w:rFonts w:ascii="Times New Roman" w:hAnsi="Times New Roman" w:cs="Times New Roman"/>
              </w:rPr>
              <w:t xml:space="preserve">Prawo przedsiębiorców </w:t>
            </w:r>
            <w:r w:rsidR="00FE6500" w:rsidRPr="00D072D6">
              <w:rPr>
                <w:rFonts w:ascii="Times New Roman" w:hAnsi="Times New Roman" w:cs="Times New Roman"/>
              </w:rPr>
              <w:t>(Dz. U. z 2024 r. poz. 236, z późn. zm</w:t>
            </w:r>
            <w:r w:rsidR="00637BD0">
              <w:rPr>
                <w:rFonts w:ascii="Times New Roman" w:hAnsi="Times New Roman" w:cs="Times New Roman"/>
              </w:rPr>
              <w:t>.</w:t>
            </w:r>
            <w:r w:rsidR="00FE6500" w:rsidRPr="00D072D6">
              <w:rPr>
                <w:rFonts w:ascii="Times New Roman" w:hAnsi="Times New Roman" w:cs="Times New Roman"/>
              </w:rPr>
              <w:t xml:space="preserve">) </w:t>
            </w:r>
            <w:r w:rsidR="009F1023" w:rsidRPr="00D072D6">
              <w:rPr>
                <w:rFonts w:ascii="Times New Roman" w:hAnsi="Times New Roman" w:cs="Times New Roman"/>
              </w:rPr>
              <w:t>w</w:t>
            </w:r>
            <w:r w:rsidR="00637BD0">
              <w:rPr>
                <w:rFonts w:ascii="Times New Roman" w:hAnsi="Times New Roman" w:cs="Times New Roman"/>
              </w:rPr>
              <w:t> </w:t>
            </w:r>
            <w:r w:rsidR="009F1023" w:rsidRPr="00D072D6">
              <w:rPr>
                <w:rFonts w:ascii="Times New Roman" w:hAnsi="Times New Roman" w:cs="Times New Roman"/>
              </w:rPr>
              <w:t>zakresie skali prowadzonej działalności (liczba pracowników oraz przychodów) oraz projektowanego rozporządzenia w</w:t>
            </w:r>
            <w:r w:rsidR="00637BD0">
              <w:rPr>
                <w:rFonts w:ascii="Times New Roman" w:hAnsi="Times New Roman" w:cs="Times New Roman"/>
              </w:rPr>
              <w:t> </w:t>
            </w:r>
            <w:r w:rsidR="009F1023" w:rsidRPr="00D072D6">
              <w:rPr>
                <w:rFonts w:ascii="Times New Roman" w:hAnsi="Times New Roman" w:cs="Times New Roman"/>
              </w:rPr>
              <w:t>zakresie możliwości technicznych. Przedsiębiorca m</w:t>
            </w:r>
            <w:r w:rsidR="00335C25" w:rsidRPr="00D072D6">
              <w:rPr>
                <w:rFonts w:ascii="Times New Roman" w:hAnsi="Times New Roman" w:cs="Times New Roman"/>
              </w:rPr>
              <w:t>oże</w:t>
            </w:r>
            <w:r w:rsidR="009F1023" w:rsidRPr="00D072D6">
              <w:rPr>
                <w:rFonts w:ascii="Times New Roman" w:hAnsi="Times New Roman" w:cs="Times New Roman"/>
              </w:rPr>
              <w:t xml:space="preserve"> </w:t>
            </w:r>
            <w:r w:rsidR="00335C25" w:rsidRPr="00D072D6">
              <w:rPr>
                <w:rFonts w:ascii="Times New Roman" w:hAnsi="Times New Roman" w:cs="Times New Roman"/>
              </w:rPr>
              <w:t>s</w:t>
            </w:r>
            <w:r w:rsidR="009F1023" w:rsidRPr="00D072D6">
              <w:rPr>
                <w:rFonts w:ascii="Times New Roman" w:hAnsi="Times New Roman" w:cs="Times New Roman"/>
              </w:rPr>
              <w:t>tosowa</w:t>
            </w:r>
            <w:r w:rsidR="00335C25" w:rsidRPr="00D072D6">
              <w:rPr>
                <w:rFonts w:ascii="Times New Roman" w:hAnsi="Times New Roman" w:cs="Times New Roman"/>
              </w:rPr>
              <w:t>ć</w:t>
            </w:r>
            <w:r w:rsidR="009F1023" w:rsidRPr="00D072D6">
              <w:rPr>
                <w:rFonts w:ascii="Times New Roman" w:hAnsi="Times New Roman" w:cs="Times New Roman"/>
              </w:rPr>
              <w:t xml:space="preserve"> własn</w:t>
            </w:r>
            <w:r w:rsidR="00335C25" w:rsidRPr="00D072D6">
              <w:rPr>
                <w:rFonts w:ascii="Times New Roman" w:hAnsi="Times New Roman" w:cs="Times New Roman"/>
              </w:rPr>
              <w:t>e</w:t>
            </w:r>
            <w:r w:rsidR="009F1023" w:rsidRPr="00D072D6">
              <w:rPr>
                <w:rFonts w:ascii="Times New Roman" w:hAnsi="Times New Roman" w:cs="Times New Roman"/>
              </w:rPr>
              <w:t xml:space="preserve"> urządze</w:t>
            </w:r>
            <w:r w:rsidR="00D87FC4" w:rsidRPr="00D072D6">
              <w:rPr>
                <w:rFonts w:ascii="Times New Roman" w:hAnsi="Times New Roman" w:cs="Times New Roman"/>
              </w:rPr>
              <w:t>nia</w:t>
            </w:r>
            <w:r w:rsidR="00335C25" w:rsidRPr="00D072D6">
              <w:rPr>
                <w:rFonts w:ascii="Times New Roman" w:hAnsi="Times New Roman" w:cs="Times New Roman"/>
              </w:rPr>
              <w:t xml:space="preserve">, a jeśli ich nie posiada to stosowane są urządzenia uprawnionego podmiotu. Może też </w:t>
            </w:r>
            <w:r w:rsidRPr="00D072D6">
              <w:rPr>
                <w:rFonts w:ascii="Times New Roman" w:hAnsi="Times New Roman" w:cs="Times New Roman"/>
              </w:rPr>
              <w:t>powierzyć</w:t>
            </w:r>
            <w:r w:rsidR="00335C25" w:rsidRPr="00D072D6">
              <w:rPr>
                <w:rFonts w:ascii="Times New Roman" w:hAnsi="Times New Roman" w:cs="Times New Roman"/>
              </w:rPr>
              <w:t xml:space="preserve"> realizację obowiązku innemu przedsiębiorcy telekomunikacyjnemu</w:t>
            </w:r>
            <w:r w:rsidRPr="00D072D6">
              <w:rPr>
                <w:rFonts w:ascii="Times New Roman" w:hAnsi="Times New Roman" w:cs="Times New Roman"/>
              </w:rPr>
              <w:t xml:space="preserve"> albo realizować obowiązki wspólnie z innym przedsiębiorcą telekomunikacyjnym</w:t>
            </w:r>
            <w:r w:rsidR="00637BD0">
              <w:rPr>
                <w:rFonts w:ascii="Times New Roman" w:hAnsi="Times New Roman" w:cs="Times New Roman"/>
              </w:rPr>
              <w:t>;</w:t>
            </w:r>
          </w:p>
          <w:p w14:paraId="2AB6735A" w14:textId="51B97EF0" w:rsidR="00335C25" w:rsidRPr="00D072D6" w:rsidRDefault="00335C25" w:rsidP="00654898">
            <w:pPr>
              <w:pStyle w:val="Bezodstpw"/>
              <w:numPr>
                <w:ilvl w:val="0"/>
                <w:numId w:val="23"/>
              </w:numPr>
              <w:ind w:left="238" w:hanging="218"/>
              <w:jc w:val="both"/>
              <w:rPr>
                <w:rFonts w:ascii="Times New Roman" w:hAnsi="Times New Roman" w:cs="Times New Roman"/>
              </w:rPr>
            </w:pPr>
            <w:r w:rsidRPr="00D072D6">
              <w:rPr>
                <w:rFonts w:ascii="Times New Roman" w:hAnsi="Times New Roman" w:cs="Times New Roman"/>
              </w:rPr>
              <w:t>Regulowani</w:t>
            </w:r>
            <w:r w:rsidR="00D87FC4" w:rsidRPr="00D072D6">
              <w:rPr>
                <w:rFonts w:ascii="Times New Roman" w:hAnsi="Times New Roman" w:cs="Times New Roman"/>
              </w:rPr>
              <w:t>e</w:t>
            </w:r>
            <w:r w:rsidRPr="00D072D6">
              <w:rPr>
                <w:rFonts w:ascii="Times New Roman" w:hAnsi="Times New Roman" w:cs="Times New Roman"/>
              </w:rPr>
              <w:t xml:space="preserve"> kwestii przedstawionych w</w:t>
            </w:r>
            <w:r w:rsidR="00637BD0">
              <w:rPr>
                <w:rFonts w:ascii="Times New Roman" w:hAnsi="Times New Roman" w:cs="Times New Roman"/>
              </w:rPr>
              <w:t> </w:t>
            </w:r>
            <w:r w:rsidRPr="00D072D6">
              <w:rPr>
                <w:rFonts w:ascii="Times New Roman" w:hAnsi="Times New Roman" w:cs="Times New Roman"/>
              </w:rPr>
              <w:t>pkt 2 byłoby nadmierną regulacją. Kwestie te powinny być przedmiotem wzajemnych ustaleń pomiędzy przedsiębiorcą</w:t>
            </w:r>
            <w:r w:rsidR="00FE6500" w:rsidRPr="00D072D6">
              <w:rPr>
                <w:rFonts w:ascii="Times New Roman" w:hAnsi="Times New Roman" w:cs="Times New Roman"/>
              </w:rPr>
              <w:t>,</w:t>
            </w:r>
            <w:r w:rsidRPr="00D072D6">
              <w:rPr>
                <w:rFonts w:ascii="Times New Roman" w:hAnsi="Times New Roman" w:cs="Times New Roman"/>
              </w:rPr>
              <w:t xml:space="preserve"> a uprawnionym podmiotem</w:t>
            </w:r>
            <w:r w:rsidR="00637BD0">
              <w:rPr>
                <w:rFonts w:ascii="Times New Roman" w:hAnsi="Times New Roman" w:cs="Times New Roman"/>
              </w:rPr>
              <w:t>;</w:t>
            </w:r>
          </w:p>
          <w:p w14:paraId="52788CC6" w14:textId="7E61F2C3" w:rsidR="00335C25" w:rsidRPr="00D072D6" w:rsidRDefault="00FE6500" w:rsidP="00FE6500">
            <w:pPr>
              <w:pStyle w:val="Bezodstpw"/>
              <w:numPr>
                <w:ilvl w:val="0"/>
                <w:numId w:val="23"/>
              </w:numPr>
              <w:ind w:left="238" w:hanging="218"/>
              <w:jc w:val="both"/>
              <w:rPr>
                <w:rFonts w:ascii="Times New Roman" w:hAnsi="Times New Roman" w:cs="Times New Roman"/>
              </w:rPr>
            </w:pPr>
            <w:r w:rsidRPr="00D072D6">
              <w:rPr>
                <w:rFonts w:ascii="Times New Roman" w:hAnsi="Times New Roman" w:cs="Times New Roman"/>
              </w:rPr>
              <w:t>Urządzenia uprawnionego podmiotu wykorzystywane w trybie art. 43 ust. 10 PKE oraz pomieszczenie, w którym te czynności będą realizowane, n</w:t>
            </w:r>
            <w:r w:rsidR="00F46A70" w:rsidRPr="00D072D6">
              <w:rPr>
                <w:rFonts w:ascii="Times New Roman" w:hAnsi="Times New Roman" w:cs="Times New Roman"/>
              </w:rPr>
              <w:t>ie muszą</w:t>
            </w:r>
            <w:r w:rsidRPr="00D072D6">
              <w:rPr>
                <w:rFonts w:ascii="Times New Roman" w:hAnsi="Times New Roman" w:cs="Times New Roman"/>
              </w:rPr>
              <w:t xml:space="preserve"> </w:t>
            </w:r>
            <w:r w:rsidRPr="00D072D6">
              <w:rPr>
                <w:rFonts w:ascii="Times New Roman" w:hAnsi="Times New Roman" w:cs="Times New Roman"/>
                <w:bCs/>
              </w:rPr>
              <w:t xml:space="preserve">spełniać wymogów ochrony informacji niejawnych o klauzuli „tajne”? </w:t>
            </w:r>
            <w:r w:rsidR="00F46A70" w:rsidRPr="00D072D6">
              <w:rPr>
                <w:rFonts w:ascii="Times New Roman" w:hAnsi="Times New Roman" w:cs="Times New Roman"/>
              </w:rPr>
              <w:t xml:space="preserve">Projekt rozporządzenia reguluje to wprost. </w:t>
            </w:r>
            <w:r w:rsidR="00877E69" w:rsidRPr="00D072D6">
              <w:rPr>
                <w:rFonts w:ascii="Times New Roman" w:hAnsi="Times New Roman" w:cs="Times New Roman"/>
              </w:rPr>
              <w:lastRenderedPageBreak/>
              <w:t>Projektodawca d</w:t>
            </w:r>
            <w:r w:rsidR="00F46A70" w:rsidRPr="00D072D6">
              <w:rPr>
                <w:rFonts w:ascii="Times New Roman" w:hAnsi="Times New Roman" w:cs="Times New Roman"/>
              </w:rPr>
              <w:t>ąży do tego, aby w</w:t>
            </w:r>
            <w:r w:rsidR="00637BD0">
              <w:rPr>
                <w:rFonts w:ascii="Times New Roman" w:hAnsi="Times New Roman" w:cs="Times New Roman"/>
              </w:rPr>
              <w:t> </w:t>
            </w:r>
            <w:r w:rsidR="00F46A70" w:rsidRPr="00D072D6">
              <w:rPr>
                <w:rFonts w:ascii="Times New Roman" w:hAnsi="Times New Roman" w:cs="Times New Roman"/>
              </w:rPr>
              <w:t>przypadku mikro</w:t>
            </w:r>
            <w:r w:rsidRPr="00D072D6">
              <w:rPr>
                <w:rFonts w:ascii="Times New Roman" w:hAnsi="Times New Roman" w:cs="Times New Roman"/>
              </w:rPr>
              <w:t>-</w:t>
            </w:r>
            <w:r w:rsidR="00F46A70" w:rsidRPr="00D072D6">
              <w:rPr>
                <w:rFonts w:ascii="Times New Roman" w:hAnsi="Times New Roman" w:cs="Times New Roman"/>
              </w:rPr>
              <w:t xml:space="preserve"> i małych przedsiębiorców, biorąc pod uwagę skalę przypadków, kontrola operacyjna była przeprowadzana z jak najmniejszym obciążeniem dla tych przedsiębiorców</w:t>
            </w:r>
            <w:r w:rsidR="00637BD0">
              <w:rPr>
                <w:rFonts w:ascii="Times New Roman" w:hAnsi="Times New Roman" w:cs="Times New Roman"/>
              </w:rPr>
              <w:t>;</w:t>
            </w:r>
          </w:p>
          <w:p w14:paraId="0AAB0031" w14:textId="5783021F" w:rsidR="00F46A70" w:rsidRPr="00D072D6" w:rsidRDefault="00ED514A" w:rsidP="00654898">
            <w:pPr>
              <w:pStyle w:val="Bezodstpw"/>
              <w:numPr>
                <w:ilvl w:val="0"/>
                <w:numId w:val="23"/>
              </w:numPr>
              <w:ind w:left="238" w:hanging="218"/>
              <w:jc w:val="both"/>
              <w:rPr>
                <w:rFonts w:ascii="Times New Roman" w:hAnsi="Times New Roman" w:cs="Times New Roman"/>
              </w:rPr>
            </w:pPr>
            <w:r w:rsidRPr="00D072D6">
              <w:rPr>
                <w:rFonts w:ascii="Times New Roman" w:eastAsia="Times New Roman" w:hAnsi="Times New Roman" w:cs="Times New Roman"/>
                <w:lang w:eastAsia="pl-PL"/>
              </w:rPr>
              <w:t>Zrezygnowano ze spełniania przez urządzenia przedsiębiorcy przepisów o</w:t>
            </w:r>
            <w:r w:rsidR="00637BD0">
              <w:rPr>
                <w:rFonts w:ascii="Times New Roman" w:eastAsia="Times New Roman" w:hAnsi="Times New Roman" w:cs="Times New Roman"/>
                <w:lang w:eastAsia="pl-PL"/>
              </w:rPr>
              <w:t> </w:t>
            </w:r>
            <w:r w:rsidRPr="00D072D6">
              <w:rPr>
                <w:rFonts w:ascii="Times New Roman" w:eastAsia="Times New Roman" w:hAnsi="Times New Roman" w:cs="Times New Roman"/>
                <w:lang w:eastAsia="pl-PL"/>
              </w:rPr>
              <w:t>ochronie informacji niejawnych</w:t>
            </w:r>
            <w:r w:rsidR="00F46A70" w:rsidRPr="00D072D6">
              <w:rPr>
                <w:rFonts w:ascii="Times New Roman" w:hAnsi="Times New Roman" w:cs="Times New Roman"/>
              </w:rPr>
              <w:t>.</w:t>
            </w:r>
          </w:p>
        </w:tc>
      </w:tr>
      <w:tr w:rsidR="00650580" w:rsidRPr="00D072D6" w14:paraId="731AD74F" w14:textId="77777777" w:rsidTr="00654898">
        <w:tc>
          <w:tcPr>
            <w:tcW w:w="594" w:type="dxa"/>
            <w:tcBorders>
              <w:bottom w:val="single" w:sz="4" w:space="0" w:color="auto"/>
            </w:tcBorders>
          </w:tcPr>
          <w:p w14:paraId="37F1B5C3"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4ED6B961" w14:textId="0F4A0E2D"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5 ust. 2 pkt 2</w:t>
            </w:r>
          </w:p>
        </w:tc>
        <w:tc>
          <w:tcPr>
            <w:tcW w:w="1669" w:type="dxa"/>
            <w:tcBorders>
              <w:bottom w:val="single" w:sz="4" w:space="0" w:color="auto"/>
            </w:tcBorders>
          </w:tcPr>
          <w:p w14:paraId="1E929947" w14:textId="38D7363E"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74A86DDF" w14:textId="77777777" w:rsidR="00650580" w:rsidRPr="00D072D6" w:rsidRDefault="00650580" w:rsidP="00654898">
            <w:pPr>
              <w:jc w:val="both"/>
              <w:rPr>
                <w:sz w:val="22"/>
                <w:szCs w:val="22"/>
              </w:rPr>
            </w:pPr>
            <w:r w:rsidRPr="00D072D6">
              <w:rPr>
                <w:sz w:val="22"/>
                <w:szCs w:val="22"/>
              </w:rPr>
              <w:t>Wyrażenie zgody na jednorazowy dostęp do informacji niejawnych w trybie art. 34 oraz art. 54 uOIN budzi wiele wątpliwości, między innymi:</w:t>
            </w:r>
          </w:p>
          <w:p w14:paraId="7C8BFD2B"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Kto, w jakim trybie i do kogo występuje z wnioskiem o wyrażenie zgody na jednorazowe udostępnienie określonych informacji niejawnych osobie nieposiadającej odpowiedniego poświadczenia bezpieczeństwa w trybie art. 34 ust. 5 pkt 1 ustawy z dnia 5 sierpnia 2010 r. o ochronie informacji niejawnych? Będzie to Minister Cyfryzacji, jako minister właściwy dla działu administracji rządowej informatyzacja, która obejmuje m. in. sprawy telekomunikacji, czy będzie to minister właściwy dla uprawnionego podmiotu? Przedsiębiorca telekomunikacyjny nie może wystąpić z wnioskiem, ponieważ przed wyrażeniem ww. zgody nie zna przedmiotu sprawy, która uzasadnia wyrażenie zgody.</w:t>
            </w:r>
          </w:p>
          <w:p w14:paraId="217C4FE3"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Kiedy należy wystąpić z wnioskiem o jednorazowy dostęp do informacji niejawnych?</w:t>
            </w:r>
          </w:p>
          <w:p w14:paraId="39117548"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W jakiej formie jest wydawana zgoda? Decyzja administracyjna, zwykła korespondencja?</w:t>
            </w:r>
          </w:p>
          <w:p w14:paraId="6DCD1F60"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Czy do tego postępowania ma zastosowanie KPA?</w:t>
            </w:r>
          </w:p>
          <w:p w14:paraId="71398601"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Co w sytuacji, gdy nikt z personelu przedsiębiorcy nie wyrazi zgody na udostępnienie mu informacji niejawnej lub w przedsiębiorstwie nie będzie osoby spełniającej minimalne wymagania gwarantujące ochronę informacji niejawnych?</w:t>
            </w:r>
          </w:p>
          <w:p w14:paraId="46D6D65D"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Co w sytuacji odmowy zgody na udostępnienie informacji niejawnej?</w:t>
            </w:r>
          </w:p>
          <w:p w14:paraId="3AEA8D52"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Jaki jest praktyczny czas rozpatrzenia zgody na jednorazowe udostępnienie informacji niejawnych?</w:t>
            </w:r>
          </w:p>
          <w:p w14:paraId="533C4CF8" w14:textId="77777777" w:rsidR="00650580" w:rsidRPr="00D072D6" w:rsidRDefault="00650580" w:rsidP="00654898">
            <w:pPr>
              <w:pStyle w:val="Akapitzlist"/>
              <w:numPr>
                <w:ilvl w:val="0"/>
                <w:numId w:val="7"/>
              </w:numPr>
              <w:ind w:left="318" w:hanging="284"/>
              <w:contextualSpacing w:val="0"/>
              <w:jc w:val="both"/>
              <w:rPr>
                <w:sz w:val="22"/>
                <w:szCs w:val="22"/>
              </w:rPr>
            </w:pPr>
            <w:r w:rsidRPr="00D072D6">
              <w:rPr>
                <w:sz w:val="22"/>
                <w:szCs w:val="22"/>
              </w:rPr>
              <w:t>W jaki sposób przedsiębiorca telekomunikacyjny będący mikro lub małym przedsiębiorcą spełni wymóg określony w § 3 ust. 1 PRRM polegający na zapewnieniu możliwość zgłoszenia zapotrzebowania?</w:t>
            </w:r>
          </w:p>
          <w:p w14:paraId="2F7F39D1" w14:textId="77777777" w:rsidR="006A5127" w:rsidRPr="00D072D6" w:rsidRDefault="006A5127" w:rsidP="00654898">
            <w:pPr>
              <w:jc w:val="both"/>
              <w:rPr>
                <w:sz w:val="22"/>
                <w:szCs w:val="22"/>
              </w:rPr>
            </w:pPr>
          </w:p>
          <w:p w14:paraId="736B69AC" w14:textId="77777777" w:rsidR="00AE61BD" w:rsidRPr="00D072D6" w:rsidRDefault="00AE61BD" w:rsidP="00654898">
            <w:pPr>
              <w:jc w:val="both"/>
              <w:rPr>
                <w:sz w:val="22"/>
                <w:szCs w:val="22"/>
              </w:rPr>
            </w:pPr>
          </w:p>
          <w:p w14:paraId="7A3EB122" w14:textId="788A9E00" w:rsidR="00650580" w:rsidRPr="00D072D6" w:rsidRDefault="00650580" w:rsidP="00654898">
            <w:pPr>
              <w:jc w:val="both"/>
              <w:rPr>
                <w:sz w:val="22"/>
                <w:szCs w:val="22"/>
              </w:rPr>
            </w:pPr>
            <w:r w:rsidRPr="00D072D6">
              <w:rPr>
                <w:sz w:val="22"/>
                <w:szCs w:val="22"/>
              </w:rPr>
              <w:t xml:space="preserve">Z analizy art. 34 ust. 1 pkt 5 i 6 ustawy z dnia 5 sierpnia 2010 r. o ochronie informacji niejawnych wynika, że podmiot, o którym mowa w art. 34 ust. 5 uOIN może wyrazić pisemną zgodę na jednorazowe udostępnienie </w:t>
            </w:r>
            <w:r w:rsidRPr="00D072D6">
              <w:rPr>
                <w:sz w:val="22"/>
                <w:szCs w:val="22"/>
              </w:rPr>
              <w:lastRenderedPageBreak/>
              <w:t>określonych informacji niejawnych osobie nieposiadającej odpowiedniego poświadczenia bezpieczeństw.</w:t>
            </w:r>
            <w:r w:rsidR="00AE61BD" w:rsidRPr="00D072D6">
              <w:rPr>
                <w:sz w:val="22"/>
                <w:szCs w:val="22"/>
              </w:rPr>
              <w:t xml:space="preserve"> </w:t>
            </w:r>
            <w:r w:rsidRPr="00D072D6">
              <w:rPr>
                <w:sz w:val="22"/>
                <w:szCs w:val="22"/>
              </w:rPr>
              <w:t xml:space="preserve">Oznacza to, że podmiot wyrażający zgodę musi znać treść informacji, do której dostęp będzie miała osoba nieposiadająca poświadczenia bezpieczeństwa. W rozpatrywanym przypadku, przed rozpoczęciem kontroli operacyjnej takich informacji jeszcze nie wytworzono. </w:t>
            </w:r>
          </w:p>
          <w:p w14:paraId="5BB2844C" w14:textId="77777777" w:rsidR="006B3153" w:rsidRPr="00D072D6" w:rsidRDefault="006B3153" w:rsidP="00654898">
            <w:pPr>
              <w:jc w:val="both"/>
              <w:rPr>
                <w:sz w:val="22"/>
                <w:szCs w:val="22"/>
              </w:rPr>
            </w:pPr>
          </w:p>
          <w:p w14:paraId="521E585E" w14:textId="77777777" w:rsidR="00650580" w:rsidRPr="00D072D6" w:rsidRDefault="00650580" w:rsidP="00654898">
            <w:pPr>
              <w:jc w:val="both"/>
              <w:rPr>
                <w:sz w:val="22"/>
                <w:szCs w:val="22"/>
              </w:rPr>
            </w:pPr>
            <w:r w:rsidRPr="00D072D6">
              <w:rPr>
                <w:sz w:val="22"/>
                <w:szCs w:val="22"/>
              </w:rPr>
              <w:t>Natomiast w przypadku, gdy przedmiotem wyrażenia zgody ma być bliżej nieznana treść informacji, ale będzie ona zakwalifikowana jako informacja niejawna o klauzuli „tajne” lub „ściśle tajne”, podmiot, o którym mowa w art. 34 ust. 5 uOIN może wyrazić zgodę na udostępnienie takich informacji osobie, ale tyko takiej, wobec której wszczęto poszerzone postępowanie sprawdzające.</w:t>
            </w:r>
          </w:p>
          <w:p w14:paraId="1282D512" w14:textId="77777777" w:rsidR="006B3153" w:rsidRPr="00D072D6" w:rsidRDefault="006B3153" w:rsidP="00654898">
            <w:pPr>
              <w:jc w:val="both"/>
              <w:rPr>
                <w:sz w:val="22"/>
                <w:szCs w:val="22"/>
              </w:rPr>
            </w:pPr>
          </w:p>
          <w:p w14:paraId="5BC8CA18" w14:textId="77777777" w:rsidR="00063BE4" w:rsidRPr="00D072D6" w:rsidRDefault="00063BE4" w:rsidP="00654898">
            <w:pPr>
              <w:jc w:val="both"/>
              <w:rPr>
                <w:sz w:val="22"/>
                <w:szCs w:val="22"/>
              </w:rPr>
            </w:pPr>
          </w:p>
          <w:p w14:paraId="2A80039A" w14:textId="77777777" w:rsidR="00063BE4" w:rsidRPr="00D072D6" w:rsidRDefault="00063BE4" w:rsidP="00654898">
            <w:pPr>
              <w:jc w:val="both"/>
              <w:rPr>
                <w:sz w:val="22"/>
                <w:szCs w:val="22"/>
              </w:rPr>
            </w:pPr>
          </w:p>
          <w:p w14:paraId="7B6B219F" w14:textId="77777777" w:rsidR="003747A4" w:rsidRPr="00D072D6" w:rsidRDefault="003747A4" w:rsidP="00654898">
            <w:pPr>
              <w:jc w:val="both"/>
              <w:rPr>
                <w:sz w:val="22"/>
                <w:szCs w:val="22"/>
              </w:rPr>
            </w:pPr>
          </w:p>
          <w:p w14:paraId="0DE27419" w14:textId="77777777" w:rsidR="003747A4" w:rsidRPr="00D072D6" w:rsidRDefault="003747A4" w:rsidP="00654898">
            <w:pPr>
              <w:jc w:val="both"/>
              <w:rPr>
                <w:sz w:val="22"/>
                <w:szCs w:val="22"/>
              </w:rPr>
            </w:pPr>
          </w:p>
          <w:p w14:paraId="029B6795" w14:textId="77777777" w:rsidR="003747A4" w:rsidRPr="00D072D6" w:rsidRDefault="003747A4" w:rsidP="00654898">
            <w:pPr>
              <w:jc w:val="both"/>
              <w:rPr>
                <w:sz w:val="22"/>
                <w:szCs w:val="22"/>
              </w:rPr>
            </w:pPr>
          </w:p>
          <w:p w14:paraId="585C546F" w14:textId="77777777" w:rsidR="00FE6500" w:rsidRPr="00D072D6" w:rsidRDefault="00FE6500" w:rsidP="00654898">
            <w:pPr>
              <w:jc w:val="both"/>
              <w:rPr>
                <w:sz w:val="22"/>
                <w:szCs w:val="22"/>
              </w:rPr>
            </w:pPr>
          </w:p>
          <w:p w14:paraId="32520C28" w14:textId="77777777" w:rsidR="00FE6500" w:rsidRPr="00D072D6" w:rsidRDefault="00FE6500" w:rsidP="00654898">
            <w:pPr>
              <w:jc w:val="both"/>
              <w:rPr>
                <w:sz w:val="22"/>
                <w:szCs w:val="22"/>
              </w:rPr>
            </w:pPr>
          </w:p>
          <w:p w14:paraId="7130E117" w14:textId="34A17D56" w:rsidR="00650580" w:rsidRPr="00D072D6" w:rsidRDefault="00650580" w:rsidP="00654898">
            <w:pPr>
              <w:jc w:val="both"/>
              <w:rPr>
                <w:sz w:val="22"/>
                <w:szCs w:val="22"/>
              </w:rPr>
            </w:pPr>
            <w:r w:rsidRPr="00D072D6">
              <w:rPr>
                <w:sz w:val="22"/>
                <w:szCs w:val="22"/>
              </w:rPr>
              <w:t xml:space="preserve">Wątpliwości skuteczności budzi również przywołany w § 4 ust. 2 pkt 2 PRRM przepis art. 54 ust. 8 uOIN. Treść tego przepisu wskazuje, że podmioty, o których mowa w art. 54 ust. 7 uOIN, mogą wyrazić zgodę przedsiębiorcy nieposiadającemu świadectwa bezpieczeństwa przemysłowego lub wobec którego nie jest prowadzone postępowanie sprawdzające lub nie jest prowadzone postępowanie bezpieczeństwa przemysłowego wyłącznie wobec przedsiębiorcy wykonującego działalność jednoosobowo i osobiście (art. 54 ust. 3 uOIN). </w:t>
            </w:r>
          </w:p>
          <w:p w14:paraId="7B38327A" w14:textId="77777777" w:rsidR="00650580" w:rsidRPr="00D072D6" w:rsidRDefault="00650580" w:rsidP="00654898">
            <w:pPr>
              <w:jc w:val="both"/>
              <w:rPr>
                <w:sz w:val="22"/>
                <w:szCs w:val="22"/>
              </w:rPr>
            </w:pPr>
            <w:r w:rsidRPr="00D072D6">
              <w:rPr>
                <w:sz w:val="22"/>
                <w:szCs w:val="22"/>
              </w:rPr>
              <w:t>Przepis ten nie dotyczy przedsiębiorców innych niż te wskazane w art. 54 ust. 3 uOIN.</w:t>
            </w:r>
          </w:p>
          <w:p w14:paraId="4F447544" w14:textId="77777777" w:rsidR="00391F1D" w:rsidRPr="00D072D6" w:rsidRDefault="00391F1D" w:rsidP="00654898">
            <w:pPr>
              <w:jc w:val="both"/>
              <w:rPr>
                <w:sz w:val="22"/>
                <w:szCs w:val="22"/>
              </w:rPr>
            </w:pPr>
          </w:p>
          <w:p w14:paraId="4B74C4C8" w14:textId="77777777" w:rsidR="003747A4" w:rsidRPr="00D072D6" w:rsidRDefault="003747A4" w:rsidP="00654898">
            <w:pPr>
              <w:pStyle w:val="Bezodstpw"/>
              <w:jc w:val="both"/>
              <w:rPr>
                <w:rFonts w:ascii="Times New Roman" w:hAnsi="Times New Roman" w:cs="Times New Roman"/>
              </w:rPr>
            </w:pPr>
          </w:p>
          <w:p w14:paraId="05F6B3E5" w14:textId="77777777" w:rsidR="003747A4" w:rsidRPr="00D072D6" w:rsidRDefault="003747A4" w:rsidP="00654898">
            <w:pPr>
              <w:pStyle w:val="Bezodstpw"/>
              <w:jc w:val="both"/>
              <w:rPr>
                <w:rFonts w:ascii="Times New Roman" w:hAnsi="Times New Roman" w:cs="Times New Roman"/>
              </w:rPr>
            </w:pPr>
          </w:p>
          <w:p w14:paraId="790F06DD" w14:textId="59AE1208"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Pamiętać należy, że uwierzytelnione kopie zgód wyrażonych na podstawie art. 34 i 54 uOIN podmioty wyrażające taką zgodę przekazują odpowiednio do ABW lub SKW, co może znacznie rozszerzyć grono osób, które zapoznają się z informacjami związanymi z prowadzoną kontrolą operacyjną.</w:t>
            </w:r>
          </w:p>
        </w:tc>
        <w:tc>
          <w:tcPr>
            <w:tcW w:w="4395" w:type="dxa"/>
            <w:tcBorders>
              <w:bottom w:val="single" w:sz="4" w:space="0" w:color="auto"/>
            </w:tcBorders>
          </w:tcPr>
          <w:p w14:paraId="742E191D" w14:textId="5D8EBD27" w:rsidR="00650580" w:rsidRPr="00D072D6" w:rsidRDefault="00F46A70"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Wyjaśnienie</w:t>
            </w:r>
            <w:r w:rsidR="00654898" w:rsidRPr="00D072D6">
              <w:rPr>
                <w:rFonts w:ascii="Times New Roman" w:hAnsi="Times New Roman" w:cs="Times New Roman"/>
                <w:b/>
                <w:bCs/>
              </w:rPr>
              <w:t xml:space="preserve"> uwagi</w:t>
            </w:r>
          </w:p>
          <w:p w14:paraId="7E0B5CA1" w14:textId="1FD671AA" w:rsidR="00EA2DDB" w:rsidRPr="00D072D6" w:rsidRDefault="006B3153" w:rsidP="00654898">
            <w:pPr>
              <w:pStyle w:val="Bezodstpw"/>
              <w:jc w:val="both"/>
              <w:rPr>
                <w:rFonts w:ascii="Times New Roman" w:hAnsi="Times New Roman" w:cs="Times New Roman"/>
              </w:rPr>
            </w:pPr>
            <w:r w:rsidRPr="00D072D6">
              <w:rPr>
                <w:rFonts w:ascii="Times New Roman" w:hAnsi="Times New Roman" w:cs="Times New Roman"/>
              </w:rPr>
              <w:t>Pytania</w:t>
            </w:r>
            <w:r w:rsidR="00F46A70" w:rsidRPr="00D072D6">
              <w:rPr>
                <w:rFonts w:ascii="Times New Roman" w:hAnsi="Times New Roman" w:cs="Times New Roman"/>
              </w:rPr>
              <w:t xml:space="preserve"> </w:t>
            </w:r>
            <w:r w:rsidRPr="00D072D6">
              <w:rPr>
                <w:rFonts w:ascii="Times New Roman" w:hAnsi="Times New Roman" w:cs="Times New Roman"/>
              </w:rPr>
              <w:t>1</w:t>
            </w:r>
            <w:r w:rsidR="00FE6500" w:rsidRPr="00D072D6">
              <w:rPr>
                <w:rFonts w:ascii="Times New Roman" w:hAnsi="Times New Roman" w:cs="Times New Roman"/>
              </w:rPr>
              <w:sym w:font="Symbol" w:char="F02D"/>
            </w:r>
            <w:r w:rsidRPr="00D072D6">
              <w:rPr>
                <w:rFonts w:ascii="Times New Roman" w:hAnsi="Times New Roman" w:cs="Times New Roman"/>
              </w:rPr>
              <w:t>7 w</w:t>
            </w:r>
            <w:r w:rsidR="00F46A70" w:rsidRPr="00D072D6">
              <w:rPr>
                <w:rFonts w:ascii="Times New Roman" w:hAnsi="Times New Roman" w:cs="Times New Roman"/>
              </w:rPr>
              <w:t xml:space="preserve"> tej uwadze nie dotyczą przedmiotu projektowanego rozporządzenia</w:t>
            </w:r>
            <w:r w:rsidRPr="00D072D6">
              <w:rPr>
                <w:rFonts w:ascii="Times New Roman" w:hAnsi="Times New Roman" w:cs="Times New Roman"/>
              </w:rPr>
              <w:t>.</w:t>
            </w:r>
          </w:p>
          <w:p w14:paraId="58E0286D" w14:textId="77777777" w:rsidR="006B3153" w:rsidRPr="00D072D6" w:rsidRDefault="006B3153" w:rsidP="00654898">
            <w:pPr>
              <w:pStyle w:val="Bezodstpw"/>
              <w:jc w:val="both"/>
              <w:rPr>
                <w:rFonts w:ascii="Times New Roman" w:hAnsi="Times New Roman" w:cs="Times New Roman"/>
              </w:rPr>
            </w:pPr>
          </w:p>
          <w:p w14:paraId="69163FE4" w14:textId="77777777" w:rsidR="006B3153" w:rsidRPr="00D072D6" w:rsidRDefault="006B3153" w:rsidP="00654898">
            <w:pPr>
              <w:pStyle w:val="Bezodstpw"/>
              <w:jc w:val="both"/>
              <w:rPr>
                <w:rFonts w:ascii="Times New Roman" w:hAnsi="Times New Roman" w:cs="Times New Roman"/>
              </w:rPr>
            </w:pPr>
          </w:p>
          <w:p w14:paraId="66B35272" w14:textId="77777777" w:rsidR="006B3153" w:rsidRPr="00D072D6" w:rsidRDefault="006B3153" w:rsidP="00654898">
            <w:pPr>
              <w:pStyle w:val="Bezodstpw"/>
              <w:jc w:val="both"/>
              <w:rPr>
                <w:rFonts w:ascii="Times New Roman" w:hAnsi="Times New Roman" w:cs="Times New Roman"/>
              </w:rPr>
            </w:pPr>
          </w:p>
          <w:p w14:paraId="1D0A6A2A" w14:textId="77777777" w:rsidR="006B3153" w:rsidRPr="00D072D6" w:rsidRDefault="006B3153" w:rsidP="00654898">
            <w:pPr>
              <w:pStyle w:val="Bezodstpw"/>
              <w:jc w:val="both"/>
              <w:rPr>
                <w:rFonts w:ascii="Times New Roman" w:hAnsi="Times New Roman" w:cs="Times New Roman"/>
              </w:rPr>
            </w:pPr>
          </w:p>
          <w:p w14:paraId="57DBEAD4" w14:textId="77777777" w:rsidR="006B3153" w:rsidRPr="00D072D6" w:rsidRDefault="006B3153" w:rsidP="00654898">
            <w:pPr>
              <w:pStyle w:val="Bezodstpw"/>
              <w:jc w:val="both"/>
              <w:rPr>
                <w:rFonts w:ascii="Times New Roman" w:hAnsi="Times New Roman" w:cs="Times New Roman"/>
              </w:rPr>
            </w:pPr>
          </w:p>
          <w:p w14:paraId="07C7FD49" w14:textId="77777777" w:rsidR="006B3153" w:rsidRPr="00D072D6" w:rsidRDefault="006B3153" w:rsidP="00654898">
            <w:pPr>
              <w:pStyle w:val="Bezodstpw"/>
              <w:jc w:val="both"/>
              <w:rPr>
                <w:rFonts w:ascii="Times New Roman" w:hAnsi="Times New Roman" w:cs="Times New Roman"/>
              </w:rPr>
            </w:pPr>
          </w:p>
          <w:p w14:paraId="7A0EE134" w14:textId="77777777" w:rsidR="006B3153" w:rsidRPr="00D072D6" w:rsidRDefault="006B3153" w:rsidP="00654898">
            <w:pPr>
              <w:pStyle w:val="Bezodstpw"/>
              <w:jc w:val="both"/>
              <w:rPr>
                <w:rFonts w:ascii="Times New Roman" w:hAnsi="Times New Roman" w:cs="Times New Roman"/>
              </w:rPr>
            </w:pPr>
          </w:p>
          <w:p w14:paraId="3527B986" w14:textId="77777777" w:rsidR="006B3153" w:rsidRPr="00D072D6" w:rsidRDefault="006B3153" w:rsidP="00654898">
            <w:pPr>
              <w:pStyle w:val="Bezodstpw"/>
              <w:jc w:val="both"/>
              <w:rPr>
                <w:rFonts w:ascii="Times New Roman" w:hAnsi="Times New Roman" w:cs="Times New Roman"/>
              </w:rPr>
            </w:pPr>
          </w:p>
          <w:p w14:paraId="6DF470B9" w14:textId="77777777" w:rsidR="006B3153" w:rsidRPr="00D072D6" w:rsidRDefault="006B3153" w:rsidP="00654898">
            <w:pPr>
              <w:pStyle w:val="Bezodstpw"/>
              <w:jc w:val="both"/>
              <w:rPr>
                <w:rFonts w:ascii="Times New Roman" w:hAnsi="Times New Roman" w:cs="Times New Roman"/>
              </w:rPr>
            </w:pPr>
          </w:p>
          <w:p w14:paraId="5C537CFF" w14:textId="77777777" w:rsidR="006B3153" w:rsidRPr="00D072D6" w:rsidRDefault="006B3153" w:rsidP="00654898">
            <w:pPr>
              <w:pStyle w:val="Bezodstpw"/>
              <w:jc w:val="both"/>
              <w:rPr>
                <w:rFonts w:ascii="Times New Roman" w:hAnsi="Times New Roman" w:cs="Times New Roman"/>
              </w:rPr>
            </w:pPr>
          </w:p>
          <w:p w14:paraId="36A85489" w14:textId="77777777" w:rsidR="006B3153" w:rsidRPr="00D072D6" w:rsidRDefault="006B3153" w:rsidP="00654898">
            <w:pPr>
              <w:pStyle w:val="Bezodstpw"/>
              <w:jc w:val="both"/>
              <w:rPr>
                <w:rFonts w:ascii="Times New Roman" w:hAnsi="Times New Roman" w:cs="Times New Roman"/>
              </w:rPr>
            </w:pPr>
          </w:p>
          <w:p w14:paraId="43E4655B" w14:textId="77777777" w:rsidR="006B3153" w:rsidRPr="00D072D6" w:rsidRDefault="006B3153" w:rsidP="00654898">
            <w:pPr>
              <w:pStyle w:val="Bezodstpw"/>
              <w:jc w:val="both"/>
              <w:rPr>
                <w:rFonts w:ascii="Times New Roman" w:hAnsi="Times New Roman" w:cs="Times New Roman"/>
              </w:rPr>
            </w:pPr>
          </w:p>
          <w:p w14:paraId="2B7F1231" w14:textId="77777777" w:rsidR="006B3153" w:rsidRPr="00D072D6" w:rsidRDefault="006B3153" w:rsidP="00654898">
            <w:pPr>
              <w:pStyle w:val="Bezodstpw"/>
              <w:jc w:val="both"/>
              <w:rPr>
                <w:rFonts w:ascii="Times New Roman" w:hAnsi="Times New Roman" w:cs="Times New Roman"/>
              </w:rPr>
            </w:pPr>
          </w:p>
          <w:p w14:paraId="53E7AA3C" w14:textId="77777777" w:rsidR="006B3153" w:rsidRPr="00D072D6" w:rsidRDefault="006B3153" w:rsidP="00654898">
            <w:pPr>
              <w:pStyle w:val="Bezodstpw"/>
              <w:jc w:val="both"/>
              <w:rPr>
                <w:rFonts w:ascii="Times New Roman" w:hAnsi="Times New Roman" w:cs="Times New Roman"/>
              </w:rPr>
            </w:pPr>
          </w:p>
          <w:p w14:paraId="70D4C355" w14:textId="77777777" w:rsidR="006B3153" w:rsidRPr="00D072D6" w:rsidRDefault="006B3153" w:rsidP="00654898">
            <w:pPr>
              <w:pStyle w:val="Bezodstpw"/>
              <w:jc w:val="both"/>
              <w:rPr>
                <w:rFonts w:ascii="Times New Roman" w:hAnsi="Times New Roman" w:cs="Times New Roman"/>
              </w:rPr>
            </w:pPr>
          </w:p>
          <w:p w14:paraId="69206D8D" w14:textId="77777777" w:rsidR="006B3153" w:rsidRPr="00D072D6" w:rsidRDefault="006B3153" w:rsidP="00654898">
            <w:pPr>
              <w:pStyle w:val="Bezodstpw"/>
              <w:jc w:val="both"/>
              <w:rPr>
                <w:rFonts w:ascii="Times New Roman" w:hAnsi="Times New Roman" w:cs="Times New Roman"/>
              </w:rPr>
            </w:pPr>
          </w:p>
          <w:p w14:paraId="547A633A" w14:textId="77777777" w:rsidR="006B3153" w:rsidRPr="00D072D6" w:rsidRDefault="006B3153" w:rsidP="00654898">
            <w:pPr>
              <w:pStyle w:val="Bezodstpw"/>
              <w:jc w:val="both"/>
              <w:rPr>
                <w:rFonts w:ascii="Times New Roman" w:hAnsi="Times New Roman" w:cs="Times New Roman"/>
              </w:rPr>
            </w:pPr>
          </w:p>
          <w:p w14:paraId="2A94339B" w14:textId="77777777" w:rsidR="00A74264" w:rsidRPr="00D072D6" w:rsidRDefault="00A74264" w:rsidP="00654898">
            <w:pPr>
              <w:pStyle w:val="Bezodstpw"/>
              <w:jc w:val="both"/>
              <w:rPr>
                <w:rFonts w:ascii="Times New Roman" w:hAnsi="Times New Roman" w:cs="Times New Roman"/>
              </w:rPr>
            </w:pPr>
          </w:p>
          <w:p w14:paraId="151DD634" w14:textId="2B750A5F" w:rsidR="006B3153" w:rsidRPr="00D072D6" w:rsidRDefault="006B3153" w:rsidP="00654898">
            <w:pPr>
              <w:pStyle w:val="Bezodstpw"/>
              <w:jc w:val="both"/>
              <w:rPr>
                <w:rFonts w:ascii="Times New Roman" w:hAnsi="Times New Roman" w:cs="Times New Roman"/>
              </w:rPr>
            </w:pPr>
            <w:r w:rsidRPr="00D072D6">
              <w:rPr>
                <w:rFonts w:ascii="Times New Roman" w:hAnsi="Times New Roman" w:cs="Times New Roman"/>
              </w:rPr>
              <w:t xml:space="preserve">8) Wymóg ten będzie spełniony poprzez udzielenie jednorazowego dostępu do informacji niejawnej </w:t>
            </w:r>
            <w:r w:rsidR="00AE61BD" w:rsidRPr="00D072D6">
              <w:rPr>
                <w:rFonts w:ascii="Times New Roman" w:hAnsi="Times New Roman" w:cs="Times New Roman"/>
              </w:rPr>
              <w:t xml:space="preserve">upoważnionemu </w:t>
            </w:r>
            <w:r w:rsidRPr="00D072D6">
              <w:rPr>
                <w:rFonts w:ascii="Times New Roman" w:hAnsi="Times New Roman" w:cs="Times New Roman"/>
              </w:rPr>
              <w:t>pracownikowi przedsiębiorcy.</w:t>
            </w:r>
          </w:p>
          <w:p w14:paraId="404D0399" w14:textId="77777777" w:rsidR="006B3153" w:rsidRPr="00D072D6" w:rsidRDefault="006B3153" w:rsidP="00654898">
            <w:pPr>
              <w:pStyle w:val="Bezodstpw"/>
              <w:jc w:val="both"/>
              <w:rPr>
                <w:rFonts w:ascii="Times New Roman" w:hAnsi="Times New Roman" w:cs="Times New Roman"/>
              </w:rPr>
            </w:pPr>
          </w:p>
          <w:p w14:paraId="38893ED0" w14:textId="77777777" w:rsidR="00AE61BD" w:rsidRPr="00D072D6" w:rsidRDefault="00AE61BD" w:rsidP="00654898">
            <w:pPr>
              <w:pStyle w:val="Bezodstpw"/>
              <w:jc w:val="both"/>
              <w:rPr>
                <w:rFonts w:ascii="Times New Roman" w:hAnsi="Times New Roman" w:cs="Times New Roman"/>
              </w:rPr>
            </w:pPr>
          </w:p>
          <w:p w14:paraId="7AF844BE" w14:textId="00D33D76" w:rsidR="00AE61BD" w:rsidRPr="00D072D6" w:rsidRDefault="00AE61BD" w:rsidP="00654898">
            <w:pPr>
              <w:pStyle w:val="Bezodstpw"/>
              <w:jc w:val="both"/>
              <w:rPr>
                <w:rFonts w:ascii="Times New Roman" w:hAnsi="Times New Roman" w:cs="Times New Roman"/>
              </w:rPr>
            </w:pPr>
            <w:r w:rsidRPr="00D072D6">
              <w:rPr>
                <w:rFonts w:ascii="Times New Roman" w:hAnsi="Times New Roman" w:cs="Times New Roman"/>
              </w:rPr>
              <w:t xml:space="preserve">Kwestia braku znajomości przez podmiot udzielający zgody na dostęp do informacji niejawnych dla osoby nieposiadającej takiego dostępu treści informacji, które są </w:t>
            </w:r>
            <w:r w:rsidRPr="00D072D6">
              <w:rPr>
                <w:rFonts w:ascii="Times New Roman" w:hAnsi="Times New Roman" w:cs="Times New Roman"/>
              </w:rPr>
              <w:lastRenderedPageBreak/>
              <w:t xml:space="preserve">przedmiotem kontroli operacyjnej, nie jest przedmiotem projektu rozporządzenia. </w:t>
            </w:r>
          </w:p>
          <w:p w14:paraId="4CB215E7" w14:textId="77777777" w:rsidR="006B3153" w:rsidRPr="00D072D6" w:rsidRDefault="006B3153" w:rsidP="00654898">
            <w:pPr>
              <w:pStyle w:val="Bezodstpw"/>
              <w:jc w:val="both"/>
              <w:rPr>
                <w:rFonts w:ascii="Times New Roman" w:hAnsi="Times New Roman" w:cs="Times New Roman"/>
              </w:rPr>
            </w:pPr>
          </w:p>
          <w:p w14:paraId="64E9AAB0" w14:textId="77777777" w:rsidR="006B3153" w:rsidRPr="00D072D6" w:rsidRDefault="006B3153" w:rsidP="00654898">
            <w:pPr>
              <w:pStyle w:val="Bezodstpw"/>
              <w:jc w:val="both"/>
              <w:rPr>
                <w:rFonts w:ascii="Times New Roman" w:hAnsi="Times New Roman" w:cs="Times New Roman"/>
              </w:rPr>
            </w:pPr>
          </w:p>
          <w:p w14:paraId="18518ED4" w14:textId="77777777" w:rsidR="00A74264" w:rsidRPr="00D072D6" w:rsidRDefault="00A74264" w:rsidP="00654898">
            <w:pPr>
              <w:pStyle w:val="Bezodstpw"/>
              <w:jc w:val="both"/>
              <w:rPr>
                <w:rFonts w:ascii="Times New Roman" w:hAnsi="Times New Roman" w:cs="Times New Roman"/>
              </w:rPr>
            </w:pPr>
          </w:p>
          <w:p w14:paraId="4B39B03C" w14:textId="78E0E67B" w:rsidR="006A5127" w:rsidRDefault="00B23B36" w:rsidP="00654898">
            <w:pPr>
              <w:pStyle w:val="Bezodstpw"/>
              <w:jc w:val="both"/>
              <w:rPr>
                <w:rFonts w:ascii="Times New Roman" w:hAnsi="Times New Roman" w:cs="Times New Roman"/>
              </w:rPr>
            </w:pPr>
            <w:r w:rsidRPr="00D072D6">
              <w:rPr>
                <w:rFonts w:ascii="Times New Roman" w:hAnsi="Times New Roman" w:cs="Times New Roman"/>
              </w:rPr>
              <w:t>Rozróżnić należy dwa przypadki, o których mowa w art. 34 ust. 5</w:t>
            </w:r>
            <w:r w:rsidR="00063BE4" w:rsidRPr="00D072D6">
              <w:rPr>
                <w:rFonts w:ascii="Times New Roman" w:hAnsi="Times New Roman" w:cs="Times New Roman"/>
              </w:rPr>
              <w:t xml:space="preserve"> </w:t>
            </w:r>
            <w:r w:rsidR="00FE6500" w:rsidRPr="00D072D6">
              <w:rPr>
                <w:rFonts w:ascii="Times New Roman" w:hAnsi="Times New Roman" w:cs="Times New Roman"/>
              </w:rPr>
              <w:t>ustawy z dnia 5 sierpnia 2010 r. o ochronie informacji niejawnych</w:t>
            </w:r>
            <w:r w:rsidRPr="00D072D6">
              <w:rPr>
                <w:rFonts w:ascii="Times New Roman" w:hAnsi="Times New Roman" w:cs="Times New Roman"/>
              </w:rPr>
              <w:t>:</w:t>
            </w:r>
          </w:p>
          <w:p w14:paraId="7F6DE8BD" w14:textId="061C6901" w:rsidR="00B23B36" w:rsidRDefault="00B23B36" w:rsidP="00637BD0">
            <w:pPr>
              <w:pStyle w:val="Bezodstpw"/>
              <w:numPr>
                <w:ilvl w:val="0"/>
                <w:numId w:val="31"/>
              </w:numPr>
              <w:jc w:val="both"/>
              <w:rPr>
                <w:rFonts w:ascii="Times New Roman" w:hAnsi="Times New Roman" w:cs="Times New Roman"/>
              </w:rPr>
            </w:pPr>
            <w:r w:rsidRPr="00637BD0">
              <w:rPr>
                <w:rFonts w:ascii="Times New Roman" w:hAnsi="Times New Roman" w:cs="Times New Roman"/>
              </w:rPr>
              <w:t>w pierwszym mowa o zgodzie jednorazowej o dowolnej klauzuli (w</w:t>
            </w:r>
            <w:r w:rsidR="00637BD0">
              <w:rPr>
                <w:rFonts w:ascii="Times New Roman" w:hAnsi="Times New Roman" w:cs="Times New Roman"/>
              </w:rPr>
              <w:t> </w:t>
            </w:r>
            <w:r w:rsidRPr="00637BD0">
              <w:rPr>
                <w:rFonts w:ascii="Times New Roman" w:hAnsi="Times New Roman" w:cs="Times New Roman"/>
              </w:rPr>
              <w:t>większości przypadków dotyczy to mikro i małych przedsiębiorców)</w:t>
            </w:r>
            <w:r w:rsidR="00637BD0">
              <w:rPr>
                <w:rFonts w:ascii="Times New Roman" w:hAnsi="Times New Roman" w:cs="Times New Roman"/>
              </w:rPr>
              <w:t>;</w:t>
            </w:r>
          </w:p>
          <w:p w14:paraId="0DEB81D5" w14:textId="72408287" w:rsidR="00B23B36" w:rsidRPr="00637BD0" w:rsidRDefault="00B23B36" w:rsidP="00637BD0">
            <w:pPr>
              <w:pStyle w:val="Bezodstpw"/>
              <w:numPr>
                <w:ilvl w:val="0"/>
                <w:numId w:val="31"/>
              </w:numPr>
              <w:jc w:val="both"/>
              <w:rPr>
                <w:rFonts w:ascii="Times New Roman" w:hAnsi="Times New Roman" w:cs="Times New Roman"/>
              </w:rPr>
            </w:pPr>
            <w:r w:rsidRPr="00637BD0">
              <w:rPr>
                <w:rFonts w:ascii="Times New Roman" w:hAnsi="Times New Roman" w:cs="Times New Roman"/>
              </w:rPr>
              <w:t>w drugim mowa o permanentnej zgodzie do klauzuli „tajne” lub „ściśle tajne” w</w:t>
            </w:r>
            <w:r w:rsidR="00637BD0">
              <w:rPr>
                <w:rFonts w:ascii="Times New Roman" w:hAnsi="Times New Roman" w:cs="Times New Roman"/>
              </w:rPr>
              <w:t> </w:t>
            </w:r>
            <w:r w:rsidRPr="00637BD0">
              <w:rPr>
                <w:rFonts w:ascii="Times New Roman" w:hAnsi="Times New Roman" w:cs="Times New Roman"/>
              </w:rPr>
              <w:t>przypadku osoby, wobec której wszczęto postępowanie sprawdzające.</w:t>
            </w:r>
          </w:p>
          <w:p w14:paraId="2D6BF5FD" w14:textId="77777777" w:rsidR="006A5127" w:rsidRPr="00D072D6" w:rsidRDefault="006A5127" w:rsidP="00654898">
            <w:pPr>
              <w:pStyle w:val="Bezodstpw"/>
              <w:jc w:val="both"/>
              <w:rPr>
                <w:rFonts w:ascii="Times New Roman" w:hAnsi="Times New Roman" w:cs="Times New Roman"/>
              </w:rPr>
            </w:pPr>
          </w:p>
          <w:p w14:paraId="6601A141" w14:textId="77777777" w:rsidR="00F421F1" w:rsidRPr="00D072D6" w:rsidRDefault="00F421F1" w:rsidP="00654898">
            <w:pPr>
              <w:pStyle w:val="Bezodstpw"/>
              <w:jc w:val="both"/>
              <w:rPr>
                <w:rFonts w:ascii="Times New Roman" w:hAnsi="Times New Roman" w:cs="Times New Roman"/>
              </w:rPr>
            </w:pPr>
          </w:p>
          <w:p w14:paraId="4AA1C26C" w14:textId="77777777" w:rsidR="00FE6500" w:rsidRPr="00D072D6" w:rsidRDefault="00FE6500" w:rsidP="00654898">
            <w:pPr>
              <w:pStyle w:val="Bezodstpw"/>
              <w:jc w:val="both"/>
              <w:rPr>
                <w:rFonts w:ascii="Times New Roman" w:hAnsi="Times New Roman" w:cs="Times New Roman"/>
              </w:rPr>
            </w:pPr>
          </w:p>
          <w:p w14:paraId="65179EA1" w14:textId="12435B49" w:rsidR="00063BE4" w:rsidRPr="00D072D6" w:rsidRDefault="00063BE4" w:rsidP="00654898">
            <w:pPr>
              <w:pStyle w:val="Bezodstpw"/>
              <w:jc w:val="both"/>
              <w:rPr>
                <w:rFonts w:ascii="Times New Roman" w:hAnsi="Times New Roman" w:cs="Times New Roman"/>
              </w:rPr>
            </w:pPr>
            <w:r w:rsidRPr="00D072D6">
              <w:rPr>
                <w:rFonts w:ascii="Times New Roman" w:hAnsi="Times New Roman" w:cs="Times New Roman"/>
              </w:rPr>
              <w:t xml:space="preserve">Przepis art. 54 ust. 8 </w:t>
            </w:r>
            <w:r w:rsidR="00FE6500" w:rsidRPr="00D072D6">
              <w:rPr>
                <w:rFonts w:ascii="Times New Roman" w:hAnsi="Times New Roman" w:cs="Times New Roman"/>
              </w:rPr>
              <w:t>ustawy z dnia 5 sierpnia 2010 r. o ochronie i informacji niejawnych</w:t>
            </w:r>
            <w:r w:rsidRPr="00D072D6">
              <w:rPr>
                <w:rFonts w:ascii="Times New Roman" w:hAnsi="Times New Roman" w:cs="Times New Roman"/>
              </w:rPr>
              <w:t xml:space="preserve"> należy interpretować w ten sposób, że przypadek dotyczący przedsiębiorcy wykonującego działalność jednoosobowo odnosi się tylko do poświadczenia bezpieczeństwa, a nie świadectwa bezpieczeństwa przemysłowego.</w:t>
            </w:r>
          </w:p>
          <w:p w14:paraId="267C00B0" w14:textId="77777777" w:rsidR="00063BE4" w:rsidRPr="00D072D6" w:rsidRDefault="00063BE4" w:rsidP="00654898">
            <w:pPr>
              <w:pStyle w:val="Bezodstpw"/>
              <w:jc w:val="both"/>
              <w:rPr>
                <w:rFonts w:ascii="Times New Roman" w:hAnsi="Times New Roman" w:cs="Times New Roman"/>
              </w:rPr>
            </w:pPr>
          </w:p>
          <w:p w14:paraId="0CD7E901" w14:textId="77777777" w:rsidR="00063BE4" w:rsidRPr="00D072D6" w:rsidRDefault="00063BE4" w:rsidP="00654898">
            <w:pPr>
              <w:pStyle w:val="Bezodstpw"/>
              <w:jc w:val="both"/>
              <w:rPr>
                <w:rFonts w:ascii="Times New Roman" w:hAnsi="Times New Roman" w:cs="Times New Roman"/>
              </w:rPr>
            </w:pPr>
          </w:p>
          <w:p w14:paraId="5C6DC5E2" w14:textId="77777777" w:rsidR="00A74264" w:rsidRPr="00D072D6" w:rsidRDefault="00A74264" w:rsidP="00654898">
            <w:pPr>
              <w:pStyle w:val="Bezodstpw"/>
              <w:jc w:val="both"/>
              <w:rPr>
                <w:rFonts w:ascii="Times New Roman" w:hAnsi="Times New Roman" w:cs="Times New Roman"/>
              </w:rPr>
            </w:pPr>
          </w:p>
          <w:p w14:paraId="3817E9D9" w14:textId="77777777" w:rsidR="00F421F1" w:rsidRPr="00D072D6" w:rsidRDefault="00F421F1" w:rsidP="00654898">
            <w:pPr>
              <w:pStyle w:val="Bezodstpw"/>
              <w:jc w:val="both"/>
              <w:rPr>
                <w:rFonts w:ascii="Times New Roman" w:hAnsi="Times New Roman" w:cs="Times New Roman"/>
              </w:rPr>
            </w:pPr>
          </w:p>
          <w:p w14:paraId="7A92CA12" w14:textId="7B9489DB" w:rsidR="006A5127" w:rsidRPr="00D072D6" w:rsidRDefault="009F211D" w:rsidP="00654898">
            <w:pPr>
              <w:pStyle w:val="Bezodstpw"/>
              <w:jc w:val="both"/>
              <w:rPr>
                <w:rFonts w:ascii="Times New Roman" w:hAnsi="Times New Roman" w:cs="Times New Roman"/>
              </w:rPr>
            </w:pPr>
            <w:r w:rsidRPr="00D072D6">
              <w:rPr>
                <w:rFonts w:ascii="Times New Roman" w:hAnsi="Times New Roman" w:cs="Times New Roman"/>
              </w:rPr>
              <w:t>Kwestia ta nie jest przedmiotem projektu rozporządzenia.</w:t>
            </w:r>
          </w:p>
          <w:p w14:paraId="5A0B78D3" w14:textId="77777777" w:rsidR="00063BE4" w:rsidRPr="00D072D6" w:rsidRDefault="00063BE4" w:rsidP="00654898">
            <w:pPr>
              <w:pStyle w:val="Bezodstpw"/>
              <w:jc w:val="both"/>
              <w:rPr>
                <w:rFonts w:ascii="Times New Roman" w:hAnsi="Times New Roman" w:cs="Times New Roman"/>
              </w:rPr>
            </w:pPr>
          </w:p>
          <w:p w14:paraId="508756D4" w14:textId="4C7B6CFC" w:rsidR="00391F1D" w:rsidRPr="00D072D6" w:rsidRDefault="00391F1D" w:rsidP="00654898">
            <w:pPr>
              <w:pStyle w:val="Bezodstpw"/>
              <w:jc w:val="both"/>
              <w:rPr>
                <w:rFonts w:ascii="Times New Roman" w:hAnsi="Times New Roman" w:cs="Times New Roman"/>
              </w:rPr>
            </w:pPr>
          </w:p>
        </w:tc>
      </w:tr>
      <w:tr w:rsidR="00650580" w:rsidRPr="00D072D6" w14:paraId="73CE25E4" w14:textId="77777777" w:rsidTr="00654898">
        <w:tc>
          <w:tcPr>
            <w:tcW w:w="594" w:type="dxa"/>
            <w:tcBorders>
              <w:bottom w:val="single" w:sz="4" w:space="0" w:color="auto"/>
            </w:tcBorders>
          </w:tcPr>
          <w:p w14:paraId="6AABFE33" w14:textId="77777777" w:rsidR="00650580" w:rsidRPr="00D072D6" w:rsidRDefault="00650580"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72223260" w14:textId="77777777" w:rsidR="00650580" w:rsidRPr="00D072D6" w:rsidRDefault="00650580" w:rsidP="00654898">
            <w:pPr>
              <w:pStyle w:val="Bezodstpw"/>
              <w:jc w:val="center"/>
              <w:rPr>
                <w:rFonts w:ascii="Times New Roman" w:hAnsi="Times New Roman" w:cs="Times New Roman"/>
              </w:rPr>
            </w:pPr>
            <w:r w:rsidRPr="00D072D6">
              <w:rPr>
                <w:rFonts w:ascii="Times New Roman" w:hAnsi="Times New Roman" w:cs="Times New Roman"/>
              </w:rPr>
              <w:t>§ 5 ust. 3</w:t>
            </w:r>
          </w:p>
          <w:p w14:paraId="6343E422" w14:textId="5F906889" w:rsidR="00406E44" w:rsidRPr="00D072D6" w:rsidRDefault="00406E44" w:rsidP="00654898">
            <w:pPr>
              <w:pStyle w:val="Bezodstpw"/>
              <w:jc w:val="center"/>
              <w:rPr>
                <w:rFonts w:ascii="Times New Roman" w:hAnsi="Times New Roman" w:cs="Times New Roman"/>
              </w:rPr>
            </w:pPr>
            <w:r w:rsidRPr="00D072D6">
              <w:rPr>
                <w:rFonts w:ascii="Times New Roman" w:hAnsi="Times New Roman" w:cs="Times New Roman"/>
              </w:rPr>
              <w:t>(obecnie § 5 ust. 4)</w:t>
            </w:r>
          </w:p>
        </w:tc>
        <w:tc>
          <w:tcPr>
            <w:tcW w:w="1669" w:type="dxa"/>
            <w:tcBorders>
              <w:bottom w:val="single" w:sz="4" w:space="0" w:color="auto"/>
            </w:tcBorders>
          </w:tcPr>
          <w:p w14:paraId="3E93E4FD" w14:textId="06DCD7EA" w:rsidR="00650580" w:rsidRPr="00D072D6" w:rsidRDefault="00650580"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6D158521"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t xml:space="preserve">W przypadku wykorzystania do dostępu i utrwalania urządzeń przedsiębiorcy telekomunikacyjnego będącego mikro lub małym przedsiębiorcom, urządzenia te muszą zabezpieczać uzyskiwane komunikaty elektroniczne i dane telekomunikacyjne przed zakłóceniem lub zniekształceniem. </w:t>
            </w:r>
          </w:p>
          <w:p w14:paraId="6DA130AE" w14:textId="77777777" w:rsidR="00650580" w:rsidRPr="00D072D6" w:rsidRDefault="00650580"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bCs w:val="0"/>
                <w:sz w:val="22"/>
                <w:szCs w:val="22"/>
              </w:rPr>
              <w:lastRenderedPageBreak/>
              <w:t>Skoro te wymogi spełniają warunki bezpieczeństwa informacji związanych z realizacją kontroli operacyjnej (zapewnienia warunków dostępu i utrwalania), to rekomenduje się zastosować te same wymagania wobec urządzeń przedsiębiorcy telekomunikacyjnego niebędącego mikro lub małym przedsiębiorcą.</w:t>
            </w:r>
          </w:p>
          <w:p w14:paraId="4AC48252" w14:textId="5BD5806A" w:rsidR="00650580" w:rsidRPr="00D072D6" w:rsidRDefault="00650580" w:rsidP="00654898">
            <w:pPr>
              <w:pStyle w:val="Bezodstpw"/>
              <w:jc w:val="both"/>
              <w:rPr>
                <w:rFonts w:ascii="Times New Roman" w:hAnsi="Times New Roman" w:cs="Times New Roman"/>
              </w:rPr>
            </w:pPr>
            <w:r w:rsidRPr="00D072D6">
              <w:rPr>
                <w:rFonts w:ascii="Times New Roman" w:hAnsi="Times New Roman" w:cs="Times New Roman"/>
              </w:rPr>
              <w:t>Argumentem definiującym poziom ochrony informacji jest skutek jej ujawnienia a nie wielkość przedsiębiorcy, który jest wytwórcą lub adresatem takiej informacji.</w:t>
            </w:r>
          </w:p>
        </w:tc>
        <w:tc>
          <w:tcPr>
            <w:tcW w:w="4395" w:type="dxa"/>
            <w:tcBorders>
              <w:bottom w:val="single" w:sz="4" w:space="0" w:color="auto"/>
            </w:tcBorders>
          </w:tcPr>
          <w:p w14:paraId="0E5DB80E" w14:textId="77777777" w:rsidR="00650580" w:rsidRPr="00D072D6" w:rsidRDefault="004B4A2A"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nieuwzględniona</w:t>
            </w:r>
          </w:p>
          <w:p w14:paraId="6FC85768" w14:textId="3509C066" w:rsidR="004B4A2A" w:rsidRPr="00D072D6" w:rsidRDefault="00FE6500" w:rsidP="00654898">
            <w:pPr>
              <w:pStyle w:val="Bezodstpw"/>
              <w:jc w:val="both"/>
              <w:rPr>
                <w:rFonts w:ascii="Times New Roman" w:hAnsi="Times New Roman" w:cs="Times New Roman"/>
              </w:rPr>
            </w:pPr>
            <w:r w:rsidRPr="00D072D6">
              <w:rPr>
                <w:rFonts w:ascii="Times New Roman" w:hAnsi="Times New Roman" w:cs="Times New Roman"/>
              </w:rPr>
              <w:t>W</w:t>
            </w:r>
            <w:r w:rsidR="004B4A2A" w:rsidRPr="00D072D6">
              <w:rPr>
                <w:rFonts w:ascii="Times New Roman" w:hAnsi="Times New Roman" w:cs="Times New Roman"/>
              </w:rPr>
              <w:t>ymóg wobec urządzeń przedsiębiorcy</w:t>
            </w:r>
            <w:r w:rsidRPr="00D072D6">
              <w:rPr>
                <w:rFonts w:ascii="Times New Roman" w:hAnsi="Times New Roman" w:cs="Times New Roman"/>
              </w:rPr>
              <w:t>, o</w:t>
            </w:r>
            <w:r w:rsidR="00637BD0">
              <w:rPr>
                <w:rFonts w:ascii="Times New Roman" w:hAnsi="Times New Roman" w:cs="Times New Roman"/>
              </w:rPr>
              <w:t> </w:t>
            </w:r>
            <w:r w:rsidRPr="00D072D6">
              <w:rPr>
                <w:rFonts w:ascii="Times New Roman" w:hAnsi="Times New Roman" w:cs="Times New Roman"/>
              </w:rPr>
              <w:t>którym mowa w uwadze,</w:t>
            </w:r>
            <w:r w:rsidR="004B4A2A" w:rsidRPr="00D072D6">
              <w:rPr>
                <w:rFonts w:ascii="Times New Roman" w:hAnsi="Times New Roman" w:cs="Times New Roman"/>
              </w:rPr>
              <w:t xml:space="preserve"> </w:t>
            </w:r>
            <w:r w:rsidRPr="00D072D6">
              <w:rPr>
                <w:rFonts w:ascii="Times New Roman" w:hAnsi="Times New Roman" w:cs="Times New Roman"/>
              </w:rPr>
              <w:t xml:space="preserve">jest </w:t>
            </w:r>
            <w:r w:rsidR="004B4A2A" w:rsidRPr="00D072D6">
              <w:rPr>
                <w:rFonts w:ascii="Times New Roman" w:hAnsi="Times New Roman" w:cs="Times New Roman"/>
              </w:rPr>
              <w:t xml:space="preserve">już </w:t>
            </w:r>
            <w:r w:rsidRPr="00D072D6">
              <w:rPr>
                <w:rFonts w:ascii="Times New Roman" w:hAnsi="Times New Roman" w:cs="Times New Roman"/>
              </w:rPr>
              <w:t xml:space="preserve">wskazany </w:t>
            </w:r>
            <w:r w:rsidR="004B4A2A" w:rsidRPr="00D072D6">
              <w:rPr>
                <w:rFonts w:ascii="Times New Roman" w:hAnsi="Times New Roman" w:cs="Times New Roman"/>
              </w:rPr>
              <w:t>w § 4 ust. 2 pkt 3</w:t>
            </w:r>
            <w:r w:rsidRPr="00D072D6">
              <w:rPr>
                <w:rFonts w:ascii="Times New Roman" w:hAnsi="Times New Roman" w:cs="Times New Roman"/>
              </w:rPr>
              <w:t xml:space="preserve"> projektu rozporządzenia</w:t>
            </w:r>
            <w:r w:rsidR="004B4A2A" w:rsidRPr="00D072D6">
              <w:rPr>
                <w:rFonts w:ascii="Times New Roman" w:hAnsi="Times New Roman" w:cs="Times New Roman"/>
              </w:rPr>
              <w:t>.</w:t>
            </w:r>
          </w:p>
        </w:tc>
      </w:tr>
      <w:tr w:rsidR="0029301C" w:rsidRPr="00D072D6" w14:paraId="42CEF16A" w14:textId="77777777" w:rsidTr="00654898">
        <w:tc>
          <w:tcPr>
            <w:tcW w:w="594" w:type="dxa"/>
            <w:tcBorders>
              <w:bottom w:val="single" w:sz="4" w:space="0" w:color="auto"/>
            </w:tcBorders>
          </w:tcPr>
          <w:p w14:paraId="22BFBA24" w14:textId="77777777" w:rsidR="0029301C" w:rsidRPr="00D072D6" w:rsidRDefault="0029301C"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054CC6C" w14:textId="64AC3716" w:rsidR="0029301C" w:rsidRPr="00D072D6" w:rsidRDefault="0029301C" w:rsidP="00654898">
            <w:pPr>
              <w:pStyle w:val="Bezodstpw"/>
              <w:jc w:val="center"/>
              <w:rPr>
                <w:rFonts w:ascii="Times New Roman" w:hAnsi="Times New Roman" w:cs="Times New Roman"/>
              </w:rPr>
            </w:pPr>
            <w:r w:rsidRPr="00D072D6">
              <w:rPr>
                <w:rFonts w:ascii="Times New Roman" w:hAnsi="Times New Roman" w:cs="Times New Roman"/>
              </w:rPr>
              <w:t>§ 8</w:t>
            </w:r>
          </w:p>
        </w:tc>
        <w:tc>
          <w:tcPr>
            <w:tcW w:w="1669" w:type="dxa"/>
            <w:tcBorders>
              <w:bottom w:val="single" w:sz="4" w:space="0" w:color="auto"/>
            </w:tcBorders>
          </w:tcPr>
          <w:p w14:paraId="403320CE" w14:textId="2181A300" w:rsidR="0029301C" w:rsidRPr="00D072D6" w:rsidRDefault="0029301C"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1F8367BA" w14:textId="6CE3F5A5" w:rsidR="0029301C" w:rsidRPr="00D072D6" w:rsidRDefault="0029301C" w:rsidP="00654898">
            <w:pPr>
              <w:spacing w:line="346" w:lineRule="auto"/>
              <w:ind w:right="2649"/>
              <w:jc w:val="both"/>
              <w:rPr>
                <w:sz w:val="22"/>
                <w:szCs w:val="22"/>
              </w:rPr>
            </w:pPr>
            <w:r w:rsidRPr="00D072D6">
              <w:rPr>
                <w:sz w:val="22"/>
                <w:szCs w:val="22"/>
              </w:rPr>
              <w:t>… usunięcie  § 8</w:t>
            </w:r>
          </w:p>
          <w:p w14:paraId="18104441" w14:textId="76F13B78" w:rsidR="0029301C" w:rsidRPr="00D072D6" w:rsidRDefault="0029301C" w:rsidP="00654898">
            <w:pPr>
              <w:spacing w:line="346" w:lineRule="auto"/>
              <w:ind w:right="2649"/>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047E42F3" w14:textId="431735CC" w:rsidR="0029301C" w:rsidRPr="00D072D6" w:rsidRDefault="0029301C" w:rsidP="00654898">
            <w:pPr>
              <w:pStyle w:val="USTustnpkodeksu"/>
              <w:spacing w:line="240" w:lineRule="auto"/>
              <w:ind w:firstLine="0"/>
              <w:rPr>
                <w:rFonts w:ascii="Times New Roman" w:hAnsi="Times New Roman" w:cs="Times New Roman"/>
                <w:bCs w:val="0"/>
                <w:sz w:val="22"/>
                <w:szCs w:val="22"/>
              </w:rPr>
            </w:pPr>
            <w:r w:rsidRPr="00D072D6">
              <w:rPr>
                <w:rFonts w:ascii="Times New Roman" w:hAnsi="Times New Roman" w:cs="Times New Roman"/>
                <w:sz w:val="22"/>
                <w:szCs w:val="22"/>
              </w:rPr>
              <w:t xml:space="preserve">Proponowana treść par. 8 wymaga od przedsiębiorców telekomunikacyjnych zapewnienia warunków dostępu i utrwalania w sposób umożliwiający odtworzenie przez uprawniony podmiot informacji </w:t>
            </w:r>
            <w:r w:rsidRPr="00D072D6">
              <w:rPr>
                <w:rFonts w:ascii="Times New Roman" w:eastAsia="Calibri" w:hAnsi="Times New Roman" w:cs="Times New Roman"/>
                <w:sz w:val="22"/>
                <w:szCs w:val="22"/>
              </w:rPr>
              <w:t xml:space="preserve">za </w:t>
            </w:r>
            <w:r w:rsidRPr="00D072D6">
              <w:rPr>
                <w:rFonts w:ascii="Times New Roman" w:hAnsi="Times New Roman" w:cs="Times New Roman"/>
                <w:sz w:val="22"/>
                <w:szCs w:val="22"/>
              </w:rPr>
              <w:t xml:space="preserve">pomocą powszechnie dostępnych urządzeń informatycznych i oprogramowania albo uzgodniony </w:t>
            </w:r>
            <w:r w:rsidRPr="00D072D6">
              <w:rPr>
                <w:rFonts w:ascii="Times New Roman" w:eastAsia="Calibri" w:hAnsi="Times New Roman" w:cs="Times New Roman"/>
                <w:sz w:val="22"/>
                <w:szCs w:val="22"/>
              </w:rPr>
              <w:t xml:space="preserve">w </w:t>
            </w:r>
            <w:r w:rsidRPr="00D072D6">
              <w:rPr>
                <w:rFonts w:ascii="Times New Roman" w:hAnsi="Times New Roman" w:cs="Times New Roman"/>
                <w:sz w:val="22"/>
                <w:szCs w:val="22"/>
              </w:rPr>
              <w:t xml:space="preserve">drodze umowy, o której mowa w art. 43 ust. 5 ustawy. W ocenie Izby tak sformułowany obowiązek stoi w sprzeczności z koniecznością zachowania integralności komunikatów. Obowiązek zapewnienia sposobu odtworzenia danych może implikować np. w przypadku nie dysponowania przez podmioty uprawnione urządzeniami lub oprogramowaniem obsługującymi określone kodeki, koniecznością ingerencji strukturę komunikatu tak, aby umożliwić jego odczyt. W ocenie Izby jakakolwiek ingerencja </w:t>
            </w:r>
            <w:r w:rsidRPr="00D072D6">
              <w:rPr>
                <w:rFonts w:ascii="Times New Roman" w:eastAsia="Calibri" w:hAnsi="Times New Roman" w:cs="Times New Roman"/>
                <w:sz w:val="22"/>
                <w:szCs w:val="22"/>
              </w:rPr>
              <w:t xml:space="preserve">w </w:t>
            </w:r>
            <w:r w:rsidRPr="00D072D6">
              <w:rPr>
                <w:rFonts w:ascii="Times New Roman" w:hAnsi="Times New Roman" w:cs="Times New Roman"/>
                <w:sz w:val="22"/>
                <w:szCs w:val="22"/>
              </w:rPr>
              <w:t xml:space="preserve">strukturę danych i komunikatów stoi w sprzeczności z celami zapewnienia warunków dostępu </w:t>
            </w:r>
            <w:r w:rsidRPr="00D072D6">
              <w:rPr>
                <w:rFonts w:ascii="Times New Roman" w:eastAsia="Calibri" w:hAnsi="Times New Roman" w:cs="Times New Roman"/>
                <w:sz w:val="22"/>
                <w:szCs w:val="22"/>
              </w:rPr>
              <w:t xml:space="preserve">i </w:t>
            </w:r>
            <w:r w:rsidRPr="00D072D6">
              <w:rPr>
                <w:rFonts w:ascii="Times New Roman" w:hAnsi="Times New Roman" w:cs="Times New Roman"/>
                <w:sz w:val="22"/>
                <w:szCs w:val="22"/>
              </w:rPr>
              <w:t>utrwalania dla podmiotów uprawnionych, które mają umożliwiać wykorzystanie gromadzonych danych na potrzeby postępowań sądowych.</w:t>
            </w:r>
          </w:p>
        </w:tc>
        <w:tc>
          <w:tcPr>
            <w:tcW w:w="4395" w:type="dxa"/>
            <w:tcBorders>
              <w:bottom w:val="single" w:sz="4" w:space="0" w:color="auto"/>
            </w:tcBorders>
          </w:tcPr>
          <w:p w14:paraId="7E457CFC" w14:textId="3A1D30ED" w:rsidR="004B4A2A" w:rsidRPr="00D072D6" w:rsidRDefault="0041668F" w:rsidP="00654898">
            <w:pPr>
              <w:pStyle w:val="Bezodstpw"/>
              <w:jc w:val="both"/>
              <w:rPr>
                <w:rFonts w:ascii="Times New Roman" w:hAnsi="Times New Roman" w:cs="Times New Roman"/>
                <w:b/>
                <w:bCs/>
              </w:rPr>
            </w:pPr>
            <w:r w:rsidRPr="00D072D6">
              <w:rPr>
                <w:rFonts w:ascii="Times New Roman" w:hAnsi="Times New Roman" w:cs="Times New Roman"/>
                <w:b/>
                <w:bCs/>
              </w:rPr>
              <w:t>Uwaga nieuwzględniona</w:t>
            </w:r>
          </w:p>
          <w:p w14:paraId="45BF2E28" w14:textId="314C7C32" w:rsidR="0041668F" w:rsidRPr="00D072D6" w:rsidRDefault="0041668F" w:rsidP="00654898">
            <w:pPr>
              <w:pStyle w:val="Bezodstpw"/>
              <w:jc w:val="both"/>
              <w:rPr>
                <w:rFonts w:ascii="Times New Roman" w:hAnsi="Times New Roman" w:cs="Times New Roman"/>
              </w:rPr>
            </w:pPr>
            <w:r w:rsidRPr="00D072D6">
              <w:rPr>
                <w:rFonts w:ascii="Times New Roman" w:hAnsi="Times New Roman" w:cs="Times New Roman"/>
              </w:rPr>
              <w:t xml:space="preserve">Dla zapewnienia integralności komunikatów elektronicznych i danych, o których mowa w art. 43 ust. 1 pkt 1 </w:t>
            </w:r>
            <w:r w:rsidR="00FE6500" w:rsidRPr="00D072D6">
              <w:rPr>
                <w:rFonts w:ascii="Times New Roman" w:hAnsi="Times New Roman" w:cs="Times New Roman"/>
              </w:rPr>
              <w:t>PKE</w:t>
            </w:r>
            <w:r w:rsidRPr="00D072D6">
              <w:rPr>
                <w:rFonts w:ascii="Times New Roman" w:hAnsi="Times New Roman" w:cs="Times New Roman"/>
              </w:rPr>
              <w:t xml:space="preserve">, a także możliwości ich odtworzenia, w § 8 projektu </w:t>
            </w:r>
            <w:r w:rsidR="002721ED" w:rsidRPr="00D072D6">
              <w:rPr>
                <w:rFonts w:ascii="Times New Roman" w:hAnsi="Times New Roman" w:cs="Times New Roman"/>
              </w:rPr>
              <w:t xml:space="preserve">rozporządzenia </w:t>
            </w:r>
            <w:r w:rsidRPr="00D072D6">
              <w:rPr>
                <w:rFonts w:ascii="Times New Roman" w:hAnsi="Times New Roman" w:cs="Times New Roman"/>
              </w:rPr>
              <w:t xml:space="preserve">określono, w jakiej postaci powinny być one udostępniane i utrwalane przez przedsiębiorców telekomunikacyjnych. Stanowi to powtórzenie regulacji § 2 ust. 2 pkt 3 rozporządzenia </w:t>
            </w:r>
            <w:r w:rsidR="00877E69" w:rsidRPr="00D072D6">
              <w:rPr>
                <w:rFonts w:ascii="Times New Roman" w:hAnsi="Times New Roman" w:cs="Times New Roman"/>
              </w:rPr>
              <w:t xml:space="preserve">Rady Ministrów </w:t>
            </w:r>
            <w:r w:rsidRPr="00D072D6">
              <w:rPr>
                <w:rFonts w:ascii="Times New Roman" w:hAnsi="Times New Roman" w:cs="Times New Roman"/>
              </w:rPr>
              <w:t xml:space="preserve">z dnia 13 września 2005 r. </w:t>
            </w:r>
            <w:r w:rsidR="00877E69" w:rsidRPr="00D072D6">
              <w:rPr>
                <w:rFonts w:ascii="Times New Roman" w:hAnsi="Times New Roman" w:cs="Times New Roman"/>
              </w:rPr>
              <w:t xml:space="preserve">w sprawie wypełniania przez przedsiębiorców telekomunikacyjnych zadań i obowiązków na rzecz obronności, bezpieczeństwa państwa oraz bezpieczeństwa i porządku publicznego (Dz. U. poz. 1568). </w:t>
            </w:r>
            <w:r w:rsidRPr="00D072D6">
              <w:rPr>
                <w:rFonts w:ascii="Times New Roman" w:hAnsi="Times New Roman" w:cs="Times New Roman"/>
              </w:rPr>
              <w:t>Wskazano, że możliwość ich odtworzenia może nastąpić za pomocą powszechnie dostępnych urządzeń informatycznych i oprogramowania, a więc narzędzi do których podmioty uprawnione mają lub mogą mieć dostęp ze względu na ich ogólną dostępność oraz legalność nabycia i</w:t>
            </w:r>
            <w:r w:rsidR="00637BD0">
              <w:rPr>
                <w:rFonts w:ascii="Times New Roman" w:hAnsi="Times New Roman" w:cs="Times New Roman"/>
              </w:rPr>
              <w:t> </w:t>
            </w:r>
            <w:r w:rsidRPr="00D072D6">
              <w:rPr>
                <w:rFonts w:ascii="Times New Roman" w:hAnsi="Times New Roman" w:cs="Times New Roman"/>
              </w:rPr>
              <w:t>korzystania, albo w sposób uzgodniony w</w:t>
            </w:r>
            <w:r w:rsidR="00637BD0">
              <w:rPr>
                <w:rFonts w:ascii="Times New Roman" w:hAnsi="Times New Roman" w:cs="Times New Roman"/>
              </w:rPr>
              <w:t> </w:t>
            </w:r>
            <w:r w:rsidRPr="00D072D6">
              <w:rPr>
                <w:rFonts w:ascii="Times New Roman" w:hAnsi="Times New Roman" w:cs="Times New Roman"/>
              </w:rPr>
              <w:t xml:space="preserve">drodze umowy pomiędzy uprawnionym podmiotem a przedsiębiorcą telekomunikacyjnym, o której mowa w  art. 43 ust. 5 </w:t>
            </w:r>
            <w:r w:rsidR="002721ED" w:rsidRPr="00D072D6">
              <w:rPr>
                <w:rFonts w:ascii="Times New Roman" w:hAnsi="Times New Roman" w:cs="Times New Roman"/>
              </w:rPr>
              <w:t>PKE</w:t>
            </w:r>
            <w:r w:rsidRPr="00D072D6">
              <w:rPr>
                <w:rFonts w:ascii="Times New Roman" w:hAnsi="Times New Roman" w:cs="Times New Roman"/>
              </w:rPr>
              <w:t>, dotyczącej korzystania z interfejsu. Konsekwencją zastosowania regulacji § 8</w:t>
            </w:r>
            <w:r w:rsidR="002721ED" w:rsidRPr="00D072D6">
              <w:rPr>
                <w:rFonts w:ascii="Times New Roman" w:hAnsi="Times New Roman" w:cs="Times New Roman"/>
              </w:rPr>
              <w:t xml:space="preserve"> projektu rozporządzenia</w:t>
            </w:r>
            <w:r w:rsidRPr="00D072D6">
              <w:rPr>
                <w:rFonts w:ascii="Times New Roman" w:hAnsi="Times New Roman" w:cs="Times New Roman"/>
              </w:rPr>
              <w:t xml:space="preserve"> nie może być odstąpienie od realizacji podstawowego obowiązku przedsiębiorców telekomunikacyjnych w zakresie </w:t>
            </w:r>
            <w:r w:rsidRPr="00D072D6">
              <w:rPr>
                <w:rFonts w:ascii="Times New Roman" w:hAnsi="Times New Roman" w:cs="Times New Roman"/>
              </w:rPr>
              <w:lastRenderedPageBreak/>
              <w:t>koniecznością zachowania integralności komunikatów.</w:t>
            </w:r>
          </w:p>
          <w:p w14:paraId="7ADB1C05" w14:textId="4C68741D" w:rsidR="0029301C" w:rsidRPr="00D072D6" w:rsidRDefault="0041668F" w:rsidP="00654898">
            <w:pPr>
              <w:pStyle w:val="Bezodstpw"/>
              <w:jc w:val="both"/>
              <w:rPr>
                <w:rFonts w:ascii="Times New Roman" w:hAnsi="Times New Roman" w:cs="Times New Roman"/>
              </w:rPr>
            </w:pPr>
            <w:r w:rsidRPr="00D072D6">
              <w:rPr>
                <w:rFonts w:ascii="Times New Roman" w:hAnsi="Times New Roman" w:cs="Times New Roman"/>
              </w:rPr>
              <w:t xml:space="preserve">W zakresie komunikatów elektronicznych wskazano, że powinny mieć one postać wysyłaną lub odbieraną we wskazanych przez uprawnione podmioty zakończeniach sieci, natomiast w zakresie danych, o których mowa w art. 43 ust. 1 pkt 1 </w:t>
            </w:r>
            <w:r w:rsidR="002721ED" w:rsidRPr="00D072D6">
              <w:rPr>
                <w:rFonts w:ascii="Times New Roman" w:hAnsi="Times New Roman" w:cs="Times New Roman"/>
              </w:rPr>
              <w:t xml:space="preserve">PKE </w:t>
            </w:r>
            <w:r w:rsidRPr="00D072D6">
              <w:rPr>
                <w:rFonts w:ascii="Times New Roman" w:hAnsi="Times New Roman" w:cs="Times New Roman"/>
              </w:rPr>
              <w:sym w:font="Symbol" w:char="F02D"/>
            </w:r>
            <w:r w:rsidRPr="00D072D6">
              <w:rPr>
                <w:rFonts w:ascii="Times New Roman" w:hAnsi="Times New Roman" w:cs="Times New Roman"/>
              </w:rPr>
              <w:t xml:space="preserve"> postać przetwarzaną przez przedsiębiorcę telekomunikacyjnego. Wszelka ingerencja w</w:t>
            </w:r>
            <w:r w:rsidR="00637BD0">
              <w:rPr>
                <w:rFonts w:ascii="Times New Roman" w:hAnsi="Times New Roman" w:cs="Times New Roman"/>
              </w:rPr>
              <w:t> </w:t>
            </w:r>
            <w:r w:rsidRPr="00D072D6">
              <w:rPr>
                <w:rFonts w:ascii="Times New Roman" w:hAnsi="Times New Roman" w:cs="Times New Roman"/>
              </w:rPr>
              <w:t>postać komunikatów elektronicznych i</w:t>
            </w:r>
            <w:r w:rsidR="00637BD0">
              <w:rPr>
                <w:rFonts w:ascii="Times New Roman" w:hAnsi="Times New Roman" w:cs="Times New Roman"/>
              </w:rPr>
              <w:t> </w:t>
            </w:r>
            <w:r w:rsidRPr="00D072D6">
              <w:rPr>
                <w:rFonts w:ascii="Times New Roman" w:hAnsi="Times New Roman" w:cs="Times New Roman"/>
              </w:rPr>
              <w:t xml:space="preserve">powyższych danych mogłaby utrudniać skuteczną realizację ustawowych zadań przez uprawnione podmioty, a także skutkować brakiem możliwości wykorzystania pozyskanych materiałów </w:t>
            </w:r>
            <w:r w:rsidR="00637BD0">
              <w:rPr>
                <w:rFonts w:ascii="Times New Roman" w:hAnsi="Times New Roman" w:cs="Times New Roman"/>
              </w:rPr>
              <w:t> w </w:t>
            </w:r>
            <w:r w:rsidRPr="00D072D6">
              <w:rPr>
                <w:rFonts w:ascii="Times New Roman" w:hAnsi="Times New Roman" w:cs="Times New Roman"/>
              </w:rPr>
              <w:t>toku postępowania sądowego. Jednocześnie konieczne jest zapewnienie możliwości ich odtworzenia przy pomocy powszechnie dostępnych urządzeń informatycznych i oprogramowania, aby uniknąć konieczności zakupu przez każdy z uprawnionych podmiotów dedykowanego sprzętu i oprogramowania służącego do odtwarzania różnych, indywidualnie stosowanych formatów.</w:t>
            </w:r>
          </w:p>
        </w:tc>
      </w:tr>
      <w:tr w:rsidR="00EF0774" w:rsidRPr="00D072D6" w14:paraId="5C0B3199" w14:textId="77777777" w:rsidTr="00654898">
        <w:tc>
          <w:tcPr>
            <w:tcW w:w="594" w:type="dxa"/>
            <w:tcBorders>
              <w:bottom w:val="single" w:sz="4" w:space="0" w:color="auto"/>
            </w:tcBorders>
          </w:tcPr>
          <w:p w14:paraId="27D1EB8E" w14:textId="77777777" w:rsidR="00EF0774" w:rsidRPr="00D072D6" w:rsidRDefault="00EF0774"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B467D94" w14:textId="4CA39C1F" w:rsidR="00EF0774" w:rsidRPr="00D072D6" w:rsidRDefault="00EF0774" w:rsidP="00654898">
            <w:pPr>
              <w:pStyle w:val="Bezodstpw"/>
              <w:jc w:val="center"/>
              <w:rPr>
                <w:rFonts w:ascii="Times New Roman" w:hAnsi="Times New Roman" w:cs="Times New Roman"/>
              </w:rPr>
            </w:pPr>
            <w:r w:rsidRPr="00D072D6">
              <w:rPr>
                <w:rFonts w:ascii="Times New Roman" w:hAnsi="Times New Roman" w:cs="Times New Roman"/>
              </w:rPr>
              <w:t>§ 9 ust. 2</w:t>
            </w:r>
          </w:p>
        </w:tc>
        <w:tc>
          <w:tcPr>
            <w:tcW w:w="1669" w:type="dxa"/>
            <w:tcBorders>
              <w:bottom w:val="single" w:sz="4" w:space="0" w:color="auto"/>
            </w:tcBorders>
          </w:tcPr>
          <w:p w14:paraId="1A4C7A93" w14:textId="33BD2367" w:rsidR="00EF0774" w:rsidRPr="00D072D6" w:rsidRDefault="00EF0774"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637FDAC5" w14:textId="084755A4" w:rsidR="00EF0774" w:rsidRPr="00D072D6" w:rsidRDefault="00EF0774" w:rsidP="00654898">
            <w:pPr>
              <w:ind w:left="-5"/>
              <w:jc w:val="both"/>
              <w:rPr>
                <w:rFonts w:eastAsia="Calibri"/>
                <w:iCs/>
                <w:sz w:val="22"/>
                <w:szCs w:val="22"/>
              </w:rPr>
            </w:pPr>
            <w:r w:rsidRPr="00D072D6">
              <w:rPr>
                <w:rFonts w:eastAsia="Calibri"/>
                <w:iCs/>
                <w:sz w:val="22"/>
                <w:szCs w:val="22"/>
              </w:rPr>
              <w:t>Propozycja:</w:t>
            </w:r>
          </w:p>
          <w:p w14:paraId="347A9552" w14:textId="3BA92867" w:rsidR="00EF0774" w:rsidRPr="00D072D6" w:rsidRDefault="00EF0774" w:rsidP="00654898">
            <w:pPr>
              <w:ind w:left="-5"/>
              <w:jc w:val="both"/>
              <w:rPr>
                <w:sz w:val="22"/>
                <w:szCs w:val="22"/>
              </w:rPr>
            </w:pPr>
            <w:r w:rsidRPr="00D072D6">
              <w:rPr>
                <w:rFonts w:eastAsia="Calibri"/>
                <w:i/>
                <w:sz w:val="22"/>
                <w:szCs w:val="22"/>
              </w:rPr>
              <w:t>2. W przypadku wystąpienia okoliczności, o których mowa w ust. 1, uprawniony podmiot i przedsiębiorca telekomunikacyjny niezwłocznie wspólnie ustalają inny sposób zapewnienia warunków dostępu i utrwalania</w:t>
            </w:r>
            <w:r w:rsidRPr="00D072D6">
              <w:rPr>
                <w:rFonts w:eastAsia="Calibri"/>
                <w:i/>
                <w:strike/>
                <w:sz w:val="22"/>
                <w:szCs w:val="22"/>
              </w:rPr>
              <w:t>, zgodny z rozporządzeniem</w:t>
            </w:r>
            <w:r w:rsidRPr="00D072D6">
              <w:rPr>
                <w:rFonts w:eastAsia="Calibri"/>
                <w:i/>
                <w:sz w:val="22"/>
                <w:szCs w:val="22"/>
              </w:rPr>
              <w:t xml:space="preserve">. </w:t>
            </w:r>
          </w:p>
          <w:p w14:paraId="5DBF435A" w14:textId="77777777" w:rsidR="00EF0774" w:rsidRPr="00D072D6" w:rsidRDefault="00EF0774" w:rsidP="00654898">
            <w:pPr>
              <w:pStyle w:val="USTustnpkodeksu"/>
              <w:spacing w:line="240" w:lineRule="auto"/>
              <w:ind w:firstLine="0"/>
              <w:rPr>
                <w:rFonts w:ascii="Times New Roman" w:hAnsi="Times New Roman" w:cs="Times New Roman"/>
                <w:sz w:val="22"/>
                <w:szCs w:val="22"/>
                <w:u w:val="single"/>
              </w:rPr>
            </w:pPr>
            <w:r w:rsidRPr="00D072D6">
              <w:rPr>
                <w:rFonts w:ascii="Times New Roman" w:hAnsi="Times New Roman" w:cs="Times New Roman"/>
                <w:sz w:val="22"/>
                <w:szCs w:val="22"/>
                <w:u w:val="single"/>
              </w:rPr>
              <w:t xml:space="preserve">Uzasadnienie: </w:t>
            </w:r>
          </w:p>
          <w:p w14:paraId="03070AC9" w14:textId="46E51A46" w:rsidR="00EF0774" w:rsidRPr="00D072D6" w:rsidRDefault="00EF0774" w:rsidP="00654898">
            <w:pPr>
              <w:pStyle w:val="USTustnpkodeksu"/>
              <w:spacing w:line="240" w:lineRule="auto"/>
              <w:ind w:firstLine="0"/>
              <w:rPr>
                <w:rFonts w:ascii="Times New Roman" w:hAnsi="Times New Roman" w:cs="Times New Roman"/>
                <w:sz w:val="22"/>
                <w:szCs w:val="22"/>
              </w:rPr>
            </w:pPr>
            <w:r w:rsidRPr="00D072D6">
              <w:rPr>
                <w:rFonts w:ascii="Times New Roman" w:hAnsi="Times New Roman" w:cs="Times New Roman"/>
                <w:sz w:val="22"/>
                <w:szCs w:val="22"/>
              </w:rPr>
              <w:t xml:space="preserve">Wskazany przepis określa zasady ustalenia innego sposobu zapewnienia warunków dostępu i utrwalania pomiędzy uprawnionym podmiotem a przedsiębiorcą telekomunikacyjnym w przypadku wyjątkowych okoliczności wynikających z uszkodzenia urządzeń przedsiębiorcy telekomunikacyjnego lub podmiotu uprawnionego lub innych okoliczności uniemożliwiających korzystanie z tych urządzeń. W ocenie Izby w przypadku zaistnienia takich okoliczności w pierwszej kolejności zarówno przedsiębiorcy telekomunikacyjni oraz podmioty uprawnione powinny zagwarantować możliwość ciągłości w realizacji obowiązku określonego w art. 43 ust. 1 PKE </w:t>
            </w:r>
            <w:r w:rsidRPr="00D072D6">
              <w:rPr>
                <w:rFonts w:ascii="Times New Roman" w:hAnsi="Times New Roman" w:cs="Times New Roman"/>
                <w:sz w:val="22"/>
                <w:szCs w:val="22"/>
              </w:rPr>
              <w:lastRenderedPageBreak/>
              <w:t>zgodnie z jego treścią, dodatkowe zobowiązanie aby nowe, w założeniu awaryjne rozwiązanie realizowało wszystkie przesłanki określone w rozporządzeniu, prowadziłoby do trudności w zapewnieniu ciągłości realizacji obowiązków, alternatywnie prowadziłoby do wniosku o konieczności zapewnienia redundantnych rozwiązań, które w ocenie izby byłyby nie do pogodzenia we wskazanej w delegacji ustawowej konieczności osiągnięcia celu przy jak najniższych nakładach finansowych przedsiębiorcy telekomunikacyjnego i uprawnionych podmiotów.</w:t>
            </w:r>
          </w:p>
        </w:tc>
        <w:tc>
          <w:tcPr>
            <w:tcW w:w="4395" w:type="dxa"/>
            <w:tcBorders>
              <w:bottom w:val="single" w:sz="4" w:space="0" w:color="auto"/>
            </w:tcBorders>
          </w:tcPr>
          <w:p w14:paraId="6E817EBB" w14:textId="1504337A" w:rsidR="00072D23" w:rsidRPr="00D072D6" w:rsidRDefault="0041668F"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uwzględniona</w:t>
            </w:r>
          </w:p>
          <w:p w14:paraId="2953DE8D" w14:textId="4E0AABB5" w:rsidR="00877E69" w:rsidRPr="00D072D6" w:rsidRDefault="00877E69" w:rsidP="00654898">
            <w:pPr>
              <w:pStyle w:val="Bezodstpw"/>
              <w:jc w:val="both"/>
              <w:rPr>
                <w:rFonts w:ascii="Times New Roman" w:hAnsi="Times New Roman" w:cs="Times New Roman"/>
              </w:rPr>
            </w:pPr>
            <w:r w:rsidRPr="00D072D6">
              <w:rPr>
                <w:rFonts w:ascii="Times New Roman" w:hAnsi="Times New Roman" w:cs="Times New Roman"/>
              </w:rPr>
              <w:t>Skreślono wyrazy wskazane w uwadze.</w:t>
            </w:r>
          </w:p>
          <w:p w14:paraId="40356908" w14:textId="147EF8D3" w:rsidR="00233E74" w:rsidRPr="00D072D6" w:rsidRDefault="00233E74" w:rsidP="00654898">
            <w:pPr>
              <w:pStyle w:val="Bezodstpw"/>
              <w:jc w:val="both"/>
              <w:rPr>
                <w:rFonts w:ascii="Times New Roman" w:hAnsi="Times New Roman" w:cs="Times New Roman"/>
              </w:rPr>
            </w:pPr>
          </w:p>
        </w:tc>
      </w:tr>
      <w:tr w:rsidR="00EF0774" w:rsidRPr="00D072D6" w14:paraId="5F76C422" w14:textId="77777777" w:rsidTr="00654898">
        <w:tc>
          <w:tcPr>
            <w:tcW w:w="594" w:type="dxa"/>
            <w:tcBorders>
              <w:bottom w:val="single" w:sz="4" w:space="0" w:color="auto"/>
            </w:tcBorders>
          </w:tcPr>
          <w:p w14:paraId="0AD38739" w14:textId="77777777" w:rsidR="00EF0774" w:rsidRPr="00D072D6" w:rsidRDefault="00EF0774"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6FF75CF6" w14:textId="5FB1FCE2" w:rsidR="00EF0774" w:rsidRPr="00D072D6" w:rsidRDefault="00EF0774" w:rsidP="00654898">
            <w:pPr>
              <w:pStyle w:val="Bezodstpw"/>
              <w:jc w:val="center"/>
              <w:rPr>
                <w:rFonts w:ascii="Times New Roman" w:hAnsi="Times New Roman" w:cs="Times New Roman"/>
              </w:rPr>
            </w:pPr>
            <w:r w:rsidRPr="00D072D6">
              <w:rPr>
                <w:rFonts w:ascii="Times New Roman" w:hAnsi="Times New Roman" w:cs="Times New Roman"/>
              </w:rPr>
              <w:t>§ 9 ust. 4</w:t>
            </w:r>
          </w:p>
        </w:tc>
        <w:tc>
          <w:tcPr>
            <w:tcW w:w="1669" w:type="dxa"/>
            <w:tcBorders>
              <w:bottom w:val="single" w:sz="4" w:space="0" w:color="auto"/>
            </w:tcBorders>
          </w:tcPr>
          <w:p w14:paraId="7FB63F9A" w14:textId="032DFB8B" w:rsidR="00EF0774" w:rsidRPr="00D072D6" w:rsidRDefault="00EF0774"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42EB5B39" w14:textId="77777777" w:rsidR="00EF0774" w:rsidRPr="00D072D6" w:rsidRDefault="00EF0774" w:rsidP="00654898">
            <w:pPr>
              <w:ind w:left="-5"/>
              <w:jc w:val="both"/>
              <w:rPr>
                <w:rFonts w:eastAsia="Calibri"/>
                <w:iCs/>
                <w:sz w:val="22"/>
                <w:szCs w:val="22"/>
              </w:rPr>
            </w:pPr>
            <w:r w:rsidRPr="00D072D6">
              <w:rPr>
                <w:rFonts w:eastAsia="Calibri"/>
                <w:iCs/>
                <w:sz w:val="22"/>
                <w:szCs w:val="22"/>
              </w:rPr>
              <w:t>Propozycja:</w:t>
            </w:r>
          </w:p>
          <w:p w14:paraId="6A4F431C" w14:textId="2DC47FFD" w:rsidR="00EF0774" w:rsidRPr="00D072D6" w:rsidRDefault="00EF0774" w:rsidP="00654898">
            <w:pPr>
              <w:ind w:left="-5"/>
              <w:jc w:val="both"/>
              <w:rPr>
                <w:sz w:val="22"/>
                <w:szCs w:val="22"/>
              </w:rPr>
            </w:pPr>
            <w:r w:rsidRPr="00D072D6">
              <w:rPr>
                <w:rFonts w:eastAsia="Calibri"/>
                <w:i/>
                <w:sz w:val="22"/>
                <w:szCs w:val="22"/>
              </w:rPr>
              <w:t xml:space="preserve">4. W przypadku gdy zapewnienie warunków dostępu i utrwalania nie może odbywać się całodobowo, treść komunikatów elektronicznych i danych, o których mowa w art. 43 ust. 1 pkt 1 ustawy, przedsiębiorca telekomunikacyjny udostępnia niezwłocznie po ustaniu przyczyny uniemożliwiającej całodobowe zapewnianie warunków dostępu i utrwalania, </w:t>
            </w:r>
            <w:r w:rsidRPr="00D072D6">
              <w:rPr>
                <w:rFonts w:eastAsia="Calibri"/>
                <w:b/>
                <w:i/>
                <w:sz w:val="22"/>
                <w:szCs w:val="22"/>
              </w:rPr>
              <w:t>o ile treść komunikatów oraz dane zostały utrwalone albo</w:t>
            </w:r>
            <w:r w:rsidRPr="00D072D6">
              <w:rPr>
                <w:rFonts w:eastAsia="Calibri"/>
                <w:i/>
                <w:sz w:val="22"/>
                <w:szCs w:val="22"/>
              </w:rPr>
              <w:t xml:space="preserve"> nie zostały one udostępnione w sposób, o którym mowa w ust. 2. </w:t>
            </w:r>
          </w:p>
          <w:p w14:paraId="7DCE858D" w14:textId="77777777" w:rsidR="00EF0774" w:rsidRPr="00D072D6" w:rsidRDefault="00EF0774" w:rsidP="00654898">
            <w:pPr>
              <w:spacing w:line="259" w:lineRule="auto"/>
              <w:ind w:left="-5" w:right="5298"/>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0DB2E911" w14:textId="56F03590" w:rsidR="00EF0774" w:rsidRPr="00D072D6" w:rsidRDefault="00EF0774" w:rsidP="00654898">
            <w:pPr>
              <w:ind w:left="-5"/>
              <w:jc w:val="both"/>
              <w:rPr>
                <w:sz w:val="22"/>
                <w:szCs w:val="22"/>
              </w:rPr>
            </w:pPr>
            <w:r w:rsidRPr="00D072D6">
              <w:rPr>
                <w:sz w:val="22"/>
                <w:szCs w:val="22"/>
              </w:rPr>
              <w:t xml:space="preserve">Opisana w par. 9 ust. 4 rozporządzenia norma dotyczy ustalenia zasad w przypadku awaryjnej </w:t>
            </w:r>
            <w:r w:rsidRPr="00D072D6">
              <w:rPr>
                <w:rFonts w:eastAsia="Calibri"/>
                <w:sz w:val="22"/>
                <w:szCs w:val="22"/>
              </w:rPr>
              <w:t xml:space="preserve">w </w:t>
            </w:r>
            <w:r w:rsidRPr="00D072D6">
              <w:rPr>
                <w:sz w:val="22"/>
                <w:szCs w:val="22"/>
              </w:rPr>
              <w:t xml:space="preserve">założeniu sytuacji wystąpienia przyczyny uniemożliwiającej całodobowe zapewnianie warunków dostępu i utrwalania. W takiej sytuacji zgodnie z projektowanym brzmieniem przedsiębiorca telekomunikacyjny udostępnia treść komunikatów elektronicznych i danych, o których mowa w art. 43 </w:t>
            </w:r>
            <w:r w:rsidRPr="00D072D6">
              <w:rPr>
                <w:rFonts w:eastAsia="Calibri"/>
                <w:sz w:val="22"/>
                <w:szCs w:val="22"/>
              </w:rPr>
              <w:t xml:space="preserve">ust. 1 pkt </w:t>
            </w:r>
            <w:r w:rsidRPr="00D072D6">
              <w:rPr>
                <w:sz w:val="22"/>
                <w:szCs w:val="22"/>
              </w:rPr>
              <w:t xml:space="preserve">1 PKE niezwłocznie po ustaniu tej przyczyny o ile nie zostały one udostępnione w sposób określony w ust. 2 par. 9. Tak opisana norma nie uwzględnia sytuacji gdy awarii ulegną te elementy zastosowanych rozwiązań i systemu teleinformatycznego, które odpowiadają za utrwalanie komunikatów i danych. Tym samym z uwagi na awarię tych elementów nie będzie możliwe udostępnienie treści komunikatów lub danych, które nie mogły być utrwalone z uwagi na wystąpienie przyczyny uniemożliwiającej ich utrwalanie. Propozycja PIIT ma na celu doprecyzowanie tego przepisu </w:t>
            </w:r>
            <w:r w:rsidRPr="00D072D6">
              <w:rPr>
                <w:rFonts w:eastAsia="Calibri"/>
                <w:sz w:val="22"/>
                <w:szCs w:val="22"/>
              </w:rPr>
              <w:t xml:space="preserve">i </w:t>
            </w:r>
            <w:r w:rsidRPr="00D072D6">
              <w:rPr>
                <w:sz w:val="22"/>
                <w:szCs w:val="22"/>
              </w:rPr>
              <w:t xml:space="preserve">uwzględnienie takiej sytuacji. </w:t>
            </w:r>
            <w:r w:rsidRPr="00D072D6">
              <w:rPr>
                <w:rFonts w:eastAsia="Calibri"/>
                <w:sz w:val="22"/>
                <w:szCs w:val="22"/>
              </w:rPr>
              <w:t xml:space="preserve"> </w:t>
            </w:r>
          </w:p>
        </w:tc>
        <w:tc>
          <w:tcPr>
            <w:tcW w:w="4395" w:type="dxa"/>
            <w:tcBorders>
              <w:bottom w:val="single" w:sz="4" w:space="0" w:color="auto"/>
            </w:tcBorders>
          </w:tcPr>
          <w:p w14:paraId="46BD7D20" w14:textId="2CF543F6" w:rsidR="00F27686" w:rsidRPr="00D072D6" w:rsidRDefault="0041668F" w:rsidP="00654898">
            <w:pPr>
              <w:pStyle w:val="Bezodstpw"/>
              <w:jc w:val="both"/>
              <w:rPr>
                <w:rFonts w:ascii="Times New Roman" w:hAnsi="Times New Roman" w:cs="Times New Roman"/>
                <w:b/>
                <w:bCs/>
              </w:rPr>
            </w:pPr>
            <w:r w:rsidRPr="00D072D6">
              <w:rPr>
                <w:rFonts w:ascii="Times New Roman" w:hAnsi="Times New Roman" w:cs="Times New Roman"/>
                <w:b/>
                <w:bCs/>
              </w:rPr>
              <w:t>Uwaga uwzględniona</w:t>
            </w:r>
          </w:p>
          <w:p w14:paraId="23A3D6DE" w14:textId="170D21F1" w:rsidR="00EF0774" w:rsidRPr="00D072D6" w:rsidRDefault="00877E69" w:rsidP="00654898">
            <w:pPr>
              <w:pStyle w:val="Bezodstpw"/>
              <w:jc w:val="both"/>
              <w:rPr>
                <w:rFonts w:ascii="Times New Roman" w:hAnsi="Times New Roman" w:cs="Times New Roman"/>
              </w:rPr>
            </w:pPr>
            <w:r w:rsidRPr="00D072D6">
              <w:rPr>
                <w:rFonts w:ascii="Times New Roman" w:hAnsi="Times New Roman" w:cs="Times New Roman"/>
              </w:rPr>
              <w:t>Dopisano wyrazy wskazane w uwadze.</w:t>
            </w:r>
          </w:p>
        </w:tc>
      </w:tr>
      <w:tr w:rsidR="00EF0774" w:rsidRPr="00D072D6" w14:paraId="0BB5E7EB" w14:textId="77777777" w:rsidTr="00654898">
        <w:tc>
          <w:tcPr>
            <w:tcW w:w="594" w:type="dxa"/>
            <w:tcBorders>
              <w:bottom w:val="single" w:sz="4" w:space="0" w:color="auto"/>
            </w:tcBorders>
          </w:tcPr>
          <w:p w14:paraId="47C2FA23" w14:textId="77777777" w:rsidR="00EF0774" w:rsidRPr="00D072D6" w:rsidRDefault="00EF0774"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1E02FE56" w14:textId="754F1A0F" w:rsidR="00EF0774" w:rsidRPr="00D072D6" w:rsidRDefault="00EF0774" w:rsidP="00654898">
            <w:pPr>
              <w:pStyle w:val="Bezodstpw"/>
              <w:jc w:val="center"/>
              <w:rPr>
                <w:rFonts w:ascii="Times New Roman" w:hAnsi="Times New Roman" w:cs="Times New Roman"/>
              </w:rPr>
            </w:pPr>
            <w:r w:rsidRPr="00D072D6">
              <w:rPr>
                <w:rStyle w:val="Ppogrubienie"/>
                <w:rFonts w:ascii="Times New Roman" w:hAnsi="Times New Roman" w:cs="Times New Roman"/>
                <w:b w:val="0"/>
                <w:bCs/>
              </w:rPr>
              <w:t>§ 11 ust. 1</w:t>
            </w:r>
          </w:p>
        </w:tc>
        <w:tc>
          <w:tcPr>
            <w:tcW w:w="1669" w:type="dxa"/>
            <w:tcBorders>
              <w:bottom w:val="single" w:sz="4" w:space="0" w:color="auto"/>
            </w:tcBorders>
          </w:tcPr>
          <w:p w14:paraId="73E3F91D" w14:textId="1617A96A" w:rsidR="00EF0774" w:rsidRPr="00D072D6" w:rsidRDefault="00EF0774"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5AE122C9" w14:textId="77777777" w:rsidR="00EF0774" w:rsidRPr="00D072D6" w:rsidRDefault="00EF0774" w:rsidP="00654898">
            <w:pPr>
              <w:ind w:left="-5"/>
              <w:jc w:val="both"/>
              <w:rPr>
                <w:rFonts w:eastAsia="Calibri"/>
                <w:iCs/>
                <w:sz w:val="22"/>
                <w:szCs w:val="22"/>
              </w:rPr>
            </w:pPr>
            <w:r w:rsidRPr="00D072D6">
              <w:rPr>
                <w:rFonts w:eastAsia="Calibri"/>
                <w:iCs/>
                <w:sz w:val="22"/>
                <w:szCs w:val="22"/>
              </w:rPr>
              <w:t>Propozycja:</w:t>
            </w:r>
          </w:p>
          <w:p w14:paraId="5C8ECBA8" w14:textId="63EB60E6" w:rsidR="00EF0774" w:rsidRPr="00D072D6" w:rsidRDefault="00EF0774" w:rsidP="00654898">
            <w:pPr>
              <w:ind w:left="-5"/>
              <w:jc w:val="both"/>
              <w:rPr>
                <w:sz w:val="22"/>
                <w:szCs w:val="22"/>
              </w:rPr>
            </w:pPr>
            <w:r w:rsidRPr="00D072D6">
              <w:rPr>
                <w:rFonts w:eastAsia="Calibri"/>
                <w:i/>
                <w:sz w:val="22"/>
                <w:szCs w:val="22"/>
              </w:rPr>
              <w:t xml:space="preserve">§ 11. 1. Przedsiębiorca telekomunikacyjny przygotowuje techniczne i organizacyjne warunki udostępniania danych, o których mowa w art. 45 ust. 1 ustawy, oraz udostępnia te dane w wybrany sposób: </w:t>
            </w:r>
          </w:p>
          <w:p w14:paraId="6D27C917" w14:textId="77777777" w:rsidR="00EF0774" w:rsidRPr="00D072D6" w:rsidRDefault="00EF0774" w:rsidP="00654898">
            <w:pPr>
              <w:numPr>
                <w:ilvl w:val="0"/>
                <w:numId w:val="13"/>
              </w:numPr>
              <w:spacing w:line="249" w:lineRule="auto"/>
              <w:ind w:hanging="708"/>
              <w:jc w:val="both"/>
              <w:rPr>
                <w:strike/>
                <w:sz w:val="22"/>
                <w:szCs w:val="22"/>
              </w:rPr>
            </w:pPr>
            <w:r w:rsidRPr="00D072D6">
              <w:rPr>
                <w:rFonts w:eastAsia="Calibri"/>
                <w:i/>
                <w:strike/>
                <w:sz w:val="22"/>
                <w:szCs w:val="22"/>
              </w:rPr>
              <w:t xml:space="preserve">za pomocą interfejsu HI A-B albo </w:t>
            </w:r>
          </w:p>
          <w:p w14:paraId="2A5A6820" w14:textId="77777777" w:rsidR="00EF0774" w:rsidRPr="00D072D6" w:rsidRDefault="00EF0774" w:rsidP="00654898">
            <w:pPr>
              <w:numPr>
                <w:ilvl w:val="0"/>
                <w:numId w:val="13"/>
              </w:numPr>
              <w:spacing w:line="249" w:lineRule="auto"/>
              <w:ind w:hanging="708"/>
              <w:jc w:val="both"/>
              <w:rPr>
                <w:sz w:val="22"/>
                <w:szCs w:val="22"/>
              </w:rPr>
            </w:pPr>
            <w:r w:rsidRPr="00D072D6">
              <w:rPr>
                <w:rFonts w:eastAsia="Calibri"/>
                <w:i/>
                <w:sz w:val="22"/>
                <w:szCs w:val="22"/>
              </w:rPr>
              <w:t xml:space="preserve">za pomocą </w:t>
            </w:r>
            <w:r w:rsidRPr="00D072D6">
              <w:rPr>
                <w:rFonts w:eastAsia="Calibri"/>
                <w:b/>
                <w:i/>
                <w:sz w:val="22"/>
                <w:szCs w:val="22"/>
              </w:rPr>
              <w:t>systemu teleinformatycznego</w:t>
            </w:r>
            <w:r w:rsidRPr="00D072D6">
              <w:rPr>
                <w:rFonts w:eastAsia="Calibri"/>
                <w:i/>
                <w:sz w:val="22"/>
                <w:szCs w:val="22"/>
              </w:rPr>
              <w:t xml:space="preserve">  </w:t>
            </w:r>
            <w:r w:rsidRPr="00D072D6">
              <w:rPr>
                <w:rFonts w:eastAsia="Calibri"/>
                <w:i/>
                <w:strike/>
                <w:sz w:val="22"/>
                <w:szCs w:val="22"/>
              </w:rPr>
              <w:t>sieci telekomunikacyjnej</w:t>
            </w:r>
            <w:r w:rsidRPr="00D072D6">
              <w:rPr>
                <w:rFonts w:eastAsia="Calibri"/>
                <w:i/>
                <w:sz w:val="22"/>
                <w:szCs w:val="22"/>
              </w:rPr>
              <w:t xml:space="preserve"> albo </w:t>
            </w:r>
          </w:p>
          <w:p w14:paraId="69595556" w14:textId="77777777" w:rsidR="00EF0774" w:rsidRPr="00D072D6" w:rsidRDefault="00EF0774" w:rsidP="00654898">
            <w:pPr>
              <w:numPr>
                <w:ilvl w:val="0"/>
                <w:numId w:val="13"/>
              </w:numPr>
              <w:spacing w:line="249" w:lineRule="auto"/>
              <w:ind w:hanging="708"/>
              <w:jc w:val="both"/>
              <w:rPr>
                <w:sz w:val="22"/>
                <w:szCs w:val="22"/>
              </w:rPr>
            </w:pPr>
            <w:r w:rsidRPr="00D072D6">
              <w:rPr>
                <w:rFonts w:eastAsia="Calibri"/>
                <w:i/>
                <w:sz w:val="22"/>
                <w:szCs w:val="22"/>
              </w:rPr>
              <w:t xml:space="preserve">korespondencyjnie albo </w:t>
            </w:r>
          </w:p>
          <w:p w14:paraId="2C36F058" w14:textId="77777777" w:rsidR="00A54423" w:rsidRPr="00D072D6" w:rsidRDefault="00EF0774" w:rsidP="00654898">
            <w:pPr>
              <w:numPr>
                <w:ilvl w:val="0"/>
                <w:numId w:val="13"/>
              </w:numPr>
              <w:spacing w:line="249" w:lineRule="auto"/>
              <w:ind w:hanging="708"/>
              <w:jc w:val="both"/>
              <w:rPr>
                <w:sz w:val="22"/>
                <w:szCs w:val="22"/>
              </w:rPr>
            </w:pPr>
            <w:r w:rsidRPr="00D072D6">
              <w:rPr>
                <w:rFonts w:eastAsia="Calibri"/>
                <w:i/>
                <w:sz w:val="22"/>
                <w:szCs w:val="22"/>
              </w:rPr>
              <w:lastRenderedPageBreak/>
              <w:t xml:space="preserve">przez osobisty odbiór danych u przedsiębiorcy telekomunikacyjnego przez pisemnie upoważnionego przedstawiciela uprawnionego podmiotu, sądu lub prokuratora </w:t>
            </w:r>
          </w:p>
          <w:p w14:paraId="232BA98C" w14:textId="27EF8E68" w:rsidR="00EF0774" w:rsidRPr="00D072D6" w:rsidRDefault="00EF0774" w:rsidP="00654898">
            <w:pPr>
              <w:spacing w:line="249" w:lineRule="auto"/>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5D142983" w14:textId="77777777" w:rsidR="00EF0774" w:rsidRPr="00D072D6" w:rsidRDefault="00EF0774" w:rsidP="00654898">
            <w:pPr>
              <w:ind w:left="-5"/>
              <w:jc w:val="both"/>
              <w:rPr>
                <w:sz w:val="22"/>
                <w:szCs w:val="22"/>
              </w:rPr>
            </w:pPr>
            <w:r w:rsidRPr="00D072D6">
              <w:rPr>
                <w:sz w:val="22"/>
                <w:szCs w:val="22"/>
              </w:rPr>
              <w:t>Zgodnie z wcześniejszą ogólną uwagą dot. interfejsu HI A</w:t>
            </w:r>
            <w:r w:rsidRPr="00D072D6">
              <w:rPr>
                <w:rFonts w:eastAsia="Calibri"/>
                <w:sz w:val="22"/>
                <w:szCs w:val="22"/>
              </w:rPr>
              <w:t>-</w:t>
            </w:r>
            <w:r w:rsidRPr="00D072D6">
              <w:rPr>
                <w:sz w:val="22"/>
                <w:szCs w:val="22"/>
              </w:rPr>
              <w:t xml:space="preserve">B Izba postuluje usunięcie z treści rozporządzeń przepisów referujących do tego interfejsu. </w:t>
            </w:r>
            <w:r w:rsidRPr="00D072D6">
              <w:rPr>
                <w:rFonts w:eastAsia="Calibri"/>
                <w:sz w:val="22"/>
                <w:szCs w:val="22"/>
              </w:rPr>
              <w:t xml:space="preserve"> </w:t>
            </w:r>
          </w:p>
          <w:p w14:paraId="0BD8BF81" w14:textId="19CBBD58" w:rsidR="00EF0774" w:rsidRPr="00D072D6" w:rsidRDefault="00EF0774" w:rsidP="00654898">
            <w:pPr>
              <w:ind w:left="-5"/>
              <w:jc w:val="both"/>
              <w:rPr>
                <w:sz w:val="22"/>
                <w:szCs w:val="22"/>
              </w:rPr>
            </w:pPr>
            <w:r w:rsidRPr="00D072D6">
              <w:rPr>
                <w:sz w:val="22"/>
                <w:szCs w:val="22"/>
              </w:rPr>
              <w:t xml:space="preserve">Przepis określa katalog sposobów udostępniania danych przez przedsiębiorców telekomunikacyjnych. </w:t>
            </w:r>
            <w:r w:rsidRPr="00D072D6">
              <w:rPr>
                <w:rFonts w:eastAsia="Calibri"/>
                <w:sz w:val="22"/>
                <w:szCs w:val="22"/>
              </w:rPr>
              <w:t xml:space="preserve">W </w:t>
            </w:r>
            <w:r w:rsidRPr="00D072D6">
              <w:rPr>
                <w:sz w:val="22"/>
                <w:szCs w:val="22"/>
              </w:rPr>
              <w:t xml:space="preserve">chwili obecnej przedsiębiorcy telekomunikacyjni na podstawie uzgodnień oraz umów zawartych </w:t>
            </w:r>
            <w:r w:rsidRPr="00D072D6">
              <w:rPr>
                <w:rFonts w:eastAsia="Calibri"/>
                <w:sz w:val="22"/>
                <w:szCs w:val="22"/>
              </w:rPr>
              <w:t xml:space="preserve">z </w:t>
            </w:r>
            <w:r w:rsidRPr="00D072D6">
              <w:rPr>
                <w:sz w:val="22"/>
                <w:szCs w:val="22"/>
              </w:rPr>
              <w:t xml:space="preserve">podmiotami uprawnionymi korzystają z systemów teleinformatycznych, które umożliwiają udostępnienie danych. Proponowana zmiana ma na celu doprecyzowanie i usunięcie wątpliwości dotyczących obecnie funkcjonujących rozwiązań wykorzystujących przyjęte rozwiązania techniczne opisane w porozumieniach pomiędzy przedsiębiorcami telekomunikacyjnymi a podmiotami </w:t>
            </w:r>
            <w:r w:rsidRPr="00D072D6">
              <w:rPr>
                <w:rFonts w:eastAsia="Calibri"/>
                <w:sz w:val="22"/>
                <w:szCs w:val="22"/>
              </w:rPr>
              <w:t xml:space="preserve">uprawnionymi jako systemy teleinformatyczne.  </w:t>
            </w:r>
          </w:p>
        </w:tc>
        <w:tc>
          <w:tcPr>
            <w:tcW w:w="4395" w:type="dxa"/>
            <w:tcBorders>
              <w:bottom w:val="single" w:sz="4" w:space="0" w:color="auto"/>
            </w:tcBorders>
          </w:tcPr>
          <w:p w14:paraId="2B23C850" w14:textId="2EC969EC" w:rsidR="00E8393A" w:rsidRPr="00D072D6" w:rsidRDefault="0041668F"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nieuwzględniona</w:t>
            </w:r>
          </w:p>
          <w:p w14:paraId="063B1BB8" w14:textId="77777777" w:rsidR="0041668F" w:rsidRPr="00D072D6" w:rsidRDefault="0041668F"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24A3261B" w14:textId="237C28EC" w:rsidR="0041668F" w:rsidRPr="00D072D6" w:rsidRDefault="0041668F" w:rsidP="00654898">
            <w:pPr>
              <w:pStyle w:val="Bezodstpw"/>
              <w:jc w:val="both"/>
              <w:rPr>
                <w:rFonts w:ascii="Times New Roman" w:eastAsia="Times New Roman" w:hAnsi="Times New Roman" w:cs="Times New Roman"/>
                <w:lang w:eastAsia="pl-PL"/>
              </w:rPr>
            </w:pPr>
            <w:r w:rsidRPr="00D072D6">
              <w:rPr>
                <w:rFonts w:ascii="Times New Roman" w:eastAsia="Times New Roman" w:hAnsi="Times New Roman" w:cs="Times New Roman"/>
                <w:lang w:eastAsia="pl-PL"/>
              </w:rPr>
              <w:t xml:space="preserve">W trakcie warsztatów </w:t>
            </w:r>
            <w:r w:rsidR="00FB158C" w:rsidRPr="00D072D6">
              <w:rPr>
                <w:rFonts w:ascii="Times New Roman" w:eastAsia="Times New Roman" w:hAnsi="Times New Roman" w:cs="Times New Roman"/>
                <w:lang w:eastAsia="pl-PL"/>
              </w:rPr>
              <w:t>z udziałem przedstawicieli uprawnionych podmiotów i</w:t>
            </w:r>
            <w:r w:rsidR="00637BD0">
              <w:rPr>
                <w:rFonts w:ascii="Times New Roman" w:eastAsia="Times New Roman" w:hAnsi="Times New Roman" w:cs="Times New Roman"/>
                <w:lang w:eastAsia="pl-PL"/>
              </w:rPr>
              <w:t> </w:t>
            </w:r>
            <w:r w:rsidR="00FB158C" w:rsidRPr="00D072D6">
              <w:rPr>
                <w:rFonts w:ascii="Times New Roman" w:eastAsia="Times New Roman" w:hAnsi="Times New Roman" w:cs="Times New Roman"/>
                <w:lang w:eastAsia="pl-PL"/>
              </w:rPr>
              <w:t>przedsiębiorców telekomunikacyjnych</w:t>
            </w:r>
            <w:r w:rsidR="00B70CBE" w:rsidRPr="00D072D6">
              <w:rPr>
                <w:rFonts w:ascii="Times New Roman" w:eastAsia="Times New Roman" w:hAnsi="Times New Roman" w:cs="Times New Roman"/>
                <w:lang w:eastAsia="pl-PL"/>
              </w:rPr>
              <w:t xml:space="preserve"> zorganizowanych przez projektodawcę</w:t>
            </w:r>
            <w:r w:rsidR="00FB158C" w:rsidRPr="00D072D6">
              <w:rPr>
                <w:rFonts w:ascii="Times New Roman" w:eastAsia="Times New Roman" w:hAnsi="Times New Roman" w:cs="Times New Roman"/>
                <w:lang w:eastAsia="pl-PL"/>
              </w:rPr>
              <w:t xml:space="preserve"> </w:t>
            </w:r>
            <w:r w:rsidRPr="00D072D6">
              <w:rPr>
                <w:rFonts w:ascii="Times New Roman" w:eastAsia="Times New Roman" w:hAnsi="Times New Roman" w:cs="Times New Roman"/>
                <w:lang w:eastAsia="pl-PL"/>
              </w:rPr>
              <w:t xml:space="preserve">uprawnione podmioty wyraziły negatywną </w:t>
            </w:r>
            <w:r w:rsidRPr="00D072D6">
              <w:rPr>
                <w:rFonts w:ascii="Times New Roman" w:eastAsia="Times New Roman" w:hAnsi="Times New Roman" w:cs="Times New Roman"/>
                <w:lang w:eastAsia="pl-PL"/>
              </w:rPr>
              <w:lastRenderedPageBreak/>
              <w:t>opinię w kwestii usunięcia przepisów dotyczących interfejsu HI A-B.</w:t>
            </w:r>
          </w:p>
          <w:p w14:paraId="65024CA1" w14:textId="5B334408" w:rsidR="0041668F" w:rsidRPr="00D072D6" w:rsidRDefault="0041668F" w:rsidP="00654898">
            <w:pPr>
              <w:pStyle w:val="Bezodstpw"/>
              <w:jc w:val="both"/>
              <w:rPr>
                <w:rFonts w:ascii="Times New Roman" w:hAnsi="Times New Roman" w:cs="Times New Roman"/>
              </w:rPr>
            </w:pPr>
            <w:r w:rsidRPr="00D072D6">
              <w:rPr>
                <w:rFonts w:ascii="Times New Roman" w:hAnsi="Times New Roman" w:cs="Times New Roman"/>
              </w:rPr>
              <w:t>Zamiana sieci telekomunikacyjne na sieci teleinformatyczne zawęża możliwości udostępniania danych, gdyż pojęcie sieci telekomunikacyjnej jest szersze.</w:t>
            </w:r>
          </w:p>
          <w:p w14:paraId="153775FB" w14:textId="77777777" w:rsidR="00EF0774" w:rsidRPr="00D072D6" w:rsidRDefault="00EF0774" w:rsidP="00654898">
            <w:pPr>
              <w:pStyle w:val="Bezodstpw"/>
              <w:jc w:val="both"/>
              <w:rPr>
                <w:rFonts w:ascii="Times New Roman" w:hAnsi="Times New Roman" w:cs="Times New Roman"/>
              </w:rPr>
            </w:pPr>
          </w:p>
        </w:tc>
      </w:tr>
      <w:tr w:rsidR="00EF0774" w:rsidRPr="00D072D6" w14:paraId="42FCE59D" w14:textId="77777777" w:rsidTr="00654898">
        <w:tc>
          <w:tcPr>
            <w:tcW w:w="594" w:type="dxa"/>
            <w:tcBorders>
              <w:bottom w:val="single" w:sz="4" w:space="0" w:color="auto"/>
            </w:tcBorders>
          </w:tcPr>
          <w:p w14:paraId="6CB69445" w14:textId="77777777" w:rsidR="00EF0774" w:rsidRPr="00D072D6" w:rsidRDefault="00EF0774"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3630098" w14:textId="28AC506E" w:rsidR="00EF0774" w:rsidRPr="00D072D6" w:rsidRDefault="00EF0774" w:rsidP="00654898">
            <w:pPr>
              <w:pStyle w:val="Bezodstpw"/>
              <w:jc w:val="center"/>
              <w:rPr>
                <w:rFonts w:ascii="Times New Roman" w:hAnsi="Times New Roman" w:cs="Times New Roman"/>
                <w:b/>
                <w:bCs/>
              </w:rPr>
            </w:pPr>
            <w:r w:rsidRPr="00D072D6">
              <w:rPr>
                <w:rStyle w:val="Ppogrubienie"/>
                <w:rFonts w:ascii="Times New Roman" w:hAnsi="Times New Roman" w:cs="Times New Roman"/>
                <w:b w:val="0"/>
                <w:bCs/>
              </w:rPr>
              <w:t>§ 11 ust. 1 zdanie wstępne</w:t>
            </w:r>
          </w:p>
        </w:tc>
        <w:tc>
          <w:tcPr>
            <w:tcW w:w="1669" w:type="dxa"/>
            <w:tcBorders>
              <w:bottom w:val="single" w:sz="4" w:space="0" w:color="auto"/>
            </w:tcBorders>
          </w:tcPr>
          <w:p w14:paraId="781AA5DA" w14:textId="6783C2CE" w:rsidR="00EF0774" w:rsidRPr="00D072D6" w:rsidRDefault="00EF0774"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22BB7E74" w14:textId="77777777" w:rsidR="00EF0774" w:rsidRPr="00D072D6" w:rsidRDefault="00EF0774" w:rsidP="00654898">
            <w:pPr>
              <w:pStyle w:val="ARTartustawynprozporzdzenia"/>
              <w:spacing w:before="0" w:line="240" w:lineRule="auto"/>
              <w:ind w:firstLine="0"/>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Na podstawie art. 45 ust. 1 PKE przedsiębiorca telekomunikacyjny jest obowiązany, na własny koszt, do przygotowania technicznych i organizacyjnych warunków udostępniania przetwarzanych przez siebie danych telekomunikacyjnych oraz ich udostępniania uprawnionym podmiotom a także sądowi i prokuratorowi.</w:t>
            </w:r>
          </w:p>
          <w:p w14:paraId="0DEEE7C2" w14:textId="77777777" w:rsidR="00EF0774" w:rsidRPr="00D072D6" w:rsidRDefault="00EF0774" w:rsidP="00654898">
            <w:pPr>
              <w:pStyle w:val="ARTartustawynprozporzdzenia"/>
              <w:spacing w:before="0" w:line="240" w:lineRule="auto"/>
              <w:ind w:firstLine="0"/>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Na podstawie art. 46 ust. 1 Rada Ministrów zobowiązana jest określić w drodze rozporządzenia przygotowania przez przedsiębiorców telekomunikacyjnych technicznych i organizacyjnych warunków udostępniania danych, o których mowa w art. 45 ust. 1 PKE, oraz ich udostępniania.</w:t>
            </w:r>
          </w:p>
          <w:p w14:paraId="213DB91F" w14:textId="77777777" w:rsidR="00EF0774" w:rsidRPr="00D072D6" w:rsidRDefault="00EF0774" w:rsidP="00654898">
            <w:pPr>
              <w:pStyle w:val="ARTartustawynprozporzdzenia"/>
              <w:spacing w:before="0" w:line="240" w:lineRule="auto"/>
              <w:ind w:firstLine="0"/>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 xml:space="preserve">W § 11 ust 1 pkt 1 - 4 PRRM wskazano możliwości udostępniania danych telekomunikacyjnych. </w:t>
            </w:r>
          </w:p>
          <w:p w14:paraId="57F3A437" w14:textId="77777777" w:rsidR="00EF0774" w:rsidRPr="00D072D6" w:rsidRDefault="00EF0774" w:rsidP="00654898">
            <w:pPr>
              <w:pStyle w:val="ARTartustawynprozporzdzenia"/>
              <w:numPr>
                <w:ilvl w:val="0"/>
                <w:numId w:val="24"/>
              </w:numPr>
              <w:spacing w:before="0" w:line="240" w:lineRule="auto"/>
              <w:ind w:left="345"/>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W związku z tym przepisem pojawia się wątpliwość: Kto będzie decydować o sposobie przesyłania danych telekomunikacyjnych? Przedsiębiorca telekomunikacyjny czy uprawniony podmiot? Co w przypadku różnicy oczekiwań stron dotyczących sposobu udostępnienia danych?</w:t>
            </w:r>
          </w:p>
          <w:p w14:paraId="315985D8" w14:textId="38EFB689" w:rsidR="00EF0774" w:rsidRPr="00D072D6" w:rsidRDefault="00EF0774" w:rsidP="00654898">
            <w:pPr>
              <w:pStyle w:val="Bezodstpw"/>
              <w:numPr>
                <w:ilvl w:val="0"/>
                <w:numId w:val="24"/>
              </w:numPr>
              <w:ind w:left="345"/>
              <w:jc w:val="both"/>
              <w:rPr>
                <w:rFonts w:ascii="Times New Roman" w:hAnsi="Times New Roman" w:cs="Times New Roman"/>
                <w:b/>
                <w:bCs/>
              </w:rPr>
            </w:pPr>
            <w:r w:rsidRPr="00D072D6">
              <w:rPr>
                <w:rStyle w:val="Ppogrubienie"/>
                <w:rFonts w:ascii="Times New Roman" w:hAnsi="Times New Roman" w:cs="Times New Roman"/>
                <w:b w:val="0"/>
                <w:bCs/>
              </w:rPr>
              <w:t>Na podkreślenie zasługuje fakt, że rozporządzenie nie zawiera wykonania delegacji ustawowej w zakresie określenia warunków technicznych przygotowania i udostępniania danych telekomunikacyjnych.</w:t>
            </w:r>
          </w:p>
        </w:tc>
        <w:tc>
          <w:tcPr>
            <w:tcW w:w="4395" w:type="dxa"/>
            <w:tcBorders>
              <w:bottom w:val="single" w:sz="4" w:space="0" w:color="auto"/>
            </w:tcBorders>
          </w:tcPr>
          <w:p w14:paraId="77FD4157" w14:textId="25543474" w:rsidR="00EF0774" w:rsidRPr="00D072D6" w:rsidRDefault="00E8393A" w:rsidP="00654898">
            <w:pPr>
              <w:pStyle w:val="Bezodstpw"/>
              <w:jc w:val="both"/>
              <w:rPr>
                <w:rFonts w:ascii="Times New Roman" w:hAnsi="Times New Roman" w:cs="Times New Roman"/>
                <w:b/>
                <w:bCs/>
              </w:rPr>
            </w:pPr>
            <w:r w:rsidRPr="00D072D6">
              <w:rPr>
                <w:rFonts w:ascii="Times New Roman" w:hAnsi="Times New Roman" w:cs="Times New Roman"/>
                <w:b/>
                <w:bCs/>
              </w:rPr>
              <w:t>Wyjaśnieni</w:t>
            </w:r>
            <w:r w:rsidR="00654898" w:rsidRPr="00D072D6">
              <w:rPr>
                <w:rFonts w:ascii="Times New Roman" w:hAnsi="Times New Roman" w:cs="Times New Roman"/>
                <w:b/>
                <w:bCs/>
              </w:rPr>
              <w:t>e uwag</w:t>
            </w:r>
          </w:p>
          <w:p w14:paraId="69D24618" w14:textId="56FA3254" w:rsidR="00E8393A" w:rsidRPr="00D072D6" w:rsidRDefault="001E2EB9" w:rsidP="00654898">
            <w:pPr>
              <w:pStyle w:val="Bezodstpw"/>
              <w:numPr>
                <w:ilvl w:val="0"/>
                <w:numId w:val="25"/>
              </w:numPr>
              <w:ind w:left="238" w:hanging="218"/>
              <w:jc w:val="both"/>
              <w:rPr>
                <w:rFonts w:ascii="Times New Roman" w:hAnsi="Times New Roman" w:cs="Times New Roman"/>
              </w:rPr>
            </w:pPr>
            <w:r w:rsidRPr="00D072D6">
              <w:rPr>
                <w:rFonts w:ascii="Times New Roman" w:hAnsi="Times New Roman" w:cs="Times New Roman"/>
              </w:rPr>
              <w:t xml:space="preserve">W trakcie warsztatów </w:t>
            </w:r>
            <w:r w:rsidR="00B70CBE" w:rsidRPr="00D072D6">
              <w:rPr>
                <w:rFonts w:ascii="Times New Roman" w:hAnsi="Times New Roman" w:cs="Times New Roman"/>
              </w:rPr>
              <w:t xml:space="preserve">z udziałem przedstawicieli uprawnionych podmiotów i przedsiębiorców telekomunikacyjnych zorganizowanych przez projektodawcę </w:t>
            </w:r>
            <w:r w:rsidRPr="00D072D6">
              <w:rPr>
                <w:rFonts w:ascii="Times New Roman" w:hAnsi="Times New Roman" w:cs="Times New Roman"/>
              </w:rPr>
              <w:t>uzgodniono, że odbywać się to będzie w</w:t>
            </w:r>
            <w:r w:rsidR="00637BD0">
              <w:rPr>
                <w:rFonts w:ascii="Times New Roman" w:hAnsi="Times New Roman" w:cs="Times New Roman"/>
              </w:rPr>
              <w:t> </w:t>
            </w:r>
            <w:r w:rsidRPr="00D072D6">
              <w:rPr>
                <w:rFonts w:ascii="Times New Roman" w:hAnsi="Times New Roman" w:cs="Times New Roman"/>
              </w:rPr>
              <w:t>sposób uzgodniony z uprawnionym podmiotem</w:t>
            </w:r>
            <w:r w:rsidR="00637BD0">
              <w:rPr>
                <w:rFonts w:ascii="Times New Roman" w:hAnsi="Times New Roman" w:cs="Times New Roman"/>
              </w:rPr>
              <w:t>;</w:t>
            </w:r>
          </w:p>
          <w:p w14:paraId="52708DCD" w14:textId="0B4CF3F6" w:rsidR="00E8393A" w:rsidRPr="00D072D6" w:rsidRDefault="00B70CBE" w:rsidP="00654898">
            <w:pPr>
              <w:pStyle w:val="Bezodstpw"/>
              <w:numPr>
                <w:ilvl w:val="0"/>
                <w:numId w:val="25"/>
              </w:numPr>
              <w:ind w:left="238" w:hanging="218"/>
              <w:jc w:val="both"/>
              <w:rPr>
                <w:rFonts w:ascii="Times New Roman" w:hAnsi="Times New Roman" w:cs="Times New Roman"/>
              </w:rPr>
            </w:pPr>
            <w:r w:rsidRPr="00D072D6">
              <w:rPr>
                <w:rFonts w:ascii="Times New Roman" w:hAnsi="Times New Roman" w:cs="Times New Roman"/>
              </w:rPr>
              <w:t>W</w:t>
            </w:r>
            <w:r w:rsidR="00E8393A" w:rsidRPr="00D072D6">
              <w:rPr>
                <w:rFonts w:ascii="Times New Roman" w:hAnsi="Times New Roman" w:cs="Times New Roman"/>
              </w:rPr>
              <w:t xml:space="preserve">arunkami technicznymi, o których mowa w </w:t>
            </w:r>
            <w:r w:rsidRPr="00D072D6">
              <w:rPr>
                <w:rFonts w:ascii="Times New Roman" w:hAnsi="Times New Roman" w:cs="Times New Roman"/>
              </w:rPr>
              <w:t>art. 46 ust. 1 PKE</w:t>
            </w:r>
            <w:r w:rsidR="00E8393A" w:rsidRPr="00D072D6">
              <w:rPr>
                <w:rFonts w:ascii="Times New Roman" w:hAnsi="Times New Roman" w:cs="Times New Roman"/>
              </w:rPr>
              <w:t>, jest przygotowanie sposobu udostępniania danych za pomocą interfejsu HI A-B oraz sieci telekomunikacyjnej</w:t>
            </w:r>
            <w:r w:rsidR="001E2EB9" w:rsidRPr="00D072D6">
              <w:rPr>
                <w:rFonts w:ascii="Times New Roman" w:hAnsi="Times New Roman" w:cs="Times New Roman"/>
              </w:rPr>
              <w:t xml:space="preserve">, jak również np. </w:t>
            </w:r>
            <w:r w:rsidR="00E8393A" w:rsidRPr="00D072D6">
              <w:rPr>
                <w:rFonts w:ascii="Times New Roman" w:hAnsi="Times New Roman" w:cs="Times New Roman"/>
              </w:rPr>
              <w:t xml:space="preserve">zabezpieczenie techniczne </w:t>
            </w:r>
            <w:r w:rsidR="001E2EB9" w:rsidRPr="00D072D6">
              <w:rPr>
                <w:rFonts w:ascii="Times New Roman" w:hAnsi="Times New Roman" w:cs="Times New Roman"/>
              </w:rPr>
              <w:t xml:space="preserve">i organizacyjne </w:t>
            </w:r>
            <w:r w:rsidR="00E8393A" w:rsidRPr="00D072D6">
              <w:rPr>
                <w:rFonts w:ascii="Times New Roman" w:hAnsi="Times New Roman" w:cs="Times New Roman"/>
              </w:rPr>
              <w:t xml:space="preserve">ograniczające dostęp do informacji zawartych w zapotrzebowaniu (ust. </w:t>
            </w:r>
            <w:r w:rsidR="001E2EB9" w:rsidRPr="00D072D6">
              <w:rPr>
                <w:rFonts w:ascii="Times New Roman" w:hAnsi="Times New Roman" w:cs="Times New Roman"/>
              </w:rPr>
              <w:t>5</w:t>
            </w:r>
            <w:r w:rsidR="00E8393A" w:rsidRPr="00D072D6">
              <w:rPr>
                <w:rFonts w:ascii="Times New Roman" w:hAnsi="Times New Roman" w:cs="Times New Roman"/>
              </w:rPr>
              <w:t xml:space="preserve"> pkt</w:t>
            </w:r>
            <w:r w:rsidR="00637BD0">
              <w:rPr>
                <w:rFonts w:ascii="Times New Roman" w:hAnsi="Times New Roman" w:cs="Times New Roman"/>
              </w:rPr>
              <w:t> </w:t>
            </w:r>
            <w:r w:rsidR="00E8393A" w:rsidRPr="00D072D6">
              <w:rPr>
                <w:rFonts w:ascii="Times New Roman" w:hAnsi="Times New Roman" w:cs="Times New Roman"/>
              </w:rPr>
              <w:t>2).</w:t>
            </w:r>
          </w:p>
        </w:tc>
      </w:tr>
      <w:tr w:rsidR="00EF0774" w:rsidRPr="00D072D6" w14:paraId="2BF9E496" w14:textId="77777777" w:rsidTr="00654898">
        <w:tc>
          <w:tcPr>
            <w:tcW w:w="594" w:type="dxa"/>
            <w:tcBorders>
              <w:bottom w:val="single" w:sz="4" w:space="0" w:color="auto"/>
            </w:tcBorders>
          </w:tcPr>
          <w:p w14:paraId="3DBD1904" w14:textId="77777777" w:rsidR="00EF0774" w:rsidRPr="00D072D6" w:rsidRDefault="00EF0774"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1A7576C3" w14:textId="5F3A7677" w:rsidR="00EF0774" w:rsidRPr="00D072D6" w:rsidRDefault="00EF0774" w:rsidP="00654898">
            <w:pPr>
              <w:pStyle w:val="Bezodstpw"/>
              <w:jc w:val="center"/>
              <w:rPr>
                <w:rFonts w:ascii="Times New Roman" w:hAnsi="Times New Roman" w:cs="Times New Roman"/>
              </w:rPr>
            </w:pPr>
            <w:r w:rsidRPr="00D072D6">
              <w:rPr>
                <w:rFonts w:ascii="Times New Roman" w:hAnsi="Times New Roman" w:cs="Times New Roman"/>
              </w:rPr>
              <w:t>§ 11 ust. 1 pkt 2</w:t>
            </w:r>
          </w:p>
        </w:tc>
        <w:tc>
          <w:tcPr>
            <w:tcW w:w="1669" w:type="dxa"/>
            <w:tcBorders>
              <w:bottom w:val="single" w:sz="4" w:space="0" w:color="auto"/>
            </w:tcBorders>
          </w:tcPr>
          <w:p w14:paraId="2759D52F" w14:textId="46C8B1AF" w:rsidR="00EF0774" w:rsidRPr="00D072D6" w:rsidRDefault="00EF0774"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7ECE73B2" w14:textId="77777777" w:rsidR="00EF0774" w:rsidRPr="00D072D6" w:rsidRDefault="00EF0774" w:rsidP="00654898">
            <w:pPr>
              <w:pStyle w:val="ARTartustawynprozporzdzenia"/>
              <w:numPr>
                <w:ilvl w:val="0"/>
                <w:numId w:val="26"/>
              </w:numPr>
              <w:spacing w:before="0" w:line="240" w:lineRule="auto"/>
              <w:ind w:left="345"/>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Czym różni się udostępnianie danych telekomunikacyjnych za pomocą interfejsu HI A – B od udostępniania danych za pomocą sieci telekomunikacyjnej?</w:t>
            </w:r>
          </w:p>
          <w:p w14:paraId="513960E9" w14:textId="77777777" w:rsidR="00EF0774" w:rsidRPr="00D072D6" w:rsidRDefault="00EF0774" w:rsidP="00654898">
            <w:pPr>
              <w:pStyle w:val="ARTartustawynprozporzdzenia"/>
              <w:numPr>
                <w:ilvl w:val="0"/>
                <w:numId w:val="26"/>
              </w:numPr>
              <w:spacing w:before="0" w:line="240" w:lineRule="auto"/>
              <w:ind w:left="345"/>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lastRenderedPageBreak/>
              <w:t>Czy przesyłanie danych przy wykorzystaniu poczty e-mail lub innego komunikatora elektronicznego mieści się w pojęciu udostępniania „za pośrednictwem sieci telekomunikacyjnej”.</w:t>
            </w:r>
          </w:p>
          <w:p w14:paraId="21479E31" w14:textId="77777777" w:rsidR="00EF0774" w:rsidRPr="00D072D6" w:rsidRDefault="00EF0774" w:rsidP="00654898">
            <w:pPr>
              <w:pStyle w:val="ARTartustawynprozporzdzenia"/>
              <w:numPr>
                <w:ilvl w:val="0"/>
                <w:numId w:val="26"/>
              </w:numPr>
              <w:spacing w:before="0" w:line="240" w:lineRule="auto"/>
              <w:ind w:left="345"/>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Udostępniając dane telekomunikacyjne za pomocą sieci telekomunikacyjnej należy mieć na względzie przepisy ustaw kompetencyjnych, które określają, że udostępnianie danych telekomunikacyjnych może odbywać się bez udziału pracowników przedsiębiorcy telekomunikacyjnego lub przy niezbędnym ich udziale, jeżeli możliwość taka jest przewidziana w porozumieniu zawartym pomiędzy uprawnionym podmiotem a tym przedsiębiorcą.</w:t>
            </w:r>
          </w:p>
          <w:p w14:paraId="538C8595" w14:textId="77777777" w:rsidR="00EF0774" w:rsidRPr="00D072D6" w:rsidRDefault="00EF0774" w:rsidP="00654898">
            <w:pPr>
              <w:pStyle w:val="ARTartustawynprozporzdzenia"/>
              <w:spacing w:before="0" w:line="240" w:lineRule="auto"/>
              <w:ind w:left="345" w:firstLine="0"/>
              <w:rPr>
                <w:rStyle w:val="Ppogrubienie"/>
                <w:rFonts w:ascii="Times New Roman" w:hAnsi="Times New Roman" w:cs="Times New Roman"/>
                <w:b w:val="0"/>
                <w:bCs/>
                <w:sz w:val="22"/>
                <w:szCs w:val="22"/>
              </w:rPr>
            </w:pPr>
            <w:r w:rsidRPr="00D072D6">
              <w:rPr>
                <w:rStyle w:val="Ppogrubienie"/>
                <w:rFonts w:ascii="Times New Roman" w:hAnsi="Times New Roman" w:cs="Times New Roman"/>
                <w:b w:val="0"/>
                <w:bCs/>
                <w:sz w:val="22"/>
                <w:szCs w:val="22"/>
              </w:rPr>
              <w:t>Zdecydowana większość przedsiębiorców telekomunikacyjnych nie zawarła takiego porozumienia. Oznacza to, że przesyłanie danych telekomunikacyjnych przy wykorzystaniu poczty e-mail lub innych komunikatorów elektronicznych jest niezgodne z prawem, mimo, że jak wskazuje praktyka często jest stosowany.</w:t>
            </w:r>
          </w:p>
          <w:p w14:paraId="3C542459" w14:textId="50ED7F6B" w:rsidR="00EF0774" w:rsidRPr="00D072D6" w:rsidRDefault="00EF0774" w:rsidP="00654898">
            <w:pPr>
              <w:pStyle w:val="Bezodstpw"/>
              <w:ind w:left="345"/>
              <w:jc w:val="both"/>
              <w:rPr>
                <w:rFonts w:ascii="Times New Roman" w:hAnsi="Times New Roman" w:cs="Times New Roman"/>
                <w:b/>
                <w:bCs/>
              </w:rPr>
            </w:pPr>
            <w:r w:rsidRPr="00D072D6">
              <w:rPr>
                <w:rStyle w:val="Ppogrubienie"/>
                <w:rFonts w:ascii="Times New Roman" w:hAnsi="Times New Roman" w:cs="Times New Roman"/>
                <w:b w:val="0"/>
                <w:bCs/>
              </w:rPr>
              <w:t>Rekomenduje się podjąć działania nowelizacji ustaw kompetencyjnych w przedmiotowym zakresie.</w:t>
            </w:r>
          </w:p>
        </w:tc>
        <w:tc>
          <w:tcPr>
            <w:tcW w:w="4395" w:type="dxa"/>
            <w:tcBorders>
              <w:bottom w:val="single" w:sz="4" w:space="0" w:color="auto"/>
            </w:tcBorders>
          </w:tcPr>
          <w:p w14:paraId="0433570F" w14:textId="04DB034F" w:rsidR="00EF0774" w:rsidRPr="00D072D6" w:rsidRDefault="00BC6CDC"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Wyjaśnienie</w:t>
            </w:r>
            <w:r w:rsidR="00654898" w:rsidRPr="00D072D6">
              <w:rPr>
                <w:rFonts w:ascii="Times New Roman" w:hAnsi="Times New Roman" w:cs="Times New Roman"/>
                <w:b/>
                <w:bCs/>
              </w:rPr>
              <w:t xml:space="preserve"> uwag</w:t>
            </w:r>
          </w:p>
          <w:p w14:paraId="7062B917" w14:textId="31DA159C" w:rsidR="00BC6CDC" w:rsidRPr="00D072D6" w:rsidRDefault="00BC6CDC" w:rsidP="00654898">
            <w:pPr>
              <w:pStyle w:val="Bezodstpw"/>
              <w:numPr>
                <w:ilvl w:val="0"/>
                <w:numId w:val="27"/>
              </w:numPr>
              <w:ind w:left="238" w:hanging="218"/>
              <w:jc w:val="both"/>
              <w:rPr>
                <w:rFonts w:ascii="Times New Roman" w:hAnsi="Times New Roman" w:cs="Times New Roman"/>
              </w:rPr>
            </w:pPr>
            <w:r w:rsidRPr="00D072D6">
              <w:rPr>
                <w:rFonts w:ascii="Times New Roman" w:hAnsi="Times New Roman" w:cs="Times New Roman"/>
              </w:rPr>
              <w:t xml:space="preserve">Wymagania dla interfejsu HI A-B są określone w </w:t>
            </w:r>
            <w:r w:rsidR="00B70CBE" w:rsidRPr="00D072D6">
              <w:rPr>
                <w:rFonts w:ascii="Times New Roman" w:hAnsi="Times New Roman" w:cs="Times New Roman"/>
              </w:rPr>
              <w:t xml:space="preserve">projekcie </w:t>
            </w:r>
            <w:r w:rsidRPr="00D072D6">
              <w:rPr>
                <w:rFonts w:ascii="Times New Roman" w:hAnsi="Times New Roman" w:cs="Times New Roman"/>
              </w:rPr>
              <w:t>rozporządzeni</w:t>
            </w:r>
            <w:r w:rsidR="00B70CBE" w:rsidRPr="00D072D6">
              <w:rPr>
                <w:rFonts w:ascii="Times New Roman" w:hAnsi="Times New Roman" w:cs="Times New Roman"/>
              </w:rPr>
              <w:t xml:space="preserve">a Rady Ministrów w sprawie wymagań technicznych i eksploatacyjnych dla </w:t>
            </w:r>
            <w:r w:rsidR="00B70CBE" w:rsidRPr="00D072D6">
              <w:rPr>
                <w:rFonts w:ascii="Times New Roman" w:hAnsi="Times New Roman" w:cs="Times New Roman"/>
              </w:rPr>
              <w:lastRenderedPageBreak/>
              <w:t>interfejsów</w:t>
            </w:r>
            <w:r w:rsidR="001E2EB9" w:rsidRPr="00D072D6">
              <w:rPr>
                <w:rFonts w:ascii="Times New Roman" w:hAnsi="Times New Roman" w:cs="Times New Roman"/>
              </w:rPr>
              <w:t>, a dla udostępniania danych za pomocą sieci telekomunikacyjnej nie są określone wymagania</w:t>
            </w:r>
            <w:r w:rsidR="00637BD0">
              <w:rPr>
                <w:rFonts w:ascii="Times New Roman" w:hAnsi="Times New Roman" w:cs="Times New Roman"/>
              </w:rPr>
              <w:t>;</w:t>
            </w:r>
          </w:p>
          <w:p w14:paraId="407E3790" w14:textId="1099D074" w:rsidR="00BC6CDC" w:rsidRPr="00D072D6" w:rsidRDefault="00BC6CDC" w:rsidP="00654898">
            <w:pPr>
              <w:pStyle w:val="Bezodstpw"/>
              <w:numPr>
                <w:ilvl w:val="0"/>
                <w:numId w:val="27"/>
              </w:numPr>
              <w:ind w:left="238" w:hanging="218"/>
              <w:jc w:val="both"/>
              <w:rPr>
                <w:rFonts w:ascii="Times New Roman" w:hAnsi="Times New Roman" w:cs="Times New Roman"/>
              </w:rPr>
            </w:pPr>
            <w:r w:rsidRPr="00D072D6">
              <w:rPr>
                <w:rFonts w:ascii="Times New Roman" w:hAnsi="Times New Roman" w:cs="Times New Roman"/>
              </w:rPr>
              <w:t>Definicja „sieci telekomunikacyjnej” obejmuje wykorzystanie poczty elektronicznej oraz komunikatorów</w:t>
            </w:r>
            <w:r w:rsidR="00637BD0">
              <w:rPr>
                <w:rFonts w:ascii="Times New Roman" w:hAnsi="Times New Roman" w:cs="Times New Roman"/>
              </w:rPr>
              <w:t>;</w:t>
            </w:r>
          </w:p>
          <w:p w14:paraId="03032D9F" w14:textId="1AC68A9C" w:rsidR="00BC6CDC" w:rsidRPr="00D072D6" w:rsidRDefault="00BC6CDC" w:rsidP="00654898">
            <w:pPr>
              <w:pStyle w:val="Bezodstpw"/>
              <w:numPr>
                <w:ilvl w:val="0"/>
                <w:numId w:val="27"/>
              </w:numPr>
              <w:ind w:left="238" w:hanging="218"/>
              <w:jc w:val="both"/>
              <w:rPr>
                <w:rFonts w:ascii="Times New Roman" w:hAnsi="Times New Roman" w:cs="Times New Roman"/>
              </w:rPr>
            </w:pPr>
            <w:r w:rsidRPr="00D072D6">
              <w:rPr>
                <w:rFonts w:ascii="Times New Roman" w:hAnsi="Times New Roman" w:cs="Times New Roman"/>
              </w:rPr>
              <w:t>Kwestia poza przedmiotem projektu rozporządzenia.</w:t>
            </w:r>
          </w:p>
        </w:tc>
      </w:tr>
      <w:tr w:rsidR="00EF0774" w:rsidRPr="00D072D6" w14:paraId="0EB865BA" w14:textId="77777777" w:rsidTr="00654898">
        <w:tc>
          <w:tcPr>
            <w:tcW w:w="594" w:type="dxa"/>
            <w:tcBorders>
              <w:bottom w:val="single" w:sz="4" w:space="0" w:color="auto"/>
            </w:tcBorders>
          </w:tcPr>
          <w:p w14:paraId="6EB24D71" w14:textId="77777777" w:rsidR="00EF0774" w:rsidRPr="00D072D6" w:rsidRDefault="00EF0774"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4951CF3A" w14:textId="423E00FD" w:rsidR="00EF0774" w:rsidRPr="00D072D6" w:rsidRDefault="00EF0774" w:rsidP="00654898">
            <w:pPr>
              <w:pStyle w:val="Bezodstpw"/>
              <w:jc w:val="center"/>
              <w:rPr>
                <w:rFonts w:ascii="Times New Roman" w:hAnsi="Times New Roman" w:cs="Times New Roman"/>
              </w:rPr>
            </w:pPr>
            <w:r w:rsidRPr="00D072D6">
              <w:rPr>
                <w:rFonts w:ascii="Times New Roman" w:hAnsi="Times New Roman" w:cs="Times New Roman"/>
              </w:rPr>
              <w:t>§ 11 ust. 2 pkt 1</w:t>
            </w:r>
          </w:p>
        </w:tc>
        <w:tc>
          <w:tcPr>
            <w:tcW w:w="1669" w:type="dxa"/>
            <w:tcBorders>
              <w:bottom w:val="single" w:sz="4" w:space="0" w:color="auto"/>
            </w:tcBorders>
          </w:tcPr>
          <w:p w14:paraId="6287C28E" w14:textId="14EA36F4" w:rsidR="00EF0774" w:rsidRPr="00D072D6" w:rsidRDefault="00EF0774"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0D3F9D4D" w14:textId="503457A9" w:rsidR="00EF0774" w:rsidRPr="00D072D6" w:rsidRDefault="00EF0774" w:rsidP="00654898">
            <w:pPr>
              <w:pStyle w:val="Bezodstpw"/>
              <w:jc w:val="both"/>
              <w:rPr>
                <w:rFonts w:ascii="Times New Roman" w:hAnsi="Times New Roman" w:cs="Times New Roman"/>
              </w:rPr>
            </w:pPr>
            <w:r w:rsidRPr="00D072D6">
              <w:rPr>
                <w:rFonts w:ascii="Times New Roman" w:hAnsi="Times New Roman" w:cs="Times New Roman"/>
              </w:rPr>
              <w:t>Jeśli uzna się, że przesyłanie danych przy wykorzystaniu poczty e-mail lub innego komunikatora elektronicznego mieści się w pojęciu udostępniania „za pośrednictwem sieci telekomunikacyjnej” to czas reakcji 24 godzin jest zdecydowanie za krótki. Odpowiedni czas reakcji powinien być taki jak w przypadku udostępnianiem danych korespondencyjnie (domyślnie w formie papierowej).</w:t>
            </w:r>
          </w:p>
        </w:tc>
        <w:tc>
          <w:tcPr>
            <w:tcW w:w="4395" w:type="dxa"/>
            <w:tcBorders>
              <w:bottom w:val="single" w:sz="4" w:space="0" w:color="auto"/>
            </w:tcBorders>
          </w:tcPr>
          <w:p w14:paraId="504DE323" w14:textId="19F8D8E1" w:rsidR="00EF0774" w:rsidRPr="00D072D6" w:rsidRDefault="0007167A" w:rsidP="00654898">
            <w:pPr>
              <w:pStyle w:val="Bezodstpw"/>
              <w:jc w:val="both"/>
              <w:rPr>
                <w:rFonts w:ascii="Times New Roman" w:hAnsi="Times New Roman" w:cs="Times New Roman"/>
                <w:b/>
                <w:bCs/>
              </w:rPr>
            </w:pPr>
            <w:r w:rsidRPr="00D072D6">
              <w:rPr>
                <w:rFonts w:ascii="Times New Roman" w:hAnsi="Times New Roman" w:cs="Times New Roman"/>
                <w:b/>
                <w:bCs/>
              </w:rPr>
              <w:t>Wyjaśnienie</w:t>
            </w:r>
            <w:r w:rsidR="00654898" w:rsidRPr="00D072D6">
              <w:rPr>
                <w:rFonts w:ascii="Times New Roman" w:hAnsi="Times New Roman" w:cs="Times New Roman"/>
                <w:b/>
                <w:bCs/>
              </w:rPr>
              <w:t xml:space="preserve"> uwagi</w:t>
            </w:r>
          </w:p>
          <w:p w14:paraId="5C825309" w14:textId="76911E9D" w:rsidR="004F3F3A" w:rsidRPr="00D072D6" w:rsidRDefault="004F3F3A" w:rsidP="00654898">
            <w:pPr>
              <w:pStyle w:val="Bezodstpw"/>
              <w:jc w:val="both"/>
              <w:rPr>
                <w:rFonts w:ascii="Times New Roman" w:hAnsi="Times New Roman" w:cs="Times New Roman"/>
              </w:rPr>
            </w:pPr>
            <w:r w:rsidRPr="00D072D6">
              <w:rPr>
                <w:rFonts w:ascii="Times New Roman" w:hAnsi="Times New Roman" w:cs="Times New Roman"/>
              </w:rPr>
              <w:t xml:space="preserve">KIGEiT równoważy pod względem czasu reakcji </w:t>
            </w:r>
            <w:r w:rsidR="0007167A" w:rsidRPr="00D072D6">
              <w:rPr>
                <w:rFonts w:ascii="Times New Roman" w:hAnsi="Times New Roman" w:cs="Times New Roman"/>
              </w:rPr>
              <w:t>udostępnianie</w:t>
            </w:r>
            <w:r w:rsidRPr="00D072D6">
              <w:rPr>
                <w:rFonts w:ascii="Times New Roman" w:hAnsi="Times New Roman" w:cs="Times New Roman"/>
              </w:rPr>
              <w:t xml:space="preserve"> za pośrednictwem sieci telekomunikacyjnej i </w:t>
            </w:r>
            <w:r w:rsidR="0007167A" w:rsidRPr="00D072D6">
              <w:rPr>
                <w:rFonts w:ascii="Times New Roman" w:hAnsi="Times New Roman" w:cs="Times New Roman"/>
              </w:rPr>
              <w:t xml:space="preserve">udostępnianie </w:t>
            </w:r>
            <w:r w:rsidRPr="00D072D6">
              <w:rPr>
                <w:rFonts w:ascii="Times New Roman" w:hAnsi="Times New Roman" w:cs="Times New Roman"/>
              </w:rPr>
              <w:t xml:space="preserve"> korespondencyjne</w:t>
            </w:r>
            <w:r w:rsidR="0007167A" w:rsidRPr="00D072D6">
              <w:rPr>
                <w:rFonts w:ascii="Times New Roman" w:hAnsi="Times New Roman" w:cs="Times New Roman"/>
              </w:rPr>
              <w:t xml:space="preserve">, uznając że czasy powinny być takie same. KIGEiT nie wyjaśnia dlaczego udostępnianie za pomocą sieci telekomunikacyjnej </w:t>
            </w:r>
            <w:r w:rsidR="00E33D44" w:rsidRPr="00D072D6">
              <w:rPr>
                <w:rFonts w:ascii="Times New Roman" w:hAnsi="Times New Roman" w:cs="Times New Roman"/>
              </w:rPr>
              <w:t>miałoby trwać 5 dni.</w:t>
            </w:r>
          </w:p>
        </w:tc>
      </w:tr>
      <w:tr w:rsidR="007B7682" w:rsidRPr="00D072D6" w14:paraId="5855FFE7" w14:textId="77777777" w:rsidTr="00654898">
        <w:tc>
          <w:tcPr>
            <w:tcW w:w="594" w:type="dxa"/>
            <w:tcBorders>
              <w:bottom w:val="single" w:sz="4" w:space="0" w:color="auto"/>
            </w:tcBorders>
          </w:tcPr>
          <w:p w14:paraId="075E5110" w14:textId="77777777" w:rsidR="007B7682" w:rsidRPr="00D072D6" w:rsidRDefault="007B7682"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48587F8B" w14:textId="632AAC8A" w:rsidR="007B7682" w:rsidRPr="00D072D6" w:rsidRDefault="007B7682" w:rsidP="00654898">
            <w:pPr>
              <w:pStyle w:val="Bezodstpw"/>
              <w:jc w:val="center"/>
              <w:rPr>
                <w:rFonts w:ascii="Times New Roman" w:hAnsi="Times New Roman" w:cs="Times New Roman"/>
              </w:rPr>
            </w:pPr>
            <w:r w:rsidRPr="00D072D6">
              <w:rPr>
                <w:rFonts w:ascii="Times New Roman" w:hAnsi="Times New Roman" w:cs="Times New Roman"/>
              </w:rPr>
              <w:t>§ 11 ust. 2 pkt 3</w:t>
            </w:r>
          </w:p>
        </w:tc>
        <w:tc>
          <w:tcPr>
            <w:tcW w:w="1669" w:type="dxa"/>
            <w:tcBorders>
              <w:bottom w:val="single" w:sz="4" w:space="0" w:color="auto"/>
            </w:tcBorders>
          </w:tcPr>
          <w:p w14:paraId="0621E233" w14:textId="61FAAC98" w:rsidR="007B7682" w:rsidRPr="00D072D6" w:rsidRDefault="007B7682"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7E788A75" w14:textId="63BE1E46" w:rsidR="007B7682" w:rsidRPr="00D072D6" w:rsidRDefault="007B7682" w:rsidP="00654898">
            <w:pPr>
              <w:ind w:left="345" w:hanging="360"/>
              <w:jc w:val="both"/>
              <w:rPr>
                <w:rFonts w:eastAsia="Calibri"/>
                <w:iCs/>
                <w:sz w:val="22"/>
                <w:szCs w:val="22"/>
              </w:rPr>
            </w:pPr>
            <w:r w:rsidRPr="00D072D6">
              <w:rPr>
                <w:rFonts w:eastAsia="Calibri"/>
                <w:iCs/>
                <w:sz w:val="22"/>
                <w:szCs w:val="22"/>
              </w:rPr>
              <w:t>Propozycja:</w:t>
            </w:r>
          </w:p>
          <w:p w14:paraId="764719EE" w14:textId="41ABFF93" w:rsidR="007B7682" w:rsidRPr="00D072D6" w:rsidRDefault="007B7682" w:rsidP="00654898">
            <w:pPr>
              <w:ind w:left="345" w:hanging="360"/>
              <w:jc w:val="both"/>
              <w:rPr>
                <w:sz w:val="22"/>
                <w:szCs w:val="22"/>
              </w:rPr>
            </w:pPr>
            <w:r w:rsidRPr="00D072D6">
              <w:rPr>
                <w:rFonts w:eastAsia="Calibri"/>
                <w:i/>
                <w:sz w:val="22"/>
                <w:szCs w:val="22"/>
              </w:rPr>
              <w:t>3)</w:t>
            </w:r>
            <w:r w:rsidRPr="00D072D6">
              <w:rPr>
                <w:rFonts w:eastAsia="Arial"/>
                <w:i/>
                <w:sz w:val="22"/>
                <w:szCs w:val="22"/>
              </w:rPr>
              <w:t xml:space="preserve"> </w:t>
            </w:r>
            <w:r w:rsidRPr="00D072D6">
              <w:rPr>
                <w:rFonts w:eastAsia="Calibri"/>
                <w:i/>
                <w:sz w:val="22"/>
                <w:szCs w:val="22"/>
              </w:rPr>
              <w:t xml:space="preserve">jak najkrótszy czas reakcji wynikający z technicznych warunków i czasu pozyskania danych, z uwzględnieniem treści zapotrzebowania, jednak nieprzekraczający </w:t>
            </w:r>
            <w:r w:rsidRPr="00D072D6">
              <w:rPr>
                <w:rFonts w:eastAsia="Calibri"/>
                <w:b/>
                <w:i/>
                <w:sz w:val="22"/>
                <w:szCs w:val="22"/>
              </w:rPr>
              <w:t>12 godzin</w:t>
            </w:r>
            <w:r w:rsidRPr="00D072D6">
              <w:rPr>
                <w:rFonts w:eastAsia="Calibri"/>
                <w:i/>
                <w:sz w:val="22"/>
                <w:szCs w:val="22"/>
              </w:rPr>
              <w:t xml:space="preserve">  </w:t>
            </w:r>
            <w:r w:rsidRPr="00D072D6">
              <w:rPr>
                <w:rFonts w:eastAsia="Calibri"/>
                <w:i/>
                <w:strike/>
                <w:sz w:val="22"/>
                <w:szCs w:val="22"/>
              </w:rPr>
              <w:t xml:space="preserve">4 godzin w dni robocze i 8 godzin w pozostałe dni </w:t>
            </w:r>
            <w:r w:rsidRPr="00D072D6">
              <w:rPr>
                <w:rFonts w:eastAsia="Calibri"/>
                <w:i/>
                <w:sz w:val="22"/>
                <w:szCs w:val="22"/>
              </w:rPr>
              <w:t xml:space="preserve">– w przypadku, o którym mowa w ust. 1 pkt 4.  </w:t>
            </w:r>
          </w:p>
          <w:p w14:paraId="20BAB793" w14:textId="77777777" w:rsidR="007B7682" w:rsidRPr="00D072D6" w:rsidRDefault="007B7682" w:rsidP="00654898">
            <w:pPr>
              <w:spacing w:line="259" w:lineRule="auto"/>
              <w:ind w:left="-5" w:right="5298"/>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5CEF64D0" w14:textId="772A03D2" w:rsidR="007B7682" w:rsidRPr="00D072D6" w:rsidRDefault="007B7682" w:rsidP="00654898">
            <w:pPr>
              <w:ind w:left="-5"/>
              <w:jc w:val="both"/>
              <w:rPr>
                <w:sz w:val="22"/>
                <w:szCs w:val="22"/>
              </w:rPr>
            </w:pPr>
            <w:r w:rsidRPr="00D072D6">
              <w:rPr>
                <w:sz w:val="22"/>
                <w:szCs w:val="22"/>
              </w:rPr>
              <w:t xml:space="preserve">PIIT wnosi o zmianę zapisów w powyższej propozycji i wydłużenie czasu do 12 godzin. Wynika to z faktu, że najkrótszy czas reakcji wynika z technicznych warunków systemów będących u przedsiębiorców telekomunikacyjnych i czas ten jest adekwatny do czasu w którym dane wpływają z systemów. Dotychczasowy czas 4 godzin jest obarczony dużym zakresem niepewności, że wszystkie dane będą dostępne w systemach przedsiębiorców. </w:t>
            </w:r>
            <w:r w:rsidRPr="00D072D6">
              <w:rPr>
                <w:rFonts w:eastAsia="Calibri"/>
                <w:sz w:val="22"/>
                <w:szCs w:val="22"/>
              </w:rPr>
              <w:t xml:space="preserve"> </w:t>
            </w:r>
          </w:p>
        </w:tc>
        <w:tc>
          <w:tcPr>
            <w:tcW w:w="4395" w:type="dxa"/>
            <w:tcBorders>
              <w:bottom w:val="single" w:sz="4" w:space="0" w:color="auto"/>
            </w:tcBorders>
          </w:tcPr>
          <w:p w14:paraId="236693EE" w14:textId="77777777" w:rsidR="004F3F3A" w:rsidRPr="00D072D6" w:rsidRDefault="00CB00B2" w:rsidP="00654898">
            <w:pPr>
              <w:pStyle w:val="Bezodstpw"/>
              <w:jc w:val="both"/>
              <w:rPr>
                <w:rFonts w:ascii="Times New Roman" w:hAnsi="Times New Roman" w:cs="Times New Roman"/>
                <w:b/>
                <w:bCs/>
              </w:rPr>
            </w:pPr>
            <w:r w:rsidRPr="00D072D6">
              <w:rPr>
                <w:rFonts w:ascii="Times New Roman" w:hAnsi="Times New Roman" w:cs="Times New Roman"/>
                <w:b/>
                <w:bCs/>
              </w:rPr>
              <w:t>Uwaga uwzględniona</w:t>
            </w:r>
          </w:p>
          <w:p w14:paraId="66FB78CB" w14:textId="42CAF642" w:rsidR="00CB00B2" w:rsidRPr="00D072D6" w:rsidRDefault="00CB00B2" w:rsidP="00654898">
            <w:pPr>
              <w:pStyle w:val="Bezodstpw"/>
              <w:jc w:val="both"/>
              <w:rPr>
                <w:rFonts w:ascii="Times New Roman" w:hAnsi="Times New Roman" w:cs="Times New Roman"/>
              </w:rPr>
            </w:pPr>
            <w:r w:rsidRPr="00D072D6">
              <w:rPr>
                <w:rFonts w:ascii="Times New Roman" w:hAnsi="Times New Roman" w:cs="Times New Roman"/>
              </w:rPr>
              <w:t>Uwaga została uwzględniona w inny sposób ustalony w trakcie warsztatów</w:t>
            </w:r>
            <w:r w:rsidR="00FB158C" w:rsidRPr="00D072D6">
              <w:rPr>
                <w:rFonts w:ascii="Times New Roman" w:hAnsi="Times New Roman" w:cs="Times New Roman"/>
              </w:rPr>
              <w:t xml:space="preserve"> z udziałem przedstawicieli uprawnionych podmiotów i</w:t>
            </w:r>
            <w:r w:rsidR="00ED4BD5">
              <w:rPr>
                <w:rFonts w:ascii="Times New Roman" w:hAnsi="Times New Roman" w:cs="Times New Roman"/>
              </w:rPr>
              <w:t> </w:t>
            </w:r>
            <w:r w:rsidR="00FB158C" w:rsidRPr="00D072D6">
              <w:rPr>
                <w:rFonts w:ascii="Times New Roman" w:hAnsi="Times New Roman" w:cs="Times New Roman"/>
              </w:rPr>
              <w:t>przedsiębiorców telekomunikacyjnych</w:t>
            </w:r>
            <w:r w:rsidR="00B70CBE" w:rsidRPr="00D072D6">
              <w:rPr>
                <w:rFonts w:ascii="Times New Roman" w:hAnsi="Times New Roman" w:cs="Times New Roman"/>
              </w:rPr>
              <w:t xml:space="preserve"> </w:t>
            </w:r>
            <w:r w:rsidR="0076773A" w:rsidRPr="00D072D6">
              <w:rPr>
                <w:rFonts w:ascii="Times New Roman" w:hAnsi="Times New Roman" w:cs="Times New Roman"/>
              </w:rPr>
              <w:t>zorganizowanych</w:t>
            </w:r>
            <w:r w:rsidR="00B70CBE" w:rsidRPr="00D072D6">
              <w:rPr>
                <w:rFonts w:ascii="Times New Roman" w:hAnsi="Times New Roman" w:cs="Times New Roman"/>
              </w:rPr>
              <w:t xml:space="preserve"> przez projektodawcę</w:t>
            </w:r>
            <w:r w:rsidRPr="00D072D6">
              <w:rPr>
                <w:rFonts w:ascii="Times New Roman" w:hAnsi="Times New Roman" w:cs="Times New Roman"/>
              </w:rPr>
              <w:t>. Dodano nowy ust</w:t>
            </w:r>
            <w:r w:rsidR="00B70CBE" w:rsidRPr="00D072D6">
              <w:rPr>
                <w:rFonts w:ascii="Times New Roman" w:hAnsi="Times New Roman" w:cs="Times New Roman"/>
              </w:rPr>
              <w:t>.</w:t>
            </w:r>
            <w:r w:rsidRPr="00D072D6">
              <w:rPr>
                <w:rFonts w:ascii="Times New Roman" w:hAnsi="Times New Roman" w:cs="Times New Roman"/>
              </w:rPr>
              <w:t xml:space="preserve"> 3 w brzmieniu: „</w:t>
            </w:r>
            <w:r w:rsidRPr="00D072D6">
              <w:rPr>
                <w:rFonts w:ascii="Times New Roman" w:hAnsi="Times New Roman" w:cs="Times New Roman"/>
                <w:i/>
                <w:iCs/>
              </w:rPr>
              <w:t>Udostępnianie danych, o których mowa w</w:t>
            </w:r>
            <w:r w:rsidR="00ED4BD5">
              <w:rPr>
                <w:rFonts w:ascii="Times New Roman" w:hAnsi="Times New Roman" w:cs="Times New Roman"/>
                <w:i/>
                <w:iCs/>
              </w:rPr>
              <w:t> </w:t>
            </w:r>
            <w:r w:rsidRPr="00D072D6">
              <w:rPr>
                <w:rFonts w:ascii="Times New Roman" w:hAnsi="Times New Roman" w:cs="Times New Roman"/>
                <w:i/>
                <w:iCs/>
              </w:rPr>
              <w:t>art. 45 ust. 1 ustawy, następuje niezwłocznie, jednak nie dłużej niż w terminie do 72 godzin od podjęcia działań zmierzających do udostępnienia danych</w:t>
            </w:r>
            <w:r w:rsidRPr="00D072D6">
              <w:rPr>
                <w:rFonts w:ascii="Times New Roman" w:hAnsi="Times New Roman" w:cs="Times New Roman"/>
              </w:rPr>
              <w:t>”.</w:t>
            </w:r>
          </w:p>
        </w:tc>
      </w:tr>
      <w:tr w:rsidR="007B7682" w:rsidRPr="00D072D6" w14:paraId="4119330A" w14:textId="77777777" w:rsidTr="00654898">
        <w:tc>
          <w:tcPr>
            <w:tcW w:w="594" w:type="dxa"/>
            <w:tcBorders>
              <w:bottom w:val="single" w:sz="4" w:space="0" w:color="auto"/>
            </w:tcBorders>
          </w:tcPr>
          <w:p w14:paraId="0D4E44B5" w14:textId="77777777" w:rsidR="007B7682" w:rsidRPr="00D072D6" w:rsidRDefault="007B7682"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0EAE9E03" w14:textId="327DF17F" w:rsidR="007B7682" w:rsidRPr="00D072D6" w:rsidRDefault="007B7682" w:rsidP="00654898">
            <w:pPr>
              <w:pStyle w:val="Bezodstpw"/>
              <w:jc w:val="center"/>
              <w:rPr>
                <w:rFonts w:ascii="Times New Roman" w:hAnsi="Times New Roman" w:cs="Times New Roman"/>
              </w:rPr>
            </w:pPr>
            <w:r w:rsidRPr="00D072D6">
              <w:rPr>
                <w:rFonts w:ascii="Times New Roman" w:hAnsi="Times New Roman" w:cs="Times New Roman"/>
              </w:rPr>
              <w:t>§ 11 ust. 3</w:t>
            </w:r>
          </w:p>
        </w:tc>
        <w:tc>
          <w:tcPr>
            <w:tcW w:w="1669" w:type="dxa"/>
            <w:tcBorders>
              <w:bottom w:val="single" w:sz="4" w:space="0" w:color="auto"/>
            </w:tcBorders>
          </w:tcPr>
          <w:p w14:paraId="5BF08CCA" w14:textId="2E42EC22" w:rsidR="007B7682" w:rsidRPr="00D072D6" w:rsidRDefault="007B7682"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21AF2FF4" w14:textId="744B2F58" w:rsidR="007B7682" w:rsidRPr="00D072D6" w:rsidRDefault="007B7682" w:rsidP="00654898">
            <w:pPr>
              <w:ind w:left="-5"/>
              <w:jc w:val="both"/>
              <w:rPr>
                <w:rFonts w:eastAsia="Calibri"/>
                <w:iCs/>
                <w:sz w:val="22"/>
                <w:szCs w:val="22"/>
              </w:rPr>
            </w:pPr>
            <w:r w:rsidRPr="00D072D6">
              <w:rPr>
                <w:rFonts w:eastAsia="Calibri"/>
                <w:iCs/>
                <w:sz w:val="22"/>
                <w:szCs w:val="22"/>
              </w:rPr>
              <w:t>Propozycja:</w:t>
            </w:r>
          </w:p>
          <w:p w14:paraId="7EC7EE2E" w14:textId="1CAFDC9D" w:rsidR="007B7682" w:rsidRPr="00D072D6" w:rsidRDefault="007B7682" w:rsidP="00654898">
            <w:pPr>
              <w:ind w:left="-5"/>
              <w:jc w:val="both"/>
              <w:rPr>
                <w:sz w:val="22"/>
                <w:szCs w:val="22"/>
              </w:rPr>
            </w:pPr>
            <w:r w:rsidRPr="00D072D6">
              <w:rPr>
                <w:rFonts w:eastAsia="Calibri"/>
                <w:i/>
                <w:sz w:val="22"/>
                <w:szCs w:val="22"/>
              </w:rPr>
              <w:t xml:space="preserve">3. Jeżeli przedsiębiorca telekomunikacyjny nie może, z przyczyn od niego niezależnych </w:t>
            </w:r>
            <w:r w:rsidRPr="00D072D6">
              <w:rPr>
                <w:rFonts w:eastAsia="Calibri"/>
                <w:b/>
                <w:i/>
                <w:sz w:val="22"/>
                <w:szCs w:val="22"/>
              </w:rPr>
              <w:t>w tym ograniczeń wynikających z technicznych warunków</w:t>
            </w:r>
            <w:r w:rsidRPr="00D072D6">
              <w:rPr>
                <w:rFonts w:eastAsia="Calibri"/>
                <w:i/>
                <w:sz w:val="22"/>
                <w:szCs w:val="22"/>
              </w:rPr>
              <w:t xml:space="preserve">, </w:t>
            </w:r>
            <w:r w:rsidRPr="00D072D6">
              <w:rPr>
                <w:rFonts w:eastAsia="Calibri"/>
                <w:i/>
                <w:sz w:val="22"/>
                <w:szCs w:val="22"/>
              </w:rPr>
              <w:lastRenderedPageBreak/>
              <w:t xml:space="preserve">zapewnić czasu reakcji, o którym mowa w ust. 2, informuje  o tym uprawniony podmiot, sąd lub prokuratora i uzgadnia z nim inny czas reakcji. </w:t>
            </w:r>
          </w:p>
          <w:p w14:paraId="57095BF6" w14:textId="77777777" w:rsidR="007B7682" w:rsidRPr="00D072D6" w:rsidRDefault="007B7682" w:rsidP="00654898">
            <w:pPr>
              <w:spacing w:line="259" w:lineRule="auto"/>
              <w:ind w:left="-5" w:right="5298"/>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365607F6" w14:textId="24A65DE5" w:rsidR="007B7682" w:rsidRPr="00D072D6" w:rsidRDefault="007B7682" w:rsidP="00654898">
            <w:pPr>
              <w:ind w:left="-5"/>
              <w:jc w:val="both"/>
              <w:rPr>
                <w:sz w:val="22"/>
                <w:szCs w:val="22"/>
              </w:rPr>
            </w:pPr>
            <w:r w:rsidRPr="00D072D6">
              <w:rPr>
                <w:sz w:val="22"/>
                <w:szCs w:val="22"/>
              </w:rPr>
              <w:t xml:space="preserve">Przepis określa sposób działania w przypadku gdy przedsiębiorca telekomunikacyjny nie ma możliwości zapewnienia przewidzianego w rozporządzeniu czasu reakcji na przekazanie danych, o których mowa </w:t>
            </w:r>
            <w:r w:rsidRPr="00D072D6">
              <w:rPr>
                <w:rFonts w:eastAsia="Calibri"/>
                <w:sz w:val="22"/>
                <w:szCs w:val="22"/>
              </w:rPr>
              <w:t xml:space="preserve">w art. 45 ust. 1 PKE. Proponowana zmiana ma na celu doprecyzowanie opisanej normy i zapewnienie </w:t>
            </w:r>
            <w:r w:rsidRPr="00D072D6">
              <w:rPr>
                <w:sz w:val="22"/>
                <w:szCs w:val="22"/>
              </w:rPr>
              <w:t xml:space="preserve">spójności z treścią ust. 2 par. 11 poprzez uzupełnienie, jednej z możliwych sytuacji uniemożliwiającej zapewnienie czasu reakcji, która to może być wynikiem ograniczeń wynikających z technicznych warunków. </w:t>
            </w:r>
            <w:r w:rsidRPr="00D072D6">
              <w:rPr>
                <w:rFonts w:eastAsia="Calibri"/>
                <w:sz w:val="22"/>
                <w:szCs w:val="22"/>
              </w:rPr>
              <w:t xml:space="preserve"> </w:t>
            </w:r>
          </w:p>
        </w:tc>
        <w:tc>
          <w:tcPr>
            <w:tcW w:w="4395" w:type="dxa"/>
            <w:tcBorders>
              <w:bottom w:val="single" w:sz="4" w:space="0" w:color="auto"/>
            </w:tcBorders>
          </w:tcPr>
          <w:p w14:paraId="01E93E46" w14:textId="180539B8" w:rsidR="004F3F3A" w:rsidRPr="00D072D6" w:rsidRDefault="001B45DC"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nieuwzględniona</w:t>
            </w:r>
          </w:p>
          <w:p w14:paraId="2114A371" w14:textId="23CDF5A3" w:rsidR="00B83A96" w:rsidRPr="00D072D6" w:rsidRDefault="001B45DC" w:rsidP="00654898">
            <w:pPr>
              <w:pStyle w:val="Bezodstpw"/>
              <w:jc w:val="both"/>
              <w:rPr>
                <w:rFonts w:ascii="Times New Roman" w:hAnsi="Times New Roman" w:cs="Times New Roman"/>
              </w:rPr>
            </w:pPr>
            <w:r w:rsidRPr="00D072D6">
              <w:rPr>
                <w:rFonts w:ascii="Times New Roman" w:hAnsi="Times New Roman" w:cs="Times New Roman"/>
              </w:rPr>
              <w:t xml:space="preserve">Określenie „z przyczyn od niego niezależnych” jest wystarczając </w:t>
            </w:r>
            <w:r w:rsidR="00B83A96" w:rsidRPr="00D072D6">
              <w:rPr>
                <w:rFonts w:ascii="Times New Roman" w:hAnsi="Times New Roman" w:cs="Times New Roman"/>
              </w:rPr>
              <w:t>precyzyjne</w:t>
            </w:r>
            <w:r w:rsidRPr="00D072D6">
              <w:rPr>
                <w:rFonts w:ascii="Times New Roman" w:hAnsi="Times New Roman" w:cs="Times New Roman"/>
              </w:rPr>
              <w:t xml:space="preserve"> i</w:t>
            </w:r>
            <w:r w:rsidR="00ED4BD5">
              <w:rPr>
                <w:rFonts w:ascii="Times New Roman" w:hAnsi="Times New Roman" w:cs="Times New Roman"/>
              </w:rPr>
              <w:t> </w:t>
            </w:r>
            <w:r w:rsidRPr="00D072D6">
              <w:rPr>
                <w:rFonts w:ascii="Times New Roman" w:hAnsi="Times New Roman" w:cs="Times New Roman"/>
              </w:rPr>
              <w:t xml:space="preserve">obejmujące szeroki </w:t>
            </w:r>
            <w:r w:rsidR="00B83A96" w:rsidRPr="00D072D6">
              <w:rPr>
                <w:rFonts w:ascii="Times New Roman" w:hAnsi="Times New Roman" w:cs="Times New Roman"/>
              </w:rPr>
              <w:t xml:space="preserve">zakres przypadków, </w:t>
            </w:r>
            <w:r w:rsidR="00B83A96" w:rsidRPr="00D072D6">
              <w:rPr>
                <w:rFonts w:ascii="Times New Roman" w:hAnsi="Times New Roman" w:cs="Times New Roman"/>
              </w:rPr>
              <w:lastRenderedPageBreak/>
              <w:t>które wypełniają przesłankę „niezależności” od przedsiębiorcy</w:t>
            </w:r>
            <w:r w:rsidRPr="00D072D6">
              <w:rPr>
                <w:rFonts w:ascii="Times New Roman" w:hAnsi="Times New Roman" w:cs="Times New Roman"/>
              </w:rPr>
              <w:t>.</w:t>
            </w:r>
          </w:p>
          <w:p w14:paraId="1D7C3565" w14:textId="663F2FAB" w:rsidR="007B7682" w:rsidRPr="00D072D6" w:rsidRDefault="001B45DC" w:rsidP="00654898">
            <w:pPr>
              <w:pStyle w:val="Bezodstpw"/>
              <w:jc w:val="both"/>
              <w:rPr>
                <w:rFonts w:ascii="Times New Roman" w:hAnsi="Times New Roman" w:cs="Times New Roman"/>
              </w:rPr>
            </w:pPr>
            <w:r w:rsidRPr="00D072D6">
              <w:rPr>
                <w:rFonts w:ascii="Times New Roman" w:hAnsi="Times New Roman" w:cs="Times New Roman"/>
              </w:rPr>
              <w:t>Doprecyzowanie pozwalające na wskazanie „ograniczeń w wynikających z technicznych warunków”, mogłoby skutkować uchylaniem się przedsiębiorc</w:t>
            </w:r>
            <w:r w:rsidR="00B83A96" w:rsidRPr="00D072D6">
              <w:rPr>
                <w:rFonts w:ascii="Times New Roman" w:hAnsi="Times New Roman" w:cs="Times New Roman"/>
              </w:rPr>
              <w:t>y</w:t>
            </w:r>
            <w:r w:rsidRPr="00D072D6">
              <w:rPr>
                <w:rFonts w:ascii="Times New Roman" w:hAnsi="Times New Roman" w:cs="Times New Roman"/>
              </w:rPr>
              <w:t xml:space="preserve"> telekomunikacyjnego od zapewnienia właściwego czasu reakcji poprze</w:t>
            </w:r>
            <w:r w:rsidR="00B83A96" w:rsidRPr="00D072D6">
              <w:rPr>
                <w:rFonts w:ascii="Times New Roman" w:hAnsi="Times New Roman" w:cs="Times New Roman"/>
              </w:rPr>
              <w:t>z</w:t>
            </w:r>
            <w:r w:rsidRPr="00D072D6">
              <w:rPr>
                <w:rFonts w:ascii="Times New Roman" w:hAnsi="Times New Roman" w:cs="Times New Roman"/>
              </w:rPr>
              <w:t xml:space="preserve"> powoływanie się na </w:t>
            </w:r>
            <w:r w:rsidR="00B83A96" w:rsidRPr="00D072D6">
              <w:rPr>
                <w:rFonts w:ascii="Times New Roman" w:hAnsi="Times New Roman" w:cs="Times New Roman"/>
              </w:rPr>
              <w:t xml:space="preserve">bliżej </w:t>
            </w:r>
            <w:r w:rsidRPr="00D072D6">
              <w:rPr>
                <w:rFonts w:ascii="Times New Roman" w:hAnsi="Times New Roman" w:cs="Times New Roman"/>
              </w:rPr>
              <w:t>nieokreślone ograniczenia techniczne</w:t>
            </w:r>
            <w:r w:rsidR="00B83A96" w:rsidRPr="00D072D6">
              <w:rPr>
                <w:rFonts w:ascii="Times New Roman" w:hAnsi="Times New Roman" w:cs="Times New Roman"/>
              </w:rPr>
              <w:t>, które niekoniecznie mogą powstać niezależnie od przedsiębiorcy</w:t>
            </w:r>
            <w:r w:rsidRPr="00D072D6">
              <w:rPr>
                <w:rFonts w:ascii="Times New Roman" w:hAnsi="Times New Roman" w:cs="Times New Roman"/>
              </w:rPr>
              <w:t>.</w:t>
            </w:r>
          </w:p>
        </w:tc>
      </w:tr>
      <w:tr w:rsidR="007B7682" w:rsidRPr="00D072D6" w14:paraId="4C97E390" w14:textId="77777777" w:rsidTr="00654898">
        <w:tc>
          <w:tcPr>
            <w:tcW w:w="594" w:type="dxa"/>
            <w:tcBorders>
              <w:bottom w:val="single" w:sz="4" w:space="0" w:color="auto"/>
            </w:tcBorders>
          </w:tcPr>
          <w:p w14:paraId="55F53684" w14:textId="77777777" w:rsidR="007B7682" w:rsidRPr="00D072D6" w:rsidRDefault="007B7682"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3B393C92" w14:textId="6C0B314A" w:rsidR="007B7682" w:rsidRPr="00D072D6" w:rsidRDefault="007B7682" w:rsidP="00654898">
            <w:pPr>
              <w:pStyle w:val="Bezodstpw"/>
              <w:jc w:val="center"/>
              <w:rPr>
                <w:rFonts w:ascii="Times New Roman" w:hAnsi="Times New Roman" w:cs="Times New Roman"/>
              </w:rPr>
            </w:pPr>
            <w:r w:rsidRPr="00D072D6">
              <w:rPr>
                <w:rFonts w:ascii="Times New Roman" w:hAnsi="Times New Roman" w:cs="Times New Roman"/>
              </w:rPr>
              <w:t>§ 12</w:t>
            </w:r>
          </w:p>
        </w:tc>
        <w:tc>
          <w:tcPr>
            <w:tcW w:w="1669" w:type="dxa"/>
            <w:tcBorders>
              <w:bottom w:val="single" w:sz="4" w:space="0" w:color="auto"/>
            </w:tcBorders>
          </w:tcPr>
          <w:p w14:paraId="1DD585FB" w14:textId="3579284A" w:rsidR="007B7682" w:rsidRPr="00D072D6" w:rsidRDefault="007B7682"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0F786256" w14:textId="4FECBB6E" w:rsidR="007B7682" w:rsidRPr="00D072D6" w:rsidRDefault="007B7682" w:rsidP="00654898">
            <w:pPr>
              <w:ind w:left="-5"/>
              <w:jc w:val="both"/>
              <w:rPr>
                <w:rFonts w:eastAsia="Calibri"/>
                <w:bCs/>
                <w:iCs/>
                <w:sz w:val="22"/>
                <w:szCs w:val="22"/>
              </w:rPr>
            </w:pPr>
            <w:r w:rsidRPr="00D072D6">
              <w:rPr>
                <w:rFonts w:eastAsia="Calibri"/>
                <w:bCs/>
                <w:iCs/>
                <w:sz w:val="22"/>
                <w:szCs w:val="22"/>
              </w:rPr>
              <w:t>Propozycja:</w:t>
            </w:r>
          </w:p>
          <w:p w14:paraId="7A01DAF5" w14:textId="6B9A09D7" w:rsidR="007B7682" w:rsidRPr="00D072D6" w:rsidRDefault="007B7682" w:rsidP="00654898">
            <w:pPr>
              <w:ind w:left="-5"/>
              <w:jc w:val="both"/>
              <w:rPr>
                <w:sz w:val="22"/>
                <w:szCs w:val="22"/>
              </w:rPr>
            </w:pPr>
            <w:r w:rsidRPr="00D072D6">
              <w:rPr>
                <w:rFonts w:eastAsia="Calibri"/>
                <w:b/>
                <w:i/>
                <w:sz w:val="22"/>
                <w:szCs w:val="22"/>
              </w:rPr>
              <w:t>§ 12.</w:t>
            </w:r>
            <w:r w:rsidRPr="00D072D6">
              <w:rPr>
                <w:rFonts w:eastAsia="Calibri"/>
                <w:i/>
                <w:sz w:val="22"/>
                <w:szCs w:val="22"/>
              </w:rPr>
              <w:t xml:space="preserve"> Obowiązkowi zapewnienia warunków dostępu i utrwalania oraz przygotowania technicznych i organizacyjnych warunków udostępniania danych, o których mowa w art. 45 ust. 1, oraz ich udostępniania, nie podlega przedsiębiorca telekomunikacyjny wykonujący działalność telekomunikacyjną polegającą </w:t>
            </w:r>
            <w:r w:rsidRPr="00D072D6">
              <w:rPr>
                <w:rFonts w:eastAsia="Calibri"/>
                <w:i/>
                <w:strike/>
                <w:sz w:val="22"/>
                <w:szCs w:val="22"/>
              </w:rPr>
              <w:t>wyłącznie</w:t>
            </w:r>
            <w:r w:rsidRPr="00D072D6">
              <w:rPr>
                <w:rFonts w:eastAsia="Calibri"/>
                <w:i/>
                <w:sz w:val="22"/>
                <w:szCs w:val="22"/>
              </w:rPr>
              <w:t xml:space="preserve"> na: </w:t>
            </w:r>
          </w:p>
          <w:p w14:paraId="3439EC6E" w14:textId="77777777" w:rsidR="007B7682" w:rsidRPr="00D072D6" w:rsidRDefault="007B7682" w:rsidP="00654898">
            <w:pPr>
              <w:numPr>
                <w:ilvl w:val="0"/>
                <w:numId w:val="14"/>
              </w:numPr>
              <w:spacing w:line="249" w:lineRule="auto"/>
              <w:ind w:left="345" w:hanging="345"/>
              <w:jc w:val="both"/>
              <w:rPr>
                <w:sz w:val="22"/>
                <w:szCs w:val="22"/>
              </w:rPr>
            </w:pPr>
            <w:r w:rsidRPr="00D072D6">
              <w:rPr>
                <w:rFonts w:eastAsia="Calibri"/>
                <w:i/>
                <w:sz w:val="22"/>
                <w:szCs w:val="22"/>
              </w:rPr>
              <w:t xml:space="preserve">świadczeniu powiązanych usług; </w:t>
            </w:r>
          </w:p>
          <w:p w14:paraId="6BE4029A" w14:textId="77777777" w:rsidR="00FF500F" w:rsidRPr="00D072D6" w:rsidRDefault="007B7682" w:rsidP="00654898">
            <w:pPr>
              <w:numPr>
                <w:ilvl w:val="0"/>
                <w:numId w:val="14"/>
              </w:numPr>
              <w:spacing w:line="249" w:lineRule="auto"/>
              <w:ind w:left="345" w:hanging="345"/>
              <w:jc w:val="both"/>
              <w:rPr>
                <w:sz w:val="22"/>
                <w:szCs w:val="22"/>
              </w:rPr>
            </w:pPr>
            <w:r w:rsidRPr="00D072D6">
              <w:rPr>
                <w:rFonts w:eastAsia="Calibri"/>
                <w:i/>
                <w:sz w:val="22"/>
                <w:szCs w:val="22"/>
              </w:rPr>
              <w:t>rozpowszechnianiu lub rozprowadzaniu programów radiofonicznych lub telewizyjnych;</w:t>
            </w:r>
          </w:p>
          <w:p w14:paraId="3AF7CF38" w14:textId="3AF141B9" w:rsidR="00D814AA" w:rsidRPr="00D072D6" w:rsidRDefault="007B7682" w:rsidP="00654898">
            <w:pPr>
              <w:numPr>
                <w:ilvl w:val="0"/>
                <w:numId w:val="14"/>
              </w:numPr>
              <w:spacing w:line="249" w:lineRule="auto"/>
              <w:ind w:left="345" w:hanging="345"/>
              <w:jc w:val="both"/>
              <w:rPr>
                <w:sz w:val="22"/>
                <w:szCs w:val="22"/>
              </w:rPr>
            </w:pPr>
            <w:r w:rsidRPr="00D072D6">
              <w:rPr>
                <w:rFonts w:eastAsia="Calibri"/>
                <w:i/>
                <w:sz w:val="22"/>
                <w:szCs w:val="22"/>
              </w:rPr>
              <w:t>świadczeniu usługi transmisyjnej stosowanej na potrzeby świadczenia usługi komunikacji maszyna – maszyna</w:t>
            </w:r>
            <w:r w:rsidRPr="00D072D6">
              <w:rPr>
                <w:rFonts w:eastAsia="Calibri"/>
                <w:b/>
                <w:i/>
                <w:sz w:val="22"/>
                <w:szCs w:val="22"/>
              </w:rPr>
              <w:t>;</w:t>
            </w:r>
          </w:p>
          <w:p w14:paraId="2D300284" w14:textId="3E396581" w:rsidR="007B7682" w:rsidRPr="00D072D6" w:rsidRDefault="007B7682" w:rsidP="00654898">
            <w:pPr>
              <w:spacing w:line="249" w:lineRule="auto"/>
              <w:jc w:val="both"/>
              <w:rPr>
                <w:sz w:val="22"/>
                <w:szCs w:val="22"/>
              </w:rPr>
            </w:pPr>
            <w:r w:rsidRPr="00D072D6">
              <w:rPr>
                <w:rFonts w:eastAsia="Calibri"/>
                <w:b/>
                <w:i/>
                <w:sz w:val="22"/>
                <w:szCs w:val="22"/>
              </w:rPr>
              <w:t xml:space="preserve">– w zakresie ww. usług. </w:t>
            </w:r>
          </w:p>
          <w:p w14:paraId="25DD5187" w14:textId="77777777" w:rsidR="007B7682" w:rsidRPr="00D072D6" w:rsidRDefault="007B7682" w:rsidP="00654898">
            <w:pPr>
              <w:spacing w:line="259" w:lineRule="auto"/>
              <w:ind w:left="-5" w:right="5298"/>
              <w:jc w:val="both"/>
              <w:rPr>
                <w:sz w:val="22"/>
                <w:szCs w:val="22"/>
              </w:rPr>
            </w:pPr>
            <w:r w:rsidRPr="00D072D6">
              <w:rPr>
                <w:rFonts w:eastAsia="Calibri"/>
                <w:sz w:val="22"/>
                <w:szCs w:val="22"/>
                <w:u w:val="single" w:color="000000"/>
              </w:rPr>
              <w:t>Uzasadnienie:</w:t>
            </w:r>
            <w:r w:rsidRPr="00D072D6">
              <w:rPr>
                <w:rFonts w:eastAsia="Calibri"/>
                <w:sz w:val="22"/>
                <w:szCs w:val="22"/>
              </w:rPr>
              <w:t xml:space="preserve">  </w:t>
            </w:r>
          </w:p>
          <w:p w14:paraId="2381B8F7" w14:textId="046ECA3D" w:rsidR="007B7682" w:rsidRPr="00D072D6" w:rsidRDefault="007B7682" w:rsidP="00654898">
            <w:pPr>
              <w:ind w:left="-5"/>
              <w:jc w:val="both"/>
              <w:rPr>
                <w:sz w:val="22"/>
                <w:szCs w:val="22"/>
              </w:rPr>
            </w:pPr>
            <w:r w:rsidRPr="00D072D6">
              <w:rPr>
                <w:sz w:val="22"/>
                <w:szCs w:val="22"/>
              </w:rPr>
              <w:t xml:space="preserve">Wyłączeniem wskazanym w par. 12 powinni być objęci również przedsiębiorcy telekomunikacyjni, świadczący usługi wskazane w wyliczeniu obok innych usług, w zakresie dotyczącym wskazanych usług. Obowiązki z zakresu warunków dostępu i utrwalenia nie dotyczą usług wskazanych w wyliczeniu niezależnie od pozostałego usług świadczonych przez przedsiębiorców. Z uwagi na powyższe Izba wnosi </w:t>
            </w:r>
            <w:r w:rsidRPr="00D072D6">
              <w:rPr>
                <w:rFonts w:eastAsia="Calibri"/>
                <w:sz w:val="22"/>
                <w:szCs w:val="22"/>
              </w:rPr>
              <w:t xml:space="preserve">o doprecyzowanie ww. przepisu.  </w:t>
            </w:r>
          </w:p>
        </w:tc>
        <w:tc>
          <w:tcPr>
            <w:tcW w:w="4395" w:type="dxa"/>
            <w:tcBorders>
              <w:bottom w:val="single" w:sz="4" w:space="0" w:color="auto"/>
            </w:tcBorders>
          </w:tcPr>
          <w:p w14:paraId="570BF494" w14:textId="31008100" w:rsidR="007B7682" w:rsidRPr="00D072D6" w:rsidRDefault="00D814AA" w:rsidP="00654898">
            <w:pPr>
              <w:pStyle w:val="Bezodstpw"/>
              <w:jc w:val="both"/>
              <w:rPr>
                <w:rFonts w:ascii="Times New Roman" w:hAnsi="Times New Roman" w:cs="Times New Roman"/>
                <w:b/>
                <w:bCs/>
              </w:rPr>
            </w:pPr>
            <w:r w:rsidRPr="00D072D6">
              <w:rPr>
                <w:rFonts w:ascii="Times New Roman" w:hAnsi="Times New Roman" w:cs="Times New Roman"/>
                <w:b/>
                <w:bCs/>
              </w:rPr>
              <w:t>Uwaga uwzględniona kierunkowo</w:t>
            </w:r>
          </w:p>
          <w:p w14:paraId="42A199D9" w14:textId="7149DC34" w:rsidR="00D814AA" w:rsidRPr="00D072D6" w:rsidRDefault="00D814AA" w:rsidP="00654898">
            <w:pPr>
              <w:pStyle w:val="Bezodstpw"/>
              <w:jc w:val="both"/>
              <w:rPr>
                <w:rFonts w:ascii="Times New Roman" w:hAnsi="Times New Roman" w:cs="Times New Roman"/>
              </w:rPr>
            </w:pPr>
            <w:r w:rsidRPr="00D072D6">
              <w:rPr>
                <w:rFonts w:ascii="Times New Roman" w:hAnsi="Times New Roman" w:cs="Times New Roman"/>
              </w:rPr>
              <w:t>Proponuje się analogiczny przepis jak w</w:t>
            </w:r>
            <w:r w:rsidR="00ED4BD5">
              <w:rPr>
                <w:rFonts w:ascii="Times New Roman" w:hAnsi="Times New Roman" w:cs="Times New Roman"/>
              </w:rPr>
              <w:t> </w:t>
            </w:r>
            <w:r w:rsidR="00B70CBE" w:rsidRPr="00D072D6">
              <w:rPr>
                <w:rFonts w:ascii="Times New Roman" w:hAnsi="Times New Roman" w:cs="Times New Roman"/>
              </w:rPr>
              <w:t xml:space="preserve">projekcie </w:t>
            </w:r>
            <w:r w:rsidRPr="00D072D6">
              <w:rPr>
                <w:rFonts w:ascii="Times New Roman" w:hAnsi="Times New Roman" w:cs="Times New Roman"/>
              </w:rPr>
              <w:t>rozporządzenia</w:t>
            </w:r>
            <w:r w:rsidR="00B70CBE" w:rsidRPr="00D072D6">
              <w:rPr>
                <w:rFonts w:ascii="Times New Roman" w:hAnsi="Times New Roman" w:cs="Times New Roman"/>
              </w:rPr>
              <w:t xml:space="preserve"> Ministra Cyfryzacji w sprawie szczegółowego wykazu danych podlegających obowiązkowi zatrzymywania i przechowywania oraz rodzaju przedsiębiorców telekomunikacyjnych niepodlegających obowiązkowi zatrzymywania i</w:t>
            </w:r>
            <w:r w:rsidR="00ED4BD5">
              <w:rPr>
                <w:rFonts w:ascii="Times New Roman" w:hAnsi="Times New Roman" w:cs="Times New Roman"/>
              </w:rPr>
              <w:t> </w:t>
            </w:r>
            <w:r w:rsidR="00B70CBE" w:rsidRPr="00D072D6">
              <w:rPr>
                <w:rFonts w:ascii="Times New Roman" w:hAnsi="Times New Roman" w:cs="Times New Roman"/>
              </w:rPr>
              <w:t>przechowywania tych danych</w:t>
            </w:r>
            <w:r w:rsidRPr="00D072D6">
              <w:rPr>
                <w:rFonts w:ascii="Times New Roman" w:hAnsi="Times New Roman" w:cs="Times New Roman"/>
              </w:rPr>
              <w:t xml:space="preserve"> (art. 49 ust. 2 P</w:t>
            </w:r>
            <w:r w:rsidR="00B70CBE" w:rsidRPr="00D072D6">
              <w:rPr>
                <w:rFonts w:ascii="Times New Roman" w:hAnsi="Times New Roman" w:cs="Times New Roman"/>
              </w:rPr>
              <w:t>KE</w:t>
            </w:r>
            <w:r w:rsidRPr="00D072D6">
              <w:rPr>
                <w:rFonts w:ascii="Times New Roman" w:hAnsi="Times New Roman" w:cs="Times New Roman"/>
              </w:rPr>
              <w:t>)</w:t>
            </w:r>
            <w:r w:rsidR="00FF500F" w:rsidRPr="00D072D6">
              <w:rPr>
                <w:rFonts w:ascii="Times New Roman" w:hAnsi="Times New Roman" w:cs="Times New Roman"/>
              </w:rPr>
              <w:t>, co zostało ustalone w trakcie warsztatów</w:t>
            </w:r>
            <w:r w:rsidR="003747A4" w:rsidRPr="00D072D6">
              <w:rPr>
                <w:rFonts w:ascii="Times New Roman" w:hAnsi="Times New Roman" w:cs="Times New Roman"/>
              </w:rPr>
              <w:t xml:space="preserve"> zorganizowanych przez projektodawcę z przedstawicielami z</w:t>
            </w:r>
            <w:r w:rsidR="00ED4BD5">
              <w:rPr>
                <w:rFonts w:ascii="Times New Roman" w:hAnsi="Times New Roman" w:cs="Times New Roman"/>
              </w:rPr>
              <w:t> </w:t>
            </w:r>
            <w:r w:rsidR="003747A4" w:rsidRPr="00D072D6">
              <w:rPr>
                <w:rFonts w:ascii="Times New Roman" w:hAnsi="Times New Roman" w:cs="Times New Roman"/>
              </w:rPr>
              <w:t>udziałem przedstawicieli uprawnionych podmiotów i przedsiębiorców telekomunikacyjnych</w:t>
            </w:r>
            <w:r w:rsidR="00FF500F" w:rsidRPr="00D072D6">
              <w:rPr>
                <w:rFonts w:ascii="Times New Roman" w:hAnsi="Times New Roman" w:cs="Times New Roman"/>
              </w:rPr>
              <w:t>.</w:t>
            </w:r>
          </w:p>
        </w:tc>
      </w:tr>
      <w:tr w:rsidR="00561C9F" w:rsidRPr="00D072D6" w14:paraId="252723B9" w14:textId="77777777" w:rsidTr="00654898">
        <w:tc>
          <w:tcPr>
            <w:tcW w:w="594" w:type="dxa"/>
            <w:tcBorders>
              <w:bottom w:val="single" w:sz="4" w:space="0" w:color="auto"/>
            </w:tcBorders>
          </w:tcPr>
          <w:p w14:paraId="6FB81BF4" w14:textId="77777777" w:rsidR="00561C9F" w:rsidRPr="00D072D6" w:rsidRDefault="00561C9F"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05156026" w14:textId="0C6F7EF0" w:rsidR="00561C9F" w:rsidRPr="00D072D6" w:rsidRDefault="00561C9F" w:rsidP="00654898">
            <w:pPr>
              <w:pStyle w:val="Bezodstpw"/>
              <w:jc w:val="center"/>
              <w:rPr>
                <w:rFonts w:ascii="Times New Roman" w:hAnsi="Times New Roman" w:cs="Times New Roman"/>
              </w:rPr>
            </w:pPr>
            <w:r w:rsidRPr="00D072D6">
              <w:rPr>
                <w:rFonts w:ascii="Times New Roman" w:hAnsi="Times New Roman" w:cs="Times New Roman"/>
              </w:rPr>
              <w:t>§ 12</w:t>
            </w:r>
          </w:p>
        </w:tc>
        <w:tc>
          <w:tcPr>
            <w:tcW w:w="1669" w:type="dxa"/>
            <w:tcBorders>
              <w:bottom w:val="single" w:sz="4" w:space="0" w:color="auto"/>
            </w:tcBorders>
          </w:tcPr>
          <w:p w14:paraId="201632B3" w14:textId="60E1AEC4" w:rsidR="00561C9F" w:rsidRPr="00D072D6" w:rsidRDefault="00561C9F" w:rsidP="00654898">
            <w:pPr>
              <w:pStyle w:val="Bezodstpw"/>
              <w:jc w:val="center"/>
              <w:rPr>
                <w:rFonts w:ascii="Times New Roman" w:hAnsi="Times New Roman" w:cs="Times New Roman"/>
                <w:b/>
                <w:bCs/>
              </w:rPr>
            </w:pPr>
            <w:r w:rsidRPr="00D072D6">
              <w:rPr>
                <w:rFonts w:ascii="Times New Roman" w:hAnsi="Times New Roman" w:cs="Times New Roman"/>
                <w:b/>
                <w:bCs/>
              </w:rPr>
              <w:t>Open Allies</w:t>
            </w:r>
          </w:p>
        </w:tc>
        <w:tc>
          <w:tcPr>
            <w:tcW w:w="7105" w:type="dxa"/>
            <w:tcBorders>
              <w:bottom w:val="single" w:sz="4" w:space="0" w:color="auto"/>
            </w:tcBorders>
          </w:tcPr>
          <w:p w14:paraId="4B3294D5"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 xml:space="preserve"> OA zwraca się o modyfikację projektu w ten sposób, aby uwzględniały one uwarunkowania, w jakich funkcjonują operatorzy wyłącznie hurtowi świadczący m.in. usługę BSA na sieci stacjonarnej, tj. przedsiębiorcy telekomunikacyjni nieświadczący abonentom usług detalicznych dostępu do Internetu.</w:t>
            </w:r>
          </w:p>
          <w:p w14:paraId="7335323B"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 xml:space="preserve">Przedmiotem Projektu jest zapewnienie warunków technicznych i organizacyjnych „dostępu i utrwalania”. W ramach tego obowiązku przedsiębiorcy telekomunikacyjni są obowiązani zapewnić warunki dostępu i utrwalania m.in. do komunikatów elektronicznych przesyłanych w ramach świadczonej publicznie dostępnej usługi telekomunikacyjnej, danych </w:t>
            </w:r>
            <w:r w:rsidRPr="00D072D6">
              <w:rPr>
                <w:rFonts w:eastAsia="Calibri"/>
                <w:bCs/>
                <w:iCs/>
                <w:sz w:val="22"/>
                <w:szCs w:val="22"/>
              </w:rPr>
              <w:lastRenderedPageBreak/>
              <w:t xml:space="preserve">abonentów związanych z komunikatami elektronicznymi (w tym danych takich jak imię i nazwisko abonenta, PESEL abonenta lub NIP). Przedsiębiorcy są ponadto zobowiązani do umożliwienia uprawnionym podmiotom utrwalania komunikatów elektronicznych i innych danych. </w:t>
            </w:r>
          </w:p>
          <w:p w14:paraId="5AD4F3B3"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 xml:space="preserve">Przedsiębiorcy telekomunikacyjni świadczący usługi hurtowego dostępu szerokopasmowego, co do zasady, nie mają technicznych możliwości zapewnienia warunków dostępu i utrwalania, o których mowa w art. 43 ust. 1 ustawy Prawo komunikacji elektronicznej oraz w Projekcie. W szczególności, nie mają takich możliwości świadcząc najbardziej popularną usługę „BSA Ethernet”. </w:t>
            </w:r>
          </w:p>
          <w:p w14:paraId="3695F404"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Mając na uwadze argumenty przedstawione w trakcie spotkania z dnia 23 września 2025 r. w siedzibie Ministerstwa Cyfryzacji, zwracamy się o wprowadzenie regulacji, zgodnie z którą wyłączenie obowiązków będzie przedmiotowe, a nie podmiotowe. Wyłączenie mogłoby brzmieć: „</w:t>
            </w:r>
            <w:r w:rsidRPr="00D072D6">
              <w:rPr>
                <w:rFonts w:eastAsia="Calibri"/>
                <w:bCs/>
                <w:i/>
                <w:iCs/>
                <w:sz w:val="22"/>
                <w:szCs w:val="22"/>
              </w:rPr>
              <w:t>obowiązki przewidziane w rozporządzeniu nie obejmują hurtowych usług szerokopasmowego dostępu telekomunikacyjnego świadczonych w sieci stacjonarnej</w:t>
            </w:r>
            <w:r w:rsidRPr="00D072D6">
              <w:rPr>
                <w:rFonts w:eastAsia="Calibri"/>
                <w:bCs/>
                <w:iCs/>
                <w:sz w:val="22"/>
                <w:szCs w:val="22"/>
              </w:rPr>
              <w:t xml:space="preserve">”. </w:t>
            </w:r>
          </w:p>
          <w:p w14:paraId="31BF1D10"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 xml:space="preserve">W praktyce, gdyby przedsiębiorcy telekomunikacyjni w zakresie, w jakim świadczą telekomunikacyjne usługi hurtowe, byli zobowiązani do współpracy z uprawnionymi podmiotami w związku z obowiązkiem, o którym mowa w art. 43 ust. 1 PKE, co do zasady musieliby zwracać się do współpracujących dostawców usług (przedsiębiorców telekomunikacyjnych świadczących usługi detaliczne) o żądane informacje. Nakładanie na operatora hurtowego obowiązku pozyskiwania tych danych od swoich partnerów biznesowych w celu przekazania ich uprawnionym organom byłoby nieefektywne, generowałoby niepotrzebną biurokrację i wydłużało czas realizacji zapytań. Obowiązek ten powinien spoczywać wyłącznie na podmiocie, który ma bezpośrednią relację z abonentem i jest administratorem jego danych osobowych. </w:t>
            </w:r>
          </w:p>
          <w:p w14:paraId="3FFE56C5"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Wyłączenia w § 12 Projektu kontynuują model wyłączeń ustalony w analogicznym (i wciąż obowiązującym) rozporządzeniu Rady Ministrów z dnia 13 września 2005 r. w sprawie wypełniania przez przedsiębiorców telekomunikacyjnych zadań i obowiązków na rzecz obronności, bezpieczeństwa państwa oraz bezpieczeństwa i porządku publicznego. Katalog wyłączeń został poszerzony (słusznie, lecz niewystarczająco) o usługi transmisyjne stosowane na potrzeby świadczenia usługi komunikacji maszyna – maszyna. Zwracamy się o aktualizację katalogu o inne usługi telekomunikacyjne, które nie powinny podlegać obowiązkowi zapewnienia dostępu i utrwalania.</w:t>
            </w:r>
          </w:p>
          <w:p w14:paraId="03D9994A"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t xml:space="preserve">Usługi hurtowego dostępu szerokopasmowego obecnie są świadczone przez liczne podmioty na rynku. Liczba hurtowych usług szerokopasmowych obecnie jest liczona w milionach i stanowi znaczący udział rynkowy. </w:t>
            </w:r>
          </w:p>
          <w:p w14:paraId="4DDA6A73" w14:textId="77777777" w:rsidR="00561C9F" w:rsidRPr="00D072D6" w:rsidRDefault="00561C9F" w:rsidP="00654898">
            <w:pPr>
              <w:ind w:left="-5"/>
              <w:jc w:val="both"/>
              <w:rPr>
                <w:rFonts w:eastAsia="Calibri"/>
                <w:bCs/>
                <w:iCs/>
                <w:sz w:val="22"/>
                <w:szCs w:val="22"/>
              </w:rPr>
            </w:pPr>
            <w:r w:rsidRPr="00D072D6">
              <w:rPr>
                <w:rFonts w:eastAsia="Calibri"/>
                <w:bCs/>
                <w:iCs/>
                <w:sz w:val="22"/>
                <w:szCs w:val="22"/>
              </w:rPr>
              <w:lastRenderedPageBreak/>
              <w:t xml:space="preserve">Przedstawiciele stacjonarnych operatorów usług szerokopasmowych popierają działania mające na celu zwiększenie bezpieczeństwa państwa, jednak apelują o takie ukształtowanie przepisów wykonawczych, które nie stanie się barierą dla dalszego rozwoju sieci i usług telekomunikacyjnych w Polsce. W przypadku hurtowych usług szerokopasmowego dostępu telekomunikacyjnego, w szczególności w przypadku usługi BSA na poziomie Ethernet, dane, o których mowa w art. 43 ust. 1 PKE powinny być zapewniane uprawnionym podmiotom przez dostawców usług. </w:t>
            </w:r>
          </w:p>
          <w:p w14:paraId="0EA3CCE7" w14:textId="4F328AF4" w:rsidR="00561C9F" w:rsidRPr="00D072D6" w:rsidRDefault="00561C9F" w:rsidP="00654898">
            <w:pPr>
              <w:ind w:left="-5"/>
              <w:jc w:val="both"/>
              <w:rPr>
                <w:rFonts w:eastAsia="Calibri"/>
                <w:bCs/>
                <w:iCs/>
                <w:sz w:val="22"/>
                <w:szCs w:val="22"/>
              </w:rPr>
            </w:pPr>
            <w:r w:rsidRPr="00D072D6">
              <w:rPr>
                <w:rFonts w:eastAsia="Calibri"/>
                <w:bCs/>
                <w:iCs/>
                <w:sz w:val="22"/>
                <w:szCs w:val="22"/>
              </w:rPr>
              <w:t>Mając na uwadze powyższe, liczymy na uwzględnienie naszej propozycji, a w przypadku pytań lub wątpliwości, na konstruktywną dyskusję na zapowiedzianym przez Ministerstwo Cyfryzacji spotkaniu poświęconemu obowiązkom operatorów hurtowych.</w:t>
            </w:r>
          </w:p>
        </w:tc>
        <w:tc>
          <w:tcPr>
            <w:tcW w:w="4395" w:type="dxa"/>
            <w:tcBorders>
              <w:bottom w:val="single" w:sz="4" w:space="0" w:color="auto"/>
            </w:tcBorders>
          </w:tcPr>
          <w:p w14:paraId="0D8F0B5F" w14:textId="77777777" w:rsidR="00561C9F" w:rsidRPr="00D072D6" w:rsidRDefault="00FF500F"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uwzględniona</w:t>
            </w:r>
          </w:p>
          <w:p w14:paraId="3CF88585" w14:textId="755A44F0" w:rsidR="00FF500F" w:rsidRPr="00D072D6" w:rsidRDefault="00FF500F" w:rsidP="00654898">
            <w:pPr>
              <w:pStyle w:val="Bezodstpw"/>
              <w:jc w:val="both"/>
              <w:rPr>
                <w:rFonts w:ascii="Times New Roman" w:hAnsi="Times New Roman" w:cs="Times New Roman"/>
              </w:rPr>
            </w:pPr>
            <w:r w:rsidRPr="00D072D6">
              <w:rPr>
                <w:rFonts w:ascii="Times New Roman" w:hAnsi="Times New Roman" w:cs="Times New Roman"/>
              </w:rPr>
              <w:t>Dodano przepisy wyłączające spod obowiązków dostawców usług hurtowych.</w:t>
            </w:r>
          </w:p>
        </w:tc>
      </w:tr>
      <w:tr w:rsidR="007B7682" w:rsidRPr="00D072D6" w14:paraId="2F6E786B" w14:textId="77777777" w:rsidTr="00654898">
        <w:tc>
          <w:tcPr>
            <w:tcW w:w="594" w:type="dxa"/>
            <w:tcBorders>
              <w:bottom w:val="single" w:sz="4" w:space="0" w:color="auto"/>
            </w:tcBorders>
          </w:tcPr>
          <w:p w14:paraId="29AE75D8" w14:textId="77777777" w:rsidR="007B7682" w:rsidRPr="00D072D6" w:rsidRDefault="007B7682"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24EB9BF0" w14:textId="444A11A1" w:rsidR="007B7682" w:rsidRPr="00D072D6" w:rsidRDefault="007B7682" w:rsidP="00654898">
            <w:pPr>
              <w:pStyle w:val="Bezodstpw"/>
              <w:jc w:val="center"/>
              <w:rPr>
                <w:rFonts w:ascii="Times New Roman" w:hAnsi="Times New Roman" w:cs="Times New Roman"/>
              </w:rPr>
            </w:pPr>
            <w:r w:rsidRPr="00D072D6">
              <w:rPr>
                <w:rFonts w:ascii="Times New Roman" w:hAnsi="Times New Roman" w:cs="Times New Roman"/>
              </w:rPr>
              <w:t>§ 13</w:t>
            </w:r>
          </w:p>
        </w:tc>
        <w:tc>
          <w:tcPr>
            <w:tcW w:w="1669" w:type="dxa"/>
            <w:tcBorders>
              <w:bottom w:val="single" w:sz="4" w:space="0" w:color="auto"/>
            </w:tcBorders>
          </w:tcPr>
          <w:p w14:paraId="7DCA1010" w14:textId="278CDFD0" w:rsidR="007B7682" w:rsidRPr="00D072D6" w:rsidRDefault="007B7682" w:rsidP="00654898">
            <w:pPr>
              <w:pStyle w:val="Bezodstpw"/>
              <w:jc w:val="center"/>
              <w:rPr>
                <w:rFonts w:ascii="Times New Roman" w:hAnsi="Times New Roman" w:cs="Times New Roman"/>
                <w:b/>
                <w:bCs/>
              </w:rPr>
            </w:pPr>
            <w:r w:rsidRPr="00D072D6">
              <w:rPr>
                <w:rFonts w:ascii="Times New Roman" w:hAnsi="Times New Roman" w:cs="Times New Roman"/>
                <w:b/>
                <w:bCs/>
              </w:rPr>
              <w:t>Krajowa Izba Gospodarcza Elektroniki i Telekomunikacji</w:t>
            </w:r>
          </w:p>
        </w:tc>
        <w:tc>
          <w:tcPr>
            <w:tcW w:w="7105" w:type="dxa"/>
            <w:tcBorders>
              <w:bottom w:val="single" w:sz="4" w:space="0" w:color="auto"/>
            </w:tcBorders>
          </w:tcPr>
          <w:p w14:paraId="70447417" w14:textId="77777777" w:rsidR="007B7682" w:rsidRPr="00D072D6" w:rsidRDefault="007B7682" w:rsidP="00654898">
            <w:pPr>
              <w:pStyle w:val="ARTartustawynprozporzdzenia"/>
              <w:spacing w:before="0" w:line="240" w:lineRule="auto"/>
              <w:ind w:firstLine="0"/>
              <w:rPr>
                <w:rFonts w:ascii="Times New Roman" w:hAnsi="Times New Roman" w:cs="Times New Roman"/>
                <w:sz w:val="22"/>
                <w:szCs w:val="22"/>
              </w:rPr>
            </w:pPr>
            <w:r w:rsidRPr="00D072D6">
              <w:rPr>
                <w:rFonts w:ascii="Times New Roman" w:hAnsi="Times New Roman" w:cs="Times New Roman"/>
                <w:sz w:val="22"/>
                <w:szCs w:val="22"/>
              </w:rPr>
              <w:t>Proponuje się wydłużyć czas wejścia w życie rozporządzenia co najmniej do 36 miesięcy, w przypadku utrzymania wymogu posiadania Świadectwa bezpieczeństwa przemysłowego I stopnia lub do 24 miesięcy, jeśli ten wymóg będzie dotyczył Świadectwa Bezpieczeństwa Przemysłowego II stopnia.</w:t>
            </w:r>
          </w:p>
          <w:p w14:paraId="4BD739C3" w14:textId="0D268C99" w:rsidR="007B7682" w:rsidRPr="00D072D6" w:rsidRDefault="007B7682" w:rsidP="00654898">
            <w:pPr>
              <w:pStyle w:val="Bezodstpw"/>
              <w:jc w:val="both"/>
              <w:rPr>
                <w:rFonts w:ascii="Times New Roman" w:hAnsi="Times New Roman" w:cs="Times New Roman"/>
              </w:rPr>
            </w:pPr>
            <w:r w:rsidRPr="00D072D6">
              <w:rPr>
                <w:rFonts w:ascii="Times New Roman" w:hAnsi="Times New Roman" w:cs="Times New Roman"/>
              </w:rPr>
              <w:t>Ponadto taka zmiana jest zasadna tym bardziej w przypadku u</w:t>
            </w:r>
            <w:r w:rsidRPr="00D072D6">
              <w:rPr>
                <w:rFonts w:ascii="Times New Roman" w:eastAsia="Times New Roman" w:hAnsi="Times New Roman" w:cs="Times New Roman"/>
              </w:rPr>
              <w:t>trzymania treści § 4 ust. 3.</w:t>
            </w:r>
          </w:p>
        </w:tc>
        <w:tc>
          <w:tcPr>
            <w:tcW w:w="4395" w:type="dxa"/>
            <w:tcBorders>
              <w:bottom w:val="single" w:sz="4" w:space="0" w:color="auto"/>
            </w:tcBorders>
          </w:tcPr>
          <w:p w14:paraId="215C483D" w14:textId="39D6F345" w:rsidR="007B7682" w:rsidRPr="00D072D6" w:rsidRDefault="00FF500F" w:rsidP="00654898">
            <w:pPr>
              <w:pStyle w:val="Bezodstpw"/>
              <w:jc w:val="both"/>
              <w:rPr>
                <w:rFonts w:ascii="Times New Roman" w:hAnsi="Times New Roman" w:cs="Times New Roman"/>
                <w:b/>
                <w:bCs/>
              </w:rPr>
            </w:pPr>
            <w:r w:rsidRPr="00D072D6">
              <w:rPr>
                <w:rFonts w:ascii="Times New Roman" w:hAnsi="Times New Roman" w:cs="Times New Roman"/>
                <w:b/>
                <w:bCs/>
              </w:rPr>
              <w:t>Uwaga nieaktualna</w:t>
            </w:r>
          </w:p>
          <w:p w14:paraId="0D97B42A" w14:textId="24B72D27" w:rsidR="000D2310" w:rsidRPr="00D072D6" w:rsidRDefault="000D2310" w:rsidP="00654898">
            <w:pPr>
              <w:pStyle w:val="Bezodstpw"/>
              <w:jc w:val="both"/>
              <w:rPr>
                <w:rFonts w:ascii="Times New Roman" w:hAnsi="Times New Roman" w:cs="Times New Roman"/>
              </w:rPr>
            </w:pPr>
            <w:r w:rsidRPr="00D072D6">
              <w:rPr>
                <w:rFonts w:ascii="Times New Roman" w:hAnsi="Times New Roman" w:cs="Times New Roman"/>
              </w:rPr>
              <w:t xml:space="preserve">Zrezygnowano z treści § 4 ust. 3 </w:t>
            </w:r>
            <w:r w:rsidR="00B70CBE" w:rsidRPr="00D072D6">
              <w:rPr>
                <w:rFonts w:ascii="Times New Roman" w:hAnsi="Times New Roman" w:cs="Times New Roman"/>
              </w:rPr>
              <w:t xml:space="preserve">projektowanego rozporządzenia </w:t>
            </w:r>
            <w:r w:rsidRPr="00D072D6">
              <w:rPr>
                <w:rFonts w:ascii="Times New Roman" w:hAnsi="Times New Roman" w:cs="Times New Roman"/>
              </w:rPr>
              <w:t>nakładającego na urządzenia przedsiębiorcy posiadanie ochrony informacji niejawnych o</w:t>
            </w:r>
            <w:r w:rsidR="00ED4BD5">
              <w:rPr>
                <w:rFonts w:ascii="Times New Roman" w:hAnsi="Times New Roman" w:cs="Times New Roman"/>
              </w:rPr>
              <w:t> </w:t>
            </w:r>
            <w:r w:rsidRPr="00D072D6">
              <w:rPr>
                <w:rFonts w:ascii="Times New Roman" w:hAnsi="Times New Roman" w:cs="Times New Roman"/>
              </w:rPr>
              <w:t>klauzuli „tajne”.</w:t>
            </w:r>
          </w:p>
          <w:p w14:paraId="1ACFC2BC" w14:textId="6ED4C8DC" w:rsidR="00FF500F" w:rsidRPr="00D072D6" w:rsidRDefault="00FF500F" w:rsidP="00654898">
            <w:pPr>
              <w:pStyle w:val="Bezodstpw"/>
              <w:jc w:val="both"/>
              <w:rPr>
                <w:rFonts w:ascii="Times New Roman" w:hAnsi="Times New Roman" w:cs="Times New Roman"/>
              </w:rPr>
            </w:pPr>
          </w:p>
        </w:tc>
      </w:tr>
      <w:tr w:rsidR="007B7682" w:rsidRPr="00D072D6" w14:paraId="2D37FBB6" w14:textId="77777777" w:rsidTr="00654898">
        <w:tc>
          <w:tcPr>
            <w:tcW w:w="594" w:type="dxa"/>
            <w:tcBorders>
              <w:bottom w:val="single" w:sz="4" w:space="0" w:color="auto"/>
            </w:tcBorders>
          </w:tcPr>
          <w:p w14:paraId="28A4C4A3" w14:textId="77777777" w:rsidR="007B7682" w:rsidRPr="00D072D6" w:rsidRDefault="007B7682" w:rsidP="00654898">
            <w:pPr>
              <w:pStyle w:val="Bezodstpw"/>
              <w:numPr>
                <w:ilvl w:val="0"/>
                <w:numId w:val="2"/>
              </w:numPr>
              <w:ind w:left="171" w:hanging="171"/>
              <w:jc w:val="center"/>
              <w:rPr>
                <w:rFonts w:ascii="Times New Roman" w:hAnsi="Times New Roman" w:cs="Times New Roman"/>
              </w:rPr>
            </w:pPr>
          </w:p>
        </w:tc>
        <w:tc>
          <w:tcPr>
            <w:tcW w:w="1400" w:type="dxa"/>
            <w:tcBorders>
              <w:bottom w:val="single" w:sz="4" w:space="0" w:color="auto"/>
            </w:tcBorders>
          </w:tcPr>
          <w:p w14:paraId="54185943" w14:textId="0881C0AC" w:rsidR="007B7682" w:rsidRPr="00D072D6" w:rsidRDefault="007B7682" w:rsidP="00654898">
            <w:pPr>
              <w:pStyle w:val="Bezodstpw"/>
              <w:jc w:val="center"/>
              <w:rPr>
                <w:rFonts w:ascii="Times New Roman" w:hAnsi="Times New Roman" w:cs="Times New Roman"/>
              </w:rPr>
            </w:pPr>
            <w:r w:rsidRPr="00D072D6">
              <w:rPr>
                <w:rFonts w:ascii="Times New Roman" w:hAnsi="Times New Roman" w:cs="Times New Roman"/>
              </w:rPr>
              <w:t>§ 13</w:t>
            </w:r>
          </w:p>
        </w:tc>
        <w:tc>
          <w:tcPr>
            <w:tcW w:w="1669" w:type="dxa"/>
            <w:tcBorders>
              <w:bottom w:val="single" w:sz="4" w:space="0" w:color="auto"/>
            </w:tcBorders>
          </w:tcPr>
          <w:p w14:paraId="45253415" w14:textId="1E7300FC" w:rsidR="007B7682" w:rsidRPr="00D072D6" w:rsidRDefault="007B7682" w:rsidP="00654898">
            <w:pPr>
              <w:pStyle w:val="Bezodstpw"/>
              <w:jc w:val="center"/>
              <w:rPr>
                <w:rFonts w:ascii="Times New Roman" w:hAnsi="Times New Roman" w:cs="Times New Roman"/>
                <w:b/>
                <w:bCs/>
              </w:rPr>
            </w:pPr>
            <w:r w:rsidRPr="00D072D6">
              <w:rPr>
                <w:rFonts w:ascii="Times New Roman" w:hAnsi="Times New Roman" w:cs="Times New Roman"/>
                <w:b/>
                <w:bCs/>
              </w:rPr>
              <w:t>Polska Izba Informatyki i Telekomunikacji</w:t>
            </w:r>
          </w:p>
        </w:tc>
        <w:tc>
          <w:tcPr>
            <w:tcW w:w="7105" w:type="dxa"/>
            <w:tcBorders>
              <w:bottom w:val="single" w:sz="4" w:space="0" w:color="auto"/>
            </w:tcBorders>
          </w:tcPr>
          <w:p w14:paraId="57C04A29" w14:textId="77777777" w:rsidR="007B7682" w:rsidRPr="00D072D6" w:rsidRDefault="007B7682" w:rsidP="00654898">
            <w:pPr>
              <w:ind w:left="-5"/>
              <w:jc w:val="both"/>
              <w:rPr>
                <w:sz w:val="22"/>
                <w:szCs w:val="22"/>
              </w:rPr>
            </w:pPr>
            <w:r w:rsidRPr="00D072D6">
              <w:rPr>
                <w:sz w:val="22"/>
                <w:szCs w:val="22"/>
              </w:rPr>
              <w:t xml:space="preserve">Pragniemy zauważyć, że w przypadku braku uwzględnienia zgłaszanych uwag określony w </w:t>
            </w:r>
            <w:r w:rsidRPr="00D072D6">
              <w:rPr>
                <w:rFonts w:eastAsia="Calibri"/>
                <w:i/>
                <w:sz w:val="22"/>
                <w:szCs w:val="22"/>
              </w:rPr>
              <w:t xml:space="preserve">§ 13 </w:t>
            </w:r>
            <w:r w:rsidRPr="00D072D6">
              <w:rPr>
                <w:rFonts w:eastAsia="Calibri"/>
                <w:sz w:val="22"/>
                <w:szCs w:val="22"/>
              </w:rPr>
              <w:t xml:space="preserve">projektu </w:t>
            </w:r>
            <w:r w:rsidRPr="00D072D6">
              <w:rPr>
                <w:sz w:val="22"/>
                <w:szCs w:val="22"/>
              </w:rPr>
              <w:t>rozporządzenia Rady Ministrów w sprawie zapewnienia przez przedsiębiorcę telekomunikacyjnego warunków dostępu i utrwalania oraz przygotowania technicznych i organizacyjnych warunków udostępniania danych (RD 217) oraz</w:t>
            </w:r>
            <w:r w:rsidRPr="00D072D6">
              <w:rPr>
                <w:rFonts w:eastAsia="Calibri"/>
                <w:i/>
                <w:sz w:val="22"/>
                <w:szCs w:val="22"/>
              </w:rPr>
              <w:t xml:space="preserve"> § 2 </w:t>
            </w:r>
            <w:r w:rsidRPr="00D072D6">
              <w:rPr>
                <w:sz w:val="22"/>
                <w:szCs w:val="22"/>
              </w:rPr>
              <w:t>projektu rozporządzenia Rady Ministrów w sprawie wymagań technicznych i eksploatacyjnych dla interfejsów (RD215) odpowiednio 3 miesięczny oraz 14</w:t>
            </w:r>
            <w:r w:rsidRPr="00D072D6">
              <w:rPr>
                <w:rFonts w:eastAsia="Calibri"/>
                <w:sz w:val="22"/>
                <w:szCs w:val="22"/>
              </w:rPr>
              <w:t xml:space="preserve">-dniowy </w:t>
            </w:r>
            <w:r w:rsidRPr="00D072D6">
              <w:rPr>
                <w:sz w:val="22"/>
                <w:szCs w:val="22"/>
              </w:rPr>
              <w:t xml:space="preserve">okres vacatio legis jest terminem zbyt krótkim, niemożliwym do realizacji z perspektywy ewentualnej konieczności modyfikacji obecnie funkcjonujących rozwiązań teleinformatycznych po stronie uprawnionych podmiotów jak również przedsiębiorców telekomunikacyjnych. Termin ten jest niemożliwy do zachowania chociażby z uwagi na konieczność obowiązkowej certyfikacji bezpieczeństwa teleinformatycznego nowo wdrażanego systemu, który jak w przypadku rozwiązań wykorzystywanych przy zapewnieniu warunków dostępu i utrwalania, przetwarzają informacje niejawne, nie wspomniawszy o innych aspektach procesu wdrożeń IT takich jak proces projektowania, zakupu </w:t>
            </w:r>
            <w:r w:rsidRPr="00D072D6">
              <w:rPr>
                <w:rFonts w:eastAsia="Calibri"/>
                <w:sz w:val="22"/>
                <w:szCs w:val="22"/>
              </w:rPr>
              <w:t xml:space="preserve">i </w:t>
            </w:r>
            <w:r w:rsidRPr="00D072D6">
              <w:rPr>
                <w:sz w:val="22"/>
                <w:szCs w:val="22"/>
              </w:rPr>
              <w:t xml:space="preserve">testowania rozwiązań.  </w:t>
            </w:r>
            <w:r w:rsidRPr="00D072D6">
              <w:rPr>
                <w:rFonts w:eastAsia="Calibri"/>
                <w:sz w:val="22"/>
                <w:szCs w:val="22"/>
              </w:rPr>
              <w:t xml:space="preserve"> </w:t>
            </w:r>
          </w:p>
          <w:p w14:paraId="06E9E6F5" w14:textId="77777777" w:rsidR="007B7682" w:rsidRPr="00D072D6" w:rsidRDefault="007B7682" w:rsidP="00654898">
            <w:pPr>
              <w:ind w:left="-5"/>
              <w:jc w:val="both"/>
              <w:rPr>
                <w:sz w:val="22"/>
                <w:szCs w:val="22"/>
              </w:rPr>
            </w:pPr>
            <w:r w:rsidRPr="00D072D6">
              <w:rPr>
                <w:sz w:val="22"/>
                <w:szCs w:val="22"/>
              </w:rPr>
              <w:t xml:space="preserve">W ocenie Izby termin wejścia w życie rozporządzeń nie powinien być wcześniejszy niż termin </w:t>
            </w:r>
            <w:r w:rsidRPr="00D072D6">
              <w:rPr>
                <w:rFonts w:eastAsia="Calibri"/>
                <w:sz w:val="22"/>
                <w:szCs w:val="22"/>
              </w:rPr>
              <w:t xml:space="preserve"> </w:t>
            </w:r>
            <w:r w:rsidRPr="00D072D6">
              <w:rPr>
                <w:sz w:val="22"/>
                <w:szCs w:val="22"/>
              </w:rPr>
              <w:t xml:space="preserve">11 listopada 2026 r. i w zależności od ostatecznego kształtu projektowanych zmian i uwzględniania zgłaszanych w toku prac uwag odpowiednio dostosowany przy uwzględnieniu zakresu wymaganych </w:t>
            </w:r>
            <w:r w:rsidRPr="00D072D6">
              <w:rPr>
                <w:rFonts w:eastAsia="Calibri"/>
                <w:sz w:val="22"/>
                <w:szCs w:val="22"/>
              </w:rPr>
              <w:t xml:space="preserve">modyfikacji. </w:t>
            </w:r>
          </w:p>
          <w:p w14:paraId="564DF33C" w14:textId="77777777" w:rsidR="007B7682" w:rsidRPr="00D072D6" w:rsidRDefault="007B7682" w:rsidP="00654898">
            <w:pPr>
              <w:ind w:left="-5"/>
              <w:jc w:val="both"/>
              <w:rPr>
                <w:sz w:val="22"/>
                <w:szCs w:val="22"/>
              </w:rPr>
            </w:pPr>
            <w:r w:rsidRPr="00D072D6">
              <w:rPr>
                <w:sz w:val="22"/>
                <w:szCs w:val="22"/>
              </w:rPr>
              <w:lastRenderedPageBreak/>
              <w:t xml:space="preserve">W przypadku przyjęcia rozporządzenia w obecnym kształcie spełnienie w terminie do 11 listopada </w:t>
            </w:r>
            <w:r w:rsidRPr="00D072D6">
              <w:rPr>
                <w:rFonts w:eastAsia="Calibri"/>
                <w:sz w:val="22"/>
                <w:szCs w:val="22"/>
              </w:rPr>
              <w:t xml:space="preserve">2026 </w:t>
            </w:r>
            <w:r w:rsidRPr="00D072D6">
              <w:rPr>
                <w:sz w:val="22"/>
                <w:szCs w:val="22"/>
              </w:rPr>
              <w:t>r. wymagań technicznych i</w:t>
            </w:r>
            <w:r w:rsidRPr="00D072D6">
              <w:rPr>
                <w:rFonts w:eastAsia="Calibri"/>
                <w:sz w:val="22"/>
                <w:szCs w:val="22"/>
              </w:rPr>
              <w:t xml:space="preserve"> </w:t>
            </w:r>
            <w:r w:rsidRPr="00D072D6">
              <w:rPr>
                <w:sz w:val="22"/>
                <w:szCs w:val="22"/>
              </w:rPr>
              <w:t>eksploatacyjnych dla interfejsów określonych w załączniku do projektu rozporządzenia w sprawie wymagań technicznych i eksploatacyjnych dla interfejsów (RD215) jest obecnie już niemożliwe. Projekt rozporządzenia modyfikuje i wprowadza wersje nowszych norm, jednocześnie podkreślając, że „</w:t>
            </w:r>
            <w:r w:rsidRPr="00D072D6">
              <w:rPr>
                <w:rFonts w:eastAsia="Calibri"/>
                <w:i/>
                <w:sz w:val="22"/>
                <w:szCs w:val="22"/>
              </w:rPr>
              <w:t>Wymagania techniczne i eksploatacyjne określone w załączniku do rozporządzenia uznaje się za spełnione, gdy interfejsy są zgodne z normami i dokumentami, o których mowa w pkt 2 załącznika, w zakresie wskazanym w załączniku</w:t>
            </w:r>
            <w:r w:rsidRPr="00D072D6">
              <w:rPr>
                <w:sz w:val="22"/>
                <w:szCs w:val="22"/>
              </w:rPr>
              <w:t>”.</w:t>
            </w:r>
            <w:r w:rsidRPr="00D072D6">
              <w:rPr>
                <w:rFonts w:eastAsia="Calibri"/>
                <w:sz w:val="22"/>
                <w:szCs w:val="22"/>
              </w:rPr>
              <w:t xml:space="preserve"> </w:t>
            </w:r>
          </w:p>
          <w:p w14:paraId="4D03801A" w14:textId="45BE3288" w:rsidR="007B7682" w:rsidRPr="00D072D6" w:rsidRDefault="007B7682" w:rsidP="00654898">
            <w:pPr>
              <w:jc w:val="both"/>
              <w:rPr>
                <w:sz w:val="22"/>
                <w:szCs w:val="22"/>
              </w:rPr>
            </w:pPr>
            <w:r w:rsidRPr="00D072D6">
              <w:rPr>
                <w:rFonts w:eastAsia="Calibri"/>
                <w:sz w:val="22"/>
                <w:szCs w:val="22"/>
              </w:rPr>
              <w:t xml:space="preserve"> </w:t>
            </w:r>
            <w:r w:rsidRPr="00D072D6">
              <w:rPr>
                <w:sz w:val="22"/>
                <w:szCs w:val="22"/>
              </w:rPr>
              <w:t xml:space="preserve">W praktyce, aby zdążyć w tym terminie przedsiębiorcy powinni zamykać projekty wdrożeniowe </w:t>
            </w:r>
            <w:r w:rsidRPr="00D072D6">
              <w:rPr>
                <w:rFonts w:eastAsia="Calibri"/>
                <w:sz w:val="22"/>
                <w:szCs w:val="22"/>
              </w:rPr>
              <w:t xml:space="preserve">i </w:t>
            </w:r>
            <w:r w:rsidRPr="00D072D6">
              <w:rPr>
                <w:sz w:val="22"/>
                <w:szCs w:val="22"/>
              </w:rPr>
              <w:t xml:space="preserve">rozpoczynać obowiązkową certyfikację bezpieczeństwa teleinformatycznego nowo wdrażanego systemu (która na bazie dotychczasowych doświadczeń średnio może zająć ok. 12 miesięcy). Na chwilę obecną nie ma jednak ostatecznego kształtu rozporządzania (a więc brak pewności prawnej), nie zostały </w:t>
            </w:r>
            <w:r w:rsidRPr="00D072D6">
              <w:rPr>
                <w:rFonts w:eastAsia="Calibri"/>
                <w:sz w:val="22"/>
                <w:szCs w:val="22"/>
              </w:rPr>
              <w:t xml:space="preserve">uruchomione projekty implementacyjne, </w:t>
            </w:r>
            <w:r w:rsidRPr="00D072D6">
              <w:rPr>
                <w:sz w:val="22"/>
                <w:szCs w:val="22"/>
              </w:rPr>
              <w:t>a także zabezpieczone środki na ich wdrożenie, nie zostały przenegocjowane umowy z podmiotami uprawnionymi w zakresie podniesionych wymagań technicznych i eksploatacyjnych. Z tych z tych względów jako Izba repezentująca największych przedsiębiorców telekomunikacyjnych kategorycznie wskazujemy, iż nie jest już możliwe wdrożenie podniesionych wymagań technicznych i</w:t>
            </w:r>
            <w:r w:rsidRPr="00D072D6">
              <w:rPr>
                <w:rFonts w:eastAsia="Calibri"/>
                <w:sz w:val="22"/>
                <w:szCs w:val="22"/>
              </w:rPr>
              <w:t xml:space="preserve"> </w:t>
            </w:r>
            <w:r w:rsidRPr="00D072D6">
              <w:rPr>
                <w:sz w:val="22"/>
                <w:szCs w:val="22"/>
              </w:rPr>
              <w:t xml:space="preserve">eksploatacyjnych dla interfejsów na 11 listopada 2026 r. </w:t>
            </w:r>
            <w:r w:rsidRPr="00D072D6">
              <w:rPr>
                <w:rFonts w:eastAsia="Calibri"/>
                <w:sz w:val="22"/>
                <w:szCs w:val="22"/>
              </w:rPr>
              <w:t xml:space="preserve"> </w:t>
            </w:r>
          </w:p>
          <w:p w14:paraId="3F4BF42D" w14:textId="1A563FD0" w:rsidR="007B7682" w:rsidRPr="00D072D6" w:rsidRDefault="007B7682" w:rsidP="00654898">
            <w:pPr>
              <w:pStyle w:val="ARTartustawynprozporzdzenia"/>
              <w:spacing w:before="0" w:line="240" w:lineRule="auto"/>
              <w:ind w:firstLine="0"/>
              <w:rPr>
                <w:rFonts w:ascii="Times New Roman" w:hAnsi="Times New Roman" w:cs="Times New Roman"/>
                <w:sz w:val="22"/>
                <w:szCs w:val="22"/>
              </w:rPr>
            </w:pPr>
            <w:r w:rsidRPr="00D072D6">
              <w:rPr>
                <w:rFonts w:ascii="Times New Roman" w:hAnsi="Times New Roman" w:cs="Times New Roman"/>
                <w:sz w:val="22"/>
                <w:szCs w:val="22"/>
              </w:rPr>
              <w:t>Ponadto wejście w życie rozporządzenia w przedstawionym kształcie może pozbawić uprawnione podmioty możliwości prowadzenia kontroli operacyjnej z uwagi na brak certyfikacji i spełnienia wymagań technicznych i eksploatacyjnych dla interfejsów, w konsekwencji może nawet doprowadzić do podważania dowodów operacyjnych przed sądem.</w:t>
            </w:r>
          </w:p>
        </w:tc>
        <w:tc>
          <w:tcPr>
            <w:tcW w:w="4395" w:type="dxa"/>
            <w:tcBorders>
              <w:bottom w:val="single" w:sz="4" w:space="0" w:color="auto"/>
            </w:tcBorders>
          </w:tcPr>
          <w:p w14:paraId="5FA9F99B" w14:textId="77777777" w:rsidR="007B7682" w:rsidRPr="00D072D6" w:rsidRDefault="000D2310" w:rsidP="00654898">
            <w:pPr>
              <w:pStyle w:val="Bezodstpw"/>
              <w:jc w:val="both"/>
              <w:rPr>
                <w:rFonts w:ascii="Times New Roman" w:hAnsi="Times New Roman" w:cs="Times New Roman"/>
                <w:b/>
                <w:bCs/>
              </w:rPr>
            </w:pPr>
            <w:r w:rsidRPr="00D072D6">
              <w:rPr>
                <w:rFonts w:ascii="Times New Roman" w:hAnsi="Times New Roman" w:cs="Times New Roman"/>
                <w:b/>
                <w:bCs/>
              </w:rPr>
              <w:lastRenderedPageBreak/>
              <w:t>Uwaga uwzględniona</w:t>
            </w:r>
          </w:p>
          <w:p w14:paraId="6B1AD6E1" w14:textId="4C498C8E" w:rsidR="000D2310" w:rsidRPr="00D072D6" w:rsidRDefault="000D2310" w:rsidP="00654898">
            <w:pPr>
              <w:pStyle w:val="Bezodstpw"/>
              <w:jc w:val="both"/>
              <w:rPr>
                <w:rFonts w:ascii="Times New Roman" w:hAnsi="Times New Roman" w:cs="Times New Roman"/>
              </w:rPr>
            </w:pPr>
            <w:r w:rsidRPr="00D072D6">
              <w:rPr>
                <w:rFonts w:ascii="Times New Roman" w:hAnsi="Times New Roman" w:cs="Times New Roman"/>
              </w:rPr>
              <w:t xml:space="preserve">W przypadku </w:t>
            </w:r>
            <w:r w:rsidR="00D0551F" w:rsidRPr="00D072D6">
              <w:rPr>
                <w:rFonts w:ascii="Times New Roman" w:hAnsi="Times New Roman" w:cs="Times New Roman"/>
              </w:rPr>
              <w:t xml:space="preserve">projektowanego </w:t>
            </w:r>
            <w:r w:rsidRPr="00D072D6">
              <w:rPr>
                <w:rFonts w:ascii="Times New Roman" w:hAnsi="Times New Roman" w:cs="Times New Roman"/>
              </w:rPr>
              <w:t>rozporządzeni</w:t>
            </w:r>
            <w:r w:rsidR="00D0551F" w:rsidRPr="00D072D6">
              <w:rPr>
                <w:rFonts w:ascii="Times New Roman" w:hAnsi="Times New Roman" w:cs="Times New Roman"/>
              </w:rPr>
              <w:t>a</w:t>
            </w:r>
            <w:r w:rsidRPr="00D072D6">
              <w:rPr>
                <w:rFonts w:ascii="Times New Roman" w:hAnsi="Times New Roman" w:cs="Times New Roman"/>
              </w:rPr>
              <w:t xml:space="preserve"> z art. 46 ust. 1 (</w:t>
            </w:r>
            <w:r w:rsidR="00D0551F" w:rsidRPr="00D072D6">
              <w:rPr>
                <w:rFonts w:ascii="Times New Roman" w:hAnsi="Times New Roman" w:cs="Times New Roman"/>
              </w:rPr>
              <w:t>projekt rozporządzenia Rady Ministrów w sprawie zapewnienia przez przedsiębiorcę telekomunikacyjnego warunków dostępu i utrwalania oraz przygotowania technicznych i organizacyjnych warunków udostępniania danych</w:t>
            </w:r>
            <w:r w:rsidRPr="00D072D6">
              <w:rPr>
                <w:rFonts w:ascii="Times New Roman" w:hAnsi="Times New Roman" w:cs="Times New Roman"/>
              </w:rPr>
              <w:t>) przewidywany termin wejścia w życie to 1 listopada 2026 r.</w:t>
            </w:r>
          </w:p>
          <w:p w14:paraId="5FE3476D" w14:textId="0C055451" w:rsidR="000D2310" w:rsidRPr="00D072D6" w:rsidRDefault="000D2310" w:rsidP="00654898">
            <w:pPr>
              <w:pStyle w:val="Bezodstpw"/>
              <w:jc w:val="both"/>
              <w:rPr>
                <w:rFonts w:ascii="Times New Roman" w:hAnsi="Times New Roman" w:cs="Times New Roman"/>
              </w:rPr>
            </w:pPr>
            <w:r w:rsidRPr="00D072D6">
              <w:rPr>
                <w:rFonts w:ascii="Times New Roman" w:hAnsi="Times New Roman" w:cs="Times New Roman"/>
              </w:rPr>
              <w:t>W przypadku rozporządzenia z art. 46 ust. 2 (</w:t>
            </w:r>
            <w:r w:rsidR="00D0551F" w:rsidRPr="00D072D6">
              <w:rPr>
                <w:rFonts w:ascii="Times New Roman" w:hAnsi="Times New Roman" w:cs="Times New Roman"/>
              </w:rPr>
              <w:t>projekt rozporządzenia</w:t>
            </w:r>
            <w:r w:rsidR="00D0551F" w:rsidRPr="00D072D6">
              <w:rPr>
                <w:rFonts w:ascii="Times New Roman" w:hAnsi="Times New Roman" w:cs="Times New Roman"/>
                <w:i/>
                <w:iCs/>
              </w:rPr>
              <w:t xml:space="preserve"> </w:t>
            </w:r>
            <w:r w:rsidR="00D0551F" w:rsidRPr="00D072D6">
              <w:rPr>
                <w:rFonts w:ascii="Times New Roman" w:hAnsi="Times New Roman" w:cs="Times New Roman"/>
              </w:rPr>
              <w:t>Rady Ministrów w</w:t>
            </w:r>
            <w:r w:rsidR="00ED4BD5">
              <w:rPr>
                <w:rFonts w:ascii="Times New Roman" w:hAnsi="Times New Roman" w:cs="Times New Roman"/>
              </w:rPr>
              <w:t> </w:t>
            </w:r>
            <w:r w:rsidR="00D0551F" w:rsidRPr="00D072D6">
              <w:rPr>
                <w:rFonts w:ascii="Times New Roman" w:hAnsi="Times New Roman" w:cs="Times New Roman"/>
              </w:rPr>
              <w:t>sprawie wymagań technicznych i</w:t>
            </w:r>
            <w:r w:rsidR="00ED4BD5">
              <w:rPr>
                <w:rFonts w:ascii="Times New Roman" w:hAnsi="Times New Roman" w:cs="Times New Roman"/>
              </w:rPr>
              <w:t> </w:t>
            </w:r>
            <w:r w:rsidR="00D0551F" w:rsidRPr="00D072D6">
              <w:rPr>
                <w:rFonts w:ascii="Times New Roman" w:hAnsi="Times New Roman" w:cs="Times New Roman"/>
              </w:rPr>
              <w:t>eksploatacyjnych dla interfejsów</w:t>
            </w:r>
            <w:r w:rsidRPr="00D072D6">
              <w:rPr>
                <w:rFonts w:ascii="Times New Roman" w:hAnsi="Times New Roman" w:cs="Times New Roman"/>
              </w:rPr>
              <w:t>) termin</w:t>
            </w:r>
            <w:r w:rsidR="00ED4BD5">
              <w:rPr>
                <w:rFonts w:ascii="Times New Roman" w:hAnsi="Times New Roman" w:cs="Times New Roman"/>
              </w:rPr>
              <w:t>em</w:t>
            </w:r>
            <w:r w:rsidRPr="00D072D6">
              <w:rPr>
                <w:rFonts w:ascii="Times New Roman" w:hAnsi="Times New Roman" w:cs="Times New Roman"/>
              </w:rPr>
              <w:t xml:space="preserve"> wejścia w </w:t>
            </w:r>
            <w:r w:rsidR="00FA7D26" w:rsidRPr="00D072D6">
              <w:rPr>
                <w:rFonts w:ascii="Times New Roman" w:hAnsi="Times New Roman" w:cs="Times New Roman"/>
              </w:rPr>
              <w:t>życie</w:t>
            </w:r>
            <w:r w:rsidRPr="00D072D6">
              <w:rPr>
                <w:rFonts w:ascii="Times New Roman" w:hAnsi="Times New Roman" w:cs="Times New Roman"/>
              </w:rPr>
              <w:t xml:space="preserve"> również jest 1 listopada 2026. (z </w:t>
            </w:r>
            <w:r w:rsidR="00FA7D26" w:rsidRPr="00D072D6">
              <w:rPr>
                <w:rFonts w:ascii="Times New Roman" w:hAnsi="Times New Roman" w:cs="Times New Roman"/>
              </w:rPr>
              <w:t>wyjątkiem</w:t>
            </w:r>
            <w:r w:rsidRPr="00D072D6">
              <w:rPr>
                <w:rFonts w:ascii="Times New Roman" w:hAnsi="Times New Roman" w:cs="Times New Roman"/>
              </w:rPr>
              <w:t xml:space="preserve"> jednego wymagania</w:t>
            </w:r>
            <w:r w:rsidR="00FA7D26" w:rsidRPr="00D072D6">
              <w:rPr>
                <w:rFonts w:ascii="Times New Roman" w:hAnsi="Times New Roman" w:cs="Times New Roman"/>
              </w:rPr>
              <w:t>, które wchodzi w życie po upływie 12 miesięcy od dnia ogłoszenia</w:t>
            </w:r>
            <w:r w:rsidRPr="00D072D6">
              <w:rPr>
                <w:rFonts w:ascii="Times New Roman" w:hAnsi="Times New Roman" w:cs="Times New Roman"/>
              </w:rPr>
              <w:t>)</w:t>
            </w:r>
            <w:r w:rsidR="002F4891" w:rsidRPr="00D072D6">
              <w:rPr>
                <w:rFonts w:ascii="Times New Roman" w:hAnsi="Times New Roman" w:cs="Times New Roman"/>
              </w:rPr>
              <w:t xml:space="preserve">. Ponadto dodano ustalony w trakcie warsztatów </w:t>
            </w:r>
            <w:r w:rsidR="00FB158C" w:rsidRPr="00D072D6">
              <w:rPr>
                <w:rFonts w:ascii="Times New Roman" w:hAnsi="Times New Roman" w:cs="Times New Roman"/>
              </w:rPr>
              <w:t>z</w:t>
            </w:r>
            <w:r w:rsidR="00ED4BD5">
              <w:rPr>
                <w:rFonts w:ascii="Times New Roman" w:hAnsi="Times New Roman" w:cs="Times New Roman"/>
              </w:rPr>
              <w:t> </w:t>
            </w:r>
            <w:r w:rsidR="00FB158C" w:rsidRPr="00D072D6">
              <w:rPr>
                <w:rFonts w:ascii="Times New Roman" w:hAnsi="Times New Roman" w:cs="Times New Roman"/>
              </w:rPr>
              <w:t xml:space="preserve">udziałem przedstawicieli uprawnionych podmiotów i przedsiębiorców telekomunikacyjnych </w:t>
            </w:r>
            <w:r w:rsidR="00D0551F" w:rsidRPr="00D072D6">
              <w:rPr>
                <w:rFonts w:ascii="Times New Roman" w:hAnsi="Times New Roman" w:cs="Times New Roman"/>
              </w:rPr>
              <w:t xml:space="preserve">zorganizowanych </w:t>
            </w:r>
            <w:r w:rsidR="00D0551F" w:rsidRPr="00D072D6">
              <w:rPr>
                <w:rFonts w:ascii="Times New Roman" w:hAnsi="Times New Roman" w:cs="Times New Roman"/>
              </w:rPr>
              <w:lastRenderedPageBreak/>
              <w:t xml:space="preserve">przez projektodawcę </w:t>
            </w:r>
            <w:r w:rsidR="002F4891" w:rsidRPr="00D072D6">
              <w:rPr>
                <w:rFonts w:ascii="Times New Roman" w:hAnsi="Times New Roman" w:cs="Times New Roman"/>
              </w:rPr>
              <w:t>nowy przepis w § 2: „</w:t>
            </w:r>
            <w:r w:rsidR="002F4891" w:rsidRPr="00D072D6">
              <w:rPr>
                <w:rFonts w:ascii="Times New Roman" w:hAnsi="Times New Roman" w:cs="Times New Roman"/>
                <w:i/>
                <w:iCs/>
              </w:rPr>
              <w:t>Przepisów rozporządzenia nie stosuje się do umów, o których mowa w art. 43 ust. 5 ustawy z dnia 12 lipca 2024 r. Prawo komunikacji elektronicznej, zawartych przed dniem wejścia w życie rozporządzenia, w zakresie usług telekomunikacyjnych objętych tymi umowami, nie dłużej niż przez 36 miesięcy od dnia wejścia w życie lub do czasu  akredytacji bezpieczeństwa teleinformatycznego zmienianego interfejsu LI HI</w:t>
            </w:r>
            <w:r w:rsidR="002F4891" w:rsidRPr="00D072D6">
              <w:rPr>
                <w:rFonts w:ascii="Times New Roman" w:hAnsi="Times New Roman" w:cs="Times New Roman"/>
              </w:rPr>
              <w:t>.”</w:t>
            </w:r>
            <w:r w:rsidR="00ED4BD5">
              <w:rPr>
                <w:rFonts w:ascii="Times New Roman" w:hAnsi="Times New Roman" w:cs="Times New Roman"/>
              </w:rPr>
              <w:t>.</w:t>
            </w:r>
          </w:p>
        </w:tc>
      </w:tr>
    </w:tbl>
    <w:p w14:paraId="07A8C5C9" w14:textId="77777777" w:rsidR="00425BDB" w:rsidRPr="00D072D6" w:rsidRDefault="00425BDB" w:rsidP="00654898">
      <w:pPr>
        <w:pStyle w:val="Bezodstpw"/>
        <w:spacing w:line="276" w:lineRule="auto"/>
        <w:rPr>
          <w:rFonts w:ascii="Times New Roman" w:hAnsi="Times New Roman" w:cs="Times New Roman"/>
          <w:b/>
          <w:bCs/>
        </w:rPr>
      </w:pPr>
    </w:p>
    <w:sectPr w:rsidR="00425BDB" w:rsidRPr="00D072D6" w:rsidSect="00D841A6">
      <w:pgSz w:w="16838" w:h="11906" w:orient="landscape"/>
      <w:pgMar w:top="537"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3C95" w14:textId="77777777" w:rsidR="00577D9E" w:rsidRDefault="00577D9E" w:rsidP="00D841A6">
      <w:r>
        <w:separator/>
      </w:r>
    </w:p>
  </w:endnote>
  <w:endnote w:type="continuationSeparator" w:id="0">
    <w:p w14:paraId="281B5803" w14:textId="77777777" w:rsidR="00577D9E" w:rsidRDefault="00577D9E" w:rsidP="00D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FB8A" w14:textId="77777777" w:rsidR="00577D9E" w:rsidRDefault="00577D9E" w:rsidP="00D841A6">
      <w:r>
        <w:separator/>
      </w:r>
    </w:p>
  </w:footnote>
  <w:footnote w:type="continuationSeparator" w:id="0">
    <w:p w14:paraId="0CF4A7D2" w14:textId="77777777" w:rsidR="00577D9E" w:rsidRDefault="00577D9E" w:rsidP="00D8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F91"/>
    <w:multiLevelType w:val="hybridMultilevel"/>
    <w:tmpl w:val="46BAE420"/>
    <w:lvl w:ilvl="0" w:tplc="7DD4A444">
      <w:start w:val="1"/>
      <w:numFmt w:val="decimal"/>
      <w:lvlText w:val="%1)"/>
      <w:lvlJc w:val="left"/>
      <w:pPr>
        <w:ind w:left="720" w:hanging="360"/>
      </w:pPr>
      <w:rPr>
        <w:rFonts w:asciiTheme="minorHAnsi" w:hAnsi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C5147D"/>
    <w:multiLevelType w:val="hybridMultilevel"/>
    <w:tmpl w:val="680ABAC0"/>
    <w:lvl w:ilvl="0" w:tplc="F290FD32">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D3939"/>
    <w:multiLevelType w:val="hybridMultilevel"/>
    <w:tmpl w:val="212E3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4A7A1B"/>
    <w:multiLevelType w:val="hybridMultilevel"/>
    <w:tmpl w:val="7C0EA596"/>
    <w:lvl w:ilvl="0" w:tplc="D40EA0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D53909"/>
    <w:multiLevelType w:val="hybridMultilevel"/>
    <w:tmpl w:val="D13A3A6E"/>
    <w:lvl w:ilvl="0" w:tplc="77D8F7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55FDD"/>
    <w:multiLevelType w:val="hybridMultilevel"/>
    <w:tmpl w:val="E8488EB0"/>
    <w:lvl w:ilvl="0" w:tplc="A6B64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FC0356"/>
    <w:multiLevelType w:val="hybridMultilevel"/>
    <w:tmpl w:val="6D6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794DA7"/>
    <w:multiLevelType w:val="hybridMultilevel"/>
    <w:tmpl w:val="6A3867FA"/>
    <w:lvl w:ilvl="0" w:tplc="41888A4A">
      <w:start w:val="1"/>
      <w:numFmt w:val="decimal"/>
      <w:lvlText w:val="%1)"/>
      <w:lvlJc w:val="left"/>
      <w:pPr>
        <w:ind w:left="720" w:hanging="360"/>
      </w:pPr>
      <w:rPr>
        <w:rFonts w:ascii="Arial Narrow" w:hAnsi="Arial Narrow"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229FA"/>
    <w:multiLevelType w:val="hybridMultilevel"/>
    <w:tmpl w:val="3E688A3C"/>
    <w:lvl w:ilvl="0" w:tplc="AD2AB74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224B53DE"/>
    <w:multiLevelType w:val="hybridMultilevel"/>
    <w:tmpl w:val="B3B82708"/>
    <w:lvl w:ilvl="0" w:tplc="41888A4A">
      <w:start w:val="1"/>
      <w:numFmt w:val="decimal"/>
      <w:lvlText w:val="%1)"/>
      <w:lvlJc w:val="left"/>
      <w:pPr>
        <w:ind w:left="720" w:hanging="360"/>
      </w:pPr>
      <w:rPr>
        <w:rFonts w:ascii="Arial Narrow" w:hAnsi="Arial Narrow"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D77745"/>
    <w:multiLevelType w:val="hybridMultilevel"/>
    <w:tmpl w:val="E392F0B8"/>
    <w:lvl w:ilvl="0" w:tplc="41888A4A">
      <w:start w:val="1"/>
      <w:numFmt w:val="decimal"/>
      <w:lvlText w:val="%1)"/>
      <w:lvlJc w:val="left"/>
      <w:pPr>
        <w:ind w:left="720" w:hanging="360"/>
      </w:pPr>
      <w:rPr>
        <w:rFonts w:ascii="Arial Narrow" w:hAnsi="Arial Narrow"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7C073F"/>
    <w:multiLevelType w:val="hybridMultilevel"/>
    <w:tmpl w:val="71AA2988"/>
    <w:lvl w:ilvl="0" w:tplc="C5E8EAA4">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176AB86">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58AAD22">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A4E268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25AFEEA">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93C73E4">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38626D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50C4B5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33265B6">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4F7256"/>
    <w:multiLevelType w:val="hybridMultilevel"/>
    <w:tmpl w:val="3258E032"/>
    <w:lvl w:ilvl="0" w:tplc="953ED3C0">
      <w:start w:val="1"/>
      <w:numFmt w:val="decimal"/>
      <w:lvlText w:val="%1)"/>
      <w:lvlJc w:val="left"/>
      <w:pPr>
        <w:ind w:left="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E8696D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41AC5F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D5662F80">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E44993A">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AD8EAD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01649AD4">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5C48D00">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A3CDC82">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327743"/>
    <w:multiLevelType w:val="hybridMultilevel"/>
    <w:tmpl w:val="1F0C913A"/>
    <w:lvl w:ilvl="0" w:tplc="E1E0DDA2">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662D5C"/>
    <w:multiLevelType w:val="hybridMultilevel"/>
    <w:tmpl w:val="D17894BC"/>
    <w:lvl w:ilvl="0" w:tplc="84BC93F4">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F824EC"/>
    <w:multiLevelType w:val="hybridMultilevel"/>
    <w:tmpl w:val="3EFA7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7F22FE"/>
    <w:multiLevelType w:val="hybridMultilevel"/>
    <w:tmpl w:val="F9501A40"/>
    <w:lvl w:ilvl="0" w:tplc="F4282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F015E8"/>
    <w:multiLevelType w:val="hybridMultilevel"/>
    <w:tmpl w:val="4CAAAD6A"/>
    <w:lvl w:ilvl="0" w:tplc="BAA61C96">
      <w:start w:val="1"/>
      <w:numFmt w:val="decimal"/>
      <w:lvlText w:val="%1)"/>
      <w:lvlJc w:val="left"/>
      <w:pPr>
        <w:ind w:left="1230" w:hanging="360"/>
      </w:pPr>
      <w:rPr>
        <w:rFonts w:ascii="Times New Roman" w:hAnsi="Times New Roman" w:hint="default"/>
        <w:b w:val="0"/>
        <w:i w:val="0"/>
        <w:caps w:val="0"/>
        <w:strike w:val="0"/>
        <w:dstrike w:val="0"/>
        <w:vanish w:val="0"/>
        <w:color w:val="000000"/>
        <w:sz w:val="20"/>
        <w:szCs w:val="16"/>
        <w:u w:val="none" w:color="000000"/>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8" w15:restartNumberingAfterBreak="0">
    <w:nsid w:val="48C56FB7"/>
    <w:multiLevelType w:val="hybridMultilevel"/>
    <w:tmpl w:val="A9E667DE"/>
    <w:lvl w:ilvl="0" w:tplc="39C6B700">
      <w:start w:val="1"/>
      <w:numFmt w:val="decimal"/>
      <w:lvlText w:val="%1)"/>
      <w:lvlJc w:val="left"/>
      <w:pPr>
        <w:ind w:left="708"/>
      </w:pPr>
      <w:rPr>
        <w:rFonts w:ascii="Arial Narrow" w:eastAsia="Calibri" w:hAnsi="Arial Narrow" w:cs="Calibri" w:hint="default"/>
        <w:b w:val="0"/>
        <w:i/>
        <w:iCs/>
        <w:strike w:val="0"/>
        <w:dstrike w:val="0"/>
        <w:color w:val="000000"/>
        <w:sz w:val="22"/>
        <w:szCs w:val="22"/>
        <w:u w:val="none" w:color="000000"/>
        <w:bdr w:val="none" w:sz="0" w:space="0" w:color="auto"/>
        <w:shd w:val="clear" w:color="auto" w:fill="auto"/>
        <w:vertAlign w:val="baseline"/>
      </w:rPr>
    </w:lvl>
    <w:lvl w:ilvl="1" w:tplc="E6E21A44">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8582DF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D7685C4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82FEC838">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A3A724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4B465F2">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780AEF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E3CD41E">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EC57DC"/>
    <w:multiLevelType w:val="hybridMultilevel"/>
    <w:tmpl w:val="B17688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C22DB6"/>
    <w:multiLevelType w:val="hybridMultilevel"/>
    <w:tmpl w:val="B498B9A6"/>
    <w:lvl w:ilvl="0" w:tplc="41888A4A">
      <w:start w:val="1"/>
      <w:numFmt w:val="decimal"/>
      <w:lvlText w:val="%1)"/>
      <w:lvlJc w:val="left"/>
      <w:pPr>
        <w:ind w:left="720" w:hanging="360"/>
      </w:pPr>
      <w:rPr>
        <w:rFonts w:ascii="Arial Narrow" w:hAnsi="Arial Narrow"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6D713E"/>
    <w:multiLevelType w:val="hybridMultilevel"/>
    <w:tmpl w:val="5E205144"/>
    <w:lvl w:ilvl="0" w:tplc="2098CEAA">
      <w:start w:val="1"/>
      <w:numFmt w:val="decimal"/>
      <w:lvlText w:val="%1)"/>
      <w:lvlJc w:val="left"/>
      <w:pPr>
        <w:ind w:left="720" w:hanging="360"/>
      </w:pPr>
      <w:rPr>
        <w:rFonts w:ascii="Arial Narrow" w:hAnsi="Arial Narrow" w:hint="default"/>
        <w:b w:val="0"/>
        <w:i w:val="0"/>
        <w:caps w:val="0"/>
        <w:strike w:val="0"/>
        <w:dstrike w:val="0"/>
        <w:vanish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70D81"/>
    <w:multiLevelType w:val="hybridMultilevel"/>
    <w:tmpl w:val="6DA82FCA"/>
    <w:lvl w:ilvl="0" w:tplc="DEBE9A44">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A95928"/>
    <w:multiLevelType w:val="hybridMultilevel"/>
    <w:tmpl w:val="37622456"/>
    <w:lvl w:ilvl="0" w:tplc="BAA61C96">
      <w:start w:val="1"/>
      <w:numFmt w:val="decimal"/>
      <w:lvlText w:val="%1)"/>
      <w:lvlJc w:val="left"/>
      <w:pPr>
        <w:ind w:left="1230" w:hanging="360"/>
      </w:pPr>
      <w:rPr>
        <w:rFonts w:ascii="Times New Roman" w:hAnsi="Times New Roman" w:hint="default"/>
        <w:b w:val="0"/>
        <w:i w:val="0"/>
        <w:caps w:val="0"/>
        <w:strike w:val="0"/>
        <w:dstrike w:val="0"/>
        <w:vanish w:val="0"/>
        <w:color w:val="000000"/>
        <w:sz w:val="20"/>
        <w:szCs w:val="16"/>
        <w:u w:val="none" w:color="000000"/>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4" w15:restartNumberingAfterBreak="0">
    <w:nsid w:val="711912F6"/>
    <w:multiLevelType w:val="hybridMultilevel"/>
    <w:tmpl w:val="1172B4E8"/>
    <w:lvl w:ilvl="0" w:tplc="AB5A3BC6">
      <w:start w:val="1"/>
      <w:numFmt w:val="decimal"/>
      <w:lvlText w:val="%1)"/>
      <w:lvlJc w:val="left"/>
      <w:pPr>
        <w:ind w:left="720" w:hanging="360"/>
      </w:pPr>
      <w:rPr>
        <w:rFonts w:ascii="Lato" w:hAnsi="Lato" w:cs="Times New Roman" w:hint="default"/>
        <w:b w:val="0"/>
        <w:i w:val="0"/>
        <w:caps w:val="0"/>
        <w:strike w:val="0"/>
        <w:dstrike w:val="0"/>
        <w:vanish w:val="0"/>
        <w:color w:val="auto"/>
        <w:sz w:val="20"/>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256DFC"/>
    <w:multiLevelType w:val="hybridMultilevel"/>
    <w:tmpl w:val="3C8E8884"/>
    <w:lvl w:ilvl="0" w:tplc="AAA4079E">
      <w:start w:val="3"/>
      <w:numFmt w:val="decimal"/>
      <w:lvlText w:val="%1."/>
      <w:lvlJc w:val="left"/>
      <w:pPr>
        <w:ind w:left="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5EE1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3AF6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ECEE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ACD1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484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1629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90B1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30C4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291342"/>
    <w:multiLevelType w:val="hybridMultilevel"/>
    <w:tmpl w:val="73528EE4"/>
    <w:lvl w:ilvl="0" w:tplc="6AA00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69251D"/>
    <w:multiLevelType w:val="hybridMultilevel"/>
    <w:tmpl w:val="D2186EC6"/>
    <w:lvl w:ilvl="0" w:tplc="1F5EA7FC">
      <w:start w:val="1"/>
      <w:numFmt w:val="decimal"/>
      <w:lvlText w:val="%1)"/>
      <w:lvlJc w:val="left"/>
      <w:pPr>
        <w:ind w:left="720" w:hanging="360"/>
      </w:pPr>
      <w:rPr>
        <w:rFonts w:ascii="Arial Narrow" w:hAnsi="Arial Narrow" w:cs="Times New Roman" w:hint="default"/>
        <w:b w:val="0"/>
        <w:i w:val="0"/>
        <w:caps w:val="0"/>
        <w:strike w:val="0"/>
        <w:dstrike w:val="0"/>
        <w:vanish w:val="0"/>
        <w:webHidden w:val="0"/>
        <w:color w:val="auto"/>
        <w:sz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C201FFF"/>
    <w:multiLevelType w:val="hybridMultilevel"/>
    <w:tmpl w:val="0A023E90"/>
    <w:lvl w:ilvl="0" w:tplc="66FA1530">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B77FFA"/>
    <w:multiLevelType w:val="hybridMultilevel"/>
    <w:tmpl w:val="6394C11A"/>
    <w:lvl w:ilvl="0" w:tplc="731EDCB0">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4F5835"/>
    <w:multiLevelType w:val="hybridMultilevel"/>
    <w:tmpl w:val="7238678A"/>
    <w:lvl w:ilvl="0" w:tplc="7D76A7FA">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6359420">
    <w:abstractNumId w:val="0"/>
  </w:num>
  <w:num w:numId="2" w16cid:durableId="408967821">
    <w:abstractNumId w:val="2"/>
  </w:num>
  <w:num w:numId="3" w16cid:durableId="1604459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797131">
    <w:abstractNumId w:val="29"/>
  </w:num>
  <w:num w:numId="5" w16cid:durableId="1087922420">
    <w:abstractNumId w:val="15"/>
  </w:num>
  <w:num w:numId="6" w16cid:durableId="1001547804">
    <w:abstractNumId w:val="8"/>
  </w:num>
  <w:num w:numId="7" w16cid:durableId="2073888596">
    <w:abstractNumId w:val="21"/>
  </w:num>
  <w:num w:numId="8" w16cid:durableId="1885945217">
    <w:abstractNumId w:val="17"/>
  </w:num>
  <w:num w:numId="9" w16cid:durableId="989868491">
    <w:abstractNumId w:val="23"/>
  </w:num>
  <w:num w:numId="10" w16cid:durableId="500976403">
    <w:abstractNumId w:val="11"/>
  </w:num>
  <w:num w:numId="11" w16cid:durableId="1575093291">
    <w:abstractNumId w:val="6"/>
  </w:num>
  <w:num w:numId="12" w16cid:durableId="940576064">
    <w:abstractNumId w:val="25"/>
  </w:num>
  <w:num w:numId="13" w16cid:durableId="2077585655">
    <w:abstractNumId w:val="18"/>
  </w:num>
  <w:num w:numId="14" w16cid:durableId="228735825">
    <w:abstractNumId w:val="12"/>
  </w:num>
  <w:num w:numId="15" w16cid:durableId="1909072356">
    <w:abstractNumId w:val="24"/>
  </w:num>
  <w:num w:numId="16" w16cid:durableId="1590312525">
    <w:abstractNumId w:val="5"/>
  </w:num>
  <w:num w:numId="17" w16cid:durableId="150876173">
    <w:abstractNumId w:val="9"/>
  </w:num>
  <w:num w:numId="18" w16cid:durableId="1921862692">
    <w:abstractNumId w:val="22"/>
  </w:num>
  <w:num w:numId="19" w16cid:durableId="1706052543">
    <w:abstractNumId w:val="26"/>
  </w:num>
  <w:num w:numId="20" w16cid:durableId="362368112">
    <w:abstractNumId w:val="7"/>
  </w:num>
  <w:num w:numId="21" w16cid:durableId="1692145861">
    <w:abstractNumId w:val="30"/>
  </w:num>
  <w:num w:numId="22" w16cid:durableId="3631273">
    <w:abstractNumId w:val="16"/>
  </w:num>
  <w:num w:numId="23" w16cid:durableId="81922429">
    <w:abstractNumId w:val="14"/>
  </w:num>
  <w:num w:numId="24" w16cid:durableId="494958627">
    <w:abstractNumId w:val="10"/>
  </w:num>
  <w:num w:numId="25" w16cid:durableId="133915828">
    <w:abstractNumId w:val="1"/>
  </w:num>
  <w:num w:numId="26" w16cid:durableId="1657102040">
    <w:abstractNumId w:val="20"/>
  </w:num>
  <w:num w:numId="27" w16cid:durableId="1368792420">
    <w:abstractNumId w:val="13"/>
  </w:num>
  <w:num w:numId="28" w16cid:durableId="822159562">
    <w:abstractNumId w:val="28"/>
  </w:num>
  <w:num w:numId="29" w16cid:durableId="275452046">
    <w:abstractNumId w:val="4"/>
  </w:num>
  <w:num w:numId="30" w16cid:durableId="746072420">
    <w:abstractNumId w:val="3"/>
  </w:num>
  <w:num w:numId="31" w16cid:durableId="8019682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5"/>
    <w:rsid w:val="00000D4F"/>
    <w:rsid w:val="000010B0"/>
    <w:rsid w:val="000037F0"/>
    <w:rsid w:val="00021A18"/>
    <w:rsid w:val="000250A0"/>
    <w:rsid w:val="00050B75"/>
    <w:rsid w:val="000621FD"/>
    <w:rsid w:val="00062B92"/>
    <w:rsid w:val="00063BE4"/>
    <w:rsid w:val="00066747"/>
    <w:rsid w:val="0007167A"/>
    <w:rsid w:val="00072D23"/>
    <w:rsid w:val="00080031"/>
    <w:rsid w:val="00087092"/>
    <w:rsid w:val="00092369"/>
    <w:rsid w:val="00094E02"/>
    <w:rsid w:val="000B394D"/>
    <w:rsid w:val="000B7603"/>
    <w:rsid w:val="000C50C2"/>
    <w:rsid w:val="000D0FE3"/>
    <w:rsid w:val="000D2310"/>
    <w:rsid w:val="000E5D79"/>
    <w:rsid w:val="00105E79"/>
    <w:rsid w:val="00110686"/>
    <w:rsid w:val="00111205"/>
    <w:rsid w:val="0011170F"/>
    <w:rsid w:val="00111EA5"/>
    <w:rsid w:val="0011508E"/>
    <w:rsid w:val="0012268F"/>
    <w:rsid w:val="0013024C"/>
    <w:rsid w:val="00130898"/>
    <w:rsid w:val="00174BB7"/>
    <w:rsid w:val="00175898"/>
    <w:rsid w:val="00187D3C"/>
    <w:rsid w:val="00190F60"/>
    <w:rsid w:val="001B45DC"/>
    <w:rsid w:val="001D14B4"/>
    <w:rsid w:val="001E2CBD"/>
    <w:rsid w:val="001E2EB9"/>
    <w:rsid w:val="001F5E85"/>
    <w:rsid w:val="00214AF9"/>
    <w:rsid w:val="00233E74"/>
    <w:rsid w:val="00234B06"/>
    <w:rsid w:val="0024617A"/>
    <w:rsid w:val="00253B6E"/>
    <w:rsid w:val="002644BD"/>
    <w:rsid w:val="002721ED"/>
    <w:rsid w:val="002730BB"/>
    <w:rsid w:val="00283B9A"/>
    <w:rsid w:val="0029301C"/>
    <w:rsid w:val="00294454"/>
    <w:rsid w:val="002A7FEF"/>
    <w:rsid w:val="002B3023"/>
    <w:rsid w:val="002B7F97"/>
    <w:rsid w:val="002D523F"/>
    <w:rsid w:val="002E34A8"/>
    <w:rsid w:val="002E6678"/>
    <w:rsid w:val="002E67DA"/>
    <w:rsid w:val="002F4891"/>
    <w:rsid w:val="00325476"/>
    <w:rsid w:val="003279E2"/>
    <w:rsid w:val="00335C25"/>
    <w:rsid w:val="003559AF"/>
    <w:rsid w:val="00367281"/>
    <w:rsid w:val="00372427"/>
    <w:rsid w:val="003747A4"/>
    <w:rsid w:val="003912B1"/>
    <w:rsid w:val="00391F1D"/>
    <w:rsid w:val="00396DAE"/>
    <w:rsid w:val="00397CC1"/>
    <w:rsid w:val="003A7888"/>
    <w:rsid w:val="003C5B04"/>
    <w:rsid w:val="003D7705"/>
    <w:rsid w:val="003E0F79"/>
    <w:rsid w:val="003F34F9"/>
    <w:rsid w:val="00406E44"/>
    <w:rsid w:val="00412579"/>
    <w:rsid w:val="0041668F"/>
    <w:rsid w:val="00417CEA"/>
    <w:rsid w:val="00425BDB"/>
    <w:rsid w:val="00431D75"/>
    <w:rsid w:val="00436EBB"/>
    <w:rsid w:val="00471299"/>
    <w:rsid w:val="0048171B"/>
    <w:rsid w:val="004B4A2A"/>
    <w:rsid w:val="004C0B30"/>
    <w:rsid w:val="004C3202"/>
    <w:rsid w:val="004F3F3A"/>
    <w:rsid w:val="00525C4F"/>
    <w:rsid w:val="00544F5D"/>
    <w:rsid w:val="00552AE5"/>
    <w:rsid w:val="00561C9F"/>
    <w:rsid w:val="00566ACF"/>
    <w:rsid w:val="00573F97"/>
    <w:rsid w:val="0057644A"/>
    <w:rsid w:val="00577D9E"/>
    <w:rsid w:val="005850B4"/>
    <w:rsid w:val="0058634A"/>
    <w:rsid w:val="0059083E"/>
    <w:rsid w:val="00593CDA"/>
    <w:rsid w:val="00595892"/>
    <w:rsid w:val="005A6271"/>
    <w:rsid w:val="005B18A1"/>
    <w:rsid w:val="005D1500"/>
    <w:rsid w:val="005E064C"/>
    <w:rsid w:val="005E3CA0"/>
    <w:rsid w:val="005F4717"/>
    <w:rsid w:val="00603581"/>
    <w:rsid w:val="006069B8"/>
    <w:rsid w:val="00607237"/>
    <w:rsid w:val="0062103A"/>
    <w:rsid w:val="00626F99"/>
    <w:rsid w:val="00637BD0"/>
    <w:rsid w:val="0064569A"/>
    <w:rsid w:val="00650580"/>
    <w:rsid w:val="00654898"/>
    <w:rsid w:val="006556BD"/>
    <w:rsid w:val="00655CC6"/>
    <w:rsid w:val="00662CE9"/>
    <w:rsid w:val="00671ADA"/>
    <w:rsid w:val="006A5127"/>
    <w:rsid w:val="006B3153"/>
    <w:rsid w:val="006E01AF"/>
    <w:rsid w:val="006E2073"/>
    <w:rsid w:val="006E73D7"/>
    <w:rsid w:val="006E7782"/>
    <w:rsid w:val="006F3059"/>
    <w:rsid w:val="006F310C"/>
    <w:rsid w:val="006F492C"/>
    <w:rsid w:val="00724868"/>
    <w:rsid w:val="0074115F"/>
    <w:rsid w:val="0074319A"/>
    <w:rsid w:val="0076773A"/>
    <w:rsid w:val="00767CD4"/>
    <w:rsid w:val="00777F8A"/>
    <w:rsid w:val="0079503D"/>
    <w:rsid w:val="007A4B38"/>
    <w:rsid w:val="007A538E"/>
    <w:rsid w:val="007B59AE"/>
    <w:rsid w:val="007B7682"/>
    <w:rsid w:val="007C2209"/>
    <w:rsid w:val="007C6FA0"/>
    <w:rsid w:val="007F1E4C"/>
    <w:rsid w:val="00822E68"/>
    <w:rsid w:val="008250C7"/>
    <w:rsid w:val="008347E5"/>
    <w:rsid w:val="008427C4"/>
    <w:rsid w:val="00843A50"/>
    <w:rsid w:val="00877E69"/>
    <w:rsid w:val="00881BBD"/>
    <w:rsid w:val="0088536F"/>
    <w:rsid w:val="008B0955"/>
    <w:rsid w:val="008B37EF"/>
    <w:rsid w:val="008B3A0E"/>
    <w:rsid w:val="008D10E8"/>
    <w:rsid w:val="008D254D"/>
    <w:rsid w:val="008D689B"/>
    <w:rsid w:val="008D6C95"/>
    <w:rsid w:val="008F6203"/>
    <w:rsid w:val="009050EF"/>
    <w:rsid w:val="00913E38"/>
    <w:rsid w:val="0093636D"/>
    <w:rsid w:val="00943557"/>
    <w:rsid w:val="009753A3"/>
    <w:rsid w:val="0099273F"/>
    <w:rsid w:val="009A1137"/>
    <w:rsid w:val="009A2493"/>
    <w:rsid w:val="009B0D83"/>
    <w:rsid w:val="009C0B20"/>
    <w:rsid w:val="009C476D"/>
    <w:rsid w:val="009D0595"/>
    <w:rsid w:val="009D0C53"/>
    <w:rsid w:val="009D6E6E"/>
    <w:rsid w:val="009E0F8A"/>
    <w:rsid w:val="009E1BA3"/>
    <w:rsid w:val="009F1023"/>
    <w:rsid w:val="009F211D"/>
    <w:rsid w:val="00A0102C"/>
    <w:rsid w:val="00A110D8"/>
    <w:rsid w:val="00A15263"/>
    <w:rsid w:val="00A3010C"/>
    <w:rsid w:val="00A37947"/>
    <w:rsid w:val="00A410EF"/>
    <w:rsid w:val="00A50AD3"/>
    <w:rsid w:val="00A54423"/>
    <w:rsid w:val="00A675BC"/>
    <w:rsid w:val="00A74264"/>
    <w:rsid w:val="00A83E54"/>
    <w:rsid w:val="00A94320"/>
    <w:rsid w:val="00A9454E"/>
    <w:rsid w:val="00A94F7E"/>
    <w:rsid w:val="00AB583B"/>
    <w:rsid w:val="00AC485C"/>
    <w:rsid w:val="00AE61BD"/>
    <w:rsid w:val="00B0199B"/>
    <w:rsid w:val="00B01E14"/>
    <w:rsid w:val="00B0728D"/>
    <w:rsid w:val="00B135DF"/>
    <w:rsid w:val="00B142E2"/>
    <w:rsid w:val="00B20DFA"/>
    <w:rsid w:val="00B23B36"/>
    <w:rsid w:val="00B263F1"/>
    <w:rsid w:val="00B279A2"/>
    <w:rsid w:val="00B3054D"/>
    <w:rsid w:val="00B342A7"/>
    <w:rsid w:val="00B36658"/>
    <w:rsid w:val="00B66BB2"/>
    <w:rsid w:val="00B70CBE"/>
    <w:rsid w:val="00B762CB"/>
    <w:rsid w:val="00B82022"/>
    <w:rsid w:val="00B83A96"/>
    <w:rsid w:val="00BA645E"/>
    <w:rsid w:val="00BA6CA2"/>
    <w:rsid w:val="00BB2A0B"/>
    <w:rsid w:val="00BC2179"/>
    <w:rsid w:val="00BC6CDC"/>
    <w:rsid w:val="00BD2374"/>
    <w:rsid w:val="00BD2BBF"/>
    <w:rsid w:val="00BE1830"/>
    <w:rsid w:val="00BF0B52"/>
    <w:rsid w:val="00C060B7"/>
    <w:rsid w:val="00C10D57"/>
    <w:rsid w:val="00C35730"/>
    <w:rsid w:val="00C43349"/>
    <w:rsid w:val="00C53128"/>
    <w:rsid w:val="00C61D85"/>
    <w:rsid w:val="00C62C3C"/>
    <w:rsid w:val="00C663A5"/>
    <w:rsid w:val="00CB00B2"/>
    <w:rsid w:val="00CB5944"/>
    <w:rsid w:val="00CB5D3F"/>
    <w:rsid w:val="00CB72F9"/>
    <w:rsid w:val="00CF3943"/>
    <w:rsid w:val="00CF7A97"/>
    <w:rsid w:val="00D00423"/>
    <w:rsid w:val="00D0551F"/>
    <w:rsid w:val="00D072D6"/>
    <w:rsid w:val="00D17F79"/>
    <w:rsid w:val="00D209A1"/>
    <w:rsid w:val="00D33B90"/>
    <w:rsid w:val="00D37B4B"/>
    <w:rsid w:val="00D42D05"/>
    <w:rsid w:val="00D44FA7"/>
    <w:rsid w:val="00D814AA"/>
    <w:rsid w:val="00D841A6"/>
    <w:rsid w:val="00D87FC4"/>
    <w:rsid w:val="00DA6AF0"/>
    <w:rsid w:val="00DF2ECD"/>
    <w:rsid w:val="00DF40D2"/>
    <w:rsid w:val="00DF4527"/>
    <w:rsid w:val="00DF58E7"/>
    <w:rsid w:val="00E0210C"/>
    <w:rsid w:val="00E15F33"/>
    <w:rsid w:val="00E16F7E"/>
    <w:rsid w:val="00E201E9"/>
    <w:rsid w:val="00E33D44"/>
    <w:rsid w:val="00E37242"/>
    <w:rsid w:val="00E430A2"/>
    <w:rsid w:val="00E45AEA"/>
    <w:rsid w:val="00E65C89"/>
    <w:rsid w:val="00E76A17"/>
    <w:rsid w:val="00E8393A"/>
    <w:rsid w:val="00EA2DDB"/>
    <w:rsid w:val="00ED4BD5"/>
    <w:rsid w:val="00ED514A"/>
    <w:rsid w:val="00ED78C7"/>
    <w:rsid w:val="00EE7E41"/>
    <w:rsid w:val="00EF0774"/>
    <w:rsid w:val="00EF306E"/>
    <w:rsid w:val="00EF5063"/>
    <w:rsid w:val="00EF664D"/>
    <w:rsid w:val="00F26242"/>
    <w:rsid w:val="00F27686"/>
    <w:rsid w:val="00F3088A"/>
    <w:rsid w:val="00F33622"/>
    <w:rsid w:val="00F37164"/>
    <w:rsid w:val="00F41C32"/>
    <w:rsid w:val="00F421F1"/>
    <w:rsid w:val="00F42A24"/>
    <w:rsid w:val="00F43764"/>
    <w:rsid w:val="00F45C04"/>
    <w:rsid w:val="00F46A70"/>
    <w:rsid w:val="00F63B56"/>
    <w:rsid w:val="00FA7D26"/>
    <w:rsid w:val="00FB158C"/>
    <w:rsid w:val="00FE2E25"/>
    <w:rsid w:val="00FE6500"/>
    <w:rsid w:val="00FF181E"/>
    <w:rsid w:val="00FF500F"/>
    <w:rsid w:val="00FF6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9F7"/>
  <w15:chartTrackingRefBased/>
  <w15:docId w15:val="{93B21FEE-3A9F-44A9-A3D0-188F836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A18"/>
    <w:pPr>
      <w:spacing w:after="0" w:line="240" w:lineRule="auto"/>
    </w:pPr>
    <w:rPr>
      <w:rFonts w:ascii="Times New Roman" w:eastAsia="Times New Roman" w:hAnsi="Times New Roman" w:cs="Times New Roman"/>
      <w:kern w:val="0"/>
      <w:sz w:val="28"/>
      <w:szCs w:val="20"/>
      <w:lang w:eastAsia="pl-PL"/>
      <w14:ligatures w14:val="none"/>
    </w:rPr>
  </w:style>
  <w:style w:type="paragraph" w:styleId="Nagwek1">
    <w:name w:val="heading 1"/>
    <w:basedOn w:val="Normalny"/>
    <w:next w:val="Normalny"/>
    <w:link w:val="Nagwek1Znak"/>
    <w:uiPriority w:val="9"/>
    <w:qFormat/>
    <w:rsid w:val="0005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B75"/>
    <w:pPr>
      <w:keepNext/>
      <w:keepLines/>
      <w:spacing w:before="160" w:after="80"/>
      <w:outlineLvl w:val="2"/>
    </w:pPr>
    <w:rPr>
      <w:rFonts w:eastAsiaTheme="majorEastAsia"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050B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B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B7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B7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B7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B7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B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B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B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B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B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B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B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B75"/>
    <w:rPr>
      <w:rFonts w:eastAsiaTheme="majorEastAsia" w:cstheme="majorBidi"/>
      <w:color w:val="272727" w:themeColor="text1" w:themeTint="D8"/>
    </w:rPr>
  </w:style>
  <w:style w:type="paragraph" w:styleId="Tytu">
    <w:name w:val="Title"/>
    <w:basedOn w:val="Normalny"/>
    <w:next w:val="Normalny"/>
    <w:link w:val="TytuZnak"/>
    <w:uiPriority w:val="10"/>
    <w:qFormat/>
    <w:rsid w:val="00050B7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B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B75"/>
    <w:pPr>
      <w:numPr>
        <w:ilvl w:val="1"/>
      </w:numPr>
    </w:pPr>
    <w:rPr>
      <w:rFonts w:eastAsiaTheme="majorEastAsia" w:cstheme="majorBidi"/>
      <w:color w:val="595959" w:themeColor="text1" w:themeTint="A6"/>
      <w:spacing w:val="15"/>
      <w:szCs w:val="28"/>
    </w:rPr>
  </w:style>
  <w:style w:type="character" w:customStyle="1" w:styleId="PodtytuZnak">
    <w:name w:val="Podtytuł Znak"/>
    <w:basedOn w:val="Domylnaczcionkaakapitu"/>
    <w:link w:val="Podtytu"/>
    <w:uiPriority w:val="11"/>
    <w:rsid w:val="00050B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B75"/>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B75"/>
    <w:rPr>
      <w:i/>
      <w:iCs/>
      <w:color w:val="404040" w:themeColor="text1" w:themeTint="BF"/>
    </w:rPr>
  </w:style>
  <w:style w:type="paragraph" w:styleId="Akapitzlist">
    <w:name w:val="List Paragraph"/>
    <w:basedOn w:val="Normalny"/>
    <w:uiPriority w:val="34"/>
    <w:qFormat/>
    <w:rsid w:val="00050B75"/>
    <w:pPr>
      <w:ind w:left="720"/>
      <w:contextualSpacing/>
    </w:pPr>
  </w:style>
  <w:style w:type="character" w:styleId="Wyrnienieintensywne">
    <w:name w:val="Intense Emphasis"/>
    <w:basedOn w:val="Domylnaczcionkaakapitu"/>
    <w:uiPriority w:val="21"/>
    <w:qFormat/>
    <w:rsid w:val="00050B75"/>
    <w:rPr>
      <w:i/>
      <w:iCs/>
      <w:color w:val="0F4761" w:themeColor="accent1" w:themeShade="BF"/>
    </w:rPr>
  </w:style>
  <w:style w:type="paragraph" w:styleId="Cytatintensywny">
    <w:name w:val="Intense Quote"/>
    <w:basedOn w:val="Normalny"/>
    <w:next w:val="Normalny"/>
    <w:link w:val="CytatintensywnyZnak"/>
    <w:uiPriority w:val="30"/>
    <w:qFormat/>
    <w:rsid w:val="0005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B75"/>
    <w:rPr>
      <w:i/>
      <w:iCs/>
      <w:color w:val="0F4761" w:themeColor="accent1" w:themeShade="BF"/>
    </w:rPr>
  </w:style>
  <w:style w:type="character" w:styleId="Odwoanieintensywne">
    <w:name w:val="Intense Reference"/>
    <w:basedOn w:val="Domylnaczcionkaakapitu"/>
    <w:uiPriority w:val="32"/>
    <w:qFormat/>
    <w:rsid w:val="00050B75"/>
    <w:rPr>
      <w:b/>
      <w:bCs/>
      <w:smallCaps/>
      <w:color w:val="0F4761" w:themeColor="accent1" w:themeShade="BF"/>
      <w:spacing w:val="5"/>
    </w:rPr>
  </w:style>
  <w:style w:type="paragraph" w:styleId="Bezodstpw">
    <w:name w:val="No Spacing"/>
    <w:uiPriority w:val="1"/>
    <w:qFormat/>
    <w:rsid w:val="00DF4527"/>
    <w:pPr>
      <w:spacing w:after="0" w:line="240" w:lineRule="auto"/>
    </w:pPr>
  </w:style>
  <w:style w:type="table" w:styleId="Tabela-Siatka">
    <w:name w:val="Table Grid"/>
    <w:basedOn w:val="Standardowy"/>
    <w:uiPriority w:val="39"/>
    <w:rsid w:val="00DF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021A18"/>
    <w:rPr>
      <w:sz w:val="20"/>
    </w:rPr>
  </w:style>
  <w:style w:type="character" w:customStyle="1" w:styleId="TekstkomentarzaZnak">
    <w:name w:val="Tekst komentarza Znak"/>
    <w:basedOn w:val="Domylnaczcionkaakapitu"/>
    <w:link w:val="Tekstkomentarza"/>
    <w:uiPriority w:val="99"/>
    <w:rsid w:val="00021A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21A18"/>
    <w:rPr>
      <w:b/>
      <w:bCs/>
    </w:rPr>
  </w:style>
  <w:style w:type="character" w:customStyle="1" w:styleId="TematkomentarzaZnak">
    <w:name w:val="Temat komentarza Znak"/>
    <w:basedOn w:val="TekstkomentarzaZnak"/>
    <w:link w:val="Tematkomentarza"/>
    <w:rsid w:val="00021A1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9454E"/>
    <w:pPr>
      <w:spacing w:after="0" w:line="240" w:lineRule="auto"/>
    </w:pPr>
    <w:rPr>
      <w:rFonts w:ascii="Times New Roman" w:eastAsia="Times New Roman" w:hAnsi="Times New Roman" w:cs="Times New Roman"/>
      <w:kern w:val="0"/>
      <w:sz w:val="28"/>
      <w:szCs w:val="20"/>
      <w:lang w:eastAsia="pl-PL"/>
      <w14:ligatures w14:val="none"/>
    </w:rPr>
  </w:style>
  <w:style w:type="character" w:styleId="Odwoaniedokomentarza">
    <w:name w:val="annotation reference"/>
    <w:basedOn w:val="Domylnaczcionkaakapitu"/>
    <w:uiPriority w:val="99"/>
    <w:semiHidden/>
    <w:unhideWhenUsed/>
    <w:rsid w:val="003559AF"/>
    <w:rPr>
      <w:sz w:val="16"/>
      <w:szCs w:val="16"/>
    </w:rPr>
  </w:style>
  <w:style w:type="paragraph" w:styleId="Nagwek">
    <w:name w:val="header"/>
    <w:basedOn w:val="Normalny"/>
    <w:link w:val="NagwekZnak"/>
    <w:uiPriority w:val="99"/>
    <w:unhideWhenUsed/>
    <w:rsid w:val="00D841A6"/>
    <w:pPr>
      <w:tabs>
        <w:tab w:val="center" w:pos="4536"/>
        <w:tab w:val="right" w:pos="9072"/>
      </w:tabs>
    </w:pPr>
  </w:style>
  <w:style w:type="character" w:customStyle="1" w:styleId="NagwekZnak">
    <w:name w:val="Nagłówek Znak"/>
    <w:basedOn w:val="Domylnaczcionkaakapitu"/>
    <w:link w:val="Nagwek"/>
    <w:uiPriority w:val="99"/>
    <w:rsid w:val="00D841A6"/>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unhideWhenUsed/>
    <w:rsid w:val="00D841A6"/>
    <w:pPr>
      <w:tabs>
        <w:tab w:val="center" w:pos="4536"/>
        <w:tab w:val="right" w:pos="9072"/>
      </w:tabs>
    </w:pPr>
  </w:style>
  <w:style w:type="character" w:customStyle="1" w:styleId="StopkaZnak">
    <w:name w:val="Stopka Znak"/>
    <w:basedOn w:val="Domylnaczcionkaakapitu"/>
    <w:link w:val="Stopka"/>
    <w:uiPriority w:val="99"/>
    <w:rsid w:val="00D841A6"/>
    <w:rPr>
      <w:rFonts w:ascii="Times New Roman" w:eastAsia="Times New Roman" w:hAnsi="Times New Roman" w:cs="Times New Roman"/>
      <w:kern w:val="0"/>
      <w:sz w:val="28"/>
      <w:szCs w:val="20"/>
      <w:lang w:eastAsia="pl-PL"/>
      <w14:ligatures w14:val="none"/>
    </w:rPr>
  </w:style>
  <w:style w:type="character" w:customStyle="1" w:styleId="FontStyle65">
    <w:name w:val="Font Style65"/>
    <w:rsid w:val="00650580"/>
    <w:rPr>
      <w:rFonts w:ascii="Times New Roman" w:hAnsi="Times New Roman" w:cs="Times New Roman"/>
      <w:sz w:val="22"/>
      <w:szCs w:val="22"/>
    </w:rPr>
  </w:style>
  <w:style w:type="paragraph" w:customStyle="1" w:styleId="LITlitera">
    <w:name w:val="LIT – litera"/>
    <w:basedOn w:val="Normalny"/>
    <w:uiPriority w:val="14"/>
    <w:qFormat/>
    <w:rsid w:val="00650580"/>
    <w:pPr>
      <w:spacing w:line="360" w:lineRule="auto"/>
      <w:ind w:left="986" w:hanging="476"/>
      <w:jc w:val="both"/>
    </w:pPr>
    <w:rPr>
      <w:rFonts w:ascii="Times" w:hAnsi="Times" w:cs="Arial"/>
      <w:bCs/>
      <w:sz w:val="24"/>
    </w:rPr>
  </w:style>
  <w:style w:type="paragraph" w:customStyle="1" w:styleId="PKTpunkt">
    <w:name w:val="PKT – punkt"/>
    <w:uiPriority w:val="13"/>
    <w:qFormat/>
    <w:rsid w:val="00650580"/>
    <w:pPr>
      <w:spacing w:after="0" w:line="360" w:lineRule="auto"/>
      <w:ind w:left="510" w:hanging="510"/>
      <w:jc w:val="both"/>
    </w:pPr>
    <w:rPr>
      <w:rFonts w:ascii="Times" w:eastAsiaTheme="minorEastAsia" w:hAnsi="Times" w:cs="Arial"/>
      <w:bCs/>
      <w:kern w:val="0"/>
      <w:sz w:val="24"/>
      <w:szCs w:val="20"/>
      <w:lang w:eastAsia="pl-PL"/>
      <w14:ligatures w14:val="none"/>
    </w:rPr>
  </w:style>
  <w:style w:type="character" w:customStyle="1" w:styleId="Ppogrubienie">
    <w:name w:val="_P_ – pogrubienie"/>
    <w:basedOn w:val="Domylnaczcionkaakapitu"/>
    <w:uiPriority w:val="1"/>
    <w:qFormat/>
    <w:rsid w:val="00650580"/>
    <w:rPr>
      <w:b/>
    </w:rPr>
  </w:style>
  <w:style w:type="paragraph" w:customStyle="1" w:styleId="ARTartustawynprozporzdzenia">
    <w:name w:val="ART(§) – art. ustawy (§ np. rozporządzenia)"/>
    <w:uiPriority w:val="11"/>
    <w:qFormat/>
    <w:rsid w:val="00650580"/>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USTustnpkodeksu">
    <w:name w:val="UST(§) – ust. (§ np. kodeksu)"/>
    <w:basedOn w:val="ARTartustawynprozporzdzenia"/>
    <w:uiPriority w:val="12"/>
    <w:qFormat/>
    <w:rsid w:val="00650580"/>
    <w:pPr>
      <w:spacing w:before="0"/>
    </w:pPr>
    <w:rPr>
      <w:bCs/>
    </w:rPr>
  </w:style>
  <w:style w:type="paragraph" w:styleId="Tekstprzypisukocowego">
    <w:name w:val="endnote text"/>
    <w:basedOn w:val="Normalny"/>
    <w:link w:val="TekstprzypisukocowegoZnak"/>
    <w:uiPriority w:val="99"/>
    <w:semiHidden/>
    <w:unhideWhenUsed/>
    <w:rsid w:val="00D814AA"/>
    <w:rPr>
      <w:sz w:val="20"/>
    </w:rPr>
  </w:style>
  <w:style w:type="character" w:customStyle="1" w:styleId="TekstprzypisukocowegoZnak">
    <w:name w:val="Tekst przypisu końcowego Znak"/>
    <w:basedOn w:val="Domylnaczcionkaakapitu"/>
    <w:link w:val="Tekstprzypisukocowego"/>
    <w:uiPriority w:val="99"/>
    <w:semiHidden/>
    <w:rsid w:val="00D814AA"/>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D814AA"/>
    <w:rPr>
      <w:vertAlign w:val="superscript"/>
    </w:rPr>
  </w:style>
  <w:style w:type="character" w:styleId="Hipercze">
    <w:name w:val="Hyperlink"/>
    <w:basedOn w:val="Domylnaczcionkaakapitu"/>
    <w:uiPriority w:val="99"/>
    <w:unhideWhenUsed/>
    <w:rsid w:val="006E2073"/>
    <w:rPr>
      <w:color w:val="467886" w:themeColor="hyperlink"/>
      <w:u w:val="single"/>
    </w:rPr>
  </w:style>
  <w:style w:type="character" w:styleId="Nierozpoznanawzmianka">
    <w:name w:val="Unresolved Mention"/>
    <w:basedOn w:val="Domylnaczcionkaakapitu"/>
    <w:uiPriority w:val="99"/>
    <w:semiHidden/>
    <w:unhideWhenUsed/>
    <w:rsid w:val="006E2073"/>
    <w:rPr>
      <w:color w:val="605E5C"/>
      <w:shd w:val="clear" w:color="auto" w:fill="E1DFDD"/>
    </w:rPr>
  </w:style>
  <w:style w:type="character" w:customStyle="1" w:styleId="IGindeksgrny">
    <w:name w:val="_IG_ – indeks górny"/>
    <w:basedOn w:val="Domylnaczcionkaakapitu"/>
    <w:uiPriority w:val="2"/>
    <w:qFormat/>
    <w:rsid w:val="00FA7D26"/>
    <w:rPr>
      <w:b w:val="0"/>
      <w:i w:val="0"/>
      <w:vanish w:val="0"/>
      <w:spacing w:val="0"/>
      <w:vertAlign w:val="superscript"/>
    </w:rPr>
  </w:style>
  <w:style w:type="paragraph" w:customStyle="1" w:styleId="TYTUAKTUprzedmiotregulacjiustawylubrozporzdzenia">
    <w:name w:val="TYTUŁ_AKTU – przedmiot regulacji ustawy lub rozporządzenia"/>
    <w:next w:val="ARTartustawynprozporzdzenia"/>
    <w:uiPriority w:val="6"/>
    <w:qFormat/>
    <w:rsid w:val="003D7705"/>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08063">
      <w:bodyDiv w:val="1"/>
      <w:marLeft w:val="0"/>
      <w:marRight w:val="0"/>
      <w:marTop w:val="0"/>
      <w:marBottom w:val="0"/>
      <w:divBdr>
        <w:top w:val="none" w:sz="0" w:space="0" w:color="auto"/>
        <w:left w:val="none" w:sz="0" w:space="0" w:color="auto"/>
        <w:bottom w:val="none" w:sz="0" w:space="0" w:color="auto"/>
        <w:right w:val="none" w:sz="0" w:space="0" w:color="auto"/>
      </w:divBdr>
    </w:div>
    <w:div w:id="1414350697">
      <w:bodyDiv w:val="1"/>
      <w:marLeft w:val="0"/>
      <w:marRight w:val="0"/>
      <w:marTop w:val="0"/>
      <w:marBottom w:val="0"/>
      <w:divBdr>
        <w:top w:val="none" w:sz="0" w:space="0" w:color="auto"/>
        <w:left w:val="none" w:sz="0" w:space="0" w:color="auto"/>
        <w:bottom w:val="none" w:sz="0" w:space="0" w:color="auto"/>
        <w:right w:val="none" w:sz="0" w:space="0" w:color="auto"/>
      </w:divBdr>
    </w:div>
    <w:div w:id="1526137988">
      <w:bodyDiv w:val="1"/>
      <w:marLeft w:val="0"/>
      <w:marRight w:val="0"/>
      <w:marTop w:val="0"/>
      <w:marBottom w:val="0"/>
      <w:divBdr>
        <w:top w:val="none" w:sz="0" w:space="0" w:color="auto"/>
        <w:left w:val="none" w:sz="0" w:space="0" w:color="auto"/>
        <w:bottom w:val="none" w:sz="0" w:space="0" w:color="auto"/>
        <w:right w:val="none" w:sz="0" w:space="0" w:color="auto"/>
      </w:divBdr>
    </w:div>
    <w:div w:id="1654605761">
      <w:bodyDiv w:val="1"/>
      <w:marLeft w:val="0"/>
      <w:marRight w:val="0"/>
      <w:marTop w:val="0"/>
      <w:marBottom w:val="0"/>
      <w:divBdr>
        <w:top w:val="none" w:sz="0" w:space="0" w:color="auto"/>
        <w:left w:val="none" w:sz="0" w:space="0" w:color="auto"/>
        <w:bottom w:val="none" w:sz="0" w:space="0" w:color="auto"/>
        <w:right w:val="none" w:sz="0" w:space="0" w:color="auto"/>
      </w:divBdr>
    </w:div>
    <w:div w:id="1806506158">
      <w:bodyDiv w:val="1"/>
      <w:marLeft w:val="0"/>
      <w:marRight w:val="0"/>
      <w:marTop w:val="0"/>
      <w:marBottom w:val="0"/>
      <w:divBdr>
        <w:top w:val="none" w:sz="0" w:space="0" w:color="auto"/>
        <w:left w:val="none" w:sz="0" w:space="0" w:color="auto"/>
        <w:bottom w:val="none" w:sz="0" w:space="0" w:color="auto"/>
        <w:right w:val="none" w:sz="0" w:space="0" w:color="auto"/>
      </w:divBdr>
    </w:div>
    <w:div w:id="1819490615">
      <w:bodyDiv w:val="1"/>
      <w:marLeft w:val="0"/>
      <w:marRight w:val="0"/>
      <w:marTop w:val="0"/>
      <w:marBottom w:val="0"/>
      <w:divBdr>
        <w:top w:val="none" w:sz="0" w:space="0" w:color="auto"/>
        <w:left w:val="none" w:sz="0" w:space="0" w:color="auto"/>
        <w:bottom w:val="none" w:sz="0" w:space="0" w:color="auto"/>
        <w:right w:val="none" w:sz="0" w:space="0" w:color="auto"/>
      </w:divBdr>
    </w:div>
    <w:div w:id="2029139036">
      <w:bodyDiv w:val="1"/>
      <w:marLeft w:val="0"/>
      <w:marRight w:val="0"/>
      <w:marTop w:val="0"/>
      <w:marBottom w:val="0"/>
      <w:divBdr>
        <w:top w:val="none" w:sz="0" w:space="0" w:color="auto"/>
        <w:left w:val="none" w:sz="0" w:space="0" w:color="auto"/>
        <w:bottom w:val="none" w:sz="0" w:space="0" w:color="auto"/>
        <w:right w:val="none" w:sz="0" w:space="0" w:color="auto"/>
      </w:divBdr>
    </w:div>
    <w:div w:id="2127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9E0C-216C-4DB3-B615-09A73CE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10716</Words>
  <Characters>64298</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Muszyński Marcin</dc:creator>
  <cp:keywords/>
  <dc:description/>
  <cp:lastModifiedBy>DP WL</cp:lastModifiedBy>
  <cp:revision>2</cp:revision>
  <dcterms:created xsi:type="dcterms:W3CDTF">2026-06-16T10:15:00Z</dcterms:created>
  <dcterms:modified xsi:type="dcterms:W3CDTF">2026-06-16T10:15:00Z</dcterms:modified>
</cp:coreProperties>
</file>