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4BB5B07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D6FFB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FD6FFB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62D5D91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D6FFB">
        <w:rPr>
          <w:rFonts w:ascii="Arial" w:hAnsi="Arial" w:cs="Arial"/>
          <w:b/>
          <w:bCs/>
          <w:sz w:val="24"/>
          <w:szCs w:val="24"/>
        </w:rPr>
        <w:t>87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F65E7F5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D6FFB">
        <w:rPr>
          <w:rFonts w:ascii="Arial" w:hAnsi="Arial" w:cs="Arial"/>
          <w:color w:val="000000"/>
          <w:sz w:val="24"/>
          <w:szCs w:val="24"/>
          <w:lang w:eastAsia="pl-PL"/>
        </w:rPr>
        <w:t>77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77B7A65D" w:rsid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FD6FFB">
        <w:rPr>
          <w:rFonts w:ascii="Arial" w:eastAsiaTheme="minorHAnsi" w:hAnsi="Arial" w:cs="Arial"/>
          <w:b/>
          <w:sz w:val="24"/>
          <w:szCs w:val="24"/>
          <w:lang w:eastAsia="en-US"/>
        </w:rPr>
        <w:t>113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24E7F63" w14:textId="1A10A078" w:rsidR="008C4A0D" w:rsidRPr="00F91A9B" w:rsidRDefault="00F91A9B" w:rsidP="00F91A9B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Robert Kropiwnicki, Jan Mosiński, Paweł Lisiecki, Sławomir Potapowicz, Adam Zieliński</w:t>
      </w:r>
    </w:p>
    <w:p w14:paraId="59E40D17" w14:textId="4009EDEF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D6FFB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FD6FFB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4CF31616" w14:textId="77777777" w:rsidR="00176625" w:rsidRDefault="00FD1CAE" w:rsidP="00176625">
      <w:pPr>
        <w:spacing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176625">
        <w:rPr>
          <w:rFonts w:ascii="Arial" w:hAnsi="Arial" w:cs="Arial"/>
          <w:bCs/>
          <w:sz w:val="24"/>
          <w:szCs w:val="24"/>
        </w:rPr>
        <w:t>J S, P S, A S, B D-P, A C, B G i następców prawnych  K Z</w:t>
      </w:r>
    </w:p>
    <w:p w14:paraId="27CDFE5B" w14:textId="24A32A47" w:rsidR="0035726B" w:rsidRDefault="00124D02" w:rsidP="00176625">
      <w:pPr>
        <w:suppressAutoHyphens w:val="0"/>
        <w:spacing w:after="480"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35726B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 w:rsidRPr="0035726B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35726B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 w:rsidRPr="0035726B">
        <w:rPr>
          <w:rFonts w:ascii="Arial" w:eastAsiaTheme="minorHAnsi" w:hAnsi="Arial" w:cs="Arial"/>
          <w:sz w:val="24"/>
          <w:szCs w:val="24"/>
        </w:rPr>
        <w:t xml:space="preserve">w postaci wpisu ostrzeżenia o toczącym się postępowaniu rozpoznawczym oraz zakazu zbywania lub obciążania nieruchomości </w:t>
      </w:r>
    </w:p>
    <w:p w14:paraId="12E83F26" w14:textId="403AB8BD" w:rsidR="00124D02" w:rsidRPr="00124D02" w:rsidRDefault="00C327BC" w:rsidP="0035726B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DF33702" w14:textId="3D189FEE" w:rsidR="00791A2D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bookmarkStart w:id="2" w:name="_Hlk125112819"/>
      <w:r w:rsidR="00FD6FFB">
        <w:rPr>
          <w:rFonts w:ascii="Arial" w:hAnsi="Arial" w:cs="Arial"/>
          <w:sz w:val="24"/>
          <w:szCs w:val="24"/>
        </w:rPr>
        <w:t>26 października</w:t>
      </w:r>
      <w:r>
        <w:rPr>
          <w:rFonts w:ascii="Arial" w:hAnsi="Arial" w:cs="Arial"/>
          <w:sz w:val="24"/>
          <w:szCs w:val="24"/>
        </w:rPr>
        <w:t xml:space="preserve"> </w:t>
      </w:r>
      <w:r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Pr="00FD49CA">
        <w:rPr>
          <w:rFonts w:ascii="Arial" w:hAnsi="Arial" w:cs="Arial"/>
          <w:sz w:val="24"/>
          <w:szCs w:val="24"/>
        </w:rPr>
        <w:t xml:space="preserve">V KW </w:t>
      </w:r>
      <w:r w:rsidR="00FD6FFB">
        <w:rPr>
          <w:rFonts w:ascii="Arial" w:hAnsi="Arial" w:cs="Arial"/>
          <w:sz w:val="24"/>
          <w:szCs w:val="24"/>
        </w:rPr>
        <w:t>87</w:t>
      </w:r>
      <w:r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bookmarkEnd w:id="2"/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ostrzeżenia o toczącym się postępowaniu rozpoznawczym</w:t>
      </w:r>
      <w:r w:rsidRPr="00FD49CA">
        <w:rPr>
          <w:rFonts w:ascii="Arial" w:hAnsi="Arial" w:cs="Arial"/>
          <w:sz w:val="24"/>
          <w:szCs w:val="24"/>
        </w:rPr>
        <w:t xml:space="preserve"> w sprawie nieruchomości położonej w Warszawie przy </w:t>
      </w:r>
      <w:r w:rsidRPr="00FD49CA">
        <w:rPr>
          <w:rFonts w:ascii="Arial" w:hAnsi="Arial" w:cs="Arial"/>
          <w:b/>
          <w:sz w:val="24"/>
          <w:szCs w:val="24"/>
        </w:rPr>
        <w:t>ul.</w:t>
      </w:r>
      <w:r w:rsidR="00700E96">
        <w:rPr>
          <w:rFonts w:ascii="Arial" w:hAnsi="Arial" w:cs="Arial"/>
          <w:b/>
          <w:sz w:val="24"/>
          <w:szCs w:val="24"/>
        </w:rPr>
        <w:t xml:space="preserve"> </w:t>
      </w:r>
      <w:r w:rsidR="00FD6FFB">
        <w:rPr>
          <w:rFonts w:ascii="Arial" w:hAnsi="Arial" w:cs="Arial"/>
          <w:b/>
          <w:sz w:val="24"/>
          <w:szCs w:val="24"/>
        </w:rPr>
        <w:t>Salezego 1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bookmarkEnd w:id="1"/>
      <w:r w:rsidR="00FD6FFB">
        <w:rPr>
          <w:rFonts w:ascii="Arial" w:hAnsi="Arial" w:cs="Arial"/>
          <w:bCs/>
          <w:sz w:val="24"/>
          <w:szCs w:val="24"/>
        </w:rPr>
        <w:t xml:space="preserve"> – na udziale nr w prawie własności nieruchomości w części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691F56F" w14:textId="0AEF9CA9" w:rsidR="00791A2D" w:rsidRPr="009518D4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FD6FFB">
        <w:rPr>
          <w:rFonts w:ascii="Arial" w:hAnsi="Arial" w:cs="Arial"/>
          <w:sz w:val="24"/>
          <w:szCs w:val="24"/>
        </w:rPr>
        <w:t>26 października</w:t>
      </w:r>
      <w:r w:rsidR="00700E96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FD6FFB">
        <w:rPr>
          <w:rFonts w:ascii="Arial" w:hAnsi="Arial" w:cs="Arial"/>
          <w:sz w:val="24"/>
          <w:szCs w:val="24"/>
        </w:rPr>
        <w:t>87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Pr="00FD49CA">
        <w:rPr>
          <w:rFonts w:ascii="Arial" w:hAnsi="Arial" w:cs="Arial"/>
          <w:sz w:val="24"/>
          <w:szCs w:val="24"/>
        </w:rPr>
        <w:t xml:space="preserve"> 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FD6FFB">
        <w:rPr>
          <w:rFonts w:ascii="Arial" w:hAnsi="Arial" w:cs="Arial"/>
          <w:b/>
          <w:sz w:val="24"/>
          <w:szCs w:val="24"/>
        </w:rPr>
        <w:t>Salezego 1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="004B7141">
        <w:rPr>
          <w:rFonts w:ascii="Arial" w:hAnsi="Arial" w:cs="Arial"/>
          <w:bCs/>
          <w:sz w:val="24"/>
          <w:szCs w:val="24"/>
        </w:rPr>
        <w:t xml:space="preserve"> </w:t>
      </w:r>
      <w:r w:rsidR="00FD6FFB">
        <w:rPr>
          <w:rFonts w:ascii="Arial" w:hAnsi="Arial" w:cs="Arial"/>
          <w:bCs/>
          <w:sz w:val="24"/>
          <w:szCs w:val="24"/>
        </w:rPr>
        <w:t>– na udziale nr w prawie własności nieruchomości w części</w:t>
      </w:r>
      <w:r w:rsidR="00FD6FFB" w:rsidRPr="00FD49CA">
        <w:rPr>
          <w:rFonts w:ascii="Arial" w:hAnsi="Arial" w:cs="Arial"/>
          <w:sz w:val="24"/>
          <w:szCs w:val="24"/>
        </w:rPr>
        <w:t>;</w:t>
      </w:r>
      <w:r w:rsidR="00FD6FFB">
        <w:rPr>
          <w:rFonts w:ascii="Arial" w:hAnsi="Arial" w:cs="Arial"/>
          <w:bCs/>
          <w:sz w:val="24"/>
          <w:szCs w:val="24"/>
        </w:rPr>
        <w:t xml:space="preserve"> 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91A9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76625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D4BFF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26B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141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23A8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1A9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D6FFB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35-22 o uchyleniu zabezpieczenia ul. Bednarska</vt:lpstr>
    </vt:vector>
  </TitlesOfParts>
  <Company>MS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87-22 o uchyleniu zabezpieczenia ul. Salezego 1</dc:title>
  <dc:creator>Dalkowska Anna  (DWOiP)</dc:creator>
  <cp:lastModifiedBy>Mykietyn-Furca Beata  (DPA)</cp:lastModifiedBy>
  <cp:revision>41</cp:revision>
  <cp:lastPrinted>2019-01-30T15:24:00Z</cp:lastPrinted>
  <dcterms:created xsi:type="dcterms:W3CDTF">2021-11-19T09:23:00Z</dcterms:created>
  <dcterms:modified xsi:type="dcterms:W3CDTF">2023-02-15T13:03:00Z</dcterms:modified>
</cp:coreProperties>
</file>