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3A0C6E99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FB1D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4B9A0915" w14:textId="038B4CA6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52DB0E4B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10679AD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0319EBF5" w:rsidR="003460E0" w:rsidRPr="00BF601C" w:rsidRDefault="00FB1DA9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Stacja dokująca</w:t>
            </w:r>
            <w:r w:rsidR="00936968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55E26353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22399B08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2B4D5032" w:rsidR="003460E0" w:rsidRPr="00BF601C" w:rsidRDefault="00936968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05A4738F" w:rsidR="003460E0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1C66ACC4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17FE325F" w:rsidR="004A7E45" w:rsidRPr="00BF601C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Monitor</w:t>
            </w:r>
            <w:r w:rsidR="00FB1D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298AE1E6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4A7E45" w:rsidRPr="00BF601C" w14:paraId="20AA3D67" w14:textId="77777777" w:rsidTr="002D12C4">
        <w:trPr>
          <w:trHeight w:val="2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D89BD3B" w:rsidR="004A7E45" w:rsidRPr="00BF601C" w:rsidRDefault="00FB1DA9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16976E5D" w:rsidR="004A7E45" w:rsidRPr="002D12C4" w:rsidRDefault="002D12C4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D12C4">
              <w:rPr>
                <w:rFonts w:asciiTheme="minorHAnsi" w:hAnsiTheme="minorHAnsi" w:cstheme="minorHAnsi"/>
                <w:sz w:val="24"/>
                <w:szCs w:val="24"/>
              </w:rPr>
              <w:t>Uchwyt biurkowy do monitor</w:t>
            </w:r>
            <w:r w:rsidR="00AC22F3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0BEAB7A9" w:rsidR="004A7E45" w:rsidRPr="00BF601C" w:rsidRDefault="002D12C4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6F6BA5A9" w:rsidR="00405449" w:rsidRPr="00936968" w:rsidRDefault="00405449" w:rsidP="0093696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</w:t>
      </w:r>
      <w:r w:rsidRPr="00FB1DA9">
        <w:rPr>
          <w:rFonts w:asciiTheme="minorHAnsi" w:hAnsiTheme="minorHAnsi" w:cstheme="minorHAnsi"/>
          <w:sz w:val="24"/>
          <w:szCs w:val="24"/>
        </w:rPr>
        <w:t>w ramach</w:t>
      </w:r>
      <w:r w:rsidR="00936968" w:rsidRPr="00FB1DA9">
        <w:rPr>
          <w:rFonts w:asciiTheme="minorHAnsi" w:hAnsiTheme="minorHAnsi" w:cstheme="minorHAnsi"/>
          <w:sz w:val="24"/>
          <w:szCs w:val="24"/>
        </w:rPr>
        <w:t xml:space="preserve"> projektu nr FENX.01.05-IW.01-0106/24 pn. Aktualizacja planów zadań ochronnych dla obszarów Natura 2000 wraz z prowadzeniem monitoringów</w:t>
      </w:r>
      <w:r w:rsidRPr="00FB1D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479AE79" w14:textId="7A18F314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D22E8C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5B26B7B7" w:rsidR="0048665F" w:rsidRPr="00BF601C" w:rsidRDefault="00936968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77D2B96E" w14:textId="6E90449C" w:rsid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Stacja dokująca do laptopa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360F912E" w14:textId="408ADB69" w:rsidR="006857B0" w:rsidRPr="002D12C4" w:rsidRDefault="00936968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</w:t>
      </w:r>
      <w:r w:rsidR="006857B0" w:rsidRPr="002D12C4">
        <w:rPr>
          <w:rFonts w:asciiTheme="minorHAnsi" w:hAnsiTheme="minorHAnsi" w:cstheme="minorHAnsi"/>
          <w:color w:val="000000"/>
          <w:sz w:val="24"/>
          <w:szCs w:val="24"/>
        </w:rPr>
        <w:t xml:space="preserve"> klawiatura i mysz - ………………………………………………………………</w:t>
      </w:r>
      <w:r w:rsidR="004A7E45" w:rsidRPr="002D12C4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004D1C8C" w:rsidR="006857B0" w:rsidRPr="00BF601C" w:rsidRDefault="002D12C4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10ACEA43" w:rsidR="004A7E45" w:rsidRPr="00BF601C" w:rsidRDefault="002D12C4" w:rsidP="002D12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D12C4">
        <w:rPr>
          <w:rFonts w:asciiTheme="minorHAnsi" w:hAnsiTheme="minorHAnsi" w:cstheme="minorHAnsi"/>
          <w:sz w:val="24"/>
          <w:szCs w:val="24"/>
        </w:rPr>
        <w:t xml:space="preserve">Uchwyt biurkowy </w:t>
      </w:r>
      <w:r>
        <w:rPr>
          <w:rFonts w:asciiTheme="minorHAnsi" w:hAnsiTheme="minorHAnsi" w:cstheme="minorHAnsi"/>
          <w:sz w:val="24"/>
          <w:szCs w:val="24"/>
        </w:rPr>
        <w:t>do monitor</w:t>
      </w:r>
      <w:r w:rsidR="00AC22F3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5B4EFFE9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jest zobowiązany do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>przesłani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w odpowiedniej formie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e-mail Zamawiającego: </w:t>
      </w:r>
      <w:hyperlink r:id="rId8" w:history="1">
        <w:r w:rsidR="00FB1DA9" w:rsidRPr="00E5247B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 oraz zarejestrowania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jej/jego w Krajowym Systemie e-Faktur (jeśli dotyczy). 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7777777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4D22074E" w14:textId="77777777" w:rsidR="00BF601C" w:rsidRPr="00BF601C" w:rsidRDefault="00BF601C" w:rsidP="00BF601C">
      <w:pPr>
        <w:tabs>
          <w:tab w:val="left" w:pos="374"/>
        </w:tabs>
        <w:suppressAutoHyphens w:val="0"/>
        <w:overflowPunct/>
        <w:autoSpaceDE/>
        <w:spacing w:line="276" w:lineRule="auto"/>
        <w:ind w:left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E649C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E649C2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lastRenderedPageBreak/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5A10D54B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2D12C4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BF601C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9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CF07" w14:textId="77777777" w:rsidR="00B82589" w:rsidRDefault="00B82589">
      <w:r>
        <w:separator/>
      </w:r>
    </w:p>
  </w:endnote>
  <w:endnote w:type="continuationSeparator" w:id="0">
    <w:p w14:paraId="7914AF28" w14:textId="77777777" w:rsidR="00B82589" w:rsidRDefault="00B8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E79" w14:textId="24404620" w:rsidR="00FB1DA9" w:rsidRDefault="00FB1DA9">
    <w:pPr>
      <w:pStyle w:val="Stopka"/>
    </w:pPr>
  </w:p>
  <w:p w14:paraId="48DBC756" w14:textId="680987C8" w:rsidR="0048665F" w:rsidRDefault="00FB1DA9">
    <w:pPr>
      <w:pStyle w:val="Stopka"/>
    </w:pPr>
    <w:r w:rsidRPr="00FB1DA9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50AAFDDD" wp14:editId="41BCABCA">
          <wp:extent cx="5759450" cy="822779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B223" w14:textId="77777777" w:rsidR="00B82589" w:rsidRDefault="00B82589">
      <w:r>
        <w:separator/>
      </w:r>
    </w:p>
  </w:footnote>
  <w:footnote w:type="continuationSeparator" w:id="0">
    <w:p w14:paraId="3C2C436D" w14:textId="77777777" w:rsidR="00B82589" w:rsidRDefault="00B8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30192702">
    <w:abstractNumId w:val="0"/>
  </w:num>
  <w:num w:numId="2" w16cid:durableId="2021002254">
    <w:abstractNumId w:val="1"/>
  </w:num>
  <w:num w:numId="3" w16cid:durableId="33309133">
    <w:abstractNumId w:val="2"/>
  </w:num>
  <w:num w:numId="4" w16cid:durableId="56444388">
    <w:abstractNumId w:val="3"/>
  </w:num>
  <w:num w:numId="5" w16cid:durableId="823817559">
    <w:abstractNumId w:val="4"/>
  </w:num>
  <w:num w:numId="6" w16cid:durableId="1898316730">
    <w:abstractNumId w:val="5"/>
  </w:num>
  <w:num w:numId="7" w16cid:durableId="2016497240">
    <w:abstractNumId w:val="6"/>
  </w:num>
  <w:num w:numId="8" w16cid:durableId="267859990">
    <w:abstractNumId w:val="7"/>
  </w:num>
  <w:num w:numId="9" w16cid:durableId="1992443501">
    <w:abstractNumId w:val="17"/>
  </w:num>
  <w:num w:numId="10" w16cid:durableId="1039090973">
    <w:abstractNumId w:val="19"/>
  </w:num>
  <w:num w:numId="11" w16cid:durableId="375205780">
    <w:abstractNumId w:val="14"/>
  </w:num>
  <w:num w:numId="12" w16cid:durableId="521670429">
    <w:abstractNumId w:val="13"/>
  </w:num>
  <w:num w:numId="13" w16cid:durableId="33615295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9952762">
    <w:abstractNumId w:val="10"/>
  </w:num>
  <w:num w:numId="15" w16cid:durableId="173423590">
    <w:abstractNumId w:val="12"/>
  </w:num>
  <w:num w:numId="16" w16cid:durableId="864832571">
    <w:abstractNumId w:val="16"/>
  </w:num>
  <w:num w:numId="17" w16cid:durableId="1803617286">
    <w:abstractNumId w:val="9"/>
  </w:num>
  <w:num w:numId="18" w16cid:durableId="1291203681">
    <w:abstractNumId w:val="21"/>
  </w:num>
  <w:num w:numId="19" w16cid:durableId="1939555851">
    <w:abstractNumId w:val="8"/>
  </w:num>
  <w:num w:numId="20" w16cid:durableId="1009335344">
    <w:abstractNumId w:val="15"/>
  </w:num>
  <w:num w:numId="21" w16cid:durableId="167134895">
    <w:abstractNumId w:val="20"/>
  </w:num>
  <w:num w:numId="22" w16cid:durableId="996567549">
    <w:abstractNumId w:val="11"/>
  </w:num>
  <w:num w:numId="23" w16cid:durableId="127087193">
    <w:abstractNumId w:val="18"/>
  </w:num>
  <w:num w:numId="24" w16cid:durableId="1024936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73782"/>
    <w:rsid w:val="00180F87"/>
    <w:rsid w:val="00184A29"/>
    <w:rsid w:val="00190097"/>
    <w:rsid w:val="001C2CA3"/>
    <w:rsid w:val="001C2F59"/>
    <w:rsid w:val="001C799D"/>
    <w:rsid w:val="001D3CF4"/>
    <w:rsid w:val="001E2DCF"/>
    <w:rsid w:val="00213654"/>
    <w:rsid w:val="00233B9C"/>
    <w:rsid w:val="002367BF"/>
    <w:rsid w:val="00251F3A"/>
    <w:rsid w:val="00267147"/>
    <w:rsid w:val="00267A15"/>
    <w:rsid w:val="00285334"/>
    <w:rsid w:val="002957D7"/>
    <w:rsid w:val="002B3DF9"/>
    <w:rsid w:val="002C305B"/>
    <w:rsid w:val="002C7576"/>
    <w:rsid w:val="002D12C4"/>
    <w:rsid w:val="002E2D9C"/>
    <w:rsid w:val="002F0468"/>
    <w:rsid w:val="002F2186"/>
    <w:rsid w:val="00327E02"/>
    <w:rsid w:val="00343364"/>
    <w:rsid w:val="003460E0"/>
    <w:rsid w:val="0037160D"/>
    <w:rsid w:val="0038617B"/>
    <w:rsid w:val="00391D8A"/>
    <w:rsid w:val="003C622B"/>
    <w:rsid w:val="003D7E62"/>
    <w:rsid w:val="003E2D0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04BD0"/>
    <w:rsid w:val="005116D1"/>
    <w:rsid w:val="0051173F"/>
    <w:rsid w:val="00526FEC"/>
    <w:rsid w:val="00547C0E"/>
    <w:rsid w:val="0056155A"/>
    <w:rsid w:val="00572785"/>
    <w:rsid w:val="005A5F1D"/>
    <w:rsid w:val="005E2196"/>
    <w:rsid w:val="005F4F96"/>
    <w:rsid w:val="006205E0"/>
    <w:rsid w:val="00632FB4"/>
    <w:rsid w:val="0066039B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36968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C22F3"/>
    <w:rsid w:val="00AF44C6"/>
    <w:rsid w:val="00B129F0"/>
    <w:rsid w:val="00B73DA4"/>
    <w:rsid w:val="00B77F84"/>
    <w:rsid w:val="00B82589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CB6EA4"/>
    <w:rsid w:val="00CD632A"/>
    <w:rsid w:val="00CE3E42"/>
    <w:rsid w:val="00CF0436"/>
    <w:rsid w:val="00D16F25"/>
    <w:rsid w:val="00D215C2"/>
    <w:rsid w:val="00D22E8C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83D93"/>
    <w:rsid w:val="00F9094F"/>
    <w:rsid w:val="00FA7E90"/>
    <w:rsid w:val="00FB1DA9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uiPriority w:val="99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551D-9686-42CB-BA68-0041541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16</cp:revision>
  <cp:lastPrinted>2026-04-14T07:03:00Z</cp:lastPrinted>
  <dcterms:created xsi:type="dcterms:W3CDTF">2025-09-23T08:56:00Z</dcterms:created>
  <dcterms:modified xsi:type="dcterms:W3CDTF">2026-04-14T07:13:00Z</dcterms:modified>
</cp:coreProperties>
</file>