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55C7C" w:rsidRDefault="004D709A">
      <w:pPr>
        <w:ind w:firstLine="720"/>
        <w:jc w:val="center"/>
      </w:pPr>
      <w:r>
        <w:rPr>
          <w:b/>
          <w:bCs/>
        </w:rPr>
        <w:t>BİLGİLENDİRMELER</w:t>
      </w:r>
    </w:p>
    <w:p w14:paraId="00000002" w14:textId="77777777" w:rsidR="00E55C7C" w:rsidRDefault="004D709A">
      <w:pPr>
        <w:jc w:val="center"/>
      </w:pPr>
      <w:r>
        <w:rPr>
          <w:b/>
          <w:bCs/>
        </w:rPr>
        <w:t>DAVA DİLEKÇESİ ÖRNEĞİNİN DAVALI TARAFA TEBLİĞİ</w:t>
      </w:r>
    </w:p>
    <w:p w14:paraId="00000003" w14:textId="77777777" w:rsidR="00E55C7C" w:rsidRDefault="004D709A">
      <w:pPr>
        <w:jc w:val="center"/>
      </w:pPr>
      <w:r>
        <w:rPr>
          <w:b/>
          <w:bCs/>
        </w:rPr>
        <w:t>(Ticari Yargılama Usulü)</w:t>
      </w:r>
    </w:p>
    <w:p w14:paraId="00000004" w14:textId="77777777" w:rsidR="00E55C7C" w:rsidRDefault="004D709A">
      <w:pPr>
        <w:jc w:val="both"/>
      </w:pPr>
      <w:r>
        <w:rPr>
          <w:b/>
          <w:bCs/>
        </w:rPr>
        <w:t>I.</w:t>
      </w:r>
      <w:r>
        <w:t xml:space="preserve"> Davalı – dava talebini tamamen veya kısmen kabul etmemesi durumunda – dava dilekçesinin ve işbu kararın ekli olduğu üst yazıda belirtilen süre içerisinde </w:t>
      </w:r>
      <w:r>
        <w:rPr>
          <w:b/>
          <w:bCs/>
        </w:rPr>
        <w:t xml:space="preserve">cevap dilekçesini </w:t>
      </w:r>
      <w:r>
        <w:t>sunmakla yükümlüdür.</w:t>
      </w:r>
    </w:p>
    <w:p w14:paraId="00000005" w14:textId="77777777" w:rsidR="00E55C7C" w:rsidRDefault="004D709A">
      <w:pPr>
        <w:jc w:val="both"/>
      </w:pPr>
      <w:r>
        <w:t>Bu süre geçtikten sonra verilen cevap dilekçesi iade edilir (17 Kasım 1964 tarihli Hukuk Muhakemeleri Kanunu'nun 205^1 maddesinin 2.fıkrası;Resmi Gazete Dz.U.2024.1568,tek metin; bundan sonra  k.p.c.( Polonya Medeni Usul Kanunu) olarak anılacaktır)).</w:t>
      </w:r>
    </w:p>
    <w:p w14:paraId="00000006" w14:textId="77777777" w:rsidR="00E55C7C" w:rsidRDefault="004D709A">
      <w:pPr>
        <w:jc w:val="both"/>
      </w:pPr>
      <w:r>
        <w:t>Cevap dilekçesi aşağıdaki unsurları içermelidir (k.p.c. madde. 126):</w:t>
      </w:r>
    </w:p>
    <w:p w14:paraId="00000007" w14:textId="77777777" w:rsidR="00E55C7C" w:rsidRDefault="004D709A">
      <w:pPr>
        <w:jc w:val="both"/>
      </w:pPr>
      <w:r>
        <w:t>a) dosya numarasının belirtilmesi,</w:t>
      </w:r>
    </w:p>
    <w:p w14:paraId="00000008" w14:textId="77777777" w:rsidR="00E55C7C" w:rsidRDefault="004D709A">
      <w:pPr>
        <w:jc w:val="both"/>
      </w:pPr>
      <w:r>
        <w:t>b) hitap edilen mahkemenin belirtilmesi ve dosya numarasının sunulması,</w:t>
      </w:r>
    </w:p>
    <w:p w14:paraId="00000009" w14:textId="77777777" w:rsidR="00E55C7C" w:rsidRDefault="004D709A">
      <w:pPr>
        <w:jc w:val="both"/>
      </w:pPr>
      <w:r>
        <w:t>c) tarafların, kanuni temsilcilerinin ve vekillerinin ad ve soyadları veya unvanları,</w:t>
      </w:r>
    </w:p>
    <w:p w14:paraId="0000000A" w14:textId="77777777" w:rsidR="00E55C7C" w:rsidRDefault="004D709A">
      <w:pPr>
        <w:jc w:val="both"/>
      </w:pPr>
      <w:r>
        <w:t>d) dilekçe türünün belirtilmesi </w:t>
      </w:r>
      <w:r>
        <w:rPr>
          <w:i/>
          <w:iCs/>
        </w:rPr>
        <w:t>(cevap dilekçesi)</w:t>
      </w:r>
      <w:r>
        <w:t>;</w:t>
      </w:r>
    </w:p>
    <w:p w14:paraId="0000000B" w14:textId="77777777" w:rsidR="00E55C7C" w:rsidRDefault="004D709A">
      <w:pPr>
        <w:jc w:val="both"/>
      </w:pPr>
      <w:r>
        <w:t>e) talep veya beyanın özü;</w:t>
      </w:r>
    </w:p>
    <w:p w14:paraId="0000000C" w14:textId="77777777" w:rsidR="00E55C7C" w:rsidRDefault="004D709A">
      <w:pPr>
        <w:jc w:val="both"/>
      </w:pPr>
      <w:r>
        <w:t>f) davanın çözümü için gerekli olduğu durumlarda - davalının talebini veya beyanını dayandırdığı vakıaların belirtilmesi ve bu vakıaların her birini ispatlayacak delillerin gösterilmesi;</w:t>
      </w:r>
    </w:p>
    <w:p w14:paraId="0000000D" w14:textId="77777777" w:rsidR="00E55C7C" w:rsidRDefault="004D709A">
      <w:pPr>
        <w:jc w:val="both"/>
      </w:pPr>
      <w:r>
        <w:t>g) davalının veya kanuni temsilcisinin ya da vekilinin imzası;</w:t>
      </w:r>
    </w:p>
    <w:p w14:paraId="0000000E" w14:textId="77777777" w:rsidR="00E55C7C" w:rsidRDefault="004D709A">
      <w:pPr>
        <w:jc w:val="both"/>
      </w:pPr>
      <w:r>
        <w:t>h) eklerin listelenmesi;</w:t>
      </w:r>
    </w:p>
    <w:p w14:paraId="0000000F" w14:textId="77777777" w:rsidR="00E55C7C" w:rsidRDefault="004D709A">
      <w:pPr>
        <w:jc w:val="both"/>
      </w:pPr>
      <w:r>
        <w:t>Davalı, cevap dilekçesine aşağıdakileri eklemelidir:</w:t>
      </w:r>
    </w:p>
    <w:p w14:paraId="00000010" w14:textId="77777777" w:rsidR="00E55C7C" w:rsidRDefault="004D709A">
      <w:pPr>
        <w:jc w:val="both"/>
      </w:pPr>
      <w:r>
        <w:t>a) cevap dilekçesinde belirtilen ekler (k.p.c. md. 126 § 1^1^);</w:t>
      </w:r>
    </w:p>
    <w:p w14:paraId="00000011" w14:textId="77777777" w:rsidR="00E55C7C" w:rsidRDefault="004D709A">
      <w:pPr>
        <w:jc w:val="both"/>
      </w:pPr>
      <w:r>
        <w:t>b) davaya katılan kişilere tebliğ edilmek üzere cevap dilekçesinin ve eklerinin örnekleri ve ayrıca, eklerin asılları mahkemeye sunulmamışsa, mahkeme dosyası için her bir ekin birer örneği (k.p.c. md. 128 § 1).</w:t>
      </w:r>
    </w:p>
    <w:p w14:paraId="00000012" w14:textId="77777777" w:rsidR="00E55C7C" w:rsidRDefault="004D709A">
      <w:pPr>
        <w:jc w:val="both"/>
      </w:pPr>
      <w:r>
        <w:t>**II. ** </w:t>
      </w:r>
      <w:r>
        <w:rPr>
          <w:b/>
          <w:bCs/>
        </w:rPr>
        <w:t>Davalı belirlenen sürede cevap dilekçesi sunmamışsa</w:t>
      </w:r>
      <w:r>
        <w:t> veya eksiklikleri olan bir cevap dilekçesi sunmuş ve davalı taraf bu eksiklikleri ihtara rağmen gidermemişse, Mahkeme kapalı oturumda </w:t>
      </w:r>
      <w:r>
        <w:rPr>
          <w:b/>
          <w:bCs/>
        </w:rPr>
        <w:t>gıyabi hüküm</w:t>
      </w:r>
      <w:r>
        <w:t> verebilir. Davaya cevap sunulmamasına rağmen duruşma günü belirlenmişse ve davalı bu duruşmaya gelmemiş veya gelip de duruşmaya katılmamışsa, yapılacak duruşmada gıyabi hüküm verilebilir (k.p.c. md. 339 § 1 ve k.p.c. md. 340 § 1).</w:t>
      </w:r>
    </w:p>
    <w:p w14:paraId="00000013" w14:textId="77777777" w:rsidR="00E55C7C" w:rsidRDefault="004D709A">
      <w:pPr>
        <w:jc w:val="both"/>
      </w:pPr>
      <w:r>
        <w:t>Yukarıdaki durumlarda, davacının dava dilekçesinde veya duruşmadan önce davalıya tebliğ edilen dilekçelerinde yer alan vakıalara ilişkin iddiaları, haklı şüphe uyandırmadıkları veya kanunu dolanmak amacıyla ileri sürülmedikleri takdirde doğru kabul edilir (k.p.c. md. 339 § 2).</w:t>
      </w:r>
    </w:p>
    <w:p w14:paraId="00000014" w14:textId="77777777" w:rsidR="00E55C7C" w:rsidRDefault="004D709A">
      <w:pPr>
        <w:jc w:val="both"/>
      </w:pPr>
      <w:r>
        <w:t>Gıyabi hüküme -- davanın kabulü halinde ve hüküm icraya elverişli ise -- resen </w:t>
      </w:r>
      <w:r>
        <w:rPr>
          <w:b/>
          <w:bCs/>
        </w:rPr>
        <w:t>derhal icra edilebilirlik şerhi</w:t>
      </w:r>
      <w:r>
        <w:t> eklenir (k.p.c. md. 333 § 1 bent 3). Davacının talebi üzerine icra edilebilirlik şerhi verildikten sonra bu hüküm, icra takibine başlanılması için esas teşkil eder.</w:t>
      </w:r>
    </w:p>
    <w:p w14:paraId="00000015" w14:textId="77777777" w:rsidR="00E55C7C" w:rsidRDefault="004D709A">
      <w:pPr>
        <w:jc w:val="both"/>
      </w:pPr>
      <w:r>
        <w:rPr>
          <w:b/>
          <w:bCs/>
        </w:rPr>
        <w:t>III.</w:t>
      </w:r>
      <w:r>
        <w:t xml:space="preserve"> Ticari yargılama usulü kurallarına göre görülen bir davada; davacı </w:t>
      </w:r>
      <w:r>
        <w:rPr>
          <w:b/>
          <w:bCs/>
        </w:rPr>
        <w:t>tüm iddia ve delillerini</w:t>
      </w:r>
      <w:r>
        <w:t xml:space="preserve"> dava dilekçesinde, davalı ise cevap dilekçesinde (k.p.c. md. 458^5^ § 1) veya sunduğu ilk usuli dilekçede (senetli alacak takibinde ödeme emrine itiraz, ilamsız icra takibinde ödeme emrine itiraz, gıyabi hükme itiraz) sunmakla yükümlüdür. </w:t>
      </w:r>
      <w:r>
        <w:rPr>
          <w:b/>
          <w:bCs/>
        </w:rPr>
        <w:t xml:space="preserve">k.p.c. md. 458^5^ § 1'e aykırı olarak sunulan iddia ve deliller dikkate </w:t>
      </w:r>
      <w:r>
        <w:rPr>
          <w:b/>
          <w:bCs/>
        </w:rPr>
        <w:lastRenderedPageBreak/>
        <w:t>alınmaz</w:t>
      </w:r>
      <w:r>
        <w:t>, meğer ki taraf, bunları sunmasının mümkün olmadığını veya gösterme ihtiyacının sonradan ortaya çıkt</w:t>
      </w:r>
      <w:r>
        <w:t>ığını inandırıcı kılsın. Bu durumda, sonraki iddialar ve bunları destekleyen deliller, sunulmasının mümkün hale geldiği veya gösterilme ihtiyacının ortaya çıktığı günden itibaren iki haftalık süre içinde gösterilmelidir (k.p.c. md. 458^5^ § 4).</w:t>
      </w:r>
    </w:p>
    <w:p w14:paraId="00000016" w14:textId="77777777" w:rsidR="00E55C7C" w:rsidRDefault="004D709A">
      <w:pPr>
        <w:jc w:val="both"/>
      </w:pPr>
      <w:r>
        <w:rPr>
          <w:b/>
          <w:bCs/>
        </w:rPr>
        <w:t>IV.</w:t>
      </w:r>
      <w:r>
        <w:t> Davacı ile davalı arasındaki uyuşmazlık </w:t>
      </w:r>
      <w:r>
        <w:rPr>
          <w:b/>
          <w:bCs/>
        </w:rPr>
        <w:t>sulh yoluyla çözülebilir</w:t>
      </w:r>
      <w:r>
        <w:t>. Sulh, </w:t>
      </w:r>
      <w:r>
        <w:rPr>
          <w:b/>
          <w:bCs/>
        </w:rPr>
        <w:t>arabulucu önünde veya mahkeme önünde yapılabilir</w:t>
      </w:r>
      <w:r>
        <w:t>. Yargılama sırasında mahkeme, her aşamada tarafları arabuluculuğa yönlendirebilir. Arabuluculuk, tarafsız bir arabulucu tarafından yürütülür; arabulucu, uyuşmazlığın dostane çözümüne yönelik çeşitli yöntemler kullanır, bu kapsamda tarafların sulh önerileri formüle etmelerine destek olabilir veya tarafların ortak talebi üzerine, taraflar için bağlayıcı olmayan uyuşmazlık çözüm yollarını g</w:t>
      </w:r>
      <w:r>
        <w:t>österebilir. Arabulucu, taraflar ve arabuluculuk faaliyetine katılan diğer kişiler, arabuluculukla bağlantılı olarak öğrendikleri olguları gizli tutmakla yükümlüdür. Taraflar, arabulucuyu ve arabuluculuk faaliyetine katılan diğer kişileri bu yükümlülükten kurtarabilir. Arabulucu önünde yapılıp mahkeme tarafından onaylanan sulh, mahkeme önünde yapılan sulh ile aynı hukuki güce sahiptir. </w:t>
      </w:r>
      <w:r>
        <w:rPr>
          <w:b/>
          <w:bCs/>
        </w:rPr>
        <w:t>Arabulucu önünde yapılıp icra şerhi verilerek onaylanan sulh, bir icra ilamı niteliğindedir.</w:t>
      </w:r>
      <w:r>
        <w:t xml:space="preserve"> Mahkeme önünde sulh olunması h</w:t>
      </w:r>
      <w:r>
        <w:t>alinde, taraflar aksini kararlaştırmamışsa, sulhun yapıldığı davadaki yargılama giderleri karşılıklı olarak taraflar üzerinde bırakılır. Bu tür bir sulhun yapılması halinde mahkeme, davacıya yargı harcının yarısını iade eder. İlk derece mahkemesinde duruşma başlamadan önce arabulucu önünde sulh yapılması halinde mahkeme, davacıya yargı harcının tamamını iade eder; duruşma başladıktan sonra arabulucu önünde sulh yapılması halinde ise mahkeme, yargılamayı başlatan dilekçeden veya ödeme emrine itirazdan alınan</w:t>
      </w:r>
      <w:r>
        <w:t xml:space="preserve"> harcın dörtte üçünü iade eder (k.p.c. md. 205^2^ § 1 bent 1).</w:t>
      </w:r>
    </w:p>
    <w:p w14:paraId="00000017" w14:textId="77777777" w:rsidR="00E55C7C" w:rsidRDefault="004D709A">
      <w:pPr>
        <w:jc w:val="both"/>
      </w:pPr>
      <w:r>
        <w:rPr>
          <w:b/>
          <w:bCs/>
        </w:rPr>
        <w:t>V.</w:t>
      </w:r>
      <w:r>
        <w:t> </w:t>
      </w:r>
      <w:r>
        <w:rPr>
          <w:b/>
          <w:bCs/>
        </w:rPr>
        <w:t>İnşaat işleri sözleşmeleri</w:t>
      </w:r>
      <w:r>
        <w:t> ve inşaat işlerinin yürütülmesine hizmet eden, inşaat süreciyle sıkı sıkıya bağlı </w:t>
      </w:r>
      <w:r>
        <w:rPr>
          <w:b/>
          <w:bCs/>
        </w:rPr>
        <w:t>sözleşmelerden kaynaklanan davalarda</w:t>
      </w:r>
      <w:r>
        <w:t> mahkeme, hazırlık oturumundan veya duruşma için belirlenen ilk oturumdan önce </w:t>
      </w:r>
      <w:r>
        <w:rPr>
          <w:b/>
          <w:bCs/>
        </w:rPr>
        <w:t>tarafları arabuluculuğa yönlendirir</w:t>
      </w:r>
      <w:r>
        <w:t> (k.p.c. md. 458^3a^).</w:t>
      </w:r>
    </w:p>
    <w:p w14:paraId="00000018" w14:textId="77777777" w:rsidR="00E55C7C" w:rsidRDefault="004D709A">
      <w:pPr>
        <w:jc w:val="both"/>
      </w:pPr>
      <w:r>
        <w:rPr>
          <w:b/>
          <w:bCs/>
        </w:rPr>
        <w:t>VI.</w:t>
      </w:r>
      <w:r>
        <w:t> Tacir olmayan veya gerçek kişi tacir olan tarafın talebi üzerine mahkeme, </w:t>
      </w:r>
      <w:r>
        <w:rPr>
          <w:b/>
          <w:bCs/>
        </w:rPr>
        <w:t>davayı ticari yargılama usulü hükümlerini uygulamadan görür</w:t>
      </w:r>
      <w:r>
        <w:t> (k.p.c. md. 458^6^). Taraf bu talebi, </w:t>
      </w:r>
      <w:r>
        <w:rPr>
          <w:b/>
          <w:bCs/>
        </w:rPr>
        <w:t>bu bilgilendirmenin kendisine tebliğ tarihinden itibaren bir haftalık süre içinde</w:t>
      </w:r>
      <w:r>
        <w:t> yapabilir (k.p.c. md. 458^6^).</w:t>
      </w:r>
    </w:p>
    <w:p w14:paraId="00000019" w14:textId="77777777" w:rsidR="00E55C7C" w:rsidRDefault="004D709A">
      <w:pPr>
        <w:jc w:val="both"/>
      </w:pPr>
      <w:r>
        <w:rPr>
          <w:b/>
          <w:bCs/>
        </w:rPr>
        <w:t>VII.</w:t>
      </w:r>
      <w:r>
        <w:t> Ticari yargılama usulünde mahkeme, </w:t>
      </w:r>
      <w:r>
        <w:rPr>
          <w:b/>
          <w:bCs/>
        </w:rPr>
        <w:t>tanık deliline</w:t>
      </w:r>
      <w:r>
        <w:t> ancak diğer delil araçları tüketildikten sonra veya bunların yokluğunda, davanın çözümü için önem arz eden  vakıalar halen açıklığa kavuşmamışsa izin verebilir (k.p.c. md. 458^10^).</w:t>
      </w:r>
    </w:p>
    <w:p w14:paraId="0000001A" w14:textId="77777777" w:rsidR="00E55C7C" w:rsidRDefault="004D709A">
      <w:pPr>
        <w:jc w:val="both"/>
      </w:pPr>
      <w:r>
        <w:rPr>
          <w:b/>
          <w:bCs/>
        </w:rPr>
        <w:t>VIII.</w:t>
      </w:r>
      <w:r>
        <w:t> Ticari yargılama usulünde, </w:t>
      </w:r>
      <w:r>
        <w:rPr>
          <w:b/>
          <w:bCs/>
        </w:rPr>
        <w:t>bir tarafın hukuki işlemi, özellikle belirli bir hukuki ilişki kapsamında tarafın hakkını kazanması, kaybetmesi veya değişmesi sonucunu doğuran irade beyanı veya bilgi beyanı</w:t>
      </w:r>
      <w:r>
        <w:t>, yalnızca Medeni Kanun'un 77^3^ maddesinde belirtilen belge ile ispatlanabilir; meğer ki taraf, belgeyi kendisinden kaynaklanmayan nedenlerle sunamadığını ispatlasın (k.p.c. md. 458^11^).</w:t>
      </w:r>
    </w:p>
    <w:p w14:paraId="0000001B" w14:textId="77777777" w:rsidR="00E55C7C" w:rsidRDefault="004D709A">
      <w:pPr>
        <w:jc w:val="both"/>
      </w:pPr>
      <w:r>
        <w:rPr>
          <w:b/>
          <w:bCs/>
        </w:rPr>
        <w:t>IX.</w:t>
      </w:r>
      <w:r>
        <w:t> Dava dilekçesi, </w:t>
      </w:r>
      <w:r>
        <w:rPr>
          <w:b/>
          <w:bCs/>
        </w:rPr>
        <w:t xml:space="preserve">tahkim sözleşmesi </w:t>
      </w:r>
      <w:r>
        <w:t>kapsamındaki bir uyuşmazlığa ilişkinse, mahkeme davayı ancak davalı, esasa girilmeden önce tahkim itirazında bulunursa reddeder (k.p.c. md. 1165 § 1).</w:t>
      </w:r>
    </w:p>
    <w:p w14:paraId="0000001C" w14:textId="77777777" w:rsidR="00E55C7C" w:rsidRDefault="004D709A">
      <w:pPr>
        <w:jc w:val="both"/>
      </w:pPr>
      <w:r>
        <w:t>Ticari yargılama usulünde </w:t>
      </w:r>
      <w:r>
        <w:rPr>
          <w:b/>
          <w:bCs/>
        </w:rPr>
        <w:t xml:space="preserve">karşı dava </w:t>
      </w:r>
      <w:r>
        <w:t>kabul edilemez (k.p.c. md. 458^8^ § 3).</w:t>
      </w:r>
    </w:p>
    <w:p w14:paraId="0000001D" w14:textId="77777777" w:rsidR="00E55C7C" w:rsidRDefault="004D709A">
      <w:pPr>
        <w:jc w:val="both"/>
      </w:pPr>
      <w:r>
        <w:rPr>
          <w:b/>
          <w:bCs/>
        </w:rPr>
        <w:t>X.</w:t>
      </w:r>
      <w:r>
        <w:t> Taraflar ve katılanlar, usuli işlemleri iyi niyet kurallarına uygun olarak yapmak, davanın koşullarına ilişkin açıklamaları gerçeğe uygun ve hiçbir şeyi gizlemeden ve delilleri ibraz etmekle yükümlüdür (k.p.c. md. 3).</w:t>
      </w:r>
    </w:p>
    <w:p w14:paraId="0000001E" w14:textId="77777777" w:rsidR="00E55C7C" w:rsidRDefault="004D709A">
      <w:pPr>
        <w:jc w:val="both"/>
      </w:pPr>
      <w:r>
        <w:t>Taraflar ve katılanlar, usul hükümlerinde öngörülen yetkileri, bunların konuluş amacına aykırı olarak kullanamaz (usuli hakkın kötüye kullanılması) (k.p.c. md. 4^1^).</w:t>
      </w:r>
    </w:p>
    <w:p w14:paraId="0000001F" w14:textId="77777777" w:rsidR="00E55C7C" w:rsidRDefault="004D709A">
      <w:pPr>
        <w:jc w:val="both"/>
      </w:pPr>
      <w:r>
        <w:rPr>
          <w:b/>
          <w:bCs/>
        </w:rPr>
        <w:lastRenderedPageBreak/>
        <w:t>XI.</w:t>
      </w:r>
      <w:r>
        <w:t> </w:t>
      </w:r>
      <w:r>
        <w:rPr>
          <w:b/>
          <w:bCs/>
        </w:rPr>
        <w:t>Herkesçe bilinen vakıalar</w:t>
      </w:r>
      <w:r>
        <w:t> ispat gerektirmez; Mahkeme, taraflar bunlara dayanmasa bile bunları dikkate alır. </w:t>
      </w:r>
      <w:r>
        <w:rPr>
          <w:b/>
          <w:bCs/>
        </w:rPr>
        <w:t>Bilgisine herkesçe erişilebilir olan vakıalar</w:t>
      </w:r>
      <w:r>
        <w:t> ve mahkemece görevi gereği resen bilinen vakıalar da ispat gerektirmez (k.p.c. md. 228).</w:t>
      </w:r>
    </w:p>
    <w:p w14:paraId="00000020" w14:textId="77777777" w:rsidR="00E55C7C" w:rsidRDefault="004D709A">
      <w:pPr>
        <w:jc w:val="both"/>
      </w:pPr>
      <w:r>
        <w:rPr>
          <w:b/>
          <w:bCs/>
        </w:rPr>
        <w:t>Yargılama sırasında karşı tarafça ikrar edilen vakıalar</w:t>
      </w:r>
      <w:r>
        <w:t>, ikrar şüphe uyandırmıyorsa ispat gerektirmez (k.p.c. md. 229).</w:t>
      </w:r>
    </w:p>
    <w:p w14:paraId="00000021" w14:textId="77777777" w:rsidR="00E55C7C" w:rsidRDefault="004D709A">
      <w:pPr>
        <w:jc w:val="both"/>
      </w:pPr>
      <w:r>
        <w:rPr>
          <w:b/>
          <w:bCs/>
        </w:rPr>
        <w:t>Bir taraf, karşı tarafın vakıalara ilişkin iddiaları karşısında görüş bildirmezse</w:t>
      </w:r>
      <w:r>
        <w:t>, mahkeme, tüm duruşmanın sonuçlarını dikkate alarak bu vakıaları ikrar edilmiş sayabilir (k.p.c. md. 230).</w:t>
      </w:r>
    </w:p>
    <w:p w14:paraId="00000022" w14:textId="77777777" w:rsidR="00E55C7C" w:rsidRDefault="004D709A">
      <w:pPr>
        <w:jc w:val="both"/>
      </w:pPr>
      <w:r>
        <w:rPr>
          <w:b/>
          <w:bCs/>
        </w:rPr>
        <w:t>XII.</w:t>
      </w:r>
      <w:r>
        <w:t> Taraf, </w:t>
      </w:r>
      <w:r>
        <w:rPr>
          <w:b/>
          <w:bCs/>
        </w:rPr>
        <w:t>usul hükümlerine aykırılık durumunda mahkemenin dikkatini çekmeli</w:t>
      </w:r>
      <w:r>
        <w:t> ve tutanağa şerh düşülmesini talep etmelidir. Şerh talebi en geç bir sonraki oturumda yapılabilir (k.p.c. md. 162 § 1).</w:t>
      </w:r>
    </w:p>
    <w:p w14:paraId="00000023" w14:textId="77777777" w:rsidR="00E55C7C" w:rsidRDefault="004D709A">
      <w:pPr>
        <w:jc w:val="both"/>
      </w:pPr>
      <w:r>
        <w:t>Avukat, hukuk müşaviri, patent vekili veya Polonya Cumhuriyeti Başsavcılığı tarafından temsil edilen taraf, şerh düşülmesi talebinde bulunmamışsa, yargılamanın ilerleyen aşamalarında bu aykırılığa dayanma hakkını kaybeder. Vekaletin sona ermesi veya geri alınması bu sonucu ortadan kaldırmaz. Bu hüküm, mahkemenin resen dikkate alması gereken usul hükümlerinin ihlali veya tarafın şerh talebinde bulunmamasında kusuru olmadığını inandırıcı kılması hallerinde uygulanmaz (k.p.c. md. 162 § 2 ve 3).</w:t>
      </w:r>
    </w:p>
    <w:p w14:paraId="00000024" w14:textId="77777777" w:rsidR="00E55C7C" w:rsidRDefault="004D709A">
      <w:pPr>
        <w:jc w:val="both"/>
      </w:pPr>
      <w:r>
        <w:rPr>
          <w:b/>
          <w:bCs/>
        </w:rPr>
        <w:t>XIII.</w:t>
      </w:r>
      <w:r>
        <w:t> Taraflar arasındaki uyuşmazlık, </w:t>
      </w:r>
      <w:r>
        <w:rPr>
          <w:b/>
          <w:bCs/>
        </w:rPr>
        <w:t>mahkeme veya arabulucu önünde yapılan sulh yoluyla sona erdirilebilir</w:t>
      </w:r>
      <w:r>
        <w:t>.</w:t>
      </w:r>
    </w:p>
    <w:p w14:paraId="00000025" w14:textId="77777777" w:rsidR="00E55C7C" w:rsidRDefault="004D709A">
      <w:pPr>
        <w:jc w:val="both"/>
      </w:pPr>
      <w:r>
        <w:t>Sulh, uyuşmazlığın hızlı çözüm yollarından biridir; mahkeme yargılamanın her aşamasında, özellikle tarafları arabuluculuğa teşvik ederek, uyuşmazlığın sulh yoluyla sona ermesine çalışır (k.p.c. md. 10). Sulh ile sonuçlanan sulh görüşmeleri, uyuşmazlığı daha hızlı çözme imkanı verir ve aynı zamanda taraflar arasındaki ilişkilerin korunmasını sağlar. Mahkeme veya arabulucu önünde yapılıp icra edilebilirlik şerhi verilen sulh, mahkeme kararına eşdeğer bir icra belgesi niteliği taşır.</w:t>
      </w:r>
    </w:p>
    <w:p w14:paraId="00000026" w14:textId="77777777" w:rsidR="00E55C7C" w:rsidRDefault="004D709A">
      <w:pPr>
        <w:jc w:val="both"/>
      </w:pPr>
      <w:r>
        <w:t>Arabuluculuk , uyuşmazlığın dostane yollarla çözülmesi yöntemlerinden biri olup, tarafsız bir arabulucu eşliğinde, tarafsız bir zeminde yürütülür, gizlidir ve gönüllülük esasına dayanır. Ayrıca mahkeme yargılamasına göre çok daha ucuz bir uyuşmazlık çözüm yoludur.</w:t>
      </w:r>
    </w:p>
    <w:p w14:paraId="00000027" w14:textId="77777777" w:rsidR="00E55C7C" w:rsidRDefault="004D709A">
      <w:pPr>
        <w:jc w:val="both"/>
      </w:pPr>
      <w:r>
        <w:t>Arabuluculuk sulh sözleşmesi, sadece dava konusu talepleri değil, dava dışı talepleri ve farklı davaların konusu olan talepleri de kapsayabilir.</w:t>
      </w:r>
    </w:p>
    <w:p w14:paraId="00000028" w14:textId="77777777" w:rsidR="00E55C7C" w:rsidRDefault="004D709A">
      <w:pPr>
        <w:jc w:val="both"/>
      </w:pPr>
      <w:r>
        <w:t>Taraflar mahkeme önünde sulh olmuşsa veya arabulucu önünde yapılan sulh mahkeme tarafından onaylanmışsa, mahkeme davayı düşürür. (k.p.c. md. 355).</w:t>
      </w:r>
    </w:p>
    <w:p w14:paraId="00000029" w14:textId="77777777" w:rsidR="00E55C7C" w:rsidRDefault="004D709A">
      <w:pPr>
        <w:jc w:val="both"/>
      </w:pPr>
      <w:r>
        <w:t>Tarafların duruşma başlamadan önce sulh olmaları halinde, Mahkeme, dava dilekçesi ve ödeme emrine itiraz için yatırılan harcın tamamını, asgari harç (30 PLN) düşüldükten sonra resen iade eder; duruşma başladıktan sonra arabulucu önünde sulh olunması halinde -- dava dilekçesi ve ödeme emrine itirazdan alınan harcın ¾'ü, asgari harç düşüldükten sonra iade edilir; duruşma başladıktan sonra mahkeme önünde sulh olunması halinde ise -- dava dilekçesi veya ödeme emrine itirazdan alınan harcın ½'si, asgari harç düş</w:t>
      </w:r>
      <w:r>
        <w:t>üldükten sonra iade edilir.</w:t>
      </w:r>
    </w:p>
    <w:p w14:paraId="0000002A" w14:textId="77777777" w:rsidR="00E55C7C" w:rsidRDefault="004D709A">
      <w:pPr>
        <w:jc w:val="both"/>
      </w:pPr>
      <w:r>
        <w:rPr>
          <w:b/>
          <w:bCs/>
        </w:rPr>
        <w:t>XIV.</w:t>
      </w:r>
      <w:r>
        <w:t> Yargılama sırasında, haklı durumlarda mahkeme başkanı, </w:t>
      </w:r>
      <w:r>
        <w:rPr>
          <w:b/>
          <w:bCs/>
        </w:rPr>
        <w:t>tarafların hazırlık dilekçelerinin teatisi</w:t>
      </w:r>
      <w:r>
        <w:t>ne karar verebilir; bu kararda dilekçelerin verilme sırasını, verilme sürelerini ve açıklanacak hususları belirtir (k.p.c. md. 205^3^ § 1).</w:t>
      </w:r>
    </w:p>
    <w:p w14:paraId="0000002B" w14:textId="77777777" w:rsidR="00E55C7C" w:rsidRDefault="004D709A">
      <w:pPr>
        <w:jc w:val="both"/>
      </w:pPr>
      <w:r>
        <w:t>Hazırlık dilekçelerinde davanın durumu kısaca özetlenmeli, hangi vakıaların kabul edildiği, hangilerinin reddedildiği açıklanmalı ve ayrıca karşı tarafın ileri sürdüğü iddia ve deliller hakkında görüş bildirilmelidir. Taraflar bu dilekçelerde ayrıca talep veya başvurularının hukuki dayanaklarını da gösterebilirler (k.p.c. md. 127 § 1 ve 2).</w:t>
      </w:r>
    </w:p>
    <w:p w14:paraId="0000002C" w14:textId="77777777" w:rsidR="00E55C7C" w:rsidRDefault="004D709A">
      <w:pPr>
        <w:jc w:val="both"/>
      </w:pPr>
      <w:r>
        <w:lastRenderedPageBreak/>
        <w:t xml:space="preserve">Mahkeme başkanı ayrıca; davanın çözümü için önem arz eden </w:t>
      </w:r>
      <w:r>
        <w:rPr>
          <w:b/>
          <w:bCs/>
        </w:rPr>
        <w:t>tüm iddia ve delillerin</w:t>
      </w:r>
      <w:r>
        <w:t xml:space="preserve">, yargılamanın devamında bu hakları kaybetme (hak düşümü) riski altında hazırlık dilekçesinde sunulması konusunda tarafı yükümlü kılabilir.  Bu durumda, söz konusu yükümlülüğe aykırı olarak sunulan iddia ve deliller; tarafın bunların hazırlık dilekçesinde sunulmasının mümkün olmadığını veya sunma ihtiyacının sonradan doğduğunu muhtemel kılması hali müstesna olmak üzere, mahkemece dikkate alınmaz  (k.p.c. md. 205^3^ § 2). Mahkeme başkanı, profesyonel bir vekil tarafından temsil edilen </w:t>
      </w:r>
      <w:r>
        <w:t>tarafı ayrıca, hazırlık dilekçesinde talep ve başvurularının hukuki dayanaklarını da belirtmeye zorunlu kılabilir (k.p.c. md. 205^3^ § 4).</w:t>
      </w:r>
    </w:p>
    <w:p w14:paraId="0000002D" w14:textId="77777777" w:rsidR="00E55C7C" w:rsidRDefault="004D709A">
      <w:pPr>
        <w:jc w:val="both"/>
      </w:pPr>
      <w:r>
        <w:t>Hazırlık oturumunun daha sonraki bir tarihe belirlenmiş olması, yeni iddia ve delil sunma süresini yeniden başlatmaz  (k.p.c. md. 205^3^ § 3).</w:t>
      </w:r>
    </w:p>
    <w:p w14:paraId="0000002E" w14:textId="77777777" w:rsidR="00E55C7C" w:rsidRDefault="004D709A">
      <w:pPr>
        <w:jc w:val="both"/>
      </w:pPr>
      <w:r>
        <w:t>Mahkeme başkanı, süresinden sonra veya mahkemenin bu yönde bir kararı olmaksızın verilen hazırlık dilekçesinin iadesine karar verir (k.p.c. md. 205^3^ § 5).</w:t>
      </w:r>
    </w:p>
    <w:p w14:paraId="0000002F" w14:textId="77777777" w:rsidR="00E55C7C" w:rsidRDefault="004D709A">
      <w:pPr>
        <w:jc w:val="both"/>
      </w:pPr>
      <w:r>
        <w:rPr>
          <w:b/>
          <w:bCs/>
        </w:rPr>
        <w:t>XV.</w:t>
      </w:r>
      <w:r>
        <w:t> Yargılamanın her aşamasında </w:t>
      </w:r>
      <w:r>
        <w:rPr>
          <w:b/>
          <w:bCs/>
        </w:rPr>
        <w:t>taraf bir vekil tayin edebilir</w:t>
      </w:r>
      <w:r>
        <w:t>; avukat veya hukuk müşaviri tarafından temsil zorunluluğu yoktur. Vekaletname, genel, belirli davaları yürütmek üzere veya bazı usuli işlemler için verilebilir.</w:t>
      </w:r>
    </w:p>
    <w:p w14:paraId="00000030" w14:textId="77777777" w:rsidR="00E55C7C" w:rsidRDefault="004D709A">
      <w:pPr>
        <w:jc w:val="both"/>
      </w:pPr>
      <w:r>
        <w:t>Vekil, avukat veya hukuk müşaviri olabileceği gibi, sınai mülkiyet konularında patent vekili de olabilir. Ayrıca, tarafın malvarlığını veya menfaatlerini yöneten kişi, taraf ile sürekli hizmet ilişkisi içinde olan ve dava konusu bu hizmetin kapsamına giren kişi, davadaki ortak (dava arkadaşı) ile tarafın ana, baba, eş, kardeş veya altsoyu (çocuk, torun) ve taraf ile evlatlık ilişkisi bulunan kişiler de vekil olabilir (k.p.c. md. 87 § 1).</w:t>
      </w:r>
    </w:p>
    <w:p w14:paraId="00000031" w14:textId="77777777" w:rsidR="00E55C7C" w:rsidRDefault="004D709A">
      <w:pPr>
        <w:jc w:val="both"/>
      </w:pPr>
      <w:r>
        <w:t>Tüzel kişi veya tüzel kişiliği olmayan bir işletmenin vekili, bu birimin veya bağlı bulunduğu üst organın çalışanı da olabilir. Ayrı düzenlemeler uyarınca bir işletmenin veya tüzel kişinin hukuki işlerini yürüten bir tüzel kişi, eğer yetkilendirilmişse, bu kuruluş adına bir avukat veya hukuk müşavirine vekalet verebilir  (k.p.c. md. 87 § 2).</w:t>
      </w:r>
    </w:p>
    <w:p w14:paraId="00000032" w14:textId="77777777" w:rsidR="00E55C7C" w:rsidRDefault="004D709A">
      <w:pPr>
        <w:jc w:val="both"/>
      </w:pPr>
      <w:r>
        <w:t xml:space="preserve">Sadece mahkeme evraklarını teslim alma yetkisini (tebligat vekili) içerenler dahil olmak üzere, </w:t>
      </w:r>
      <w:r>
        <w:rPr>
          <w:b/>
          <w:bCs/>
        </w:rPr>
        <w:t>belirli usuli işlemler için verilen vekaletnameler</w:t>
      </w:r>
      <w:r>
        <w:t>, tam fiil ehliyetine sahip herhangi bir gerçek kişiye verilebilir.</w:t>
      </w:r>
    </w:p>
    <w:p w14:paraId="00000033" w14:textId="77777777" w:rsidR="00E55C7C" w:rsidRDefault="004D709A">
      <w:pPr>
        <w:jc w:val="both"/>
      </w:pPr>
      <w:r>
        <w:t>Vekil, yaptığı ilk usuli işlemi sırasında, </w:t>
      </w:r>
      <w:r>
        <w:rPr>
          <w:b/>
          <w:bCs/>
        </w:rPr>
        <w:t>müvekkilinin imzasını taşıyan yazılı vekaletnameyi</w:t>
      </w:r>
      <w:r>
        <w:t> veya onaylı bir örneğini ve yetkisini gösteren diğer belgeleri, tüm bu belgelerin bir örneği karşı tarafa da verilecek adette, </w:t>
      </w:r>
      <w:r>
        <w:rPr>
          <w:b/>
          <w:bCs/>
        </w:rPr>
        <w:t>ibraz etmekle yükümlüdür</w:t>
      </w:r>
      <w:r>
        <w:t> (k.p.c. md. 89 § 1).</w:t>
      </w:r>
    </w:p>
    <w:p w14:paraId="00000034" w14:textId="77777777" w:rsidR="00E55C7C" w:rsidRDefault="004D709A">
      <w:pPr>
        <w:jc w:val="both"/>
      </w:pPr>
      <w:r>
        <w:rPr>
          <w:b/>
          <w:bCs/>
        </w:rPr>
        <w:t>XVI.</w:t>
      </w:r>
      <w:r>
        <w:t> Taraflar ve temsilcileri, </w:t>
      </w:r>
      <w:r>
        <w:rPr>
          <w:b/>
          <w:bCs/>
        </w:rPr>
        <w:t>ikametgah adreslerindeki</w:t>
      </w:r>
      <w:r>
        <w:t>, tüzel kişi olmayan taraflar söz konusu olduğunda ise </w:t>
      </w:r>
      <w:r>
        <w:rPr>
          <w:b/>
          <w:bCs/>
        </w:rPr>
        <w:t>merkez adresi değişikliklerini mahkemeye bildirmekle yükümlüdür</w:t>
      </w:r>
      <w:r>
        <w:t>. </w:t>
      </w:r>
      <w:r>
        <w:rPr>
          <w:b/>
          <w:bCs/>
        </w:rPr>
        <w:t>Merkezi İşletme Kayıt ve Bilgi Sİstemi'ne (CEIDG) kayıtlı bir tacir (işletme sahibi)</w:t>
      </w:r>
      <w:r>
        <w:t> olan taraf, bu kayıtta yer alan tebligat adresindeki her değişikliği mahkemeye bildirmek zorundadır.</w:t>
      </w:r>
    </w:p>
    <w:p w14:paraId="00000035" w14:textId="77777777" w:rsidR="00E55C7C" w:rsidRDefault="004D709A">
      <w:pPr>
        <w:jc w:val="both"/>
      </w:pPr>
      <w:r>
        <w:t>Tebligatların belirli bir </w:t>
      </w:r>
      <w:r>
        <w:rPr>
          <w:b/>
          <w:bCs/>
        </w:rPr>
        <w:t>posta kutusu</w:t>
      </w:r>
      <w:r>
        <w:t> adresine yapılması yönünde talepte bulunmuş olan taraf, bu adresteki her değişikliği mahkemeye bildirmekle yükümlüdür.</w:t>
      </w:r>
    </w:p>
    <w:p w14:paraId="00000036" w14:textId="77777777" w:rsidR="00E55C7C" w:rsidRDefault="004D709A">
      <w:pPr>
        <w:jc w:val="both"/>
      </w:pPr>
      <w:r>
        <w:t>Yukarıdaki yükümlülüklerin ihmal edilmesi halinde, mahkeme yazısı, yeni adres mahkemece bilinmiyorsa, tebligat yapılmış sayılarak dava dosyasında bırakılır (k.p.c. md. 136 § 2).</w:t>
      </w:r>
    </w:p>
    <w:p w14:paraId="00000037" w14:textId="77777777" w:rsidR="00E55C7C" w:rsidRDefault="004D709A">
      <w:pPr>
        <w:jc w:val="both"/>
      </w:pPr>
      <w:r>
        <w:rPr>
          <w:b/>
          <w:bCs/>
        </w:rPr>
        <w:t>XVII.</w:t>
      </w:r>
      <w:r>
        <w:t> </w:t>
      </w:r>
      <w:r>
        <w:rPr>
          <w:b/>
          <w:bCs/>
        </w:rPr>
        <w:t>Yerleşim yeri, mutad meskeni veya merkezi Polonya Cumhuriyeti'nde ya da diğer bir Avrupa Birliği üye devletinde bulunmayan taraf</w:t>
      </w:r>
      <w:r>
        <w:t>, Polonya Cumhuriyeti'nde ikamet eden bir vekil tayin etmemişse, Polonya Cumhuriyeti'nde bir tebligat vekili göstermek zorundadır.</w:t>
      </w:r>
    </w:p>
    <w:p w14:paraId="00000038" w14:textId="77777777" w:rsidR="00E55C7C" w:rsidRDefault="004D709A">
      <w:pPr>
        <w:jc w:val="both"/>
      </w:pPr>
      <w:r>
        <w:lastRenderedPageBreak/>
        <w:t>Tebligat vekilinin gösterilmemesi halinde, bu tarafa yönelik mahkeme yazıları tebligat yapılmış sayılarak dava dosyasında bırakılır (k.p.c. md. 1135^5^ § 1).</w:t>
      </w:r>
    </w:p>
    <w:p w14:paraId="00000039" w14:textId="77777777" w:rsidR="00E55C7C" w:rsidRDefault="004D709A">
      <w:pPr>
        <w:jc w:val="both"/>
      </w:pPr>
      <w:r>
        <w:t>Tebligat vekili olarak gösterilen kişinin yetkisi yalnızca usuli belgelerin (mahkeme evraklarının) teslim alınmasıyla sınırlıdır.</w:t>
      </w:r>
    </w:p>
    <w:p w14:paraId="0000003A" w14:textId="77777777" w:rsidR="00E55C7C" w:rsidRDefault="004D709A">
      <w:pPr>
        <w:jc w:val="both"/>
      </w:pPr>
      <w:r>
        <w:rPr>
          <w:b/>
          <w:bCs/>
        </w:rPr>
        <w:t>XVIII.</w:t>
      </w:r>
      <w:r>
        <w:t> Tüm dilekçeler </w:t>
      </w:r>
      <w:r>
        <w:rPr>
          <w:b/>
          <w:bCs/>
        </w:rPr>
        <w:t>Lehçe</w:t>
      </w:r>
      <w:r>
        <w:t> hazırlanmalıdır.</w:t>
      </w:r>
    </w:p>
    <w:p w14:paraId="0000003B" w14:textId="77777777" w:rsidR="00E55C7C" w:rsidRDefault="004D709A">
      <w:pPr>
        <w:jc w:val="both"/>
      </w:pPr>
      <w:r>
        <w:rPr>
          <w:b/>
          <w:bCs/>
        </w:rPr>
        <w:t>XIX.</w:t>
      </w:r>
      <w:r>
        <w:t xml:space="preserve"> Mahkemeye dilekçe sunarken, işbu yazıda belirtilen </w:t>
      </w:r>
      <w:r>
        <w:rPr>
          <w:b/>
          <w:bCs/>
        </w:rPr>
        <w:t>dosya numarası</w:t>
      </w:r>
      <w:r>
        <w:t xml:space="preserve"> mutlaka belirtilmelidir. </w:t>
      </w:r>
    </w:p>
    <w:p w14:paraId="0000003C" w14:textId="77777777" w:rsidR="00E55C7C" w:rsidRDefault="004D709A">
      <w:pPr>
        <w:jc w:val="both"/>
      </w:pPr>
      <w:r>
        <w:rPr>
          <w:b/>
          <w:bCs/>
        </w:rPr>
        <w:t>XX.</w:t>
      </w:r>
      <w:r>
        <w:t> Dilekçeye, davaya katılan kişilere tebliğ edilmek üzere dilekçenin ve eklerinin örnekleri ve ayrıca, eklerin asılları mahkemeye sunulmamışsa, mahkeme dosyası için her bir ekin birer örneği daha eklenmelidir (k.p.c. md. 128 § 1).</w:t>
      </w:r>
    </w:p>
    <w:p w14:paraId="0000003D" w14:textId="77777777" w:rsidR="00E55C7C" w:rsidRDefault="004D709A">
      <w:pPr>
        <w:jc w:val="both"/>
      </w:pPr>
      <w:r>
        <w:rPr>
          <w:b/>
          <w:bCs/>
        </w:rPr>
        <w:t>XXI.</w:t>
      </w:r>
      <w:r>
        <w:t> </w:t>
      </w:r>
      <w:r>
        <w:rPr>
          <w:b/>
          <w:bCs/>
        </w:rPr>
        <w:t>Bir dilekçenin</w:t>
      </w:r>
      <w:r>
        <w:t> Polonya Cumhuriyeti topraklarında yetkili posta idaresine veya başka bir Avrupa Birliği üye devletinin topraklarında yetkili posta idaresine teslim edilmesi </w:t>
      </w:r>
      <w:r>
        <w:rPr>
          <w:b/>
          <w:bCs/>
        </w:rPr>
        <w:t>, mahkemeye verilmesiyle eşdeğerdir</w:t>
      </w:r>
      <w:r>
        <w:t> (k.p.c. md. 165 § 2). Aynı kural, bir askerin dilekçesini askeri birlik komutanlığına vermesi, hürriyeti bağlayıcı ceza infaz kurumundaki bir kişinin dilekçesini cezaevi idaresine vermesi veya bir Polonya gemisi mürettebatının dilekçesini gemi kaptanına vermesi halinde de geçerlidir (k.p.c. md. 165 § 3</w:t>
      </w:r>
      <w:r>
        <w:t>).</w:t>
      </w:r>
    </w:p>
    <w:p w14:paraId="0000003E" w14:textId="77777777" w:rsidR="00E55C7C" w:rsidRDefault="00E55C7C">
      <w:pPr>
        <w:jc w:val="both"/>
      </w:pPr>
    </w:p>
    <w:p w14:paraId="0000003F" w14:textId="77777777" w:rsidR="00E55C7C" w:rsidRDefault="00E55C7C">
      <w:pPr>
        <w:jc w:val="both"/>
      </w:pPr>
    </w:p>
    <w:p w14:paraId="00000048" w14:textId="77777777" w:rsidR="00E55C7C" w:rsidRDefault="00E55C7C">
      <w:pPr>
        <w:jc w:val="both"/>
      </w:pPr>
    </w:p>
    <w:p w14:paraId="00000049" w14:textId="77777777" w:rsidR="00E55C7C" w:rsidRDefault="00E55C7C">
      <w:pPr>
        <w:jc w:val="both"/>
      </w:pPr>
    </w:p>
    <w:p w14:paraId="0000004A" w14:textId="77777777" w:rsidR="00E55C7C" w:rsidRDefault="00E55C7C">
      <w:pPr>
        <w:jc w:val="both"/>
      </w:pPr>
    </w:p>
    <w:sectPr w:rsidR="00E55C7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F00F4" w14:textId="77777777" w:rsidR="004D709A" w:rsidRDefault="004D709A">
      <w:pPr>
        <w:spacing w:after="0" w:line="240" w:lineRule="auto"/>
      </w:pPr>
      <w:r>
        <w:separator/>
      </w:r>
    </w:p>
  </w:endnote>
  <w:endnote w:type="continuationSeparator" w:id="0">
    <w:p w14:paraId="2274C130" w14:textId="77777777" w:rsidR="004D709A" w:rsidRDefault="004D7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embedRegular r:id="rId1" w:fontKey="{84E5AF02-6C8A-4A90-A535-74BBD71A0CD5}"/>
    <w:embedBold r:id="rId2" w:fontKey="{C1240355-55B8-4CE3-A4D7-D58FC0E7BA5D}"/>
    <w:embedItalic r:id="rId3" w:fontKey="{D11CD4A3-7B50-4A2A-A3BD-40B18E0D8001}"/>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embedRegular r:id="rId4" w:fontKey="{35E6815C-DE26-45CF-A923-00E921C5E6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E" w14:textId="77777777" w:rsidR="00E55C7C" w:rsidRDefault="00E55C7C">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F" w14:textId="2DF70AF6" w:rsidR="00E55C7C" w:rsidRDefault="004D709A">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01AB8">
      <w:rPr>
        <w:noProof/>
        <w:color w:val="000000"/>
      </w:rPr>
      <w:t>1</w:t>
    </w:r>
    <w:r>
      <w:rPr>
        <w:color w:val="000000"/>
      </w:rPr>
      <w:fldChar w:fldCharType="end"/>
    </w:r>
  </w:p>
  <w:p w14:paraId="00000050" w14:textId="77777777" w:rsidR="00E55C7C" w:rsidRDefault="00E55C7C">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1" w14:textId="77777777" w:rsidR="00E55C7C" w:rsidRDefault="00E55C7C">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47224" w14:textId="77777777" w:rsidR="004D709A" w:rsidRDefault="004D709A">
      <w:pPr>
        <w:spacing w:after="0" w:line="240" w:lineRule="auto"/>
      </w:pPr>
      <w:r>
        <w:separator/>
      </w:r>
    </w:p>
  </w:footnote>
  <w:footnote w:type="continuationSeparator" w:id="0">
    <w:p w14:paraId="4FC235FF" w14:textId="77777777" w:rsidR="004D709A" w:rsidRDefault="004D7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B" w14:textId="77777777" w:rsidR="00E55C7C" w:rsidRDefault="00E55C7C">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C" w14:textId="77777777" w:rsidR="00E55C7C" w:rsidRDefault="00E55C7C">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D" w14:textId="77777777" w:rsidR="00E55C7C" w:rsidRDefault="00E55C7C">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E55C7C"/>
    <w:rsid w:val="004D709A"/>
    <w:rsid w:val="00701AB8"/>
    <w:rsid w:val="009957EF"/>
    <w:rsid w:val="00C6016A"/>
    <w:rsid w:val="00E55C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6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color w:val="2F5496"/>
      <w:sz w:val="40"/>
      <w:szCs w:val="40"/>
    </w:rPr>
  </w:style>
  <w:style w:type="paragraph" w:styleId="Nagwek2">
    <w:name w:val="heading 2"/>
    <w:basedOn w:val="Normalny"/>
    <w:next w:val="Normalny"/>
    <w:uiPriority w:val="9"/>
    <w:semiHidden/>
    <w:unhideWhenUsed/>
    <w:qFormat/>
    <w:pPr>
      <w:keepNext/>
      <w:keepLines/>
      <w:spacing w:before="160" w:after="80"/>
      <w:outlineLvl w:val="1"/>
    </w:pPr>
    <w:rPr>
      <w:color w:val="2F5496"/>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2F5496"/>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2F5496"/>
    </w:rPr>
  </w:style>
  <w:style w:type="paragraph" w:styleId="Nagwek5">
    <w:name w:val="heading 5"/>
    <w:basedOn w:val="Normalny"/>
    <w:next w:val="Normalny"/>
    <w:uiPriority w:val="9"/>
    <w:semiHidden/>
    <w:unhideWhenUsed/>
    <w:qFormat/>
    <w:pPr>
      <w:keepNext/>
      <w:keepLines/>
      <w:spacing w:before="80" w:after="40"/>
      <w:outlineLvl w:val="4"/>
    </w:pPr>
    <w:rPr>
      <w:color w:val="2F5496"/>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paragraph" w:styleId="Nagwek7">
    <w:name w:val="heading 7"/>
    <w:basedOn w:val="Normalny"/>
    <w:next w:val="Normalny"/>
    <w:link w:val="Nagwek7Znak"/>
    <w:uiPriority w:val="9"/>
    <w:semiHidden/>
    <w:unhideWhenUsed/>
    <w:qFormat/>
    <w:rsid w:val="00DD361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D361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D361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sz w:val="56"/>
      <w:szCs w:val="56"/>
    </w:rPr>
  </w:style>
  <w:style w:type="character" w:customStyle="1" w:styleId="Balk1Char">
    <w:name w:val="Başlık 1 Char"/>
    <w:basedOn w:val="Domylnaczcionkaakapitu"/>
    <w:uiPriority w:val="9"/>
    <w:rsid w:val="00DD361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Domylnaczcionkaakapitu"/>
    <w:uiPriority w:val="9"/>
    <w:semiHidden/>
    <w:rsid w:val="00DD361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Domylnaczcionkaakapitu"/>
    <w:uiPriority w:val="9"/>
    <w:semiHidden/>
    <w:rsid w:val="00DD361E"/>
    <w:rPr>
      <w:rFonts w:eastAsiaTheme="majorEastAsia" w:cstheme="majorBidi"/>
      <w:color w:val="2F5496" w:themeColor="accent1" w:themeShade="BF"/>
      <w:sz w:val="28"/>
      <w:szCs w:val="28"/>
    </w:rPr>
  </w:style>
  <w:style w:type="character" w:customStyle="1" w:styleId="Balk4Char">
    <w:name w:val="Başlık 4 Char"/>
    <w:basedOn w:val="Domylnaczcionkaakapitu"/>
    <w:uiPriority w:val="9"/>
    <w:semiHidden/>
    <w:rsid w:val="00DD361E"/>
    <w:rPr>
      <w:rFonts w:eastAsiaTheme="majorEastAsia" w:cstheme="majorBidi"/>
      <w:i/>
      <w:iCs/>
      <w:color w:val="2F5496" w:themeColor="accent1" w:themeShade="BF"/>
    </w:rPr>
  </w:style>
  <w:style w:type="character" w:customStyle="1" w:styleId="Balk5Char">
    <w:name w:val="Başlık 5 Char"/>
    <w:basedOn w:val="Domylnaczcionkaakapitu"/>
    <w:uiPriority w:val="9"/>
    <w:semiHidden/>
    <w:rsid w:val="00DD361E"/>
    <w:rPr>
      <w:rFonts w:eastAsiaTheme="majorEastAsia" w:cstheme="majorBidi"/>
      <w:color w:val="2F5496" w:themeColor="accent1" w:themeShade="BF"/>
    </w:rPr>
  </w:style>
  <w:style w:type="character" w:customStyle="1" w:styleId="Balk6Char">
    <w:name w:val="Başlık 6 Char"/>
    <w:basedOn w:val="Domylnaczcionkaakapitu"/>
    <w:uiPriority w:val="9"/>
    <w:semiHidden/>
    <w:rsid w:val="00DD361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D361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D361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D361E"/>
    <w:rPr>
      <w:rFonts w:eastAsiaTheme="majorEastAsia" w:cstheme="majorBidi"/>
      <w:color w:val="272727" w:themeColor="text1" w:themeTint="D8"/>
    </w:rPr>
  </w:style>
  <w:style w:type="character" w:customStyle="1" w:styleId="KonuBalChar">
    <w:name w:val="Konu Başlığı Char"/>
    <w:basedOn w:val="Domylnaczcionkaakapitu"/>
    <w:uiPriority w:val="10"/>
    <w:rsid w:val="00DD361E"/>
    <w:rPr>
      <w:rFonts w:asciiTheme="majorHAnsi" w:eastAsiaTheme="majorEastAsia" w:hAnsiTheme="majorHAnsi" w:cstheme="majorBidi"/>
      <w:spacing w:val="-10"/>
      <w:kern w:val="28"/>
      <w:sz w:val="56"/>
      <w:szCs w:val="56"/>
    </w:rPr>
  </w:style>
  <w:style w:type="character" w:customStyle="1" w:styleId="AltyazChar">
    <w:name w:val="Altyazı Char"/>
    <w:basedOn w:val="Domylnaczcionkaakapitu"/>
    <w:uiPriority w:val="11"/>
    <w:rsid w:val="00DD361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D361E"/>
    <w:pPr>
      <w:spacing w:before="160"/>
      <w:jc w:val="center"/>
    </w:pPr>
    <w:rPr>
      <w:i/>
      <w:iCs/>
      <w:color w:val="404040" w:themeColor="text1" w:themeTint="BF"/>
    </w:rPr>
  </w:style>
  <w:style w:type="character" w:customStyle="1" w:styleId="CytatZnak">
    <w:name w:val="Cytat Znak"/>
    <w:basedOn w:val="Domylnaczcionkaakapitu"/>
    <w:link w:val="Cytat"/>
    <w:uiPriority w:val="29"/>
    <w:rsid w:val="00DD361E"/>
    <w:rPr>
      <w:i/>
      <w:iCs/>
      <w:color w:val="404040" w:themeColor="text1" w:themeTint="BF"/>
    </w:rPr>
  </w:style>
  <w:style w:type="paragraph" w:styleId="Akapitzlist">
    <w:name w:val="List Paragraph"/>
    <w:basedOn w:val="Normalny"/>
    <w:uiPriority w:val="34"/>
    <w:qFormat/>
    <w:rsid w:val="00DD361E"/>
    <w:pPr>
      <w:ind w:left="720"/>
      <w:contextualSpacing/>
    </w:pPr>
  </w:style>
  <w:style w:type="character" w:styleId="Wyrnienieintensywne">
    <w:name w:val="Intense Emphasis"/>
    <w:basedOn w:val="Domylnaczcionkaakapitu"/>
    <w:uiPriority w:val="21"/>
    <w:qFormat/>
    <w:rsid w:val="00DD361E"/>
    <w:rPr>
      <w:i/>
      <w:iCs/>
      <w:color w:val="2F5496" w:themeColor="accent1" w:themeShade="BF"/>
    </w:rPr>
  </w:style>
  <w:style w:type="paragraph" w:styleId="Cytatintensywny">
    <w:name w:val="Intense Quote"/>
    <w:basedOn w:val="Normalny"/>
    <w:next w:val="Normalny"/>
    <w:link w:val="CytatintensywnyZnak"/>
    <w:uiPriority w:val="30"/>
    <w:qFormat/>
    <w:rsid w:val="00DD36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D361E"/>
    <w:rPr>
      <w:i/>
      <w:iCs/>
      <w:color w:val="2F5496" w:themeColor="accent1" w:themeShade="BF"/>
    </w:rPr>
  </w:style>
  <w:style w:type="character" w:styleId="Odwoanieintensywne">
    <w:name w:val="Intense Reference"/>
    <w:basedOn w:val="Domylnaczcionkaakapitu"/>
    <w:uiPriority w:val="32"/>
    <w:qFormat/>
    <w:rsid w:val="00DD361E"/>
    <w:rPr>
      <w:b/>
      <w:bCs/>
      <w:smallCaps/>
      <w:color w:val="2F5496" w:themeColor="accent1" w:themeShade="BF"/>
      <w:spacing w:val="5"/>
    </w:rPr>
  </w:style>
  <w:style w:type="paragraph" w:styleId="Nagwek">
    <w:name w:val="header"/>
    <w:basedOn w:val="Normalny"/>
    <w:link w:val="NagwekZnak"/>
    <w:uiPriority w:val="99"/>
    <w:unhideWhenUsed/>
    <w:rsid w:val="00D31A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1AA5"/>
  </w:style>
  <w:style w:type="paragraph" w:styleId="Stopka">
    <w:name w:val="footer"/>
    <w:basedOn w:val="Normalny"/>
    <w:link w:val="StopkaZnak"/>
    <w:uiPriority w:val="99"/>
    <w:unhideWhenUsed/>
    <w:rsid w:val="00D31A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1AA5"/>
  </w:style>
  <w:style w:type="paragraph" w:styleId="Podtytu">
    <w:name w:val="Subtitle"/>
    <w:basedOn w:val="Normalny"/>
    <w:next w:val="Normalny"/>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2tjr4gmXkZ8p3gJqE2kWnBVsoA==">CgMxLjA4AHIhMW1TSnpqcHAyYzByRFNlNFFrMjNZMEhPdlk4WnRqVjBH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1937</Words>
  <Characters>12922</Characters>
  <Application>Microsoft Office Word</Application>
  <DocSecurity>0</DocSecurity>
  <Lines>179</Lines>
  <Paragraphs>61</Paragraphs>
  <ScaleCrop>false</ScaleCrop>
  <Company/>
  <LinksUpToDate>false</LinksUpToDate>
  <CharactersWithSpaces>14807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2026-03-20T11:15:00Z</dcterms:created>
  <dcterms:modified xsi:type="dcterms:W3CDTF">2026-03-20T11:16:00Z</dcterms:modified>
</cp:coreProperties>
</file>