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!-- Generated by Aspose.Words for .NET 22.4.0 -->
  <w:body>
    <w:p w:rsidR="00A77B3E">
      <w:pPr>
        <w:spacing w:line="240" w:lineRule="auto"/>
        <w:ind w:left="0"/>
        <w:jc w:val="center"/>
        <w:rPr>
          <w:rFonts w:ascii="Times New Roman" w:eastAsia="Times New Roman" w:hAnsi="Times New Roman" w:cs="Times New Roman"/>
          <w:b/>
          <w:caps/>
          <w:sz w:val="24"/>
        </w:rPr>
      </w:pPr>
      <w:r>
        <w:rPr>
          <w:rFonts w:ascii="Times New Roman" w:eastAsia="Times New Roman" w:hAnsi="Times New Roman" w:cs="Times New Roman"/>
          <w:b/>
          <w:caps/>
          <w:sz w:val="24"/>
        </w:rPr>
        <w:t>Zarządzenie</w:t>
      </w:r>
      <w:r>
        <w:rPr>
          <w:rFonts w:ascii="Times New Roman" w:eastAsia="Times New Roman" w:hAnsi="Times New Roman" w:cs="Times New Roman"/>
          <w:b/>
          <w:caps/>
          <w:sz w:val="24"/>
        </w:rPr>
        <w:br/>
      </w:r>
      <w:r>
        <w:rPr>
          <w:rFonts w:ascii="Times New Roman" w:eastAsia="Times New Roman" w:hAnsi="Times New Roman" w:cs="Times New Roman"/>
          <w:b/>
          <w:caps/>
          <w:sz w:val="24"/>
        </w:rPr>
        <w:t>Regionalnego Dyrektora Ochrony Środowiska w Bydgoszczy</w:t>
      </w:r>
    </w:p>
    <w:p w:rsidR="00A77B3E">
      <w:pPr>
        <w:spacing w:before="280" w:after="280" w:line="240" w:lineRule="auto"/>
        <w:ind w:left="0"/>
        <w:jc w:val="center"/>
        <w:rPr>
          <w:rFonts w:ascii="Times New Roman" w:eastAsia="Times New Roman" w:hAnsi="Times New Roman" w:cs="Times New Roman"/>
          <w:b/>
          <w:caps/>
          <w:sz w:val="24"/>
        </w:rPr>
      </w:pPr>
      <w:r>
        <w:rPr>
          <w:rFonts w:ascii="Times New Roman" w:eastAsia="Times New Roman" w:hAnsi="Times New Roman" w:cs="Times New Roman"/>
          <w:b w:val="0"/>
          <w:caps w:val="0"/>
          <w:sz w:val="24"/>
        </w:rPr>
        <w:t>z dnia 19 maja 2025 r.</w:t>
      </w:r>
    </w:p>
    <w:p w:rsidR="00A77B3E">
      <w:pPr>
        <w:spacing w:before="280" w:after="280" w:line="240" w:lineRule="auto"/>
        <w:ind w:left="0"/>
        <w:jc w:val="center"/>
        <w:rPr>
          <w:rFonts w:ascii="Times New Roman" w:eastAsia="Times New Roman" w:hAnsi="Times New Roman" w:cs="Times New Roman"/>
          <w:b w:val="0"/>
          <w:caps w:val="0"/>
          <w:sz w:val="22"/>
        </w:rPr>
      </w:pPr>
    </w:p>
    <w:p w:rsidR="00A77B3E">
      <w:pPr>
        <w:keepNext/>
        <w:spacing w:before="0" w:after="480" w:line="240" w:lineRule="auto"/>
        <w:ind w:left="0" w:right="0" w:firstLine="0"/>
        <w:jc w:val="center"/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</w:pPr>
      <w:r>
        <w:rPr>
          <w:rFonts w:ascii="Times New Roman" w:eastAsia="Times New Roman" w:hAnsi="Times New Roman" w:cs="Times New Roman"/>
          <w:b/>
          <w:caps w:val="0"/>
          <w:sz w:val="24"/>
        </w:rPr>
        <w:t>w sprawie uznania za rezerwat przyrody „Zbocza Dybowskie”</w:t>
      </w:r>
    </w:p>
    <w:p w:rsidR="00A77B3E">
      <w:pPr>
        <w:keepNext w:val="0"/>
        <w:keepLines/>
        <w:spacing w:before="120" w:after="120" w:line="240" w:lineRule="auto"/>
        <w:ind w:left="0" w:right="0" w:firstLine="227"/>
        <w:jc w:val="both"/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</w:pP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Na podstawie art.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 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13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 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ust.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 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3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 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ustawy z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 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dnia 16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 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kwietnia 2004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 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roku o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 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ochronie przyrody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br/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(Dz. U. z 2024 r., poz. 1478 oraz 1940) zarządza się, co następuje: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both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/>
          <w:sz w:val="24"/>
        </w:rPr>
        <w:t>§ 1. </w:t>
      </w:r>
      <w:r>
        <w:rPr>
          <w:rFonts w:ascii="Times New Roman" w:eastAsia="Times New Roman" w:hAnsi="Times New Roman" w:cs="Times New Roman"/>
          <w:sz w:val="24"/>
        </w:rPr>
        <w:t>1. 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auto"/>
          <w:sz w:val="24"/>
          <w:u w:val="none"/>
          <w:vertAlign w:val="baseline"/>
        </w:rPr>
        <w:t xml:space="preserve">Uznaje  się  za  rezerwat  przyrody  pod  nazwą  „Zbocza  Dybowskie”,  zwany  dalej „rezerwatem”, obszar o powierzchni 44,97 ha, położony na terenie gmin Solec Kujawski oraz Wielka Nieszawka, w powiatach bydgoskim oraz toruńskim, w województwie kujawsko-pomorskim. 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lef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sz w:val="24"/>
        </w:rPr>
        <w:t>2. 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Na obszarach graniczących z rezerwatem wyznacza się otulinę o powierzchni 52,56 ha, położoną na terenie gmin Solec Kujawski oraz Wielka Nieszawka, w powiatach bydgoskim oraz toruńskim, w województwie kujawsko-pomorskim.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lef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sz w:val="24"/>
        </w:rPr>
        <w:t>3. 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Położenie i przebieg granicy rezerwatu oraz jego otuliny w postaci mapy są określone w załączniku nr 1 do zarządzenia.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lef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sz w:val="24"/>
        </w:rPr>
        <w:t>4. 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Położenie i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przebieg granicy rezerwatu w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postaci wykazu współrzędnych punktów załamania granicy są określone w załączniku nr 2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do zarządzenia.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lef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sz w:val="24"/>
        </w:rPr>
        <w:t>5. 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Położenie i przebieg granicy otuliny rezerwatu w postaci wykazu współrzędnych punktów załamania granicy są określone w załączniku nr 3 do zarządzenia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both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/>
          <w:sz w:val="24"/>
        </w:rPr>
        <w:t>§ 2.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Celem  ochrony  rezerwatu  jest  zachowanie  cennych  przyrodniczo  i krajobrazowo  zespołów roślinnych  -  łęgów,  grądu  zboczowego,  świetlistej  dąbrowy  i unikatowych  zbiorowisk stepowych z runem złożonym z gatunków kserotermicznych.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both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/>
          <w:sz w:val="24"/>
        </w:rPr>
        <w:t>§ 3. </w:t>
      </w:r>
      <w:r>
        <w:rPr>
          <w:rFonts w:ascii="Times New Roman" w:eastAsia="Times New Roman" w:hAnsi="Times New Roman" w:cs="Times New Roman"/>
          <w:sz w:val="24"/>
        </w:rPr>
        <w:t>1. 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 xml:space="preserve">1. Dla rezerwatu określa się rodzaj - Leśny (L). 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lef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sz w:val="24"/>
        </w:rPr>
        <w:t>2. 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Dla rezerwatu określa się typ i podtyp:</w:t>
      </w:r>
    </w:p>
    <w:p w:rsidR="00A77B3E">
      <w:pPr>
        <w:keepNext w:val="0"/>
        <w:keepLines w:val="0"/>
        <w:spacing w:before="120" w:after="120" w:line="240" w:lineRule="auto"/>
        <w:ind w:left="340" w:right="0" w:hanging="227"/>
        <w:jc w:val="both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sz w:val="24"/>
        </w:rPr>
        <w:t>1)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ze  względu  na  dominujący  przedmiot  ochrony:  typ  –  Fitocenotyczny  (PFi), podtyp - zbiorowisk leśnych (zl);</w:t>
      </w:r>
    </w:p>
    <w:p w:rsidR="00A77B3E">
      <w:pPr>
        <w:keepNext w:val="0"/>
        <w:keepLines w:val="0"/>
        <w:spacing w:before="120" w:after="120" w:line="240" w:lineRule="auto"/>
        <w:ind w:left="340" w:right="0" w:hanging="227"/>
        <w:jc w:val="both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sz w:val="24"/>
        </w:rPr>
        <w:t>2)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ze względu na główny typ ekosystemu: typ – Leśny i borowy (EL), podtyp - lasów mieszanych nizinnych (lmn).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both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/>
          <w:sz w:val="24"/>
        </w:rPr>
        <w:t>§ 4.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Nadzór nad rezerwatem sprawuje Regionalny Dyrektor Ochrony Środowiska w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Bydgoszczy.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both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/>
          <w:sz w:val="24"/>
        </w:rPr>
        <w:t>§ 5.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Zarządzenie wchodzi w życie po upływie 14 dni od dnia ogłoszenia.</w:t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righ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drawing>
          <wp:inline>
            <wp:extent cx="2670440" cy="1054608"/>
            <wp:docPr id="100001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 r:link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70440" cy="105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righ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sectPr>
          <w:footerReference w:type="default" r:id="rId7"/>
          <w:endnotePr>
            <w:numFmt w:val="decimal"/>
          </w:endnotePr>
          <w:pgSz w:w="11906" w:h="16838"/>
          <w:pgMar w:top="992" w:right="1020" w:bottom="992" w:left="1020" w:header="708" w:footer="708" w:gutter="0"/>
          <w:cols w:space="708"/>
          <w:docGrid w:linePitch="360"/>
        </w:sectPr>
      </w:pPr>
    </w:p>
    <w:p w:rsidR="00A77B3E">
      <w:pPr>
        <w:keepNext/>
        <w:spacing w:before="120" w:after="120" w:line="360" w:lineRule="auto"/>
        <w:ind w:left="3634" w:right="0" w:firstLine="0"/>
        <w:jc w:val="lef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fldChar w:fldCharType="begin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fldChar w:fldCharType="separate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fldChar w:fldCharType="end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Załącznik Nr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1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do zarządzenia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br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Regionalnego Dyrektora Ochrony Środowiska w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Bydgoszczy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br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z dnia 19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maja 2025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r.</w:t>
      </w:r>
    </w:p>
    <w:p w:rsidR="00A77B3E">
      <w:pPr>
        <w:keepNext/>
        <w:spacing w:before="0" w:after="480" w:line="240" w:lineRule="auto"/>
        <w:ind w:left="0" w:right="0" w:firstLine="0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Położenie i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przebieg granicy rezerwatu i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jego otuliny w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postaci mapy</w:t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8351" cy="7569034"/>
            <wp:docPr id="100003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" r:link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68351" cy="7569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8351" cy="7569034"/>
            <wp:docPr id="100005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0" r:link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68351" cy="7569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8351" cy="7569034"/>
            <wp:docPr id="100007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2" r:link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68351" cy="7569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8351" cy="7569034"/>
            <wp:docPr id="100009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4" r:link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68351" cy="7569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8351" cy="7569034"/>
            <wp:docPr id="100011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6" r:link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68351" cy="7569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8351" cy="7569034"/>
            <wp:docPr id="100013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8" r:link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68351" cy="7569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8351" cy="7569034"/>
            <wp:docPr id="100015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0" r:link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68351" cy="7569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8351" cy="7569034"/>
            <wp:docPr id="100017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2" r:link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68351" cy="7569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8351" cy="7569034"/>
            <wp:docPr id="100019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4" r:link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68351" cy="7569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8351" cy="7569034"/>
            <wp:docPr id="100021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6" r:link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68351" cy="7569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8552" cy="7569276"/>
            <wp:docPr id="100023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8" r:link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68552" cy="7569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8" w:type="dxa"/>
          <w:right w:w="108" w:type="dxa"/>
        </w:tblCellMar>
      </w:tblPr>
      <w:tblGrid>
        <w:gridCol w:w="5041"/>
        <w:gridCol w:w="5041"/>
      </w:tblGrid>
      <w:tr>
        <w:tblPrEx>
          <w:tblW w:w="5000" w:type="pc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ayout w:type="fixed"/>
          <w:tblCellMar>
            <w:left w:w="108" w:type="dxa"/>
            <w:right w:w="108" w:type="dxa"/>
          </w:tblCellMar>
        </w:tblPrEx>
        <w:trPr>
          <w:trHeight w:val="105"/>
        </w:trPr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noWrap w:val="0"/>
            <w:tcMar>
              <w:top w:w="100" w:type="dxa"/>
            </w:tcMar>
            <w:textDirection w:val="lrTb"/>
            <w:vAlign w:val="top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noWrap w:val="0"/>
            <w:tcMar>
              <w:top w:w="100" w:type="dxa"/>
            </w:tcMar>
            <w:textDirection w:val="lrTb"/>
            <w:vAlign w:val="top"/>
          </w:tcPr>
          <w:p w:rsidR="00A77B3E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</w:p>
        </w:tc>
      </w:tr>
    </w:tbl>
    <w:p w:rsidR="00A77B3E">
      <w:pPr>
        <w:keepNext w:val="0"/>
        <w:keepLines w:val="0"/>
        <w:spacing w:before="120" w:after="120" w:line="240" w:lineRule="auto"/>
        <w:ind w:left="283" w:right="0" w:firstLine="227"/>
        <w:jc w:val="righ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2670440" cy="1054608"/>
            <wp:docPr id="100025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 r:link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670440" cy="105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righ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sectPr>
          <w:footerReference w:type="default" r:id="rId31"/>
          <w:endnotePr>
            <w:numFmt w:val="decimal"/>
          </w:endnotePr>
          <w:type w:val="nextPage"/>
          <w:pgSz w:w="11906" w:h="16838"/>
          <w:pgMar w:top="992" w:right="1020" w:bottom="992" w:left="1020" w:header="708" w:footer="708" w:gutter="0"/>
          <w:pgNumType w:start="1"/>
          <w:cols w:space="708"/>
          <w:docGrid w:linePitch="360"/>
        </w:sectPr>
      </w:pPr>
    </w:p>
    <w:p w:rsidR="00A77B3E">
      <w:pPr>
        <w:keepNext/>
        <w:spacing w:before="120" w:after="120" w:line="360" w:lineRule="auto"/>
        <w:ind w:left="3634" w:right="0" w:firstLine="0"/>
        <w:jc w:val="lef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fldChar w:fldCharType="begin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fldChar w:fldCharType="separate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fldChar w:fldCharType="end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Załącznik Nr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2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do zarządzenia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br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Regionalnego Dyrektora Ochrony Środowiska w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Bydgoszczy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br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z dnia 19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maja 2025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r.</w:t>
      </w:r>
    </w:p>
    <w:p w:rsidR="00A77B3E">
      <w:pPr>
        <w:keepNext/>
        <w:spacing w:before="0" w:after="480" w:line="240" w:lineRule="auto"/>
        <w:ind w:left="0" w:right="0" w:firstLine="0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Położenie i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przebieg granicy rezerwatu w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postaci wykazu współrzędnych punktów załamania granicy w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układzie współrzędnych płaskich prostokątnych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br/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PL-1992</w:t>
      </w:r>
      <w:r>
        <w:rPr>
          <w:rStyle w:val="FootnoteReference"/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0"/>
          <w:u w:val="none" w:color="000000"/>
          <w:vertAlign w:val="superscript"/>
        </w:rPr>
        <w:footnoteReference w:customMarkFollows="1" w:id="2"/>
        <w:t xml:space="preserve">1)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8" w:type="dxa"/>
          <w:right w:w="108" w:type="dxa"/>
        </w:tblCellMar>
      </w:tblPr>
      <w:tblGrid>
        <w:gridCol w:w="2432"/>
        <w:gridCol w:w="2480"/>
        <w:gridCol w:w="2480"/>
        <w:gridCol w:w="2690"/>
      </w:tblGrid>
      <w:tr>
        <w:tblPrEx>
          <w:tblW w:w="5000" w:type="pc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b/>
              </w:rPr>
              <w:t>Nr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b/>
              </w:rPr>
              <w:t>X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b/>
              </w:rPr>
              <w:t>Y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b/>
              </w:rPr>
              <w:t>Komentarz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576363,28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456475,58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576365,01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456438,06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576368,68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456438,68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576374,47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456454,15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576375,62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456505,63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576386,88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456556,01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576373,82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456559,10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576378,24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456598,41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576374,58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456631,26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576390,57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456630,45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576398,08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456602,08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576411,21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456628,40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576370,83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456839,44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576387,75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456853,70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576427,20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456880,38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576440,34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456889,27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576457,61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456905,32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576439,28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456899,83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576367,87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456878,45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576357,36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456934,17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576429,66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456971,64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576434,20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457006,38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576431,88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457019,15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576450,26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457031,51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576436,04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457060,55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576409,46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457056,48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576396,72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457101,36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576370,43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457110,59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576349,33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457159,85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576349,15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457160,43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576339,01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457190,44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576325,76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457229,71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576304,53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457331,87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576308,65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457336,71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576317,88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457347,57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576303,97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457399,79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576302,48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457405,41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576294,83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457432,80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576294,43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457474,19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576325,17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457399,79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576344,47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457353,07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576356,81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457349,57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576380,63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457319,57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576385,16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457301,26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576417,78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457169,50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576417,95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457169,52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576436,16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457171,93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576479,45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457194,90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576407,15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457311,79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576329,81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457482,44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576268,28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457632,66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576249,19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457679,67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576213,30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457768,10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576211,85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457771,67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576174,16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457864,52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576140,01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457963,41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576137,66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457970,22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576109,32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458052,30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576076,11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458139,79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576043,36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458226,06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576014,99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458285,03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575946,51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458432,83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575906,70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458507,64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575870,91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458574,90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575814,27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458672,47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575754,00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458772,25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67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575753,80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458772,55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68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575738,48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458794,47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69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575716,75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458825,54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575700,46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458870,69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71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575663,91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458927,15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72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575631,26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458977,56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73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575577,25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459036,51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74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575559,31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459056,10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75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575473,63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459180,83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575445,51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459215,26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77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575428,22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459236,44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575392,07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459280,70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575317,06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459386,39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80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575245,15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459487,71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575154,90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459586,51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575097,65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459647,33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83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575042,19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459705,38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84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574968,90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459792,43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574911,17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459850,97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86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574879,64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459904,01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87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574824,65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459975,88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88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574777,30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460049,55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89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574758,35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460074,71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90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574743,29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460086,25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91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574729,58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460107,67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92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574691,79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460172,79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93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574666,38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460212,57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94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574635,82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460267,75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95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574612,66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460299,62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96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574584,27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460330,78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574565,91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460355,39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98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574540,37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460386,69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99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574525,51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460409,45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100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574493,40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460449,71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101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574458,29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460497,94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102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574434,26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460525,49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103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574410,50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460555,48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104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574349,23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460643,11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105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574300,04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460675,13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574276,11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460709,93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107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574237,37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460764,26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108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574173,66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460823,26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574152,28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460855,01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574115,46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460897,88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574084,42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460934,68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112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574031,99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460986,79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574005,31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461015,13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114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573953,69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461057,23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573887,20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461117,43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573855,92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461142,31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117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573839,81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461154,17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573778,83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461205,84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119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573697,18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461258,29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573653,43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461275,21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121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573641,23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461280,25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573632,10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461285,36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573623,50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461295,85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573616,22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461302,75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573605,12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461309,20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573604,05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461307,04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573589,80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461278,59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573588,06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461275,74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573633,94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461251,13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573672,04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461234,78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573717,76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461207,32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132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573753,32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461181,12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133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573793,96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461149,53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573862,70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461095,08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135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573922,71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461042,06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573955,09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461017,45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573960,97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461008,72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138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573963,66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460999,51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139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573996,21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460970,39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574022,62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460946,76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141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574036,40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460934,98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142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574116,98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460853,28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574120,71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460848,09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574122,64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460845,08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574125,52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460839,63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146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574130,20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460830,21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147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574134,45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460822,62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574137,94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460817,85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149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574252,18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460692,96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574252,67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460692,39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574297,51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460639,47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152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574315,45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460619,78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153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574427,40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460496,88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154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574494,52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460410,49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155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574621,48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460238,42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156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574650,01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460199,75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157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574650,85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460198,64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574655,24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460192,79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159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574667,32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460173,42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574672,65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460162,86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574675,85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460155,87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574683,92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460144,82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574681,84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460132,88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574686,00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460093,94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574714,78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460048,91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574738,41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460061,53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167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574761,61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460020,19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168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574761,94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460019,61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169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574810,42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459942,44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574917,15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459805,34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171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574926,08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459793,60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172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574986,00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459714,87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173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575002,16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459696,44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174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575023,93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459671,63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175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575077,38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459619,77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575126,06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459565,80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177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575126,61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459565,18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575146,17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459543,04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575159,66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459530,34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180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575218,14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459462,35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575244,65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459428,62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575244,75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459428,48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183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575266,82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459397,52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184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575283,49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459374,50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575296,94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459349,92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186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575324,96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459298,71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187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575397,46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459215,75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188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575428,53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459170,51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189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575434,12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459159,25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190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575432,13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459150,79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191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575451,04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459133,55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192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575467,29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459103,37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193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575463,81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459095,41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194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575466,45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459088,87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195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575467,37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459084,82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196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575481,22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459093,75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575578,10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458982,78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198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575670,36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458858,73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199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575680,89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458824,96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200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575728,89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458743,58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201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575728,99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458743,41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202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575774,82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458669,12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203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575830,91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458557,47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204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575849,34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458512,07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205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575852,61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458504,02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575873,56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458433,99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207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575873,61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458433,93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208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575943,31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458346,23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575995,96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458232,35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576008,28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458205,15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576012,26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458196,37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212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576028,89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458124,61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576031,40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458116,69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214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576034,09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458108,18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576040,55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458109,85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576046,43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458086,07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217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576049,78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458072,49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576045,40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458071,52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219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576045,16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458071,46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576045,24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458071,36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221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576056,72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458033,59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576065,33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458034,45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576073,80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458001,83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576077,79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457999,59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576093,43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457950,38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576101,37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457901,43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576106,64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457843,12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576106,66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457842,93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576120,37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457721,80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576128,82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457665,62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576140,66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457602,25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232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576132,32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457598,79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233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576132,53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457549,93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576132,73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457544,76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235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576133,06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457536,56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576141,60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457537,11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576143,65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457526,59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238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576146,95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457473,05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239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576154,92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457409,86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576168,85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457352,49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241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576177,58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457295,34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242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576185,84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457249,30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576175,90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457255,26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576167,77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457285,06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576129,60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457278,99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246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576134,33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457254,82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247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576151,32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457204,73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576173,48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457137,62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249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576173,75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457136,55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576174,31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457134,31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576202,06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457095,29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252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576248,87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457001,92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253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576304,02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456882,81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254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576328,61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456821,20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255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576339,60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456756,67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256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576357,04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456694,75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257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576358,56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456645,92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576365,70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456558,84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259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576363,28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456475,58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573180,56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461479,25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573172,46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461477,34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573119,69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461531,34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573093,34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461535,62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573046,57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461569,79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572953,75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461665,44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572906,66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461716,07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267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572875,34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461749,75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268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572869,94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461746,54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269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572825,50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461779,75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572682,17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461925,67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271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572654,15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461905,41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272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572708,49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461844,38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273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572741,59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461813,53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274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572789,52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461768,84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275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572826,50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461735,08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572839,26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461723,44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277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572908,77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461649,00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572935,72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461620,14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572994,71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461566,54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280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573013,04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461548,42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573045,73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461516,10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573059,30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461510,22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283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573079,96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461501,27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284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573113,39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461475,14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573132,62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461464,77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286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573159,68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461450,26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287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573169,20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461463,48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288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573180,56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461479,25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289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572472,34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462145,82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290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572496,40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462159,73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291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572501,96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462162,93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292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572510,25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462167,70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293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572466,06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462233,17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294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572437,80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462262,57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295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572373,54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462329,40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296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572329,98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462374,73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572232,27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462486,09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298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572236,65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462493,92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299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572216,00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462517,92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300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572183,53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462558,30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301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572134,42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462633,49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302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572097,10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462687,61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303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572091,42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462700,37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304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572055,27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462781,59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305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572033,16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462827,32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571953,93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462957,38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307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571949,53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462964,27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308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571908,38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463028,65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571902,45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463038,05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571850,87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463122,18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571836,52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463137,00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312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571797,70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463204,04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571773,67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463238,13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314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571704,18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463377,95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571659,59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463461,42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571658,96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463468,35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317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571637,71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463511,64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571623,63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463537,41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319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571614,05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463530,69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571554,54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463559,76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321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571537,70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463563,62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571503,02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463575,32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571493,88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463580,99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571487,42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463584,70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571484,75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463596,82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571467,20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463606,38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571444,39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463606,28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571436,28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463619,81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571431,44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463638,87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571428,13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463648,77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571423,18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463657,52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332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571417,43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463665,68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333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571410,85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463673,27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571405,09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463681,43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335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571401,32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463685,78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571401,27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463685,49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571395,10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463654,37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338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571393,62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463655,53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339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571373,82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463671,10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571346,78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463700,76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341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571337,63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463708,35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342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571308,39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463732,61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571294,48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463747,68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571287,45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463755,29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571286,79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463756,03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346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571259,10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463787,14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347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571228,02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463831,23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571226,82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463832,94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349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571203,87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463860,77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571191,92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463875,25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571181,24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463884,26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352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571161,03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463901,30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353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571155,71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463905,79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354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571139,38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463914,48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355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571181,38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463861,88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356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571152,30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463856,87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357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571090,28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463866,48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571072,06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463869,56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359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571089,67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463795,57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571125,13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463835,26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571144,20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463804,56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571168,54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463817,41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571261,46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463728,48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571297,09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463694,39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571266,31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463654,41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571215,75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463692,04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367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571189,03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463662,80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368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571221,71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463639,65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369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571248,76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463615,27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571251,21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463613,06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371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571262,59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463593,35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372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571355,85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463560,74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373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571375,27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463554,30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374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571379,93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463552,39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375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571525,63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463492,56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571588,81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463456,57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377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571636,81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463429,23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571657,99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463375,57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571687,29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463301,35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380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571723,78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463258,73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571755,34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463214,67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571758,00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463210,96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383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571799,89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463136,72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384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571894,11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462974,30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571929,11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462915,02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386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571963,63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462856,56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387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571998,12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462798,13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388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572014,01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462771,23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389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572014,05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462771,16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390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572020,25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462759,79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391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572076,01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462657,46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392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572147,79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462533,93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393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572212,17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462451,56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394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572216,44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462455,95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395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572216,60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462456,10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396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572224,33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462446,06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572257,13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462411,70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398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572321,91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462337,80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399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572402,62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462245,18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400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572402,69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462245,07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401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572418,85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462220,49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402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572447,68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462177,55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403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572472,34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462145,82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część nr 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404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576271,37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457120,10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405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576266,23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457148,41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576265,98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457149,47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407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576266,23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457149,49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408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576275,26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457150,25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576274,01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457199,41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576281,09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457205,40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576275,15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457297,14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412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576236,07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457479,33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576224,92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457562,91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414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576197,91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457560,27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576187,57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457559,70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576190,93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457516,23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417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576194,94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457499,70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576206,59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457451,71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419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576204,01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457408,23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576204,29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457402,45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421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576206,25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457361,39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576194,55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457351,92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576216,78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457277,05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576220,27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457265,28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576224,72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457227,16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576226,88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457208,69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576240,99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457166,02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576246,18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457147,79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576246,77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457145,73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576256,22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457114,31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576271,37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457120,10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t>wyłączenie</w:t>
            </w:r>
          </w:p>
        </w:tc>
      </w:tr>
    </w:tbl>
    <w:p w:rsidR="00A77B3E">
      <w:pPr>
        <w:keepNext w:val="0"/>
        <w:keepLines w:val="0"/>
        <w:spacing w:before="120" w:after="120" w:line="240" w:lineRule="auto"/>
        <w:ind w:left="283" w:right="0" w:firstLine="227"/>
        <w:jc w:val="righ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2670440" cy="1054608"/>
            <wp:docPr id="100027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 r:link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70440" cy="105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righ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sectPr>
          <w:footerReference w:type="default" r:id="rId33"/>
          <w:endnotePr>
            <w:numFmt w:val="decimal"/>
          </w:endnotePr>
          <w:type w:val="nextPage"/>
          <w:pgSz w:w="11906" w:h="16838"/>
          <w:pgMar w:top="992" w:right="1020" w:bottom="992" w:left="1020" w:header="708" w:footer="708" w:gutter="0"/>
          <w:pgNumType w:start="1"/>
          <w:cols w:space="708"/>
          <w:docGrid w:linePitch="360"/>
        </w:sectPr>
      </w:pPr>
    </w:p>
    <w:p w:rsidR="00A77B3E">
      <w:pPr>
        <w:keepNext/>
        <w:spacing w:before="120" w:after="120" w:line="360" w:lineRule="auto"/>
        <w:ind w:left="3634" w:right="0" w:firstLine="0"/>
        <w:jc w:val="lef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fldChar w:fldCharType="begin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fldChar w:fldCharType="separate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fldChar w:fldCharType="end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Załącznik Nr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3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do zarządzenia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br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Regionalnego Dyrektora Ochrony Środowiska w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Bydgoszczy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br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z dnia 19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maja 2025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r.</w:t>
      </w:r>
    </w:p>
    <w:p w:rsidR="00A77B3E">
      <w:pPr>
        <w:keepNext/>
        <w:spacing w:before="0" w:after="480" w:line="240" w:lineRule="auto"/>
        <w:ind w:left="0" w:right="0" w:firstLine="0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Położenie i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przebieg granicy otuliny rezerwatu w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postaci wykazu współrzędnych punktów załamania granicy w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układzie współrzędnych płaskich prostokątnych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br/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PL-1992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8" w:type="dxa"/>
          <w:right w:w="108" w:type="dxa"/>
        </w:tblCellMar>
      </w:tblPr>
      <w:tblGrid>
        <w:gridCol w:w="2178"/>
        <w:gridCol w:w="2697"/>
        <w:gridCol w:w="2386"/>
        <w:gridCol w:w="2821"/>
      </w:tblGrid>
      <w:tr>
        <w:tblPrEx>
          <w:tblW w:w="5000" w:type="pc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b/>
                <w:sz w:val="22"/>
              </w:rPr>
              <w:t>Nr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b/>
                <w:sz w:val="22"/>
              </w:rPr>
              <w:t>X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b/>
                <w:sz w:val="22"/>
              </w:rPr>
              <w:t>Y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b/>
                <w:sz w:val="22"/>
              </w:rPr>
              <w:t>Komentarz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573589,80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461278,59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573554,93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461294,79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573510,78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461306,34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573510,49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461305,19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573513,61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461298,90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573515,46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461289,90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573515,56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461282,63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573509,21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461265,96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573507,11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461262,24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573500,08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461249,82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573484,08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461225,74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573481,77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461216,87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573507,49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461221,00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573528,09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461241,50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573538,93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461224,69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573617,91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461166,13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573670,17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461137,36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573694,64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461120,82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573819,66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461026,24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573983,25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460906,63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574197,93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460600,69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574290,87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460455,31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574306,45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460438,18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574362,52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460441,29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574394,01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460468,28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574444,04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460403,91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574477,79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460386,78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574422,75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460287,61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574439,37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460249,70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574513,13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460157,72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574546,95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460125,96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574573,04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460083,02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574593,21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460056,27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574609,67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460048,25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574618,13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460037,11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574630,24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460026,36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574641,27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460009,64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574656,27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460017,65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574669,39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460004,34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574689,71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459984,98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574692,76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459983,55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574716,06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459972,59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574748,29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459950,05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574777,50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459922,43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574789,56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459909,73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574796,92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459905,84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574792,16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459901,38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574781,86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459887,43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574776,78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459868,69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574781,86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459852,66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574772,34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459834,88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574780,43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459835,04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574794,72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459839,64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574791,95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459819,26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574773,29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459808,53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574767,65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459795,37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574779,68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459797,93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574792,06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459802,50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574803,77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459798,21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574805,99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459789,79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574846,32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459776,20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574923,89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459694,14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574929,20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459679,41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574934,72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459661,70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574935,94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459649,64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574943,21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459644,90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574966,75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459615,72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575061,07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459526,36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575175,50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459379,51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575227,26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459331,25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575219,87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459284,11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575227,34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459290,32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575278,96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459295,63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575279,38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459282,69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575328,04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459240,96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575336,56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459204,95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575356,00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459191,34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575363,78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459191,34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575374,71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459185,02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575392,17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459154,61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575392,00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459145,15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575378,57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459136,86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575368,62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459104,20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575361,97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459100,42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575359,67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459091,09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575360,16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459076,83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575356,85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459057,27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575359,06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459052,52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575369,95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459059,75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575392,83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459057,93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575403,94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459064,89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575417,04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459064,89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575426,32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459062,11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575382,98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459015,87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575394,89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459005,18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575393,18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458993,75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575381,76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458983,30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575465,05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458874,58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575483,15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458876,62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575484,26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458866,69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575474,18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458865,55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575587,24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458740,35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575703,02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458603,69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575728,89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458743,58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575680,89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458824,96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575670,36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458858,73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575578,10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458982,78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575481,22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459093,75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575467,37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459084,82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575466,45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459088,87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575463,81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459095,41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575467,29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459103,37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575451,04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459133,55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575432,13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459150,79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575434,12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459159,25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575428,53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459170,51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575397,46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459215,75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575324,96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459298,71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575296,94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459349,92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575283,49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459374,50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575266,82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459397,52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575244,75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459428,48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575244,65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459428,62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575218,14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459462,35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575159,66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459530,34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575146,17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459543,04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575126,61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459565,18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575126,06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459565,80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575077,38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459619,77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575023,93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459671,63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575002,16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459696,44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574986,00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459714,87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574926,08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459793,60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574917,15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459805,34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574810,42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459942,44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574761,94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460019,61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574761,61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460020,19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574738,41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460061,53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574714,78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460048,91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574686,00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460093,94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574681,84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460132,88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574683,92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460144,82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574675,85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460155,87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574672,65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460162,86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574667,32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460173,42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574655,24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460192,79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574650,85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460198,64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574650,01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460199,75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574621,48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460238,42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574494,52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460410,49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574427,40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460496,88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574315,45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460619,78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574297,51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460639,47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574252,67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460692,39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574252,18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460692,96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574137,94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460817,85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574134,45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460822,62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574130,20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460830,21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574125,52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460839,63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574122,64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460845,08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574120,71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460848,09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574116,98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460853,28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574036,40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460934,98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574022,62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460946,76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573996,21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460970,39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573963,66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460999,51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573960,97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461008,72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573955,09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461017,45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573922,71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461042,06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573862,70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461095,08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573793,96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461149,53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573753,32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461181,12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573717,76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461207,32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573672,04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461234,78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573633,94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461251,13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573588,06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461275,74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573589,80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461278,59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572487,99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462092,67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572495,82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462086,61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572502,31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462081,69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572508,15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462077,74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572511,83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462074,49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572514,75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462071,03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572517,78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462066,92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572522,54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462057,19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572531,91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462034,05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572540,05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462014,07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572546,00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462000,37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572549,88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461993,22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572554,95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461984,86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572557,38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461981,57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572575,01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461960,80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572586,67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461948,62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572594,05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461940,46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572596,97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461936,95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572598,97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461933,32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572600,76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461928,94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572602,16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461922,34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572602,65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461917,07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572602,78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461910,71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572602,65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461904,22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572593,24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461844,48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572592,50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461838,81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572592,16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461830,36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572591,40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461821,60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572590,37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461808,94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572589,02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461800,99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572587,77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461794,50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572585,99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461787,04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572584,17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461782,42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572588,66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461779,07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572642,73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461735,55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572696,07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461694,04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572706,85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461691,81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572716,37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461688,46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572783,91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461664,69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572887,23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461620,48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572888,40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461622,03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572917,74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461597,11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572945,70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461576,84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572975,61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461555,48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572991,25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461539,73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573036,36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461496,20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573050,00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461486,08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573068,24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461473,85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573072,31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461462,75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573077,28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461458,86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573080,27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461456,28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573083,40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461455,13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573087,48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461454,58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573092,58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461454,04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573096,33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461453,29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573101,78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461450,69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573105,17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461447,91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573109,07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461442,91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573121,15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461433,61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573147,32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461416,19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573165,64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461406,41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573193,70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461391,71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573218,74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461377,15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573232,23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461367,98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573275,42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461341,97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573277,05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461339,86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573278,49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461336,81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573279,23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461335,23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573279,94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461333,72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573284,72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461359,08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573285,08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461360,99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573319,35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461379,61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573320,60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461380,13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573291,29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461393,88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573240,53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461409,36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573196,07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461428,49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573158,93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461449,22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573159,68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461450,26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573132,62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461464,77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573113,39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461475,14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573079,96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461501,27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573059,30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461510,22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573045,73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461516,10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573013,04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461548,42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572994,71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461566,54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572935,72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461620,14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572908,77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461649,00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572839,26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461723,44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572826,50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461735,08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572789,52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461768,84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572741,59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461813,53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572708,49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461844,38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572654,15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461905,41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572612,35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461952,49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572571,06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462006,69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572568,61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462009,90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572556,32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462020,35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572539,61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462055,68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572525,67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462072,55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572510,89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462090,45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572494,99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462118,21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572474,95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462142,48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572472,34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462145,82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572447,68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462177,55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572418,85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462220,49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572402,69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462245,07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572402,62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462245,18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572321,91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462337,80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572257,13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462411,70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572224,33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462446,06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572216,60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462456,10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572216,44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462455,95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572212,17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462451,56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572147,79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462533,93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572076,01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462657,46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572020,25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462759,79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572014,05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462771,16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572014,01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462771,23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571998,12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462798,13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571963,63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462856,56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571929,11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462915,02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571894,11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462974,30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571799,89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463136,72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571758,00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463210,96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571755,34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463214,67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571723,78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463258,73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571687,29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463301,35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571657,99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463375,57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571636,81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463429,23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571588,81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463456,57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571525,63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463492,56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571379,93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463552,39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571375,27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463554,30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571355,85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463560,74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571262,59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463593,35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571251,21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463613,06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571248,76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463615,27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571221,71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463639,65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571189,03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463662,80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571215,75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463692,04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571266,31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463654,41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571297,09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463694,39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571261,46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463728,48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571168,54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463817,41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571144,20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463804,56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571125,13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463835,26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571091,07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463797,13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571093,93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463788,56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571098,60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463771,09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571099,03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463769,47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571107,66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463741,28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571108,28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463740,53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571109,01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463734,43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571115,66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463678,70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571115,13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463676,60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571114,76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463673,62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571114,15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463669,17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571113,62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463664,52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571111,24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463653,64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571109,59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463648,30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571106,75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463642,62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571101,96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463634,57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571091,06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463621,19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571087,02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463616,32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571141,60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463610,30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571246,02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463615,14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571246,88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463614,20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571251,38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463609,58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571255,54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463602,94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571276,13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463562,46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571294,13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463525,40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571312,36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463485,02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571320,53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463464,89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571324,91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463457,67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571330,95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463448,08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571339,06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463439,26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571348,95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463431,56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571350,67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463430,16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571353,68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463427,71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571372,91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463407,61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571396,80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463380,69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571408,55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463371,06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571411,93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463368,29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571423,31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463358,97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571448,06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463338,69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571463,03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463327,19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571528,21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463284,23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571540,82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463276,39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571552,66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463269,53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571562,08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463263,16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571565,80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463260,64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571576,08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463255,91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571590,08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463247,03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571597,71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463241,49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571607,01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463234,24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571618,97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463223,11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571645,77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463195,91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571654,95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463186,57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571674,36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463166,81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571685,04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463154,95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571701,95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463136,17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571728,26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463110,63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571751,92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463087,58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571766,82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463074,21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571773,99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463066,69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571780,50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463058,82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571787,23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463051,16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571793,31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463042,56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571811,85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463015,02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571883,60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462914,92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571884,79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462915,82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571886,38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462913,61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571897,00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462899,32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571900,14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462895,18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571905,54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462887,43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571909,01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462881,16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571912,23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462872,12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571913,50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462869,13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571913,60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462868,92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571916,33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462863,59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571918,48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462860,53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571925,13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462852,71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571932,86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462844,30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571942,83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462833,75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571946,89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462828,25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571949,91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462824,40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571953,07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462818,81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571957,86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462809,12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571958,02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462808,68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571956,16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462809,17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571956,48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462808,52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571959,79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462799,76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571965,48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462783,89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571969,62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462774,42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571973,06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462765,89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571980,33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462753,22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571982,38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462750,29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571995,43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462731,67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571997,21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462729,07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571999,40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462724,69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572000,58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462721,43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572001,59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462717,58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571995,14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462681,53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571994,38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462677,82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571996,25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462677,35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571993,04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462660,41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571994,08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462660,26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571999,98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462658,94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572051,79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462647,35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572080,26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462599,12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572130,85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462519,21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572099,21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462488,82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572122,97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462467,10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572178,16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462416,64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572195,96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462434,92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572246,43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462377,31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572295,64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462311,75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572328,34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462263,01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572331,99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462261,58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572336,60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462253,01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572336,22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462252,20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439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572336,69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462251,55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440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572345,21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462239,81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441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572349,58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462233,75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442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572355,69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462226,60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443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572382,67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462196,57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444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572403,01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462176,72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445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572424,97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462152,71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446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572446,71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462131,07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447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572476,67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462101,43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448</w:t>
            </w:r>
          </w:p>
        </w:tc>
        <w:tc>
          <w:tcPr>
            <w:tcW w:w="19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572487,99</w:t>
            </w:r>
          </w:p>
        </w:tc>
        <w:tc>
          <w:tcPr>
            <w:tcW w:w="17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462092,67</w:t>
            </w:r>
          </w:p>
        </w:tc>
        <w:tc>
          <w:tcPr>
            <w:tcW w:w="2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Część nr 2</w:t>
            </w:r>
          </w:p>
        </w:tc>
      </w:tr>
    </w:tbl>
    <w:p w:rsidR="00A77B3E">
      <w:pPr>
        <w:keepNext w:val="0"/>
        <w:keepLines w:val="0"/>
        <w:spacing w:before="120" w:after="120" w:line="240" w:lineRule="auto"/>
        <w:ind w:left="283" w:right="0" w:firstLine="227"/>
        <w:jc w:val="righ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2670440" cy="1054608"/>
            <wp:docPr id="100029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 r:link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670440" cy="105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righ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sectPr>
          <w:footerReference w:type="default" r:id="rId35"/>
          <w:endnotePr>
            <w:numFmt w:val="decimal"/>
          </w:endnotePr>
          <w:type w:val="nextPage"/>
          <w:pgSz w:w="11906" w:h="16838"/>
          <w:pgMar w:top="992" w:right="1020" w:bottom="992" w:left="1020" w:header="708" w:footer="708" w:gutter="0"/>
          <w:pgNumType w:start="1"/>
          <w:cols w:space="708"/>
          <w:docGrid w:linePitch="360"/>
        </w:sectPr>
      </w:pP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contextualSpacing w:val="0"/>
        <w:jc w:val="left"/>
        <w:rPr>
          <w:color w:val="000000"/>
          <w:szCs w:val="20"/>
          <w:shd w:val="clear" w:color="auto" w:fill="FFFFFF"/>
          <w:lang w:val="x-none" w:eastAsia="en-US" w:bidi="ar-SA"/>
        </w:rPr>
      </w:pP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0"/>
        <w:contextualSpacing w:val="0"/>
        <w:jc w:val="center"/>
        <w:rPr>
          <w:b/>
          <w:caps/>
          <w:color w:val="000000"/>
          <w:szCs w:val="20"/>
          <w:shd w:val="clear" w:color="auto" w:fill="FFFFFF"/>
          <w:lang w:val="x-none" w:eastAsia="en-US" w:bidi="ar-SA"/>
        </w:rPr>
      </w:pPr>
      <w:r>
        <w:rPr>
          <w:b/>
          <w:caps/>
          <w:color w:val="000000"/>
          <w:szCs w:val="20"/>
          <w:shd w:val="clear" w:color="auto" w:fill="FFFFFF"/>
          <w:lang w:val="x-none" w:eastAsia="en-US" w:bidi="ar-SA"/>
        </w:rPr>
        <w:t>uzasadnienie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0"/>
        <w:contextualSpacing w:val="0"/>
        <w:jc w:val="center"/>
        <w:rPr>
          <w:b/>
          <w:caps/>
          <w:color w:val="000000"/>
          <w:szCs w:val="20"/>
          <w:shd w:val="clear" w:color="auto" w:fill="FFFFFF"/>
          <w:lang w:val="x-none" w:eastAsia="en-US" w:bidi="ar-SA"/>
        </w:rPr>
      </w:pP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Cs w:val="20"/>
          <w:shd w:val="clear" w:color="auto" w:fill="FFFFFF"/>
          <w:lang w:val="x-none" w:eastAsia="en-US" w:bidi="ar-SA"/>
        </w:rPr>
      </w:pP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Na  podstawie  art.  13  ust. 3 ustawy  z dnia  16 kwietnia  2004 roku  o ochronie  przyrody  </w:t>
      </w:r>
      <w:r>
        <w:rPr>
          <w:color w:val="000000"/>
          <w:szCs w:val="20"/>
          <w:shd w:val="clear" w:color="auto" w:fill="FFFFFF"/>
        </w:rPr>
        <w:br/>
      </w:r>
      <w:r>
        <w:rPr>
          <w:color w:val="000000"/>
          <w:szCs w:val="20"/>
          <w:shd w:val="clear" w:color="auto" w:fill="FFFFFF"/>
          <w:lang w:val="x-none" w:eastAsia="en-US" w:bidi="ar-SA"/>
        </w:rPr>
        <w:t>(Dz. U. z 202</w:t>
      </w:r>
      <w:r>
        <w:rPr>
          <w:color w:val="000000"/>
          <w:szCs w:val="20"/>
          <w:shd w:val="clear" w:color="auto" w:fill="FFFFFF"/>
        </w:rPr>
        <w:t>4 r., poz. 1478 ze zm.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) 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 uznanie za rezerwat przyrody następuje w drodze aktu prawa miejscowego w formie zarządzenia regionalnego dyrektora ochrony środowiska, które określa jego nazwę,  położenie  lub  przebieg  granicy  i  otulinę,  jeżeli  została  wyznaczona,  cele  ochrony  oraz rodzaj, typ i podtyp rezerwatu przyrody, a także sprawującego nadzór nad rezerwatem.  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Cs w:val="20"/>
          <w:shd w:val="clear" w:color="auto" w:fill="FFFFFF"/>
          <w:lang w:val="x-none" w:eastAsia="en-US" w:bidi="ar-SA"/>
        </w:rPr>
      </w:pP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Rezerwat przyrody „Zbocza  Dybowskie” o powierzchni </w:t>
      </w:r>
      <w:r>
        <w:rPr>
          <w:color w:val="000000"/>
          <w:szCs w:val="20"/>
          <w:shd w:val="clear" w:color="auto" w:fill="FFFFFF"/>
        </w:rPr>
        <w:t>44,97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 ha zlokalizowany  </w:t>
      </w:r>
      <w:r>
        <w:rPr>
          <w:color w:val="000000"/>
          <w:szCs w:val="20"/>
          <w:shd w:val="clear" w:color="auto" w:fill="FFFFFF"/>
        </w:rPr>
        <w:br/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jest na terenie gmin Solec Kujawski oraz Wielka Nieszawka, w powiatach bydgoskim </w:t>
      </w:r>
      <w:r>
        <w:rPr>
          <w:color w:val="000000"/>
          <w:szCs w:val="20"/>
          <w:shd w:val="clear" w:color="auto" w:fill="FFFFFF"/>
        </w:rPr>
        <w:br/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oraz toruńskim, w województwie kujawsko-pomorskim. W dniu 18 lipca 2024 r. do Regionalnej Dyrekcji Ochrony Środowiska w Bydgoszczy, wpłynął wniosek Nadleśnictwa Cierpiszewo, </w:t>
      </w:r>
      <w:r>
        <w:rPr>
          <w:color w:val="000000"/>
          <w:szCs w:val="20"/>
          <w:shd w:val="clear" w:color="auto" w:fill="FFFFFF"/>
        </w:rPr>
        <w:br/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o utworzenie powyższego rezerwatu  przyrody. Propozycja utworzenia rezerwatu oparta jest  </w:t>
      </w:r>
      <w:r>
        <w:rPr>
          <w:color w:val="000000"/>
          <w:szCs w:val="20"/>
          <w:shd w:val="clear" w:color="auto" w:fill="FFFFFF"/>
        </w:rPr>
        <w:br/>
      </w:r>
      <w:r>
        <w:rPr>
          <w:color w:val="000000"/>
          <w:szCs w:val="20"/>
          <w:shd w:val="clear" w:color="auto" w:fill="FFFFFF"/>
          <w:lang w:val="x-none" w:eastAsia="en-US" w:bidi="ar-SA"/>
        </w:rPr>
        <w:t>na  opracowaniach naukowych</w:t>
      </w:r>
      <w:r>
        <w:rPr>
          <w:color w:val="000000"/>
          <w:szCs w:val="20"/>
          <w:shd w:val="clear" w:color="auto" w:fill="FFFFFF"/>
        </w:rPr>
        <w:t xml:space="preserve"> </w:t>
      </w:r>
      <w:r>
        <w:rPr>
          <w:color w:val="000000"/>
          <w:szCs w:val="20"/>
          <w:shd w:val="clear" w:color="auto" w:fill="FFFFFF"/>
          <w:lang w:val="x-none" w:eastAsia="en-US" w:bidi="ar-SA"/>
        </w:rPr>
        <w:t>„Roślinność  kserotermiczna i lasy  łęgowe Przyłubia, Projekt  Zespołu Przyrodniczo –</w:t>
      </w:r>
      <w:r>
        <w:rPr>
          <w:color w:val="000000"/>
          <w:szCs w:val="20"/>
          <w:shd w:val="clear" w:color="auto" w:fill="FFFFFF"/>
        </w:rPr>
        <w:t xml:space="preserve"> 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Krajobrazowego” oraz „Projektowany rezerwat Zbocza Dybowskie  </w:t>
      </w:r>
      <w:r>
        <w:rPr>
          <w:color w:val="000000"/>
          <w:szCs w:val="20"/>
          <w:shd w:val="clear" w:color="auto" w:fill="FFFFFF"/>
        </w:rPr>
        <w:br/>
      </w:r>
      <w:r>
        <w:rPr>
          <w:color w:val="000000"/>
          <w:szCs w:val="20"/>
          <w:shd w:val="clear" w:color="auto" w:fill="FFFFFF"/>
          <w:lang w:val="x-none" w:eastAsia="en-US" w:bidi="ar-SA"/>
        </w:rPr>
        <w:t>i zespół</w:t>
      </w:r>
      <w:r>
        <w:rPr>
          <w:color w:val="000000"/>
          <w:szCs w:val="20"/>
          <w:shd w:val="clear" w:color="auto" w:fill="FFFFFF"/>
        </w:rPr>
        <w:t xml:space="preserve"> 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przyrodniczo-krajobrazowy w leśnictwie Dybowo” (1998) wykonanych przez  </w:t>
      </w:r>
      <w:r>
        <w:rPr>
          <w:color w:val="000000"/>
          <w:szCs w:val="20"/>
          <w:shd w:val="clear" w:color="auto" w:fill="FFFFFF"/>
        </w:rPr>
        <w:br/>
      </w:r>
      <w:r>
        <w:rPr>
          <w:color w:val="000000"/>
          <w:szCs w:val="20"/>
          <w:shd w:val="clear" w:color="auto" w:fill="FFFFFF"/>
          <w:lang w:val="x-none" w:eastAsia="en-US" w:bidi="ar-SA"/>
        </w:rPr>
        <w:t>dr Lucjana Rutkowskiego - pracownika Katedry Geobotaniki i Planowania Krajobrazu  Uniwersytetu Mikołaja Kopernika w Toruniu. Wyniki badań wskazują na występowanie wzdłuż skarpy wiślanej cennych przyrodniczo i krajobrazowo zespołów roślinnych łęgu wierzbowo topolowego, grądu zboczowego, świetlistej  dąbrowy  i unikatowych  zbiorowisk  stepowych  z  runem złożonym z gatunków kserotermicznych. Wskazano  również  występowanie  kilkudziesięciu  gatunków  roślin  objętych  ochroną  gatunkową,  a  także  ginących  lub  zagrożonych.  Pierwsze  prace  mające  na  celu  obj</w:t>
      </w:r>
      <w:r>
        <w:rPr>
          <w:color w:val="000000"/>
          <w:szCs w:val="20"/>
          <w:shd w:val="clear" w:color="auto" w:fill="FFFFFF"/>
        </w:rPr>
        <w:t>ę</w:t>
      </w:r>
      <w:r>
        <w:rPr>
          <w:color w:val="000000"/>
          <w:szCs w:val="20"/>
          <w:shd w:val="clear" w:color="auto" w:fill="FFFFFF"/>
          <w:lang w:val="x-none" w:eastAsia="en-US" w:bidi="ar-SA"/>
        </w:rPr>
        <w:t>cie  ochroną  lasów  w  dolinie  Wisły  oraz  na  jej  zboczach  miały  miejsce</w:t>
      </w:r>
      <w:r>
        <w:rPr>
          <w:color w:val="000000"/>
          <w:szCs w:val="20"/>
          <w:shd w:val="clear" w:color="auto" w:fill="FFFFFF"/>
        </w:rPr>
        <w:t xml:space="preserve"> </w:t>
      </w:r>
      <w:r>
        <w:rPr>
          <w:color w:val="000000"/>
          <w:szCs w:val="20"/>
          <w:shd w:val="clear" w:color="auto" w:fill="FFFFFF"/>
          <w:lang w:val="x-none" w:eastAsia="en-US" w:bidi="ar-SA"/>
        </w:rPr>
        <w:t>pod</w:t>
      </w:r>
      <w:r>
        <w:rPr>
          <w:color w:val="000000"/>
          <w:szCs w:val="20"/>
          <w:shd w:val="clear" w:color="auto" w:fill="FFFFFF"/>
        </w:rPr>
        <w:t xml:space="preserve"> </w:t>
      </w:r>
      <w:r>
        <w:rPr>
          <w:color w:val="000000"/>
          <w:szCs w:val="20"/>
          <w:shd w:val="clear" w:color="auto" w:fill="FFFFFF"/>
          <w:lang w:val="x-none" w:eastAsia="en-US" w:bidi="ar-SA"/>
        </w:rPr>
        <w:t>koniec lat 80</w:t>
      </w:r>
      <w:r>
        <w:rPr>
          <w:color w:val="000000"/>
          <w:szCs w:val="20"/>
          <w:shd w:val="clear" w:color="auto" w:fill="FFFFFF"/>
        </w:rPr>
        <w:t xml:space="preserve"> </w:t>
      </w:r>
      <w:r>
        <w:rPr>
          <w:color w:val="000000"/>
          <w:szCs w:val="20"/>
          <w:shd w:val="clear" w:color="auto" w:fill="FFFFFF"/>
          <w:lang w:val="x-none" w:eastAsia="en-US" w:bidi="ar-SA"/>
        </w:rPr>
        <w:t>XX wieku.</w:t>
      </w:r>
      <w:r>
        <w:rPr>
          <w:color w:val="000000"/>
          <w:szCs w:val="20"/>
          <w:shd w:val="clear" w:color="auto" w:fill="FFFFFF"/>
        </w:rPr>
        <w:t xml:space="preserve"> </w:t>
      </w:r>
      <w:r>
        <w:rPr>
          <w:color w:val="000000"/>
          <w:szCs w:val="20"/>
          <w:shd w:val="clear" w:color="auto" w:fill="FFFFFF"/>
          <w:lang w:val="x-none" w:eastAsia="en-US" w:bidi="ar-SA"/>
        </w:rPr>
        <w:t>Publikację  pt.:  „Zasługujące  na  uwagę  zespoły  leśne  w  dolinie  Wisły  na  odcinku  Cierpice-Przyłubie” opublikowali  w  Act</w:t>
      </w:r>
      <w:r>
        <w:rPr>
          <w:color w:val="000000"/>
          <w:szCs w:val="20"/>
          <w:shd w:val="clear" w:color="auto" w:fill="FFFFFF"/>
        </w:rPr>
        <w:t>a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Univ.N.Copern.  biologia  38.  S.121-138 Kępczyński i Cyzman (1991). Nadleśnictwo od momentu ukazania się publikacji odstąpiło od użytkowania lasu na tym terenie. 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Cs w:val="20"/>
          <w:shd w:val="clear" w:color="auto" w:fill="FFFFFF"/>
          <w:lang w:val="x-none" w:eastAsia="en-US" w:bidi="ar-SA"/>
        </w:rPr>
      </w:pP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Na obszarach graniczących z rezerwatem wyznacza się otulinę o powierzchni 52,56 ha. 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Cs w:val="20"/>
          <w:shd w:val="clear" w:color="auto" w:fill="FFFFFF"/>
          <w:lang w:val="x-none" w:eastAsia="en-US" w:bidi="ar-SA"/>
        </w:rPr>
      </w:pPr>
      <w:r>
        <w:rPr>
          <w:color w:val="000000"/>
          <w:szCs w:val="20"/>
          <w:shd w:val="clear" w:color="auto" w:fill="FFFFFF"/>
          <w:lang w:val="x-none" w:eastAsia="en-US" w:bidi="ar-SA"/>
        </w:rPr>
        <w:t>Ze względu na powyższe walory przyrodnicze, celem ochrony rezerwatu jest zachowanie cennych przyrodniczo i krajobrazowo zespołów roślinnych - łęgów, grądu zboczowego, świetlistej  dąbrowy i unikatowych zbiorowisk stepowych z runem złożonym z gatunków kserotermicznych.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Cs w:val="20"/>
          <w:shd w:val="clear" w:color="auto" w:fill="FFFFFF"/>
          <w:lang w:val="x-none" w:eastAsia="en-US" w:bidi="ar-SA"/>
        </w:rPr>
      </w:pPr>
      <w:r>
        <w:rPr>
          <w:color w:val="000000"/>
          <w:szCs w:val="20"/>
          <w:shd w:val="clear" w:color="auto" w:fill="FFFFFF"/>
        </w:rPr>
        <w:t>Z</w:t>
      </w:r>
      <w:r>
        <w:rPr>
          <w:color w:val="000000"/>
          <w:szCs w:val="20"/>
          <w:shd w:val="clear" w:color="auto" w:fill="FFFFFF"/>
          <w:lang w:val="x-none" w:eastAsia="en-US" w:bidi="ar-SA"/>
        </w:rPr>
        <w:t>godnie  z  rozporządzeniem  Ministra  Środowiska  z  dnia  30  marca  2005  r.  w  sprawie</w:t>
      </w:r>
      <w:r>
        <w:rPr>
          <w:color w:val="000000"/>
          <w:szCs w:val="20"/>
          <w:shd w:val="clear" w:color="auto" w:fill="FFFFFF"/>
        </w:rPr>
        <w:t xml:space="preserve"> 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rodzajów, typów i podtypów rezerwatów przyrody (Dz. U. z 2005 r., Nr 60, poz. 533) dla rezerwatu przyrody „Zbocza Dybowskie” określono rodzaj rezerwatu Leśny (L) oraz określono typ i podtyp: 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0"/>
        <w:contextualSpacing w:val="0"/>
        <w:jc w:val="left"/>
        <w:rPr>
          <w:color w:val="000000"/>
          <w:szCs w:val="20"/>
          <w:shd w:val="clear" w:color="auto" w:fill="FFFFFF"/>
          <w:lang w:val="x-none" w:eastAsia="en-US" w:bidi="ar-SA"/>
        </w:rPr>
      </w:pP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1) ze względu na dominujący przedmiot ochrony: typ – Fitocenotyczny (PFi), podtyp - zbiorowisk 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0"/>
        <w:contextualSpacing w:val="0"/>
        <w:jc w:val="left"/>
        <w:rPr>
          <w:color w:val="000000"/>
          <w:szCs w:val="20"/>
          <w:shd w:val="clear" w:color="auto" w:fill="FFFFFF"/>
          <w:lang w:val="x-none" w:eastAsia="en-US" w:bidi="ar-SA"/>
        </w:rPr>
      </w:pP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leśnych (zl); 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0"/>
        <w:contextualSpacing w:val="0"/>
        <w:jc w:val="left"/>
        <w:rPr>
          <w:color w:val="000000"/>
          <w:szCs w:val="20"/>
          <w:shd w:val="clear" w:color="auto" w:fill="FFFFFF"/>
          <w:lang w:val="x-none" w:eastAsia="en-US" w:bidi="ar-SA"/>
        </w:rPr>
      </w:pPr>
      <w:r>
        <w:rPr>
          <w:color w:val="000000"/>
          <w:szCs w:val="20"/>
          <w:shd w:val="clear" w:color="auto" w:fill="FFFFFF"/>
          <w:lang w:val="x-none" w:eastAsia="en-US" w:bidi="ar-SA"/>
        </w:rPr>
        <w:t>2) ze względu na główny typ ekosystemu: typ –</w:t>
      </w:r>
      <w:r>
        <w:rPr>
          <w:color w:val="000000"/>
          <w:szCs w:val="20"/>
          <w:shd w:val="clear" w:color="auto" w:fill="FFFFFF"/>
        </w:rPr>
        <w:t xml:space="preserve"> 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Leśny i borowy (EL), podtyp - lasów mieszanych 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0"/>
        <w:contextualSpacing w:val="0"/>
        <w:jc w:val="left"/>
        <w:rPr>
          <w:color w:val="000000"/>
          <w:szCs w:val="20"/>
          <w:shd w:val="clear" w:color="auto" w:fill="FFFFFF"/>
          <w:lang w:val="x-none" w:eastAsia="en-US" w:bidi="ar-SA"/>
        </w:rPr>
      </w:pP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nizinnych (lmn). 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Cs w:val="20"/>
          <w:shd w:val="clear" w:color="auto" w:fill="FFFFFF"/>
        </w:rPr>
      </w:pP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W  niniejszym  akcie  prawnym,  wykorzystując  dane  systemu  informacji  przestrzennej, wprowadzono załączniki w postaci mapy obszaru rezerwatu oraz wykaz współrzędnych punktów załamania granic rezerwatu, sporządzonych w układzie współrzędnych płaskich prostokątnych </w:t>
      </w:r>
      <w:r>
        <w:rPr>
          <w:color w:val="000000"/>
          <w:szCs w:val="20"/>
          <w:shd w:val="clear" w:color="auto" w:fill="FFFFFF"/>
        </w:rPr>
        <w:br/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PL-1992, o których mowa w rozporządzeniu Rady Ministrów z dnia 15 października 2012 r. w sprawie państwowego systemu odniesień przestrzennych </w:t>
      </w:r>
      <w:r>
        <w:rPr>
          <w:color w:val="000000"/>
          <w:szCs w:val="20"/>
          <w:shd w:val="clear" w:color="auto" w:fill="FFFFFF"/>
          <w:lang w:val="x-none" w:eastAsia="en-US" w:bidi="ar-SA"/>
        </w:rPr>
        <w:t>(</w:t>
      </w:r>
      <w:r>
        <w:rPr>
          <w:color w:val="000000"/>
          <w:szCs w:val="20"/>
          <w:shd w:val="clear" w:color="auto" w:fill="FFFFFF"/>
        </w:rPr>
        <w:t xml:space="preserve">t.j. </w:t>
      </w:r>
      <w:r>
        <w:rPr>
          <w:color w:val="000000"/>
          <w:szCs w:val="20"/>
          <w:shd w:val="clear" w:color="auto" w:fill="FFFFFF"/>
          <w:lang w:val="x-none" w:eastAsia="en-US" w:bidi="ar-SA"/>
        </w:rPr>
        <w:t>Dz.U z 20</w:t>
      </w:r>
      <w:r>
        <w:rPr>
          <w:color w:val="000000"/>
          <w:szCs w:val="20"/>
          <w:shd w:val="clear" w:color="auto" w:fill="FFFFFF"/>
        </w:rPr>
        <w:t>24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 r., poz. </w:t>
      </w:r>
      <w:r>
        <w:rPr>
          <w:color w:val="000000"/>
          <w:szCs w:val="20"/>
          <w:shd w:val="clear" w:color="auto" w:fill="FFFFFF"/>
        </w:rPr>
        <w:t>342</w:t>
      </w:r>
      <w:r>
        <w:rPr>
          <w:color w:val="000000"/>
          <w:szCs w:val="20"/>
          <w:shd w:val="clear" w:color="auto" w:fill="FFFFFF"/>
          <w:lang w:val="x-none" w:eastAsia="en-US" w:bidi="ar-SA"/>
        </w:rPr>
        <w:t>)</w:t>
      </w:r>
      <w:r>
        <w:rPr>
          <w:color w:val="000000"/>
          <w:szCs w:val="20"/>
          <w:shd w:val="clear" w:color="auto" w:fill="FFFFFF"/>
          <w:lang w:val="x-none" w:eastAsia="en-US" w:bidi="ar-SA"/>
        </w:rPr>
        <w:t>.</w:t>
      </w:r>
      <w:r>
        <w:rPr>
          <w:color w:val="000000"/>
          <w:szCs w:val="20"/>
          <w:shd w:val="clear" w:color="auto" w:fill="FFFFFF"/>
        </w:rPr>
        <w:t xml:space="preserve"> 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Cs w:val="20"/>
          <w:shd w:val="clear" w:color="auto" w:fill="FFFFFF"/>
          <w:lang w:val="x-none" w:eastAsia="en-US" w:bidi="ar-SA"/>
        </w:rPr>
      </w:pP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Rezerwat przyrody „Zbocza Dybowskie” położony jest na gruntach należących do Skarbu Państwa, zarządzanych  przez  Państwowe  Gospodarstwo  Leśne  Lasy  Państwowe  Nadleśnictwo Cierpiszewo. 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Cs w:val="20"/>
          <w:shd w:val="clear" w:color="auto" w:fill="FFFFFF"/>
          <w:lang w:val="x-none" w:eastAsia="en-US" w:bidi="ar-SA"/>
        </w:rPr>
      </w:pP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Państwowe  Gospodarstwo  Leśne  Lasy  Państwowe  Nadleśnictwo  Cierpiszewo, wyraziło 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0"/>
        <w:contextualSpacing w:val="0"/>
        <w:rPr>
          <w:color w:val="000000"/>
          <w:szCs w:val="20"/>
          <w:shd w:val="clear" w:color="auto" w:fill="FFFFFF"/>
          <w:lang w:val="x-none" w:eastAsia="en-US" w:bidi="ar-SA"/>
        </w:rPr>
      </w:pP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zgodę na utworzenie rezerwatu przyrody „Zbocza Dybowskie” i zaopiniowało projekt </w:t>
      </w:r>
      <w:r>
        <w:rPr>
          <w:color w:val="000000"/>
          <w:szCs w:val="20"/>
          <w:shd w:val="clear" w:color="auto" w:fill="FFFFFF"/>
        </w:rPr>
        <w:t>rezerwatu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 pozytywnie pismem z dnia </w:t>
      </w:r>
      <w:r>
        <w:rPr>
          <w:color w:val="000000"/>
          <w:szCs w:val="20"/>
          <w:shd w:val="clear" w:color="auto" w:fill="FFFFFF"/>
        </w:rPr>
        <w:t>23 stycznia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 202</w:t>
      </w:r>
      <w:r>
        <w:rPr>
          <w:color w:val="000000"/>
          <w:szCs w:val="20"/>
          <w:shd w:val="clear" w:color="auto" w:fill="FFFFFF"/>
        </w:rPr>
        <w:t>5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 r., znak </w:t>
      </w:r>
      <w:r>
        <w:rPr>
          <w:color w:val="000000"/>
          <w:szCs w:val="20"/>
          <w:shd w:val="clear" w:color="auto" w:fill="FFFFFF"/>
        </w:rPr>
        <w:t>ZG.7212.8.2024.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Cs w:val="20"/>
          <w:shd w:val="clear" w:color="auto" w:fill="FFFFFF"/>
          <w:lang w:val="x-none" w:eastAsia="en-US" w:bidi="ar-SA"/>
        </w:rPr>
      </w:pP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Regionalna  Dyrekcja  Lasów  Państwowych </w:t>
      </w:r>
      <w:r>
        <w:rPr>
          <w:color w:val="000000"/>
          <w:szCs w:val="20"/>
          <w:shd w:val="clear" w:color="auto" w:fill="FFFFFF"/>
        </w:rPr>
        <w:t>w Toruniu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 wyraziła  zgodę  na  utworzenie  rezerwatu przyrody „Zbocza Dybowskie” pismem z dnia </w:t>
      </w:r>
      <w:r>
        <w:rPr>
          <w:color w:val="000000"/>
          <w:szCs w:val="20"/>
          <w:shd w:val="clear" w:color="auto" w:fill="FFFFFF"/>
        </w:rPr>
        <w:t>30 stycznia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 202</w:t>
      </w:r>
      <w:r>
        <w:rPr>
          <w:color w:val="000000"/>
          <w:szCs w:val="20"/>
          <w:shd w:val="clear" w:color="auto" w:fill="FFFFFF"/>
        </w:rPr>
        <w:t>5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 r., znak </w:t>
      </w:r>
      <w:r>
        <w:rPr>
          <w:color w:val="000000"/>
          <w:szCs w:val="20"/>
          <w:shd w:val="clear" w:color="auto" w:fill="FFFFFF"/>
        </w:rPr>
        <w:t>1ZO.7212.6.2025.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 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Cs w:val="20"/>
          <w:shd w:val="clear" w:color="auto" w:fill="FFFFFF"/>
          <w:lang w:val="x-none" w:eastAsia="en-US" w:bidi="ar-SA"/>
        </w:rPr>
      </w:pP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Nadzór  nad  rezerwatem  powierzony  został  Regionalnemu  Dyrektorowi  Ochrony Środowiska w Bydgoszczy. 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Cs w:val="20"/>
          <w:shd w:val="clear" w:color="auto" w:fill="FFFFFF"/>
          <w:lang w:val="x-none" w:eastAsia="en-US" w:bidi="ar-SA"/>
        </w:rPr>
      </w:pP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Projekt  zarządzenia  został  zaopiniowany  pozytywnie  przez  Regionalną  Radę  Ochrony Przyrody w Bydgoszczy  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uchwałą </w:t>
      </w:r>
      <w:r>
        <w:rPr>
          <w:color w:val="000000"/>
          <w:szCs w:val="20"/>
          <w:shd w:val="clear" w:color="auto" w:fill="FFFFFF"/>
        </w:rPr>
        <w:t>n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r </w:t>
      </w:r>
      <w:r>
        <w:rPr>
          <w:color w:val="000000"/>
          <w:szCs w:val="20"/>
          <w:shd w:val="clear" w:color="auto" w:fill="FFFFFF"/>
        </w:rPr>
        <w:t>5/2025</w:t>
      </w:r>
      <w:r>
        <w:rPr>
          <w:color w:val="000000"/>
          <w:szCs w:val="20"/>
          <w:shd w:val="clear" w:color="auto" w:fill="FFFFFF"/>
          <w:lang w:val="x-none" w:eastAsia="en-US" w:bidi="ar-SA"/>
        </w:rPr>
        <w:t>, z dnia</w:t>
      </w:r>
      <w:r>
        <w:rPr>
          <w:color w:val="000000"/>
          <w:szCs w:val="20"/>
          <w:shd w:val="clear" w:color="auto" w:fill="FFFFFF"/>
        </w:rPr>
        <w:t xml:space="preserve"> 8 kwietnia 2025 r.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Cs w:val="20"/>
          <w:shd w:val="clear" w:color="auto" w:fill="FFFFFF"/>
        </w:rPr>
      </w:pPr>
      <w:r>
        <w:rPr>
          <w:color w:val="000000"/>
          <w:szCs w:val="20"/>
          <w:shd w:val="clear" w:color="auto" w:fill="FFFFFF"/>
          <w:lang w:val="x-none" w:eastAsia="en-US" w:bidi="ar-SA"/>
        </w:rPr>
        <w:t>Na podstawie art. 59 ust. 2 ustawy z dnia 23 stycznia 2009 r. o wojewodzie i administracji</w:t>
      </w:r>
      <w:r>
        <w:rPr>
          <w:color w:val="000000"/>
          <w:szCs w:val="20"/>
          <w:shd w:val="clear" w:color="auto" w:fill="FFFFFF"/>
        </w:rPr>
        <w:t xml:space="preserve"> </w:t>
      </w:r>
      <w:r>
        <w:rPr>
          <w:color w:val="000000"/>
          <w:szCs w:val="20"/>
          <w:shd w:val="clear" w:color="auto" w:fill="FFFFFF"/>
          <w:lang w:val="x-none" w:eastAsia="en-US" w:bidi="ar-SA"/>
        </w:rPr>
        <w:t>rządowej w województwie (</w:t>
      </w:r>
      <w:r>
        <w:rPr>
          <w:color w:val="000000"/>
          <w:szCs w:val="20"/>
          <w:shd w:val="clear" w:color="auto" w:fill="FFFFFF"/>
        </w:rPr>
        <w:t xml:space="preserve">t.j. 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Dz. U. z 2023 r. poz. 190), projekt zarządzenia został uzgodniony przez Wojewodę Kujawsko-Pomorskiego pismem </w:t>
      </w:r>
      <w:r>
        <w:rPr>
          <w:color w:val="000000"/>
          <w:szCs w:val="20"/>
          <w:shd w:val="clear" w:color="auto" w:fill="FFFFFF"/>
        </w:rPr>
        <w:t xml:space="preserve">znak: </w:t>
      </w:r>
      <w:r>
        <w:rPr>
          <w:color w:val="000000"/>
          <w:szCs w:val="20"/>
          <w:shd w:val="clear" w:color="auto" w:fill="FFFFFF"/>
        </w:rPr>
        <w:t>WRS.II.710.4.3.2025, z dnia 23 kwietnia 2025 r.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Cs w:val="20"/>
          <w:shd w:val="clear" w:color="auto" w:fill="FFFFFF"/>
        </w:rPr>
      </w:pP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0"/>
        <w:contextualSpacing w:val="0"/>
        <w:jc w:val="right"/>
        <w:rPr>
          <w:color w:val="000000"/>
          <w:szCs w:val="20"/>
          <w:shd w:val="clear" w:color="auto" w:fill="FFFFFF"/>
          <w:lang w:val="x-none" w:eastAsia="en-US" w:bidi="ar-SA"/>
        </w:rPr>
      </w:pPr>
      <w:r>
        <w:drawing>
          <wp:inline>
            <wp:extent cx="2639060" cy="1052195"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639060" cy="1052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>
      <w:footerReference w:type="default" r:id="rId37"/>
      <w:type w:val="nextPage"/>
      <w:pgSz w:w="11907" w:h="16839" w:code="9"/>
      <w:pgMar w:top="1440" w:right="862" w:bottom="1440" w:left="1440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7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7A87" w:usb1="80000000" w:usb2="00000008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108" w:type="dxa"/>
        <w:right w:w="108" w:type="dxa"/>
      </w:tblCellMar>
    </w:tblPr>
    <w:tblGrid>
      <w:gridCol w:w="6577"/>
      <w:gridCol w:w="3289"/>
    </w:tblGrid>
    <w:tr>
      <w:tblPrEx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8" w:type="dxa"/>
          <w:right w:w="108" w:type="dxa"/>
        </w:tblCellMar>
      </w:tblPrEx>
      <w:tc>
        <w:tcPr>
          <w:tcW w:w="6577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lef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>Id: 718D8041-0481-46D2-AE4B-56E7BC313EEC. Uchwalony</w:t>
          </w:r>
        </w:p>
      </w:tc>
      <w:tc>
        <w:tcPr>
          <w:tcW w:w="3289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righ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 xml:space="preserve">Strona </w: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begin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instrText>PAGE</w:instrTex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separate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end"/>
          </w:r>
        </w:p>
      </w:tc>
    </w:tr>
  </w:tbl>
  <w:p>
    <w:pPr>
      <w:rPr>
        <w:rFonts w:ascii="Times New Roman" w:eastAsia="Times New Roman" w:hAnsi="Times New Roman" w:cs="Times New Roman"/>
        <w:b w:val="0"/>
        <w:sz w:val="18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108" w:type="dxa"/>
        <w:right w:w="108" w:type="dxa"/>
      </w:tblCellMar>
    </w:tblPr>
    <w:tblGrid>
      <w:gridCol w:w="6577"/>
      <w:gridCol w:w="3289"/>
    </w:tblGrid>
    <w:tr>
      <w:tblPrEx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8" w:type="dxa"/>
          <w:right w:w="108" w:type="dxa"/>
        </w:tblCellMar>
      </w:tblPrEx>
      <w:tc>
        <w:tcPr>
          <w:tcW w:w="6577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lef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>Id: 718D8041-0481-46D2-AE4B-56E7BC313EEC. Uchwalony</w:t>
          </w:r>
        </w:p>
      </w:tc>
      <w:tc>
        <w:tcPr>
          <w:tcW w:w="3289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righ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 xml:space="preserve">Strona </w: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begin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instrText>PAGE</w:instrTex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separate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end"/>
          </w:r>
        </w:p>
      </w:tc>
    </w:tr>
  </w:tbl>
  <w:p>
    <w:pPr>
      <w:rPr>
        <w:rFonts w:ascii="Times New Roman" w:eastAsia="Times New Roman" w:hAnsi="Times New Roman" w:cs="Times New Roman"/>
        <w:b w:val="0"/>
        <w:sz w:val="18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108" w:type="dxa"/>
        <w:right w:w="108" w:type="dxa"/>
      </w:tblCellMar>
    </w:tblPr>
    <w:tblGrid>
      <w:gridCol w:w="6577"/>
      <w:gridCol w:w="3289"/>
    </w:tblGrid>
    <w:tr>
      <w:tblPrEx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8" w:type="dxa"/>
          <w:right w:w="108" w:type="dxa"/>
        </w:tblCellMar>
      </w:tblPrEx>
      <w:tc>
        <w:tcPr>
          <w:tcW w:w="6577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lef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>Id: 718D8041-0481-46D2-AE4B-56E7BC313EEC. Uchwalony</w:t>
          </w:r>
        </w:p>
      </w:tc>
      <w:tc>
        <w:tcPr>
          <w:tcW w:w="3289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righ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 xml:space="preserve">Strona </w: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begin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instrText>PAGE</w:instrTex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separate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end"/>
          </w:r>
        </w:p>
      </w:tc>
    </w:tr>
  </w:tbl>
  <w:p>
    <w:pPr>
      <w:rPr>
        <w:rFonts w:ascii="Times New Roman" w:eastAsia="Times New Roman" w:hAnsi="Times New Roman" w:cs="Times New Roman"/>
        <w:b w:val="0"/>
        <w:sz w:val="18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108" w:type="dxa"/>
        <w:right w:w="108" w:type="dxa"/>
      </w:tblCellMar>
    </w:tblPr>
    <w:tblGrid>
      <w:gridCol w:w="6577"/>
      <w:gridCol w:w="3289"/>
    </w:tblGrid>
    <w:tr>
      <w:tblPrEx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8" w:type="dxa"/>
          <w:right w:w="108" w:type="dxa"/>
        </w:tblCellMar>
      </w:tblPrEx>
      <w:tc>
        <w:tcPr>
          <w:tcW w:w="6577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lef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>Id: 718D8041-0481-46D2-AE4B-56E7BC313EEC. Uchwalony</w:t>
          </w:r>
        </w:p>
      </w:tc>
      <w:tc>
        <w:tcPr>
          <w:tcW w:w="3289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righ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 xml:space="preserve">Strona </w: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begin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instrText>PAGE</w:instrTex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separate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end"/>
          </w:r>
        </w:p>
      </w:tc>
    </w:tr>
  </w:tbl>
  <w:p>
    <w:pPr>
      <w:rPr>
        <w:rFonts w:ascii="Times New Roman" w:eastAsia="Times New Roman" w:hAnsi="Times New Roman" w:cs="Times New Roman"/>
        <w:b w:val="0"/>
        <w:sz w:val="18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108" w:type="dxa"/>
        <w:right w:w="108" w:type="dxa"/>
      </w:tblCellMar>
    </w:tblPr>
    <w:tblGrid>
      <w:gridCol w:w="6403"/>
      <w:gridCol w:w="3202"/>
    </w:tblGrid>
    <w:tr>
      <w:tblPrEx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8" w:type="dxa"/>
          <w:right w:w="108" w:type="dxa"/>
        </w:tblCellMar>
      </w:tblPrEx>
      <w:tc>
        <w:tcPr>
          <w:tcW w:w="6403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lef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>Id: 718D8041-0481-46D2-AE4B-56E7BC313EEC. Uchwalony</w:t>
          </w:r>
        </w:p>
      </w:tc>
      <w:tc>
        <w:tcPr>
          <w:tcW w:w="3202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righ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 xml:space="preserve">Strona </w: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begin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instrText>PAGE</w:instrTex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separate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end"/>
          </w:r>
        </w:p>
      </w:tc>
    </w:tr>
  </w:tbl>
  <w:p>
    <w:pPr>
      <w:rPr>
        <w:rFonts w:ascii="Times New Roman" w:eastAsia="Times New Roman" w:hAnsi="Times New Roman" w:cs="Times New Roman"/>
        <w:b w:val="0"/>
        <w:sz w:val="18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>
      <w:pPr>
        <w:spacing w:after="0" w:line="240" w:lineRule="auto"/>
      </w:pPr>
      <w:r>
        <w:separator/>
      </w:r>
    </w:p>
  </w:footnote>
  <w:footnote w:type="continuationSeparator" w:id="1">
    <w:p>
      <w:pPr>
        <w:spacing w:after="0" w:line="240" w:lineRule="auto"/>
      </w:pPr>
      <w:r>
        <w:continuationSeparator/>
      </w:r>
    </w:p>
  </w:footnote>
  <w:footnote w:id="2">
    <w:p>
      <w:pPr>
        <w:pStyle w:val="FootnoteText"/>
        <w:keepNext w:val="0"/>
        <w:keepLines/>
        <w:spacing w:before="0" w:after="0" w:line="240" w:lineRule="auto"/>
        <w:ind w:left="170" w:right="0" w:hanging="170"/>
        <w:jc w:val="both"/>
        <w:rPr>
          <w:rFonts w:ascii="Times New Roman" w:eastAsia="Times New Roman" w:hAnsi="Times New Roman" w:cs="Times New Roman"/>
          <w:sz w:val="20"/>
        </w:rPr>
      </w:pPr>
      <w:r>
        <w:rPr>
          <w:rStyle w:val="FootnoteReference"/>
          <w:b w:val="0"/>
          <w:caps w:val="0"/>
        </w:rPr>
        <w:t>1) </w:t>
      </w:r>
      <w:r>
        <w:rPr>
          <w:rFonts w:ascii="Times New Roman" w:eastAsia="Times New Roman" w:hAnsi="Times New Roman" w:cs="Times New Roman"/>
          <w:b w:val="0"/>
          <w:caps w:val="0"/>
          <w:sz w:val="20"/>
        </w:rPr>
        <w:t>Układ współrzędnych płaskich prostokątnych PL-1992 jest jednym z układów tworzących państwowy system odniesień przestrzennych, o którym mowa w przepisach wydanych na podstawie art. 3 ust. 5 ustawy z dnia 17 maja 1989 r. – Prawo geodezyjne i kartograficzne (t.j. Dz. U. z 2024 r. poz. 1151 i 1824).</w:t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stylePaneFormatFilter w:val="3F01"/>
  <w:defaultTabStop w:val="720"/>
  <w:noPunctuationKerning/>
  <w:characterSpacingControl w:val="doNotCompress"/>
  <w:footnotePr>
    <w:footnote w:id="0"/>
    <w:footnote w:id="1"/>
  </w:footnotePr>
  <w:endnotePr>
    <w:numFmt w:val="decimal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77B3E"/>
    <w:rsid w:val="00A77B3E"/>
    <w:rsid w:val="00CA2A55"/>
  </w:rsids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l-PL" w:eastAsia="pl-PL" w:bidi="pl-PL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pPr>
      <w:jc w:val="both"/>
    </w:pPr>
    <w:rPr>
      <w:rFonts w:ascii="Times New Roman" w:eastAsia="Times New Roman" w:hAnsi="Times New Roman" w:cs="Times New Roman"/>
      <w:sz w:val="24"/>
      <w:szCs w:val="24"/>
      <w:lang w:val="pl-PL" w:eastAsia="pl-PL" w:bidi="pl-PL"/>
    </w:rPr>
  </w:style>
  <w:style w:type="character" w:default="1" w:styleId="DefaultParagraphFont">
    <w:name w:val="Default Paragraph Font"/>
    <w:semiHidden/>
    <w:rPr>
      <w:lang w:val="pl-PL" w:eastAsia="pl-PL" w:bidi="pl-PL"/>
    </w:rPr>
  </w:style>
  <w:style w:type="table" w:default="1" w:styleId="TableNormal">
    <w:name w:val="Normal Table"/>
    <w:semiHidden/>
    <w:rPr>
      <w:lang w:val="pl-PL" w:eastAsia="pl-PL" w:bidi="pl-PL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character" w:styleId="FootnoteReference">
    <w:name w:val="footnote reference"/>
    <w:basedOn w:val="DefaultParagraphFont"/>
    <w:rsid w:val="00805BCE"/>
    <w:rPr>
      <w:vertAlign w:val="superscript"/>
    </w:rPr>
  </w:style>
  <w:style w:type="paragraph" w:styleId="FootnoteText">
    <w:name w:val="footnote text"/>
    <w:basedOn w:val="Normal"/>
    <w:rsid w:val="00805BCE"/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footnotes" Target="footnotes.xml" /><Relationship Id="rId10" Type="http://schemas.openxmlformats.org/officeDocument/2006/relationships/image" Target="media/image3.png" /><Relationship Id="rId11" Type="http://schemas.openxmlformats.org/officeDocument/2006/relationships/image" Target="Zalacznik41497189-F705-4CF0-8A16-37A0AD2EEDED.png" TargetMode="External" /><Relationship Id="rId12" Type="http://schemas.openxmlformats.org/officeDocument/2006/relationships/image" Target="media/image4.png" /><Relationship Id="rId13" Type="http://schemas.openxmlformats.org/officeDocument/2006/relationships/image" Target="ZalacznikB482BCC5-CC35-4CA4-86FB-56477CD40D5F.png" TargetMode="External" /><Relationship Id="rId14" Type="http://schemas.openxmlformats.org/officeDocument/2006/relationships/image" Target="media/image5.png" /><Relationship Id="rId15" Type="http://schemas.openxmlformats.org/officeDocument/2006/relationships/image" Target="ZalacznikAF3849E7-F587-4882-B189-7D061F5B0B13.png" TargetMode="External" /><Relationship Id="rId16" Type="http://schemas.openxmlformats.org/officeDocument/2006/relationships/image" Target="media/image6.png" /><Relationship Id="rId17" Type="http://schemas.openxmlformats.org/officeDocument/2006/relationships/image" Target="Zalacznik3F44DF70-EEC1-410A-A334-391EB7DD5531.png" TargetMode="External" /><Relationship Id="rId18" Type="http://schemas.openxmlformats.org/officeDocument/2006/relationships/image" Target="media/image7.png" /><Relationship Id="rId19" Type="http://schemas.openxmlformats.org/officeDocument/2006/relationships/image" Target="ZalacznikE3EAE27F-3209-4492-B929-C577D3C7C0FD.png" TargetMode="External" /><Relationship Id="rId2" Type="http://schemas.openxmlformats.org/officeDocument/2006/relationships/settings" Target="settings.xml" /><Relationship Id="rId20" Type="http://schemas.openxmlformats.org/officeDocument/2006/relationships/image" Target="media/image8.png" /><Relationship Id="rId21" Type="http://schemas.openxmlformats.org/officeDocument/2006/relationships/image" Target="ZalacznikDDB998F5-39DC-4D9F-A9A6-804113F95A28.png" TargetMode="External" /><Relationship Id="rId22" Type="http://schemas.openxmlformats.org/officeDocument/2006/relationships/image" Target="media/image9.png" /><Relationship Id="rId23" Type="http://schemas.openxmlformats.org/officeDocument/2006/relationships/image" Target="Zalacznik39758CC8-0378-4304-A6BA-6EB5816E0053.png" TargetMode="External" /><Relationship Id="rId24" Type="http://schemas.openxmlformats.org/officeDocument/2006/relationships/image" Target="media/image10.png" /><Relationship Id="rId25" Type="http://schemas.openxmlformats.org/officeDocument/2006/relationships/image" Target="Zalacznik97306197-A8C7-48B5-AC2D-B276646BB4C4.png" TargetMode="External" /><Relationship Id="rId26" Type="http://schemas.openxmlformats.org/officeDocument/2006/relationships/image" Target="media/image11.png" /><Relationship Id="rId27" Type="http://schemas.openxmlformats.org/officeDocument/2006/relationships/image" Target="ZalacznikAF7AFBED-40B1-42B8-ACB3-9C28FB030B88.png" TargetMode="External" /><Relationship Id="rId28" Type="http://schemas.openxmlformats.org/officeDocument/2006/relationships/image" Target="media/image12.png" /><Relationship Id="rId29" Type="http://schemas.openxmlformats.org/officeDocument/2006/relationships/image" Target="ZalacznikEA0A9306-BC20-42E0-B9C4-ECA2A181B7DC.png" TargetMode="External" /><Relationship Id="rId3" Type="http://schemas.openxmlformats.org/officeDocument/2006/relationships/webSettings" Target="webSettings.xml" /><Relationship Id="rId30" Type="http://schemas.openxmlformats.org/officeDocument/2006/relationships/image" Target="ZalacznikFBA11C55-B3C7-4002-A4C3-C76387CA1C97.jpg" TargetMode="External" /><Relationship Id="rId31" Type="http://schemas.openxmlformats.org/officeDocument/2006/relationships/footer" Target="footer2.xml" /><Relationship Id="rId32" Type="http://schemas.openxmlformats.org/officeDocument/2006/relationships/image" Target="Zalacznik7704070E-949A-4358-A2C9-2B4D33A76256.jpg" TargetMode="External" /><Relationship Id="rId33" Type="http://schemas.openxmlformats.org/officeDocument/2006/relationships/footer" Target="footer3.xml" /><Relationship Id="rId34" Type="http://schemas.openxmlformats.org/officeDocument/2006/relationships/image" Target="Zalacznik1F8D1EB3-4474-46F8-96F1-55F748617E5D.jpg" TargetMode="External" /><Relationship Id="rId35" Type="http://schemas.openxmlformats.org/officeDocument/2006/relationships/footer" Target="footer4.xml" /><Relationship Id="rId36" Type="http://schemas.openxmlformats.org/officeDocument/2006/relationships/image" Target="media/image13.jpeg" /><Relationship Id="rId37" Type="http://schemas.openxmlformats.org/officeDocument/2006/relationships/footer" Target="footer5.xml" /><Relationship Id="rId38" Type="http://schemas.openxmlformats.org/officeDocument/2006/relationships/theme" Target="theme/theme1.xml" /><Relationship Id="rId39" Type="http://schemas.openxmlformats.org/officeDocument/2006/relationships/styles" Target="styles.xml" /><Relationship Id="rId4" Type="http://schemas.openxmlformats.org/officeDocument/2006/relationships/fontTable" Target="fontTable.xml" /><Relationship Id="rId5" Type="http://schemas.openxmlformats.org/officeDocument/2006/relationships/image" Target="media/image1.jpeg" /><Relationship Id="rId6" Type="http://schemas.openxmlformats.org/officeDocument/2006/relationships/image" Target="ZalacznikD719BB64-4BC1-4CD8-8E98-E1CC11F79EB6.jpg" TargetMode="External" /><Relationship Id="rId7" Type="http://schemas.openxmlformats.org/officeDocument/2006/relationships/footer" Target="footer1.xml" /><Relationship Id="rId8" Type="http://schemas.openxmlformats.org/officeDocument/2006/relationships/image" Target="media/image2.png" /><Relationship Id="rId9" Type="http://schemas.openxmlformats.org/officeDocument/2006/relationships/image" Target="ZalacznikD1D70F8E-FE0A-4BD5-833F-C1A161288E9E.png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/>
      </a:dk1>
      <a:lt1>
        <a:sysClr val="window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</Template>
  <TotalTime>0</TotalTime>
  <Pages>1</Pages>
  <Words>0</Words>
  <Characters>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Regionalny Dyrektor Ochrony Środowiska w Bydgoszczy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Zarządzenie z dnia 19 maja 2025 r.</dc:title>
  <dc:subject>w^sprawie uznania za rezerwat przyrody „Zbocza Dybowskie”</dc:subject>
  <dc:creator>kleszczynska</dc:creator>
  <cp:lastModifiedBy>kleszczynska</cp:lastModifiedBy>
  <cp:revision>1</cp:revision>
  <dcterms:created xsi:type="dcterms:W3CDTF">2025-05-19T12:33:56Z</dcterms:created>
  <dcterms:modified xsi:type="dcterms:W3CDTF">2025-05-19T12:33:56Z</dcterms:modified>
  <cp:category>Akt prawny</cp:category>
</cp:coreProperties>
</file>