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77777777" w:rsidR="00163805" w:rsidRPr="00163805" w:rsidRDefault="00163805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r w:rsidRPr="00163805">
        <w:rPr>
          <w:rFonts w:ascii="Lato" w:hAnsi="Lato" w:cs="Arial"/>
          <w:sz w:val="22"/>
          <w:szCs w:val="22"/>
        </w:rPr>
        <w:t>Głównego Inspektora Farmaceutycznego</w:t>
      </w:r>
    </w:p>
    <w:p w14:paraId="5BF47189" w14:textId="77777777" w:rsidR="005C29A3" w:rsidRPr="00163805" w:rsidRDefault="005C29A3">
      <w:pPr>
        <w:rPr>
          <w:rFonts w:ascii="Lato" w:hAnsi="Lato"/>
        </w:rPr>
      </w:pPr>
    </w:p>
    <w:p w14:paraId="077525C3" w14:textId="138E2D28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163805">
        <w:rPr>
          <w:rFonts w:ascii="Lato" w:hAnsi="Lato" w:cs="Arial"/>
        </w:rPr>
        <w:t>Na podstawie art. 111 ust. 4 ustawy z dnia 6 września 2001 r. Prawo farmaceutyczne (Dz. U. z 2022 r. poz. 2301, z późn. zm.)</w:t>
      </w:r>
      <w:r w:rsidR="00D558D0">
        <w:rPr>
          <w:rFonts w:ascii="Lato" w:hAnsi="Lato" w:cs="Arial"/>
        </w:rPr>
        <w:t>, zwanej dalej „ustawą”,</w:t>
      </w:r>
      <w:r w:rsidRPr="00163805">
        <w:rPr>
          <w:rFonts w:ascii="Lato" w:hAnsi="Lato" w:cs="Arial"/>
        </w:rPr>
        <w:t xml:space="preserve"> Minister Zdrowia ogłasza nabór na stanowisko Głównego Inspektora Farmaceutycznego.</w:t>
      </w:r>
    </w:p>
    <w:p w14:paraId="6A7AA433" w14:textId="77777777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</w:p>
    <w:p w14:paraId="5DEEA8FC" w14:textId="77777777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 xml:space="preserve">Nazwa i adres: </w:t>
      </w:r>
    </w:p>
    <w:p w14:paraId="16AC0F37" w14:textId="159100BD" w:rsidR="00163805" w:rsidRPr="00163805" w:rsidRDefault="00163805" w:rsidP="00163805">
      <w:pPr>
        <w:spacing w:line="360" w:lineRule="auto"/>
        <w:rPr>
          <w:rFonts w:ascii="Lato" w:hAnsi="Lato" w:cs="Arial"/>
          <w:bCs/>
        </w:rPr>
      </w:pPr>
      <w:r w:rsidRPr="00163805">
        <w:rPr>
          <w:rFonts w:ascii="Lato" w:hAnsi="Lato" w:cs="Arial"/>
        </w:rPr>
        <w:t>Główny Inspektorat Farmaceutyczny, 00-082 Warszawa</w:t>
      </w:r>
      <w:r w:rsidRPr="00163805">
        <w:rPr>
          <w:rFonts w:ascii="Lato" w:hAnsi="Lato" w:cs="Arial"/>
          <w:b/>
        </w:rPr>
        <w:t xml:space="preserve">, </w:t>
      </w:r>
      <w:r w:rsidRPr="00163805">
        <w:rPr>
          <w:rFonts w:ascii="Lato" w:hAnsi="Lato" w:cs="Arial"/>
          <w:bCs/>
        </w:rPr>
        <w:t>ul. Senatorska 12.</w:t>
      </w:r>
    </w:p>
    <w:p w14:paraId="0D542BC4" w14:textId="1872D924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Miejsce wykonywania pracy:</w:t>
      </w:r>
    </w:p>
    <w:p w14:paraId="4AE1288D" w14:textId="77777777" w:rsidR="00163805" w:rsidRPr="00163805" w:rsidRDefault="00163805" w:rsidP="00163805">
      <w:pPr>
        <w:spacing w:line="360" w:lineRule="auto"/>
        <w:rPr>
          <w:rFonts w:ascii="Lato" w:hAnsi="Lato" w:cs="Arial"/>
          <w:bCs/>
        </w:rPr>
      </w:pPr>
      <w:r w:rsidRPr="00163805">
        <w:rPr>
          <w:rFonts w:ascii="Lato" w:hAnsi="Lato" w:cs="Arial"/>
        </w:rPr>
        <w:t>Główny Inspektorat Farmaceutyczny, 00-082 Warszawa</w:t>
      </w:r>
      <w:r w:rsidRPr="00163805">
        <w:rPr>
          <w:rFonts w:ascii="Lato" w:hAnsi="Lato" w:cs="Arial"/>
          <w:b/>
        </w:rPr>
        <w:t xml:space="preserve">, </w:t>
      </w:r>
      <w:r w:rsidRPr="00163805">
        <w:rPr>
          <w:rFonts w:ascii="Lato" w:hAnsi="Lato" w:cs="Arial"/>
          <w:bCs/>
        </w:rPr>
        <w:t>ul. Senatorska 12.</w:t>
      </w:r>
    </w:p>
    <w:p w14:paraId="1706599C" w14:textId="77777777" w:rsidR="00D558D0" w:rsidRPr="00D558D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558D0">
        <w:rPr>
          <w:rFonts w:ascii="Lato" w:hAnsi="Lato" w:cs="Arial"/>
          <w:b/>
        </w:rPr>
        <w:t>Wymagania związane ze stanowiskiem wynikające z przepisów prawa:</w:t>
      </w:r>
    </w:p>
    <w:p w14:paraId="21C5DA65" w14:textId="2D4AF690" w:rsidR="00D558D0" w:rsidRPr="00D558D0" w:rsidRDefault="00D558D0" w:rsidP="00D558D0">
      <w:pPr>
        <w:spacing w:after="0" w:line="360" w:lineRule="auto"/>
        <w:jc w:val="both"/>
        <w:rPr>
          <w:rFonts w:ascii="Lato" w:hAnsi="Lato" w:cs="Arial"/>
        </w:rPr>
      </w:pPr>
      <w:r w:rsidRPr="00D558D0">
        <w:rPr>
          <w:rFonts w:ascii="Lato" w:hAnsi="Lato"/>
        </w:rPr>
        <w:t>Kandyda</w:t>
      </w:r>
      <w:r w:rsidR="00C15AF0">
        <w:rPr>
          <w:rFonts w:ascii="Lato" w:hAnsi="Lato"/>
        </w:rPr>
        <w:t>t</w:t>
      </w:r>
      <w:r w:rsidRPr="00D558D0">
        <w:rPr>
          <w:rFonts w:ascii="Lato" w:hAnsi="Lato"/>
        </w:rPr>
        <w:t xml:space="preserve"> przystępujący do naboru na stanowisko</w:t>
      </w:r>
      <w:r w:rsidRPr="00D558D0">
        <w:rPr>
          <w:rFonts w:ascii="Lato" w:hAnsi="Lato" w:cs="Arial"/>
        </w:rPr>
        <w:t xml:space="preserve"> Głównego Inspektora</w:t>
      </w:r>
      <w:r>
        <w:rPr>
          <w:rFonts w:ascii="Lato" w:hAnsi="Lato" w:cs="Arial"/>
        </w:rPr>
        <w:t xml:space="preserve"> </w:t>
      </w:r>
      <w:r w:rsidRPr="00D558D0">
        <w:rPr>
          <w:rFonts w:ascii="Lato" w:hAnsi="Lato" w:cs="Arial"/>
        </w:rPr>
        <w:t xml:space="preserve">Farmaceutycznego </w:t>
      </w:r>
      <w:r>
        <w:rPr>
          <w:rFonts w:ascii="Lato" w:hAnsi="Lato" w:cs="Arial"/>
        </w:rPr>
        <w:t>winien</w:t>
      </w:r>
      <w:r w:rsidRPr="00D558D0">
        <w:rPr>
          <w:rFonts w:ascii="Lato" w:hAnsi="Lato" w:cs="Arial"/>
        </w:rPr>
        <w:t xml:space="preserve"> spełni</w:t>
      </w:r>
      <w:r>
        <w:rPr>
          <w:rFonts w:ascii="Lato" w:hAnsi="Lato" w:cs="Arial"/>
        </w:rPr>
        <w:t>ć</w:t>
      </w:r>
      <w:r w:rsidRPr="00D558D0">
        <w:rPr>
          <w:rFonts w:ascii="Lato" w:hAnsi="Lato" w:cs="Arial"/>
        </w:rPr>
        <w:t xml:space="preserve"> </w:t>
      </w:r>
      <w:r>
        <w:rPr>
          <w:rFonts w:ascii="Lato" w:hAnsi="Lato" w:cs="Arial"/>
        </w:rPr>
        <w:t>warunki określone w art. 111 ust. 3 ustawy, tj. być osobą, która</w:t>
      </w:r>
      <w:r w:rsidRPr="00D558D0">
        <w:rPr>
          <w:rFonts w:ascii="Lato" w:hAnsi="Lato" w:cs="Arial"/>
        </w:rPr>
        <w:t>:</w:t>
      </w:r>
    </w:p>
    <w:p w14:paraId="0CE9AE8B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tytuł zawodowy magistra farmacji;</w:t>
      </w:r>
    </w:p>
    <w:p w14:paraId="650F824A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jest obywatelem polskim;</w:t>
      </w:r>
    </w:p>
    <w:p w14:paraId="137A200E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korzysta z pełni praw publicznych;</w:t>
      </w:r>
    </w:p>
    <w:p w14:paraId="55B09215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nie była skazana prawomocnym wyrokiem za umyślne przestępstwo lub umyślne przestępstwo skarbowe;</w:t>
      </w:r>
    </w:p>
    <w:p w14:paraId="4CF453A4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kompetencje kierownicze;</w:t>
      </w:r>
    </w:p>
    <w:p w14:paraId="5692BB7C" w14:textId="2FE1C2C9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co najmniej 6-letni staż pracy, w tym co najmniej 3-letni staż pracy na stanowisku kierowniczym;</w:t>
      </w:r>
    </w:p>
    <w:p w14:paraId="4389EB8E" w14:textId="77777777" w:rsidR="00FA294C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posiada wiedzę z zakresu spraw należących do właściwości Głównego Inspektora Farmaceutycznego;</w:t>
      </w:r>
    </w:p>
    <w:p w14:paraId="449ADC97" w14:textId="4BA9936F" w:rsidR="00D558D0" w:rsidRDefault="00D558D0" w:rsidP="00FA294C">
      <w:pPr>
        <w:numPr>
          <w:ilvl w:val="0"/>
          <w:numId w:val="4"/>
        </w:numPr>
        <w:spacing w:after="0" w:line="360" w:lineRule="auto"/>
        <w:ind w:left="284" w:hanging="295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 xml:space="preserve">złożyła oświadczenie, o którym mowa w art. 114a ust. 2 ustawy. </w:t>
      </w:r>
    </w:p>
    <w:p w14:paraId="36F23E9B" w14:textId="77777777" w:rsidR="00FA294C" w:rsidRPr="00FA294C" w:rsidRDefault="00FA294C" w:rsidP="00FA294C">
      <w:pPr>
        <w:spacing w:after="0" w:line="360" w:lineRule="auto"/>
        <w:ind w:left="284"/>
        <w:jc w:val="both"/>
        <w:rPr>
          <w:rFonts w:ascii="Lato" w:hAnsi="Lato" w:cs="Arial"/>
        </w:rPr>
      </w:pPr>
    </w:p>
    <w:p w14:paraId="5D5B5BBC" w14:textId="3D5CAEB9" w:rsidR="00C85780" w:rsidRPr="00FA294C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FA294C">
        <w:rPr>
          <w:rFonts w:ascii="Lato" w:hAnsi="Lato"/>
          <w:b/>
        </w:rPr>
        <w:t>Zakres zadań wykonywanych na stanowisku:</w:t>
      </w:r>
    </w:p>
    <w:p w14:paraId="5793D164" w14:textId="77777777" w:rsidR="00FA294C" w:rsidRPr="00FA294C" w:rsidRDefault="00FA294C" w:rsidP="00FA294C">
      <w:pPr>
        <w:spacing w:after="0" w:line="360" w:lineRule="auto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>Zakres zadań wykonywanych na stanowisku Głównego Inspektora Farmaceutycznego obejmuje w szczególności:</w:t>
      </w:r>
    </w:p>
    <w:p w14:paraId="1BE70CB5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kierowanie Inspekcją Farmaceutyczną;</w:t>
      </w:r>
    </w:p>
    <w:p w14:paraId="206221A3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ustalanie kierunków działania Inspekcji Farmaceutycznej;</w:t>
      </w:r>
    </w:p>
    <w:p w14:paraId="65D7A439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lastRenderedPageBreak/>
        <w:t>koordynację i kontrolę wykonywania zadań przez wojewódzkich inspektorów farmaceutycznych;</w:t>
      </w:r>
    </w:p>
    <w:p w14:paraId="77BEB294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możliwość wydawania wojewódzkim inspektorom farmaceutycznym poleceń dotyczących podjęcia konkretnych czynności w zakresie ich merytorycznego działania z zastrzeżeniem spraw objętych wydawaniem decyzji jako organ I instancji, a także możliwość żądania od nich informacji w całym zakresie działania Inspekcji Farmaceutycznej;</w:t>
      </w:r>
    </w:p>
    <w:p w14:paraId="3C15E786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pełnienie funkcji organu II instancji w stosunku do decyzji wojewódzkich inspektorów farmaceutycznych;</w:t>
      </w:r>
    </w:p>
    <w:p w14:paraId="67918229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sprawowanie nadzoru nad warunkami wytwarzania i importu produktów leczniczych;</w:t>
      </w:r>
    </w:p>
    <w:p w14:paraId="1612396A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w ramach państwowych badań jakości produktów leczniczych sprawowanie nadzoru nad jakością produktów leczniczych znajdujących się w obrocie, z wyłączeniem produktów leczniczych weterynaryjnych;</w:t>
      </w:r>
    </w:p>
    <w:p w14:paraId="41594B2A" w14:textId="77777777" w:rsidR="00FA294C" w:rsidRDefault="00FA294C" w:rsidP="00FA294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 xml:space="preserve">sprawowanie nadzoru nad warunkami obrotu hurtowego produktami leczniczymi </w:t>
      </w:r>
      <w:r w:rsidRPr="00FA294C">
        <w:rPr>
          <w:rFonts w:ascii="Lato" w:eastAsia="Times New Roman" w:hAnsi="Lato" w:cs="Arial"/>
          <w:lang w:eastAsia="pl-PL"/>
        </w:rPr>
        <w:br/>
        <w:t>i pośrednictwa w obrocie produktami leczniczymi;</w:t>
      </w:r>
    </w:p>
    <w:p w14:paraId="1DEE3CA6" w14:textId="77777777" w:rsidR="00820247" w:rsidRDefault="00FA294C" w:rsidP="0082024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FA294C">
        <w:rPr>
          <w:rFonts w:ascii="Lato" w:eastAsia="Times New Roman" w:hAnsi="Lato" w:cs="Arial"/>
          <w:lang w:eastAsia="pl-PL"/>
        </w:rPr>
        <w:t>sprawowanie nadzoru nad warunkami wytwarzania, importu i dystrybucji substancji czynnej;</w:t>
      </w:r>
    </w:p>
    <w:p w14:paraId="7E886DC4" w14:textId="4BEB537A" w:rsidR="00FA294C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sprawowanie nadzoru nad przestrzeganiem przez podmiot odpowiedzialny, wytwórcę lub importera produktów leczniczych oraz przedsiębiorcę prowadzącego działalność polegającą na prowadzeniu hurtowni farmaceutycznej obowiązków w zakresie weryfikacji autentyczności i wycofania niepowtarzalnego identyfikatora, o którym mowa w art. 3 ust. 2 lit. a rozporządzenia nr 2016/161</w:t>
      </w:r>
      <w:r w:rsidRPr="00FA294C">
        <w:rPr>
          <w:vertAlign w:val="superscript"/>
          <w:lang w:eastAsia="pl-PL"/>
        </w:rPr>
        <w:footnoteReference w:id="1"/>
      </w:r>
      <w:r w:rsidRPr="00820247">
        <w:rPr>
          <w:rFonts w:ascii="Lato" w:eastAsia="Times New Roman" w:hAnsi="Lato" w:cs="Arial"/>
          <w:lang w:eastAsia="pl-PL"/>
        </w:rPr>
        <w:t>, oraz prawidłowością przesyłanych danych i wykonanych operacji w krajowym systemie baz, o którym mowa w art. 32 ust. 1 rozporządzenia nr 2016/161;</w:t>
      </w:r>
    </w:p>
    <w:p w14:paraId="140195EC" w14:textId="5D77F579" w:rsidR="00820247" w:rsidRDefault="00820247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zapewni</w:t>
      </w:r>
      <w:r>
        <w:rPr>
          <w:rFonts w:ascii="Lato" w:eastAsia="Times New Roman" w:hAnsi="Lato" w:cs="Arial"/>
          <w:lang w:eastAsia="pl-PL"/>
        </w:rPr>
        <w:t>enie</w:t>
      </w:r>
      <w:r w:rsidRPr="00820247">
        <w:rPr>
          <w:rFonts w:ascii="Lato" w:eastAsia="Times New Roman" w:hAnsi="Lato" w:cs="Arial"/>
          <w:lang w:eastAsia="pl-PL"/>
        </w:rPr>
        <w:t xml:space="preserve"> stosowani</w:t>
      </w:r>
      <w:r>
        <w:rPr>
          <w:rFonts w:ascii="Lato" w:eastAsia="Times New Roman" w:hAnsi="Lato" w:cs="Arial"/>
          <w:lang w:eastAsia="pl-PL"/>
        </w:rPr>
        <w:t>a</w:t>
      </w:r>
      <w:r w:rsidRPr="00820247">
        <w:rPr>
          <w:rFonts w:ascii="Lato" w:eastAsia="Times New Roman" w:hAnsi="Lato" w:cs="Arial"/>
          <w:lang w:eastAsia="pl-PL"/>
        </w:rPr>
        <w:t xml:space="preserve"> wytycznych Komisji Europejskiej zebranych w unijnych procedurach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inspekcji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i wymiany informacji, o których mowa w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7" w:history="1">
        <w:r w:rsidRPr="00820247">
          <w:rPr>
            <w:rFonts w:ascii="Lato" w:eastAsia="Times New Roman" w:hAnsi="Lato" w:cs="Arial"/>
            <w:lang w:eastAsia="pl-PL"/>
          </w:rPr>
          <w:t>art. 3 ust. 1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dyrektywy Komisji (UE)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8" w:history="1">
        <w:r w:rsidRPr="00820247">
          <w:rPr>
            <w:rFonts w:ascii="Lato" w:eastAsia="Times New Roman" w:hAnsi="Lato" w:cs="Arial"/>
            <w:lang w:eastAsia="pl-PL"/>
          </w:rPr>
          <w:t>2017/1572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z dnia 15 września 2017 r. uzupełniającej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dyrektywę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9" w:history="1">
        <w:r w:rsidRPr="00820247">
          <w:rPr>
            <w:rFonts w:ascii="Lato" w:eastAsia="Times New Roman" w:hAnsi="Lato" w:cs="Arial"/>
            <w:lang w:eastAsia="pl-PL"/>
          </w:rPr>
          <w:t>2001/83/WE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Parlamentu Europejskiego i Rady w odniesieniu do zasad i wytycznych dobrej praktyki wytwarzania produktów leczniczych stosowanych u ludzi (Dz.</w:t>
      </w:r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Urz. UE L 238 z 16.09.2017,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0" w:history="1">
        <w:r w:rsidRPr="00820247">
          <w:rPr>
            <w:rFonts w:ascii="Lato" w:eastAsia="Times New Roman" w:hAnsi="Lato" w:cs="Arial"/>
            <w:lang w:eastAsia="pl-PL"/>
          </w:rPr>
          <w:t>str. 44</w:t>
        </w:r>
      </w:hyperlink>
      <w:r w:rsidRPr="00820247">
        <w:rPr>
          <w:rFonts w:ascii="Lato" w:eastAsia="Times New Roman" w:hAnsi="Lato" w:cs="Arial"/>
          <w:lang w:eastAsia="pl-PL"/>
        </w:rPr>
        <w:t>);</w:t>
      </w:r>
    </w:p>
    <w:p w14:paraId="66F0673F" w14:textId="77777777" w:rsidR="00820247" w:rsidRDefault="00820247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wdraża</w:t>
      </w:r>
      <w:r>
        <w:rPr>
          <w:rFonts w:ascii="Lato" w:eastAsia="Times New Roman" w:hAnsi="Lato" w:cs="Arial"/>
          <w:lang w:eastAsia="pl-PL"/>
        </w:rPr>
        <w:t>nie</w:t>
      </w:r>
      <w:r w:rsidRPr="00820247">
        <w:rPr>
          <w:rFonts w:ascii="Lato" w:eastAsia="Times New Roman" w:hAnsi="Lato" w:cs="Arial"/>
          <w:lang w:eastAsia="pl-PL"/>
        </w:rPr>
        <w:t xml:space="preserve"> i aktualiz</w:t>
      </w:r>
      <w:r>
        <w:rPr>
          <w:rFonts w:ascii="Lato" w:eastAsia="Times New Roman" w:hAnsi="Lato" w:cs="Arial"/>
          <w:lang w:eastAsia="pl-PL"/>
        </w:rPr>
        <w:t>owanie</w:t>
      </w:r>
      <w:r w:rsidRPr="00820247">
        <w:rPr>
          <w:rFonts w:ascii="Lato" w:eastAsia="Times New Roman" w:hAnsi="Lato" w:cs="Arial"/>
          <w:lang w:eastAsia="pl-PL"/>
        </w:rPr>
        <w:t xml:space="preserve"> system</w:t>
      </w:r>
      <w:r>
        <w:rPr>
          <w:rFonts w:ascii="Lato" w:eastAsia="Times New Roman" w:hAnsi="Lato" w:cs="Arial"/>
          <w:lang w:eastAsia="pl-PL"/>
        </w:rPr>
        <w:t>u</w:t>
      </w:r>
      <w:r w:rsidRPr="00820247">
        <w:rPr>
          <w:rFonts w:ascii="Lato" w:eastAsia="Times New Roman" w:hAnsi="Lato" w:cs="Arial"/>
          <w:lang w:eastAsia="pl-PL"/>
        </w:rPr>
        <w:t xml:space="preserve"> jakości, o którym mowa w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1" w:history="1">
        <w:r w:rsidRPr="00820247">
          <w:rPr>
            <w:rFonts w:ascii="Lato" w:eastAsia="Times New Roman" w:hAnsi="Lato" w:cs="Arial"/>
            <w:lang w:eastAsia="pl-PL"/>
          </w:rPr>
          <w:t>art. 3 ust. 3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dyrektywy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2" w:history="1">
        <w:r w:rsidRPr="00820247">
          <w:rPr>
            <w:rFonts w:ascii="Lato" w:eastAsia="Times New Roman" w:hAnsi="Lato" w:cs="Arial"/>
            <w:lang w:eastAsia="pl-PL"/>
          </w:rPr>
          <w:t>2017/1572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Komisji (UE) z dnia 15 września 2017 r. uzupełniającej dyrektywę</w:t>
      </w:r>
      <w:r>
        <w:rPr>
          <w:rFonts w:ascii="Lato" w:eastAsia="Times New Roman" w:hAnsi="Lato" w:cs="Arial"/>
          <w:lang w:eastAsia="pl-PL"/>
        </w:rPr>
        <w:t xml:space="preserve"> </w:t>
      </w:r>
      <w:hyperlink r:id="rId13" w:history="1">
        <w:r w:rsidRPr="00820247">
          <w:rPr>
            <w:rFonts w:ascii="Lato" w:eastAsia="Times New Roman" w:hAnsi="Lato" w:cs="Arial"/>
            <w:lang w:eastAsia="pl-PL"/>
          </w:rPr>
          <w:t>2001/83/WE</w:t>
        </w:r>
      </w:hyperlink>
      <w:r>
        <w:rPr>
          <w:rFonts w:ascii="Lato" w:eastAsia="Times New Roman" w:hAnsi="Lato" w:cs="Arial"/>
          <w:lang w:eastAsia="pl-PL"/>
        </w:rPr>
        <w:t xml:space="preserve"> </w:t>
      </w:r>
      <w:r w:rsidRPr="00820247">
        <w:rPr>
          <w:rFonts w:ascii="Lato" w:eastAsia="Times New Roman" w:hAnsi="Lato" w:cs="Arial"/>
          <w:lang w:eastAsia="pl-PL"/>
        </w:rPr>
        <w:t>Parlamentu Europejskiego i Rady w odniesieniu do zasad i wytycznych dobrej praktyki wytwarzania produktów leczniczych stosowanych u ludzi;</w:t>
      </w:r>
    </w:p>
    <w:p w14:paraId="18E1C7F8" w14:textId="77777777" w:rsidR="00820247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lastRenderedPageBreak/>
        <w:t>pełnienie funkcji organu I instancji w sprawach określonych w ustawie;</w:t>
      </w:r>
    </w:p>
    <w:p w14:paraId="4B1F2001" w14:textId="77777777" w:rsidR="00820247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 xml:space="preserve">wydawanie decyzji, o których mowa w art. 108 ust. 4 pkt 1-3, pkt 4 lit. b i c, pkt 5, </w:t>
      </w:r>
      <w:r w:rsidRPr="00820247">
        <w:rPr>
          <w:rFonts w:ascii="Lato" w:eastAsia="Times New Roman" w:hAnsi="Lato" w:cs="Arial"/>
          <w:lang w:eastAsia="pl-PL"/>
        </w:rPr>
        <w:br/>
        <w:t>pkt 7 lit. a i pkt 8 ustawy;</w:t>
      </w:r>
    </w:p>
    <w:p w14:paraId="1193DCB2" w14:textId="77777777" w:rsidR="00820247" w:rsidRDefault="00FA294C" w:rsidP="00820247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przedkładanie ministrowi właściwemu do spraw zdrowia tygodniowych raportów dotyczących dostępności produktów, o których mowa w art. 78 ust. 1 pkt 6a ustawy;</w:t>
      </w:r>
    </w:p>
    <w:p w14:paraId="23987657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820247">
        <w:rPr>
          <w:rFonts w:ascii="Lato" w:eastAsia="Times New Roman" w:hAnsi="Lato" w:cs="Arial"/>
          <w:lang w:eastAsia="pl-PL"/>
        </w:rPr>
        <w:t>dokonywanie analizy skali, przyczyn i skutków braku dostępności do produktu leczniczego, środka spożywczego specjalnego przeznaczenia żywieniowego lub wyrobu medycznego, o których mowa w art. 95a ust. 1 ustawy, w zakresie sprawowanego nadzoru nad obrotem tych produktów, środków spożywczych specjalnego przeznaczenia żywieniowego lub wyrobów medycznych;</w:t>
      </w:r>
    </w:p>
    <w:p w14:paraId="122F87EA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niezwłocznie przekazywanie ministrowi właściwemu do spraw zdrowia analizy skali, przyczyn i skutków braku dostępności do produktu leczniczego, środka spożywczego specjalnego przeznaczenia żywieniowego lub wyrobu medycznego, o których mowa w art. 95a ust. 1 ustawy, w zakresie sprawowanego nadzoru nad obrotem tych produktów;</w:t>
      </w:r>
    </w:p>
    <w:p w14:paraId="6EF3BFDE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 xml:space="preserve">współpraca i dokonywanie wymiany informacji z organami, o których mowa w art. 12 ust. 1 ustawy z dnia 9 marca 2017 r. o systemie monitorowania drogowego i kolejowego przewozu towarów oraz obrotu paliwami opałowymi (Dz. U. z </w:t>
      </w:r>
      <w:r w:rsidR="009D1DB3">
        <w:rPr>
          <w:rFonts w:ascii="Lato" w:eastAsia="Times New Roman" w:hAnsi="Lato" w:cs="Arial"/>
          <w:lang w:eastAsia="pl-PL"/>
        </w:rPr>
        <w:t>2023</w:t>
      </w:r>
      <w:r w:rsidRPr="009D1DB3">
        <w:rPr>
          <w:rFonts w:ascii="Lato" w:eastAsia="Times New Roman" w:hAnsi="Lato" w:cs="Arial"/>
          <w:lang w:eastAsia="pl-PL"/>
        </w:rPr>
        <w:t xml:space="preserve"> r. poz. </w:t>
      </w:r>
      <w:r w:rsidR="009D1DB3">
        <w:rPr>
          <w:rFonts w:ascii="Lato" w:eastAsia="Times New Roman" w:hAnsi="Lato" w:cs="Arial"/>
          <w:lang w:eastAsia="pl-PL"/>
        </w:rPr>
        <w:t>104</w:t>
      </w:r>
      <w:r w:rsidRPr="009D1DB3">
        <w:rPr>
          <w:rFonts w:ascii="Lato" w:eastAsia="Times New Roman" w:hAnsi="Lato" w:cs="Arial"/>
          <w:lang w:eastAsia="pl-PL"/>
        </w:rPr>
        <w:t>), dalej: „ustawa o systemie monitorowania”, w zakresie wynikającym z tej ustawy;</w:t>
      </w:r>
    </w:p>
    <w:p w14:paraId="66F5B670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podejmowanie działań w związku z zatrzymaniem towaru, o którym mowa w art. 16 ust. 1a ustawy o systemie monitorowania;</w:t>
      </w:r>
    </w:p>
    <w:p w14:paraId="1E4018C6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pełnienie funkcji organu właściwego w zakresie składania wniosków o orzeczenie przepadku towarów zatrzymanych zgodnie z art. 16 ust. 1a ustawy o systemie monitorowania;</w:t>
      </w:r>
    </w:p>
    <w:p w14:paraId="21D440F0" w14:textId="77777777" w:rsid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realizowanie obowiązków informacyjnych określonych w art. 115 ust. 2 ustawy;</w:t>
      </w:r>
    </w:p>
    <w:p w14:paraId="17B9E7C2" w14:textId="00D33ED2" w:rsidR="00FA294C" w:rsidRPr="009D1DB3" w:rsidRDefault="00FA294C" w:rsidP="009D1DB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9D1DB3">
        <w:rPr>
          <w:rFonts w:ascii="Lato" w:eastAsia="Times New Roman" w:hAnsi="Lato" w:cs="Arial"/>
          <w:lang w:eastAsia="pl-PL"/>
        </w:rPr>
        <w:t>pełnienie funkcji organu, o którym mowa w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4" w:history="1">
        <w:r w:rsidRPr="009D1DB3">
          <w:rPr>
            <w:rFonts w:ascii="Lato" w:eastAsia="Times New Roman" w:hAnsi="Lato" w:cs="Arial"/>
            <w:lang w:eastAsia="pl-PL"/>
          </w:rPr>
          <w:t>art. 44</w:t>
        </w:r>
      </w:hyperlink>
      <w:r w:rsidR="009D1DB3">
        <w:rPr>
          <w:rFonts w:ascii="Lato" w:eastAsia="Times New Roman" w:hAnsi="Lato" w:cs="Arial"/>
          <w:lang w:eastAsia="pl-PL"/>
        </w:rPr>
        <w:t xml:space="preserve"> </w:t>
      </w:r>
      <w:r w:rsidRPr="009D1DB3">
        <w:rPr>
          <w:rFonts w:ascii="Lato" w:eastAsia="Times New Roman" w:hAnsi="Lato" w:cs="Arial"/>
          <w:lang w:eastAsia="pl-PL"/>
        </w:rPr>
        <w:t>rozporządzenia nr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5" w:history="1">
        <w:r w:rsidRPr="009D1DB3">
          <w:rPr>
            <w:rFonts w:ascii="Lato" w:eastAsia="Times New Roman" w:hAnsi="Lato" w:cs="Arial"/>
            <w:lang w:eastAsia="pl-PL"/>
          </w:rPr>
          <w:t>2016/161</w:t>
        </w:r>
      </w:hyperlink>
      <w:r w:rsidRPr="009D1DB3">
        <w:rPr>
          <w:rFonts w:ascii="Lato" w:eastAsia="Times New Roman" w:hAnsi="Lato" w:cs="Arial"/>
          <w:lang w:eastAsia="pl-PL"/>
        </w:rPr>
        <w:t>, nadzorującym funkcjonowanie krajowego systemu baz, o którym mowa w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6" w:history="1">
        <w:r w:rsidRPr="009D1DB3">
          <w:rPr>
            <w:rFonts w:ascii="Lato" w:eastAsia="Times New Roman" w:hAnsi="Lato" w:cs="Arial"/>
            <w:lang w:eastAsia="pl-PL"/>
          </w:rPr>
          <w:t>art. 32 ust. 1</w:t>
        </w:r>
      </w:hyperlink>
      <w:r w:rsidR="009D1DB3">
        <w:rPr>
          <w:rFonts w:ascii="Lato" w:eastAsia="Times New Roman" w:hAnsi="Lato" w:cs="Arial"/>
          <w:lang w:eastAsia="pl-PL"/>
        </w:rPr>
        <w:t xml:space="preserve"> </w:t>
      </w:r>
      <w:r w:rsidRPr="009D1DB3">
        <w:rPr>
          <w:rFonts w:ascii="Lato" w:eastAsia="Times New Roman" w:hAnsi="Lato" w:cs="Arial"/>
          <w:lang w:eastAsia="pl-PL"/>
        </w:rPr>
        <w:t>rozporządzenia nr</w:t>
      </w:r>
      <w:r w:rsidR="009D1DB3">
        <w:rPr>
          <w:rFonts w:ascii="Lato" w:eastAsia="Times New Roman" w:hAnsi="Lato" w:cs="Arial"/>
          <w:lang w:eastAsia="pl-PL"/>
        </w:rPr>
        <w:t xml:space="preserve"> </w:t>
      </w:r>
      <w:hyperlink r:id="rId17" w:history="1">
        <w:r w:rsidRPr="009D1DB3">
          <w:rPr>
            <w:rFonts w:ascii="Lato" w:eastAsia="Times New Roman" w:hAnsi="Lato" w:cs="Arial"/>
            <w:lang w:eastAsia="pl-PL"/>
          </w:rPr>
          <w:t>2016/161</w:t>
        </w:r>
      </w:hyperlink>
      <w:r w:rsidRPr="009D1DB3">
        <w:rPr>
          <w:rFonts w:ascii="Lato" w:eastAsia="Times New Roman" w:hAnsi="Lato" w:cs="Arial"/>
          <w:lang w:eastAsia="pl-PL"/>
        </w:rPr>
        <w:t>, obsługującego terytorium Rzeczypospolitej Polskiej.</w:t>
      </w:r>
    </w:p>
    <w:p w14:paraId="534F67FB" w14:textId="77777777" w:rsidR="00C85780" w:rsidRPr="00D558D0" w:rsidRDefault="00C85780" w:rsidP="00C85780">
      <w:pPr>
        <w:spacing w:after="120" w:line="360" w:lineRule="auto"/>
        <w:jc w:val="both"/>
        <w:rPr>
          <w:rFonts w:ascii="Lato" w:hAnsi="Lato" w:cs="Arial"/>
        </w:rPr>
      </w:pPr>
    </w:p>
    <w:p w14:paraId="063F0CF5" w14:textId="6A06A34F" w:rsidR="00265E79" w:rsidRDefault="00265E79" w:rsidP="00265E7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265E79">
        <w:rPr>
          <w:rFonts w:ascii="Lato" w:hAnsi="Lato"/>
          <w:b/>
        </w:rPr>
        <w:t>Wymagane dokumenty:</w:t>
      </w:r>
    </w:p>
    <w:p w14:paraId="3A8A89F7" w14:textId="3F1A1CEB" w:rsidR="0078522A" w:rsidRPr="0078522A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78522A">
        <w:rPr>
          <w:rFonts w:ascii="Lato" w:hAnsi="Lato"/>
          <w:bCs/>
        </w:rPr>
        <w:t>Oferty kandydatów powinny zawierać:</w:t>
      </w:r>
    </w:p>
    <w:p w14:paraId="128574D5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CV lub życiorys;</w:t>
      </w:r>
    </w:p>
    <w:p w14:paraId="2C55479B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list motywacyjny;</w:t>
      </w:r>
    </w:p>
    <w:p w14:paraId="3D28EB0D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posiadaniu obywatelstwa polskiego;</w:t>
      </w:r>
    </w:p>
    <w:p w14:paraId="09637564" w14:textId="76F8AD9A" w:rsidR="00265E79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kopie dokumentów potwierdzających wykształcenie;</w:t>
      </w:r>
    </w:p>
    <w:p w14:paraId="37541FA4" w14:textId="77777777" w:rsid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lastRenderedPageBreak/>
        <w:t xml:space="preserve">kopie dokumentów potwierdzających posiadanie co najmniej 6-letniego stażu pracy, </w:t>
      </w:r>
      <w:r w:rsidRPr="0078522A">
        <w:rPr>
          <w:rFonts w:ascii="Lato" w:hAnsi="Lato" w:cs="Arial"/>
        </w:rPr>
        <w:br/>
        <w:t>w tym co najmniej 3-letniego stażu pracy na stanowisku kierowniczym (np.: świadectwa pracy, zaświadczenia wydane przez pracodawcę o przebiegu pracy zawodowej);</w:t>
      </w:r>
    </w:p>
    <w:p w14:paraId="14483789" w14:textId="3C33BAB4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informację z Krajowego Rejestru Karnego o niekaralności za umyślne przestępstwo </w:t>
      </w:r>
      <w:r w:rsidRPr="0078522A">
        <w:rPr>
          <w:rFonts w:ascii="Lato" w:hAnsi="Lato" w:cs="Arial"/>
        </w:rPr>
        <w:br/>
        <w:t xml:space="preserve">lub </w:t>
      </w:r>
      <w:r w:rsidR="00EC62FA">
        <w:rPr>
          <w:rFonts w:ascii="Lato" w:hAnsi="Lato" w:cs="Arial"/>
        </w:rPr>
        <w:t xml:space="preserve">umyślne </w:t>
      </w:r>
      <w:r w:rsidRPr="0078522A">
        <w:rPr>
          <w:rFonts w:ascii="Lato" w:hAnsi="Lato" w:cs="Arial"/>
        </w:rPr>
        <w:t>przestępstwo skarbowe, z datą nie wcześniejszą niż miesiąc przed złożeniem oferty;</w:t>
      </w:r>
    </w:p>
    <w:p w14:paraId="161EF194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oświadczenie o wyrażeniu zgody na przetwarzanie danych osobowych zawartych </w:t>
      </w:r>
      <w:r w:rsidRPr="0078522A">
        <w:rPr>
          <w:rFonts w:ascii="Lato" w:hAnsi="Lato" w:cs="Arial"/>
        </w:rPr>
        <w:br/>
        <w:t xml:space="preserve">w dokumentach przekazanych przez kandydata w ramach oferty złożonej </w:t>
      </w:r>
      <w:r w:rsidRPr="0078522A">
        <w:rPr>
          <w:rFonts w:ascii="Lato" w:hAnsi="Lato" w:cs="Arial"/>
        </w:rPr>
        <w:br/>
        <w:t xml:space="preserve"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</w:t>
      </w:r>
      <w:r w:rsidR="0078522A" w:rsidRPr="0078522A">
        <w:rPr>
          <w:rFonts w:ascii="Lato" w:hAnsi="Lato" w:cs="Arial"/>
        </w:rPr>
        <w:t>1, z późn. zm.</w:t>
      </w:r>
      <w:r w:rsidRPr="0078522A">
        <w:rPr>
          <w:rFonts w:ascii="Lato" w:hAnsi="Lato" w:cs="Arial"/>
        </w:rPr>
        <w:t>);</w:t>
      </w:r>
    </w:p>
    <w:p w14:paraId="04663B1C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korzystaniu z pełni praw publicznych;</w:t>
      </w:r>
    </w:p>
    <w:p w14:paraId="3EF269D5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o niekaralności zakazem pełnienia funkcji związanych z dysponowaniem środkami publicznymi;</w:t>
      </w:r>
    </w:p>
    <w:p w14:paraId="6600B8F0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 lustracyjne lub informację o złożeniu oświadczenia lustracyjnego, zgodnie z art. 7 ustawy z dnia 18 października 2006 r. o ujawnianiu informacji o dokumentach organów bezpieczeństwa państwa z lat 1944-1990 oraz treści tych dokumentów (Dz. U. z 202</w:t>
      </w:r>
      <w:r w:rsidR="0078522A" w:rsidRPr="0078522A">
        <w:rPr>
          <w:rFonts w:ascii="Lato" w:hAnsi="Lato" w:cs="Arial"/>
        </w:rPr>
        <w:t>3</w:t>
      </w:r>
      <w:r w:rsidRPr="0078522A">
        <w:rPr>
          <w:rFonts w:ascii="Lato" w:hAnsi="Lato" w:cs="Arial"/>
        </w:rPr>
        <w:t xml:space="preserve"> r. poz. </w:t>
      </w:r>
      <w:r w:rsidR="0078522A" w:rsidRPr="0078522A">
        <w:rPr>
          <w:rFonts w:ascii="Lato" w:hAnsi="Lato" w:cs="Arial"/>
        </w:rPr>
        <w:t>342, z późn. zm.</w:t>
      </w:r>
      <w:r w:rsidRPr="0078522A">
        <w:rPr>
          <w:rFonts w:ascii="Lato" w:hAnsi="Lato" w:cs="Arial"/>
        </w:rPr>
        <w:t xml:space="preserve">) – </w:t>
      </w:r>
      <w:r w:rsidRPr="0078522A">
        <w:rPr>
          <w:rFonts w:ascii="Lato" w:hAnsi="Lato" w:cs="Arial"/>
          <w:u w:val="single"/>
        </w:rPr>
        <w:t>dotyczy kandydatów urodzonych przed dniem 1 sierpnia 1972 r.;</w:t>
      </w:r>
    </w:p>
    <w:p w14:paraId="1D72D519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(Dz. U. z 20</w:t>
      </w:r>
      <w:r w:rsidR="0078522A" w:rsidRPr="0078522A">
        <w:rPr>
          <w:rFonts w:ascii="Lato" w:hAnsi="Lato" w:cs="Arial"/>
        </w:rPr>
        <w:t>23</w:t>
      </w:r>
      <w:r w:rsidRPr="0078522A">
        <w:rPr>
          <w:rFonts w:ascii="Lato" w:hAnsi="Lato" w:cs="Arial"/>
        </w:rPr>
        <w:t xml:space="preserve"> r. poz. </w:t>
      </w:r>
      <w:r w:rsidR="0078522A" w:rsidRPr="0078522A">
        <w:rPr>
          <w:rFonts w:ascii="Lato" w:hAnsi="Lato" w:cs="Arial"/>
        </w:rPr>
        <w:t>756, z późn. zm.</w:t>
      </w:r>
      <w:r w:rsidRPr="0078522A">
        <w:rPr>
          <w:rFonts w:ascii="Lato" w:hAnsi="Lato" w:cs="Arial"/>
        </w:rPr>
        <w:t>);</w:t>
      </w:r>
    </w:p>
    <w:p w14:paraId="01190050" w14:textId="7E6FADFE" w:rsidR="00265E79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oświadczenie, o którym mowa w art. 114a ust. 2 ustawy.</w:t>
      </w:r>
    </w:p>
    <w:p w14:paraId="005FB224" w14:textId="77777777" w:rsidR="00163805" w:rsidRDefault="00163805" w:rsidP="00163805">
      <w:pPr>
        <w:spacing w:after="0" w:line="360" w:lineRule="auto"/>
        <w:jc w:val="both"/>
        <w:rPr>
          <w:rFonts w:ascii="Arial" w:hAnsi="Arial" w:cs="Arial"/>
        </w:rPr>
      </w:pPr>
    </w:p>
    <w:p w14:paraId="518A49EF" w14:textId="77777777" w:rsidR="006216E7" w:rsidRPr="00160ED6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6216E7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6216E7">
        <w:rPr>
          <w:rFonts w:ascii="Lato" w:hAnsi="Lato" w:cs="Arial"/>
          <w:b/>
        </w:rPr>
        <w:t xml:space="preserve">W ofercie należy podać dane kontaktowe – adres do korespondencji, adres e-mail, numer telefonu. </w:t>
      </w:r>
    </w:p>
    <w:p w14:paraId="792ABD7B" w14:textId="4BDEABFE" w:rsidR="006216E7" w:rsidRPr="00D35780" w:rsidRDefault="006216E7" w:rsidP="006216E7">
      <w:pPr>
        <w:spacing w:after="120" w:line="360" w:lineRule="auto"/>
        <w:jc w:val="both"/>
        <w:rPr>
          <w:rFonts w:ascii="Lato" w:hAnsi="Lato" w:cs="Arial"/>
          <w:b/>
        </w:rPr>
      </w:pPr>
      <w:r w:rsidRPr="00D35780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175A46BB" w14:textId="77777777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6216E7">
        <w:rPr>
          <w:rFonts w:ascii="Lato" w:hAnsi="Lato" w:cs="Arial"/>
          <w:b/>
        </w:rPr>
        <w:lastRenderedPageBreak/>
        <w:t xml:space="preserve">Oświadczenie lustracyjne należy dołączyć w zamkniętej i opisanej kopercie. </w:t>
      </w:r>
    </w:p>
    <w:p w14:paraId="0454987A" w14:textId="77777777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</w:rPr>
      </w:pPr>
    </w:p>
    <w:p w14:paraId="7D58350B" w14:textId="0FC7C00E" w:rsidR="006216E7" w:rsidRPr="006216E7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Dokumenty, o których mowa w pkt 5 ogłoszenia, w oryginale albo kopii uwierzytelnionej notarialnie, należy składać w zamkniętych kopertach z dopiskiem:</w:t>
      </w:r>
    </w:p>
    <w:p w14:paraId="3ED05CF1" w14:textId="77777777" w:rsidR="006216E7" w:rsidRPr="006216E7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6216E7">
        <w:rPr>
          <w:rFonts w:ascii="Lato" w:hAnsi="Lato" w:cs="Arial"/>
          <w:sz w:val="22"/>
          <w:szCs w:val="22"/>
        </w:rPr>
        <w:t>„NABÓR NA STANOWISKO GŁÓWNEGO INSPEKTORA FARMACEUTYCZNEGO”</w:t>
      </w:r>
    </w:p>
    <w:p w14:paraId="1D65F91C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pocztą na adres:</w:t>
      </w:r>
    </w:p>
    <w:p w14:paraId="6C125660" w14:textId="77777777" w:rsidR="006216E7" w:rsidRPr="006216E7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Ministerstwo Zdrowia </w:t>
      </w:r>
    </w:p>
    <w:p w14:paraId="16888B5A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ul. Miodowa 15, 00-952 Warszawa</w:t>
      </w:r>
    </w:p>
    <w:p w14:paraId="0C31B529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6216E7">
        <w:rPr>
          <w:rFonts w:ascii="Lato" w:hAnsi="Lato"/>
          <w:sz w:val="22"/>
          <w:szCs w:val="22"/>
        </w:rPr>
        <w:t xml:space="preserve">albo osobiście w zamkniętej kopercie w Kancelarii Ministerstwie Zdrowia, ul. Miodowa 15 </w:t>
      </w:r>
      <w:r w:rsidRPr="006216E7">
        <w:rPr>
          <w:rFonts w:ascii="Lato" w:hAnsi="Lato"/>
          <w:sz w:val="22"/>
          <w:szCs w:val="22"/>
        </w:rPr>
        <w:br/>
        <w:t>w pok. nr 13.</w:t>
      </w:r>
    </w:p>
    <w:p w14:paraId="65F07C5D" w14:textId="77777777" w:rsidR="006216E7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7D03514" w14:textId="209497C2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Fonts w:ascii="Lato" w:hAnsi="Lato"/>
          <w:b/>
          <w:color w:val="auto"/>
          <w:sz w:val="22"/>
          <w:szCs w:val="22"/>
        </w:rPr>
        <w:t xml:space="preserve">Termin składania dokumentów określonych w pkt 5 ogłoszenia upływa w dniu </w:t>
      </w:r>
      <w:r w:rsidRPr="006216E7">
        <w:rPr>
          <w:rFonts w:ascii="Lato" w:hAnsi="Lato"/>
          <w:b/>
          <w:color w:val="auto"/>
          <w:sz w:val="22"/>
          <w:szCs w:val="22"/>
        </w:rPr>
        <w:br/>
      </w:r>
      <w:r w:rsidR="006E3542">
        <w:rPr>
          <w:rFonts w:ascii="Lato" w:hAnsi="Lato"/>
          <w:b/>
          <w:color w:val="auto"/>
          <w:sz w:val="22"/>
          <w:szCs w:val="22"/>
        </w:rPr>
        <w:t>15 grudnia 2023 r.</w:t>
      </w:r>
    </w:p>
    <w:p w14:paraId="6991160E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Style w:val="Pogrubienie"/>
          <w:rFonts w:ascii="Lato" w:hAnsi="Lato"/>
          <w:sz w:val="22"/>
          <w:szCs w:val="22"/>
        </w:rPr>
        <w:t xml:space="preserve">O zachowaniu terminu decyduje data wpływu oferty do Ministerstwa Zdrowia. </w:t>
      </w:r>
      <w:r w:rsidRPr="006216E7">
        <w:rPr>
          <w:rFonts w:ascii="Lato" w:hAnsi="Lato"/>
          <w:b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</w:p>
    <w:p w14:paraId="6E662A6F" w14:textId="51184184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6216E7">
        <w:rPr>
          <w:rFonts w:ascii="Lato" w:hAnsi="Lato"/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6EF81A7" w14:textId="4641644C" w:rsidR="00D35780" w:rsidRPr="00160ED6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6E7C91F3" w14:textId="77777777" w:rsidR="00D35780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35780">
        <w:rPr>
          <w:rFonts w:ascii="Arial" w:hAnsi="Arial" w:cs="Arial"/>
        </w:rPr>
        <w:t>nabór przeprowadza zespół, o którym mowa w art. 111 ust. 6 ustawy;</w:t>
      </w:r>
    </w:p>
    <w:p w14:paraId="1BEAEA1D" w14:textId="3A0BB71C" w:rsidR="00D35780" w:rsidRPr="00D35780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35780">
        <w:rPr>
          <w:rFonts w:ascii="Arial" w:hAnsi="Arial" w:cs="Arial"/>
        </w:rPr>
        <w:t>technika naboru będzie polegała na:</w:t>
      </w:r>
    </w:p>
    <w:p w14:paraId="1E240E63" w14:textId="33AD2944" w:rsidR="00D35780" w:rsidRPr="0062011B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62011B">
        <w:rPr>
          <w:rFonts w:ascii="Arial" w:hAnsi="Arial" w:cs="Arial"/>
        </w:rPr>
        <w:t xml:space="preserve">formalnej weryfikacji dokumentów, o których mowa w pkt </w:t>
      </w:r>
      <w:r>
        <w:rPr>
          <w:rFonts w:ascii="Arial" w:hAnsi="Arial" w:cs="Arial"/>
        </w:rPr>
        <w:t>5</w:t>
      </w:r>
      <w:r w:rsidRPr="0062011B">
        <w:rPr>
          <w:rFonts w:ascii="Arial" w:hAnsi="Arial" w:cs="Arial"/>
        </w:rPr>
        <w:t>,</w:t>
      </w:r>
    </w:p>
    <w:p w14:paraId="6848BA1D" w14:textId="5FEB9105" w:rsidR="00D35780" w:rsidRPr="0062011B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62011B">
        <w:rPr>
          <w:rFonts w:ascii="Arial" w:hAnsi="Arial" w:cs="Arial"/>
        </w:rPr>
        <w:t xml:space="preserve">analizie merytorycznej dokumentów, o których mowa w pkt </w:t>
      </w:r>
      <w:r>
        <w:rPr>
          <w:rFonts w:ascii="Arial" w:hAnsi="Arial" w:cs="Arial"/>
        </w:rPr>
        <w:t>5</w:t>
      </w:r>
      <w:r w:rsidRPr="0062011B">
        <w:rPr>
          <w:rFonts w:ascii="Arial" w:hAnsi="Arial" w:cs="Arial"/>
        </w:rPr>
        <w:t>,</w:t>
      </w:r>
    </w:p>
    <w:p w14:paraId="4918D5AF" w14:textId="77777777" w:rsidR="00D35780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4B260B">
        <w:rPr>
          <w:rFonts w:ascii="Arial" w:hAnsi="Arial" w:cs="Arial"/>
        </w:rPr>
        <w:t xml:space="preserve">rozmowie kwalifikacyjnej, w trakcie której odbędzie się sprawdzenie </w:t>
      </w:r>
      <w:r w:rsidRPr="004B260B">
        <w:rPr>
          <w:rFonts w:ascii="Arial" w:hAnsi="Arial" w:cs="Arial"/>
          <w:color w:val="333333"/>
          <w:shd w:val="clear" w:color="auto" w:fill="FFFFFF"/>
        </w:rPr>
        <w:t>wiedz</w:t>
      </w:r>
      <w:r>
        <w:rPr>
          <w:rFonts w:ascii="Arial" w:hAnsi="Arial" w:cs="Arial"/>
          <w:color w:val="333333"/>
          <w:shd w:val="clear" w:color="auto" w:fill="FFFFFF"/>
        </w:rPr>
        <w:t>y</w:t>
      </w:r>
      <w:r w:rsidRPr="004B260B">
        <w:rPr>
          <w:rFonts w:ascii="Arial" w:hAnsi="Arial" w:cs="Arial"/>
          <w:color w:val="333333"/>
          <w:shd w:val="clear" w:color="auto" w:fill="FFFFFF"/>
        </w:rPr>
        <w:t xml:space="preserve"> niezbędn</w:t>
      </w:r>
      <w:r>
        <w:rPr>
          <w:rFonts w:ascii="Arial" w:hAnsi="Arial" w:cs="Arial"/>
          <w:color w:val="333333"/>
          <w:shd w:val="clear" w:color="auto" w:fill="FFFFFF"/>
        </w:rPr>
        <w:t>ej</w:t>
      </w:r>
      <w:r w:rsidRPr="004B260B">
        <w:rPr>
          <w:rFonts w:ascii="Arial" w:hAnsi="Arial" w:cs="Arial"/>
          <w:color w:val="333333"/>
          <w:shd w:val="clear" w:color="auto" w:fill="FFFFFF"/>
        </w:rPr>
        <w:t xml:space="preserve"> do wykonywania zadań na stanowisku</w:t>
      </w:r>
      <w:r w:rsidRPr="004B260B">
        <w:rPr>
          <w:rFonts w:ascii="Arial" w:hAnsi="Arial" w:cs="Arial"/>
        </w:rPr>
        <w:t xml:space="preserve"> Głównego Inspektora Farmaceutycznego oraz sprawdzenie kompetencji kierowniczych.</w:t>
      </w:r>
    </w:p>
    <w:p w14:paraId="28C27891" w14:textId="77777777" w:rsidR="006216E7" w:rsidRPr="0062011B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</w:p>
    <w:p w14:paraId="6ADDCECA" w14:textId="77777777" w:rsidR="006216E7" w:rsidRDefault="006216E7" w:rsidP="00163805">
      <w:pPr>
        <w:spacing w:after="0" w:line="360" w:lineRule="auto"/>
        <w:jc w:val="both"/>
        <w:rPr>
          <w:rFonts w:ascii="Arial" w:hAnsi="Arial" w:cs="Arial"/>
        </w:rPr>
      </w:pPr>
    </w:p>
    <w:p w14:paraId="50CE00E7" w14:textId="77777777" w:rsidR="00186D93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p w14:paraId="124B370F" w14:textId="77777777" w:rsidR="00186D93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p w14:paraId="11FEEE79" w14:textId="77777777" w:rsidR="00186D93" w:rsidRPr="00D06629" w:rsidRDefault="00186D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86D93" w:rsidRPr="00160ED6" w14:paraId="269DB4C2" w14:textId="77777777" w:rsidTr="00E635C0">
        <w:trPr>
          <w:trHeight w:val="11497"/>
        </w:trPr>
        <w:tc>
          <w:tcPr>
            <w:tcW w:w="9343" w:type="dxa"/>
          </w:tcPr>
          <w:p w14:paraId="7C0F5099" w14:textId="77777777" w:rsidR="00186D93" w:rsidRPr="00EF5051" w:rsidRDefault="00186D93" w:rsidP="00E635C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2940A12" w14:textId="10A06282" w:rsidR="00186D93" w:rsidRPr="00EF5051" w:rsidRDefault="00186D93" w:rsidP="00E635C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</w:t>
            </w:r>
            <w:r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>/8tk37sxx6h/</w:t>
            </w:r>
            <w:proofErr w:type="spellStart"/>
            <w:r w:rsidRPr="00EF5051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3453448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979EAB4" w14:textId="49D8023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Farmaceutycznego.</w:t>
            </w:r>
          </w:p>
          <w:p w14:paraId="552DE38A" w14:textId="207799BA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ustawy z dnia </w:t>
            </w:r>
            <w:r>
              <w:rPr>
                <w:rFonts w:ascii="Lato" w:hAnsi="Lato" w:cs="Arial"/>
                <w:sz w:val="16"/>
                <w:szCs w:val="16"/>
              </w:rPr>
              <w:t>6 września 2001 r. Prawo farmaceutyczne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(Dz. U. z 2022 r. poz. </w:t>
            </w:r>
            <w:r>
              <w:rPr>
                <w:rFonts w:ascii="Lato" w:hAnsi="Lato" w:cs="Arial"/>
                <w:sz w:val="16"/>
                <w:szCs w:val="16"/>
              </w:rPr>
              <w:t>2301</w:t>
            </w:r>
            <w:r w:rsidRPr="00EF5051">
              <w:rPr>
                <w:rFonts w:ascii="Lato" w:hAnsi="Lato" w:cs="Arial"/>
                <w:sz w:val="16"/>
                <w:szCs w:val="16"/>
              </w:rPr>
              <w:t>, z późn. zm.)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(Dz. U. z 2023 r. poz. 1465).  </w:t>
            </w:r>
          </w:p>
          <w:p w14:paraId="5C7F118D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11D1480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24C62844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610370B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5C094A7E" w14:textId="6EF2871C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>
              <w:rPr>
                <w:rFonts w:ascii="Lato" w:hAnsi="Lato" w:cs="Arial"/>
                <w:sz w:val="16"/>
                <w:szCs w:val="16"/>
              </w:rPr>
              <w:t>Głównego Inspektora Farmaceutycznego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6B7BAE52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02DB64D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35B973D6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19274140" w14:textId="77777777" w:rsidR="00186D93" w:rsidRPr="00163805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186D93" w:rsidRPr="00163805" w:rsidSect="00826C22">
      <w:headerReference w:type="default" r:id="rId18"/>
      <w:footerReference w:type="default" r:id="rId1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1D7C2" w14:textId="77777777" w:rsidR="00533B1E" w:rsidRDefault="00533B1E" w:rsidP="00FA294C">
      <w:pPr>
        <w:spacing w:after="0" w:line="240" w:lineRule="auto"/>
      </w:pPr>
      <w:r>
        <w:separator/>
      </w:r>
    </w:p>
  </w:endnote>
  <w:endnote w:type="continuationSeparator" w:id="0">
    <w:p w14:paraId="092403D6" w14:textId="77777777" w:rsidR="00533B1E" w:rsidRDefault="00533B1E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B29B" w14:textId="77777777" w:rsidR="00533B1E" w:rsidRDefault="00533B1E" w:rsidP="00FA294C">
      <w:pPr>
        <w:spacing w:after="0" w:line="240" w:lineRule="auto"/>
      </w:pPr>
      <w:r>
        <w:separator/>
      </w:r>
    </w:p>
  </w:footnote>
  <w:footnote w:type="continuationSeparator" w:id="0">
    <w:p w14:paraId="3042E4A3" w14:textId="77777777" w:rsidR="00533B1E" w:rsidRDefault="00533B1E" w:rsidP="00FA294C">
      <w:pPr>
        <w:spacing w:after="0" w:line="240" w:lineRule="auto"/>
      </w:pPr>
      <w:r>
        <w:continuationSeparator/>
      </w:r>
    </w:p>
  </w:footnote>
  <w:footnote w:id="1">
    <w:p w14:paraId="51FCA9FC" w14:textId="21D8FAB1" w:rsidR="00FA294C" w:rsidRPr="0076748D" w:rsidRDefault="00FA294C" w:rsidP="00FA294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15AF0">
        <w:rPr>
          <w:rFonts w:ascii="Lato" w:hAnsi="Lato" w:cs="Arial"/>
          <w:sz w:val="18"/>
          <w:szCs w:val="18"/>
        </w:rPr>
        <w:t>rozporządzenie delegowane Komisji (UE) </w:t>
      </w:r>
      <w:hyperlink r:id="rId1" w:history="1">
        <w:r w:rsidRPr="00C15AF0">
          <w:rPr>
            <w:rFonts w:ascii="Lato" w:hAnsi="Lato"/>
            <w:sz w:val="18"/>
            <w:szCs w:val="18"/>
          </w:rPr>
          <w:t>2016/161</w:t>
        </w:r>
      </w:hyperlink>
      <w:r w:rsidRPr="00C15AF0">
        <w:rPr>
          <w:rFonts w:ascii="Lato" w:hAnsi="Lato" w:cs="Arial"/>
          <w:sz w:val="18"/>
          <w:szCs w:val="18"/>
        </w:rPr>
        <w:t> z dnia 2 października 2015 r. uzupełniającego dyrektywę </w:t>
      </w:r>
      <w:hyperlink r:id="rId2" w:history="1">
        <w:r w:rsidRPr="00C15AF0">
          <w:rPr>
            <w:rFonts w:ascii="Lato" w:hAnsi="Lato"/>
            <w:sz w:val="18"/>
            <w:szCs w:val="18"/>
          </w:rPr>
          <w:t>2001/83/WE</w:t>
        </w:r>
      </w:hyperlink>
      <w:r w:rsidRPr="00C15AF0">
        <w:rPr>
          <w:rFonts w:ascii="Lato" w:hAnsi="Lato" w:cs="Arial"/>
          <w:sz w:val="18"/>
          <w:szCs w:val="18"/>
        </w:rPr>
        <w:t> Parlamentu Europejskiego i Rady przez określenie szczegółowych zasad dotyczących zabezpieczeń umieszczanych na opakowaniach produktów leczniczych stosowanych u ludzi (Dz.</w:t>
      </w:r>
      <w:r w:rsidR="00C15AF0" w:rsidRPr="00C15AF0">
        <w:rPr>
          <w:rFonts w:ascii="Lato" w:hAnsi="Lato" w:cs="Arial"/>
          <w:sz w:val="18"/>
          <w:szCs w:val="18"/>
        </w:rPr>
        <w:t xml:space="preserve"> </w:t>
      </w:r>
      <w:r w:rsidRPr="00C15AF0">
        <w:rPr>
          <w:rFonts w:ascii="Lato" w:hAnsi="Lato" w:cs="Arial"/>
          <w:sz w:val="18"/>
          <w:szCs w:val="18"/>
        </w:rPr>
        <w:t>Urz. UE L 32 z 09.02.2016, </w:t>
      </w:r>
      <w:hyperlink r:id="rId3" w:history="1">
        <w:r w:rsidRPr="00C15AF0">
          <w:rPr>
            <w:rFonts w:ascii="Lato" w:hAnsi="Lato"/>
            <w:sz w:val="18"/>
            <w:szCs w:val="18"/>
          </w:rPr>
          <w:t>str. 1</w:t>
        </w:r>
      </w:hyperlink>
      <w:r w:rsidRPr="00C15AF0">
        <w:rPr>
          <w:rFonts w:ascii="Lato" w:hAnsi="Lato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52CFFDDD" w:rsidR="00C15AF0" w:rsidRDefault="006E3542" w:rsidP="00C15AF0">
    <w:pPr>
      <w:pStyle w:val="Nagwek"/>
      <w:jc w:val="right"/>
    </w:pPr>
    <w:r>
      <w:t>1</w:t>
    </w:r>
    <w:r w:rsidR="00C15AF0">
      <w:t xml:space="preserve"> </w:t>
    </w:r>
    <w:r>
      <w:t>grudnia</w:t>
    </w:r>
    <w:r w:rsidR="00C15AF0">
      <w:t xml:space="preserve"> 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208862">
    <w:abstractNumId w:val="10"/>
  </w:num>
  <w:num w:numId="2" w16cid:durableId="1538590941">
    <w:abstractNumId w:val="0"/>
  </w:num>
  <w:num w:numId="3" w16cid:durableId="482698338">
    <w:abstractNumId w:val="2"/>
  </w:num>
  <w:num w:numId="4" w16cid:durableId="797793729">
    <w:abstractNumId w:val="3"/>
  </w:num>
  <w:num w:numId="5" w16cid:durableId="824277510">
    <w:abstractNumId w:val="7"/>
  </w:num>
  <w:num w:numId="6" w16cid:durableId="309289938">
    <w:abstractNumId w:val="1"/>
  </w:num>
  <w:num w:numId="7" w16cid:durableId="569970609">
    <w:abstractNumId w:val="5"/>
  </w:num>
  <w:num w:numId="8" w16cid:durableId="1668823080">
    <w:abstractNumId w:val="6"/>
  </w:num>
  <w:num w:numId="9" w16cid:durableId="117383118">
    <w:abstractNumId w:val="8"/>
  </w:num>
  <w:num w:numId="10" w16cid:durableId="1490097398">
    <w:abstractNumId w:val="4"/>
  </w:num>
  <w:num w:numId="11" w16cid:durableId="1740708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33ED0"/>
    <w:rsid w:val="00163805"/>
    <w:rsid w:val="00186D93"/>
    <w:rsid w:val="00265E79"/>
    <w:rsid w:val="004A2DD1"/>
    <w:rsid w:val="004D291F"/>
    <w:rsid w:val="0052692B"/>
    <w:rsid w:val="00533B1E"/>
    <w:rsid w:val="005C29A3"/>
    <w:rsid w:val="006216E7"/>
    <w:rsid w:val="00622C45"/>
    <w:rsid w:val="006E3542"/>
    <w:rsid w:val="0078522A"/>
    <w:rsid w:val="00807254"/>
    <w:rsid w:val="00820247"/>
    <w:rsid w:val="00826C22"/>
    <w:rsid w:val="0088657F"/>
    <w:rsid w:val="009D1DB3"/>
    <w:rsid w:val="00AA5E03"/>
    <w:rsid w:val="00C15AF0"/>
    <w:rsid w:val="00C85780"/>
    <w:rsid w:val="00D35780"/>
    <w:rsid w:val="00D558D0"/>
    <w:rsid w:val="00DC7CDE"/>
    <w:rsid w:val="00EC62FA"/>
    <w:rsid w:val="00F06D32"/>
    <w:rsid w:val="00F30E39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cnbwgaytsltqmfyc4mzzhe2tknrzgu" TargetMode="External"/><Relationship Id="rId13" Type="http://schemas.openxmlformats.org/officeDocument/2006/relationships/hyperlink" Target="https://sip.legalis.pl/document-view.seam?documentId=mfrxilrvgaytgmzrgays44dboaxdcmjqgqzdinj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p.legalis.pl/document-view.seam?documentId=mfrxilrtg4ytcnbwgaytsltqmfyc4mzzhe2tmnjvha" TargetMode="External"/><Relationship Id="rId12" Type="http://schemas.openxmlformats.org/officeDocument/2006/relationships/hyperlink" Target="https://sip.legalis.pl/document-view.seam?documentId=mfrxilrtg4ytcnbwgaytsltqmfyc4mzzhe2tknrzgu" TargetMode="External"/><Relationship Id="rId17" Type="http://schemas.openxmlformats.org/officeDocument/2006/relationships/hyperlink" Target="https://sip.legalis.pl/document-view.seam?documentId=mfrxilrtgmydsmjyhe3tk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mydsmjyhe3tkltqmfyc4mztha2tanbug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cnbwgaytsltqmfyc4mzzhe2tmnjwg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mydsmjyhe3tk" TargetMode="External"/><Relationship Id="rId10" Type="http://schemas.openxmlformats.org/officeDocument/2006/relationships/hyperlink" Target="https://sip.legalis.pl/document-view.seam?documentId=mfrxilrtg4ytcnbwgaytsltqmfyc4mzzhe2tknrzg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vgaytgmzrgays44dboaxdcmjqgqzdinjs" TargetMode="External"/><Relationship Id="rId14" Type="http://schemas.openxmlformats.org/officeDocument/2006/relationships/hyperlink" Target="https://sip.legalis.pl/document-view.seam?documentId=mfrxilrtgmydsmjyhe3tkltqmfyc4mztha2tanjsg4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mydsmjyhe3tkltqmfyc4mztha2dsnjvgm" TargetMode="External"/><Relationship Id="rId2" Type="http://schemas.openxmlformats.org/officeDocument/2006/relationships/hyperlink" Target="https://sip.legalis.pl/document-view.seam?documentId=mfrxilrvgaytgmzrgays44dboaxdcmjqgqzdinjs" TargetMode="External"/><Relationship Id="rId1" Type="http://schemas.openxmlformats.org/officeDocument/2006/relationships/hyperlink" Target="https://sip.legalis.pl/document-view.seam?documentId=mfrxilrtgmydsmjyhe3tkltqmfyc4mztha2dsnjvg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2089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Sędek Joanna</cp:lastModifiedBy>
  <cp:revision>2</cp:revision>
  <dcterms:created xsi:type="dcterms:W3CDTF">2023-12-01T13:51:00Z</dcterms:created>
  <dcterms:modified xsi:type="dcterms:W3CDTF">2023-12-01T13:51:00Z</dcterms:modified>
</cp:coreProperties>
</file>