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0E54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10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11</w:t>
      </w:r>
      <w:bookmarkStart w:id="0" w:name="_GoBack"/>
      <w:bookmarkEnd w:id="0"/>
      <w:r>
        <w:rPr>
          <w:sz w:val="24"/>
          <w:szCs w:val="24"/>
        </w:rPr>
        <w:t>.2025 r.</w:t>
      </w:r>
    </w:p>
    <w:p w14:paraId="318E2EA4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66199F6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ZAJĘCIA DODATKOWE - INFORMATYKA</w:t>
      </w:r>
    </w:p>
    <w:p w14:paraId="225C101C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(z uwzględnieniem obsługi i pilotażu Bezzałogowych Statków Powietrznych kat.A1/A3)</w:t>
      </w:r>
    </w:p>
    <w:p w14:paraId="44AD1A7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</w:p>
    <w:p w14:paraId="63CCF881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17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05</w:t>
      </w:r>
      <w:r>
        <w:rPr>
          <w:rFonts w:ascii="Arial" w:hAnsi="Arial" w:cs="Arial"/>
          <w:sz w:val="24"/>
          <w:szCs w:val="24"/>
        </w:rPr>
        <w:t>.1</w:t>
      </w:r>
      <w:r>
        <w:rPr>
          <w:rFonts w:hint="default" w:ascii="Arial" w:hAnsi="Arial" w:cs="Arial"/>
          <w:sz w:val="24"/>
          <w:szCs w:val="24"/>
          <w:lang w:val="pl-PL"/>
        </w:rPr>
        <w:t>2</w:t>
      </w:r>
      <w:r>
        <w:rPr>
          <w:rFonts w:ascii="Arial" w:hAnsi="Arial" w:cs="Arial"/>
          <w:sz w:val="24"/>
          <w:szCs w:val="24"/>
        </w:rPr>
        <w:t>.2025 r.</w:t>
      </w:r>
    </w:p>
    <w:p w14:paraId="4B4A78BE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31D939A1">
      <w:pPr>
        <w:tabs>
          <w:tab w:val="left" w:pos="93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9"/>
        <w:gridCol w:w="1605"/>
        <w:gridCol w:w="4403"/>
      </w:tblGrid>
      <w:tr w14:paraId="689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ABC484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 w14:paraId="51EC15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4F11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1FD2D5F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</w:tcPr>
          <w:p w14:paraId="30567F2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</w:tcPr>
          <w:p w14:paraId="4EE49C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 w14:paraId="5985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84D2E0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17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10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3C72B4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3256F578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3AEAEB9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7A625A57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EE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D5F65F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10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0E8115D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01E90A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E989BED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5EACA5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C7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D3D94A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6EA25B5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046393C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192E3D9C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A2E26B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6BDB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BC4C4B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E505E5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6D0FED3C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0074612B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2E0B310D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34E6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9169D6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28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.11.2025</w:t>
            </w:r>
          </w:p>
          <w:p w14:paraId="2AD1073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B9DFE1F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42C1D8A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7DB6E6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5C8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F6C157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05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5D74419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kern w:val="0"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6099E29E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54BD93A">
            <w:pPr>
              <w:widowControl/>
              <w:suppressAutoHyphens/>
              <w:spacing w:before="0" w:after="0" w:line="240" w:lineRule="auto"/>
              <w:jc w:val="center"/>
              <w:rPr>
                <w:b/>
                <w:kern w:val="0"/>
                <w:sz w:val="20"/>
                <w:szCs w:val="20"/>
                <w:lang w:val="pl-PL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39CFDA2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2529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7" w:type="dxa"/>
          </w:tcPr>
          <w:p w14:paraId="14282A3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</w:tcPr>
          <w:p w14:paraId="1602B930">
            <w:pPr>
              <w:spacing w:before="0" w:after="160"/>
            </w:pPr>
          </w:p>
        </w:tc>
        <w:tc>
          <w:tcPr>
            <w:tcW w:w="1605" w:type="dxa"/>
          </w:tcPr>
          <w:p w14:paraId="2849D0FC">
            <w:pPr>
              <w:widowControl/>
              <w:suppressAutoHyphens/>
              <w:spacing w:before="0" w:after="160"/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30</w:t>
            </w:r>
          </w:p>
        </w:tc>
        <w:tc>
          <w:tcPr>
            <w:tcW w:w="4403" w:type="dxa"/>
          </w:tcPr>
          <w:p w14:paraId="4296B14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</w:tbl>
    <w:p w14:paraId="3D6E0100">
      <w:pPr>
        <w:spacing w:before="0" w:after="160"/>
      </w:pPr>
    </w:p>
    <w:p w14:paraId="175F6F34">
      <w:pPr>
        <w:spacing w:before="0" w:after="160"/>
      </w:pPr>
    </w:p>
    <w:p w14:paraId="5A31DB9B">
      <w:pPr>
        <w:spacing w:before="0" w:after="160"/>
      </w:pPr>
    </w:p>
    <w:p w14:paraId="00B5C303">
      <w:pPr>
        <w:spacing w:before="0" w:after="160"/>
      </w:pPr>
    </w:p>
    <w:p w14:paraId="2055E98C">
      <w:pPr>
        <w:spacing w:before="0" w:after="160"/>
      </w:pPr>
    </w:p>
    <w:p w14:paraId="4B63C1FA">
      <w:pPr>
        <w:spacing w:before="0" w:after="160"/>
      </w:pPr>
    </w:p>
    <w:p w14:paraId="1CC7B660">
      <w:pPr>
        <w:spacing w:before="0" w:after="160"/>
      </w:pPr>
    </w:p>
    <w:p w14:paraId="0A7C1F60">
      <w:pPr>
        <w:spacing w:before="0" w:after="160"/>
      </w:pPr>
    </w:p>
    <w:p w14:paraId="59E1E386">
      <w:pPr>
        <w:spacing w:before="0" w:after="160"/>
      </w:pPr>
    </w:p>
    <w:p w14:paraId="1337EF7B">
      <w:pPr>
        <w:spacing w:before="0" w:after="16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UCZESTNIKÓW PROJEKTU</w:t>
      </w:r>
    </w:p>
    <w:p w14:paraId="457CFE56">
      <w:pPr>
        <w:spacing w:before="0" w:after="160"/>
      </w:pPr>
    </w:p>
    <w:tbl>
      <w:tblPr>
        <w:tblStyle w:val="3"/>
        <w:tblW w:w="5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570"/>
        <w:gridCol w:w="1050"/>
      </w:tblGrid>
      <w:tr w14:paraId="7BA1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noWrap/>
            <w:vAlign w:val="center"/>
          </w:tcPr>
          <w:p w14:paraId="7021A9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19C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Bilski Hubert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DA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16A7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7AB6F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FBA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Drabik Amelia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34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 TR</w:t>
            </w:r>
          </w:p>
        </w:tc>
      </w:tr>
      <w:tr w14:paraId="1B3F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336F11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CF4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Karasek Bartłomiej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2F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601C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23298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531F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Siekierski Patryk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E5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A4D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0C599F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21C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Tarkowski Antoni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0C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5637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35183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BBC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Wielec Henryk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2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</w:tbl>
    <w:p w14:paraId="5F66BEB6">
      <w:pPr>
        <w:spacing w:before="0" w:after="160"/>
      </w:pPr>
    </w:p>
    <w:p w14:paraId="61184E8B">
      <w:pPr>
        <w:spacing w:before="0" w:after="160"/>
      </w:pPr>
    </w:p>
    <w:p w14:paraId="2E9A55F9">
      <w:pPr>
        <w:spacing w:before="0" w:after="160"/>
      </w:pPr>
    </w:p>
    <w:p w14:paraId="6FE4AF1A">
      <w:pPr>
        <w:spacing w:before="0" w:after="160"/>
      </w:pPr>
    </w:p>
    <w:p w14:paraId="1C6AF94A">
      <w:pPr>
        <w:spacing w:before="0" w:after="160"/>
      </w:pPr>
    </w:p>
    <w:p w14:paraId="49331AF1">
      <w:pPr>
        <w:spacing w:before="0" w:after="160"/>
      </w:pPr>
    </w:p>
    <w:p w14:paraId="25ED9A87">
      <w:pPr>
        <w:spacing w:before="0" w:after="160"/>
      </w:pPr>
    </w:p>
    <w:p w14:paraId="5CCC7F26">
      <w:pPr>
        <w:spacing w:before="0" w:after="160"/>
      </w:pPr>
    </w:p>
    <w:p w14:paraId="3C6230C4">
      <w:pPr>
        <w:spacing w:before="0" w:after="160"/>
      </w:pPr>
    </w:p>
    <w:p w14:paraId="418EA78A">
      <w:pPr>
        <w:spacing w:before="0" w:after="160"/>
      </w:pPr>
    </w:p>
    <w:p w14:paraId="11F98A2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9B0195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3800B1EB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3D0AB8B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0BF433D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683172F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373084F5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9C947B0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5958020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86AB2DB">
      <w:pPr>
        <w:spacing w:before="0" w:after="160"/>
        <w:jc w:val="center"/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</w:p>
    <w:p w14:paraId="6EAF6AFB">
      <w:pPr>
        <w:spacing w:before="0" w:after="160"/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82AE8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45A73A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C1EFC9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Cbbl05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g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Cbbl05&#10;4gEAALQDAAAOAAAAAAAAAAEAIAAAACkBAABkcnMvZTJvRG9jLnhtbFBLBQYAAAAABgAGAFkBAAB9&#10;BQAA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818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45C1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015D08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D7E535D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BayW+r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k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BayW+r&#10;4gEAALQDAAAOAAAAAAAAAAEAIAAAACkBAABkcnMvZTJvRG9jLnhtbFBLBQYAAAAABgAGAFkBAAB9&#10;BQAA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BA063"/>
    <w:multiLevelType w:val="singleLevel"/>
    <w:tmpl w:val="3E3BA06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7E7745"/>
    <w:rsid w:val="100E59D2"/>
    <w:rsid w:val="16712040"/>
    <w:rsid w:val="1B474268"/>
    <w:rsid w:val="292F2E7A"/>
    <w:rsid w:val="2B035E9D"/>
    <w:rsid w:val="3E801AAF"/>
    <w:rsid w:val="422005D3"/>
    <w:rsid w:val="44986D1B"/>
    <w:rsid w:val="4EBC42C3"/>
    <w:rsid w:val="51812592"/>
    <w:rsid w:val="58533042"/>
    <w:rsid w:val="63707940"/>
    <w:rsid w:val="67AE67A9"/>
    <w:rsid w:val="67B72646"/>
    <w:rsid w:val="77F23F91"/>
    <w:rsid w:val="7B8348FD"/>
    <w:rsid w:val="7E8D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paragraph" w:customStyle="1" w:styleId="12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4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Główka i stopka (user)"/>
    <w:basedOn w:val="1"/>
    <w:qFormat/>
    <w:uiPriority w:val="0"/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Zawartość ramki"/>
    <w:basedOn w:val="1"/>
    <w:qFormat/>
    <w:uiPriority w:val="0"/>
  </w:style>
  <w:style w:type="paragraph" w:customStyle="1" w:styleId="19">
    <w:name w:val="Zawartość tabeli"/>
    <w:basedOn w:val="1"/>
    <w:qFormat/>
    <w:uiPriority w:val="0"/>
    <w:pPr>
      <w:widowControl w:val="0"/>
      <w:suppressLineNumbers/>
    </w:pPr>
  </w:style>
  <w:style w:type="paragraph" w:customStyle="1" w:styleId="20">
    <w:name w:val="Nagłówek tabeli"/>
    <w:basedOn w:val="1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1391</Characters>
  <Paragraphs>87</Paragraphs>
  <TotalTime>1</TotalTime>
  <ScaleCrop>false</ScaleCrop>
  <LinksUpToDate>false</LinksUpToDate>
  <CharactersWithSpaces>1506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2025-09-11T10:08:00Z</dcterms:created>
  <dc:creator>Stanisław Kosmowski</dc:creator>
  <cp:lastModifiedBy>Tobiasz Kamiński</cp:lastModifiedBy>
  <dcterms:modified xsi:type="dcterms:W3CDTF">2025-11-11T10:48:08Z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A6297BED998B46FA8DA4D2EFD138DFF1_13</vt:lpwstr>
  </property>
  <property fmtid="{D5CDD505-2E9C-101B-9397-08002B2CF9AE}" pid="3" name="KSOProductBuildVer">
    <vt:lpwstr>1045-12.2.0.23155</vt:lpwstr>
  </property>
</Properties>
</file>