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2B60B" w14:textId="34EEFE09" w:rsidR="009B5493" w:rsidRDefault="005D7301" w:rsidP="004A2BCE">
      <w:pPr>
        <w:jc w:val="both"/>
        <w:rPr>
          <w:b/>
          <w:bCs/>
        </w:rPr>
      </w:pPr>
      <w:r w:rsidRPr="005D7301">
        <w:rPr>
          <w:b/>
          <w:bCs/>
        </w:rPr>
        <w:t xml:space="preserve">Szkolenie online dla Wnioskodawców w ramach </w:t>
      </w:r>
      <w:r w:rsidR="00E46346">
        <w:rPr>
          <w:b/>
          <w:bCs/>
        </w:rPr>
        <w:t xml:space="preserve">naboru wniosków o objęcie wsparciem przedsięwzięć </w:t>
      </w:r>
      <w:r w:rsidR="00E46346" w:rsidRPr="00E46346">
        <w:rPr>
          <w:b/>
          <w:bCs/>
        </w:rPr>
        <w:t>z planu rozwojowego</w:t>
      </w:r>
      <w:r w:rsidR="00E46346">
        <w:rPr>
          <w:b/>
          <w:bCs/>
        </w:rPr>
        <w:t xml:space="preserve"> w ramach inwestycji </w:t>
      </w:r>
      <w:r w:rsidR="00E46346" w:rsidRPr="00E46346">
        <w:rPr>
          <w:b/>
          <w:bCs/>
        </w:rPr>
        <w:t>G1.1.3. „Systemy magazynowania energii”</w:t>
      </w:r>
    </w:p>
    <w:p w14:paraId="3DB6D887" w14:textId="77777777" w:rsidR="005D7301" w:rsidRDefault="005D7301">
      <w:pPr>
        <w:rPr>
          <w:b/>
          <w:bCs/>
        </w:rPr>
      </w:pPr>
    </w:p>
    <w:p w14:paraId="0BF0BE9C" w14:textId="4626DD87" w:rsidR="009644BA" w:rsidRDefault="009644BA">
      <w:pPr>
        <w:rPr>
          <w:b/>
          <w:bCs/>
        </w:rPr>
      </w:pPr>
      <w:r>
        <w:rPr>
          <w:noProof/>
          <w:lang w:eastAsia="pl-PL"/>
        </w:rPr>
        <w:drawing>
          <wp:inline distT="0" distB="0" distL="0" distR="0" wp14:anchorId="5C0D6F30" wp14:editId="5338A031">
            <wp:extent cx="5760720" cy="690245"/>
            <wp:effectExtent l="0" t="0" r="0" b="0"/>
            <wp:docPr id="136737246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372468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CE986" w14:textId="74E8A764" w:rsidR="009644BA" w:rsidRDefault="004A2BCE">
      <w:pPr>
        <w:rPr>
          <w:b/>
          <w:bCs/>
        </w:rPr>
      </w:pPr>
      <w:r>
        <w:rPr>
          <w:b/>
          <w:bCs/>
        </w:rPr>
        <w:t>Pytania i odpowiedzi:</w:t>
      </w:r>
    </w:p>
    <w:p w14:paraId="4375F50C" w14:textId="108AEE43" w:rsidR="004A2BCE" w:rsidRDefault="004A2BCE" w:rsidP="004A2BCE">
      <w:pPr>
        <w:pStyle w:val="Akapitzlist"/>
        <w:numPr>
          <w:ilvl w:val="0"/>
          <w:numId w:val="1"/>
        </w:numPr>
        <w:rPr>
          <w:b/>
          <w:bCs/>
        </w:rPr>
      </w:pPr>
      <w:r w:rsidRPr="004A2BCE">
        <w:rPr>
          <w:b/>
          <w:bCs/>
        </w:rPr>
        <w:t>W jaki sposób ma być liczona zainstalowana moc elektryczna?</w:t>
      </w:r>
    </w:p>
    <w:p w14:paraId="5194CC18" w14:textId="6352A25B" w:rsidR="004A2BCE" w:rsidRDefault="004A2BCE" w:rsidP="004A2BCE">
      <w:pPr>
        <w:pStyle w:val="Akapitzlist"/>
      </w:pPr>
      <w:r w:rsidRPr="004A2BCE">
        <w:t>Moc magazynu energii powinna wynikać z wniosku o określenie warunków przyłączenia do sieci dystrybucyjnej/przesyłowej. Inwestor we wniosku określa warunki techniczne (specyfikację techniczną) magazynu energii elektrycznej uwzględniając moc zainstalowaną jednostki (kW/MW).</w:t>
      </w:r>
      <w:r>
        <w:t xml:space="preserve"> Wydane przez operatora warunki przyłączenia magazynu do sieci są wymagane na dzień złożenia wniosku o objęcie wsparciem. </w:t>
      </w:r>
    </w:p>
    <w:p w14:paraId="0B7861C6" w14:textId="2BE4815D" w:rsidR="004A2BCE" w:rsidRDefault="004A2BCE" w:rsidP="004A2BCE">
      <w:pPr>
        <w:pStyle w:val="Akapitzlist"/>
        <w:numPr>
          <w:ilvl w:val="0"/>
          <w:numId w:val="1"/>
        </w:numPr>
        <w:rPr>
          <w:b/>
          <w:bCs/>
        </w:rPr>
      </w:pPr>
      <w:r w:rsidRPr="004A2BCE">
        <w:rPr>
          <w:b/>
          <w:bCs/>
        </w:rPr>
        <w:t>Czy w ramach dofinansowania będą ograniczenia dotyczące kraju pochodzenia urządzeń magazynujących energię?</w:t>
      </w:r>
    </w:p>
    <w:p w14:paraId="76E0B356" w14:textId="4DE3ED3F" w:rsidR="004A2BCE" w:rsidRDefault="004A2BCE" w:rsidP="004A2BCE">
      <w:pPr>
        <w:pStyle w:val="Akapitzlist"/>
      </w:pPr>
      <w:r w:rsidRPr="004A2BCE">
        <w:t xml:space="preserve">Warunki naboru nie ograniczają kraju pochodzenia urządzeń magazynowania energii elektrycznej. Zgodnie z wymogami regulaminu naboru urządzenia powinny spełniać standardy unijne w zakresie bezpieczeństwa, ochrony </w:t>
      </w:r>
      <w:proofErr w:type="spellStart"/>
      <w:r w:rsidRPr="004A2BCE">
        <w:t>ppoż</w:t>
      </w:r>
      <w:proofErr w:type="spellEnd"/>
      <w:r w:rsidRPr="004A2BCE">
        <w:t xml:space="preserve"> oraz homologacji</w:t>
      </w:r>
      <w:r>
        <w:t>.</w:t>
      </w:r>
    </w:p>
    <w:p w14:paraId="022308A2" w14:textId="17F5278A" w:rsidR="004A2BCE" w:rsidRDefault="004A2BCE" w:rsidP="004A2BCE">
      <w:pPr>
        <w:pStyle w:val="Akapitzlist"/>
        <w:numPr>
          <w:ilvl w:val="0"/>
          <w:numId w:val="1"/>
        </w:numPr>
        <w:rPr>
          <w:b/>
          <w:bCs/>
        </w:rPr>
      </w:pPr>
      <w:r w:rsidRPr="004A2BCE">
        <w:rPr>
          <w:b/>
          <w:bCs/>
        </w:rPr>
        <w:t>Czy oferty należy wysłać do trzech dostawców? Czy zapytanie ofertowe należy opublikować na swojej stronie www?</w:t>
      </w:r>
    </w:p>
    <w:p w14:paraId="61F4E1DC" w14:textId="3B0DB9A7" w:rsidR="00325A4B" w:rsidRPr="00325A4B" w:rsidRDefault="00325A4B" w:rsidP="00325A4B">
      <w:pPr>
        <w:ind w:left="708"/>
      </w:pPr>
      <w:r w:rsidRPr="00325A4B">
        <w:t xml:space="preserve">Zgodnie ze wzorem umowy o objęcie przedsięwzięcia wsparciem dla KPO: </w:t>
      </w:r>
    </w:p>
    <w:p w14:paraId="5A9E1BDB" w14:textId="402DE096" w:rsidR="00325A4B" w:rsidRPr="00325A4B" w:rsidRDefault="00325A4B" w:rsidP="00325A4B">
      <w:pPr>
        <w:ind w:left="708"/>
        <w:rPr>
          <w:i/>
          <w:iCs/>
        </w:rPr>
      </w:pPr>
      <w:r w:rsidRPr="00325A4B">
        <w:rPr>
          <w:i/>
          <w:iCs/>
        </w:rPr>
        <w:t xml:space="preserve">Ostateczny odbiorca wsparcia (OOW) jest zobowiązany do udzielania zamówień w ramach wydatków kwalifikowalnych z uwzględnieniem postanowień Umowy, przepisów prawa powszechnie obowiązującego na dzień wszczęcia postępowania, w tym w szczególności przepisów ustawy z dnia 11 września 2019 r. Prawo zamówień publicznych zwanej dalej „ustawą </w:t>
      </w:r>
      <w:proofErr w:type="spellStart"/>
      <w:r w:rsidRPr="00325A4B">
        <w:rPr>
          <w:i/>
          <w:iCs/>
        </w:rPr>
        <w:t>Pzp</w:t>
      </w:r>
      <w:proofErr w:type="spellEnd"/>
      <w:r w:rsidRPr="00325A4B">
        <w:rPr>
          <w:i/>
          <w:iCs/>
        </w:rPr>
        <w:t xml:space="preserve">”, w przypadku, gdy wymóg jej stosowania wynika z ustawy </w:t>
      </w:r>
      <w:proofErr w:type="spellStart"/>
      <w:r w:rsidRPr="00325A4B">
        <w:rPr>
          <w:i/>
          <w:iCs/>
        </w:rPr>
        <w:t>Pzp</w:t>
      </w:r>
      <w:proofErr w:type="spellEnd"/>
      <w:r w:rsidRPr="00325A4B">
        <w:rPr>
          <w:i/>
          <w:iCs/>
        </w:rPr>
        <w:t xml:space="preserve"> (jeżeli obowiązek stosowania ustawy wynika z ww. przepisów).</w:t>
      </w:r>
    </w:p>
    <w:p w14:paraId="47D9A4B5" w14:textId="1FCABFD4" w:rsidR="00325A4B" w:rsidRPr="00325A4B" w:rsidRDefault="00325A4B" w:rsidP="00325A4B">
      <w:pPr>
        <w:ind w:left="708"/>
        <w:rPr>
          <w:i/>
          <w:iCs/>
        </w:rPr>
      </w:pPr>
      <w:r w:rsidRPr="00325A4B">
        <w:rPr>
          <w:i/>
          <w:iCs/>
        </w:rPr>
        <w:t xml:space="preserve">W przypadku, gdy OOW nie jest zamawiającym, o którym mowa w ustawie </w:t>
      </w:r>
      <w:proofErr w:type="spellStart"/>
      <w:r w:rsidRPr="00325A4B">
        <w:rPr>
          <w:i/>
          <w:iCs/>
        </w:rPr>
        <w:t>Pzp</w:t>
      </w:r>
      <w:proofErr w:type="spellEnd"/>
      <w:r w:rsidRPr="00325A4B">
        <w:rPr>
          <w:i/>
          <w:iCs/>
        </w:rPr>
        <w:t>, zobowiązany jest przestrzegać reguł konkurencyjności, tj.:</w:t>
      </w:r>
    </w:p>
    <w:p w14:paraId="03909A2F" w14:textId="77777777" w:rsidR="00325A4B" w:rsidRPr="00325A4B" w:rsidRDefault="00325A4B" w:rsidP="00325A4B">
      <w:pPr>
        <w:numPr>
          <w:ilvl w:val="0"/>
          <w:numId w:val="2"/>
        </w:numPr>
        <w:rPr>
          <w:i/>
          <w:iCs/>
        </w:rPr>
      </w:pPr>
      <w:r w:rsidRPr="00325A4B">
        <w:rPr>
          <w:i/>
          <w:iCs/>
        </w:rPr>
        <w:t xml:space="preserve">przygotować i przeprowadzić postępowanie </w:t>
      </w:r>
      <w:r w:rsidRPr="00325A4B">
        <w:rPr>
          <w:i/>
          <w:iCs/>
          <w:u w:val="single"/>
        </w:rPr>
        <w:t>w sposób przejrzysty</w:t>
      </w:r>
      <w:r w:rsidRPr="00325A4B">
        <w:rPr>
          <w:i/>
          <w:iCs/>
        </w:rPr>
        <w:t>, proporcjonalny, zapewniający zachowanie uczciwej konkurencji oraz równe traktowanie wykonawców,</w:t>
      </w:r>
    </w:p>
    <w:p w14:paraId="5D77BC2A" w14:textId="77777777" w:rsidR="00325A4B" w:rsidRPr="00325A4B" w:rsidRDefault="00325A4B" w:rsidP="00325A4B">
      <w:pPr>
        <w:numPr>
          <w:ilvl w:val="0"/>
          <w:numId w:val="2"/>
        </w:numPr>
        <w:rPr>
          <w:i/>
          <w:iCs/>
        </w:rPr>
      </w:pPr>
      <w:r w:rsidRPr="00325A4B">
        <w:rPr>
          <w:i/>
          <w:iCs/>
        </w:rPr>
        <w:t>udzielić zamówienia w sposób zapewniający uzyskanie najlepszych efektów zamówienia w stosunku do poniesionych nakładów,</w:t>
      </w:r>
    </w:p>
    <w:p w14:paraId="557A6ED9" w14:textId="77777777" w:rsidR="00325A4B" w:rsidRPr="00325A4B" w:rsidRDefault="00325A4B" w:rsidP="00325A4B">
      <w:pPr>
        <w:numPr>
          <w:ilvl w:val="0"/>
          <w:numId w:val="2"/>
        </w:numPr>
        <w:rPr>
          <w:i/>
          <w:iCs/>
        </w:rPr>
      </w:pPr>
      <w:r w:rsidRPr="00325A4B">
        <w:rPr>
          <w:i/>
          <w:iCs/>
        </w:rPr>
        <w:t>zawierać umowy w formie pisemnej (chyba, że dla danej czynności zastrzeżona jest inna szczególna forma),</w:t>
      </w:r>
    </w:p>
    <w:p w14:paraId="4ADD65C8" w14:textId="1FC33B68" w:rsidR="00325A4B" w:rsidRPr="00325A4B" w:rsidRDefault="00325A4B" w:rsidP="00325A4B">
      <w:pPr>
        <w:numPr>
          <w:ilvl w:val="0"/>
          <w:numId w:val="2"/>
        </w:numPr>
        <w:rPr>
          <w:i/>
          <w:iCs/>
        </w:rPr>
      </w:pPr>
      <w:r w:rsidRPr="00325A4B">
        <w:rPr>
          <w:i/>
          <w:iCs/>
        </w:rPr>
        <w:t>zapewnić, aby czynności związane z przygotowaniem oraz przeprowadzeniem postępowania o udzielenie zamówienia wykonywały osoby zapewniające bezstronność i obiektywizm.</w:t>
      </w:r>
    </w:p>
    <w:p w14:paraId="6D927609" w14:textId="6693C5F3" w:rsidR="00325A4B" w:rsidRPr="00325A4B" w:rsidRDefault="00325A4B" w:rsidP="00325A4B">
      <w:pPr>
        <w:ind w:left="708"/>
      </w:pPr>
      <w:r w:rsidRPr="00325A4B">
        <w:lastRenderedPageBreak/>
        <w:t xml:space="preserve">Zgodnie z powyższym zamawiający nie jest zobligowany do wysyłania ofert do konkretnej liczb dostawców czy też publikowania zapytania na konkretnej stronie internetowej. </w:t>
      </w:r>
    </w:p>
    <w:p w14:paraId="26C72DF5" w14:textId="77777777" w:rsidR="00325A4B" w:rsidRPr="00325A4B" w:rsidRDefault="00325A4B" w:rsidP="00325A4B">
      <w:pPr>
        <w:ind w:left="708"/>
      </w:pPr>
      <w:r w:rsidRPr="00325A4B">
        <w:t xml:space="preserve">Niemniej mając na uwadze postanowienia umowy o objęcie przedsięwzięcia wsparciem o konieczności przestrzegania zasad polityki unijnej w zakresie udzielania zamówień publicznych jak i ogólną zasadę wykładni prawa krajowego zgodnie z prawem Unii Europejskiej – zwana inaczej zasadą </w:t>
      </w:r>
      <w:proofErr w:type="spellStart"/>
      <w:r w:rsidRPr="00325A4B">
        <w:t>prounijnej</w:t>
      </w:r>
      <w:proofErr w:type="spellEnd"/>
      <w:r w:rsidRPr="00325A4B">
        <w:t xml:space="preserve"> wykładni prawa krajowego – oznacza obowiązek interpretowania prawa krajowego zgodnie z prawem unijnym. W tym przypadku do zamówień dla KPO poza ustawą Prawo zamówień publicznych niezbędne jest stosowanie przede wszystkim postanowień umowy o objęcie wsparciem przedsięwzięcia. Pomocniczo natomiast można odpowiednio korzystać z np. </w:t>
      </w:r>
      <w:hyperlink r:id="rId8" w:history="1">
        <w:r w:rsidRPr="00325A4B">
          <w:rPr>
            <w:rStyle w:val="Hipercze"/>
          </w:rPr>
          <w:t>Komunikatu wyjaśniającego Komisji dotyczący prawa wspólnotowego obowiązującego w dziedzinie udzielania zamówień, które nie są lub są jedynie częściowo objęte dyrektywami w sprawie zamówień publicznych</w:t>
        </w:r>
      </w:hyperlink>
      <w:r w:rsidRPr="00325A4B">
        <w:t xml:space="preserve"> (2006/C 179/02). Istotne jest również śledzenie na bieżąco stanowisk instytucji zaangażowanych we wdrążenie i przygotowanie KPO. </w:t>
      </w:r>
    </w:p>
    <w:p w14:paraId="38A139FC" w14:textId="01CB1290" w:rsidR="00325A4B" w:rsidRPr="00325A4B" w:rsidRDefault="00325A4B" w:rsidP="00325A4B">
      <w:pPr>
        <w:ind w:left="708"/>
      </w:pPr>
      <w:r w:rsidRPr="00325A4B">
        <w:t xml:space="preserve">Dodatkowo informacyjnie przekazuję, informację, iż Zbiór wytycznych dla KPO znajduje się np. na </w:t>
      </w:r>
      <w:hyperlink r:id="rId9" w:history="1">
        <w:r w:rsidRPr="00325A4B">
          <w:rPr>
            <w:rStyle w:val="Hipercze"/>
          </w:rPr>
          <w:t>stronie dedykowanej KPO</w:t>
        </w:r>
      </w:hyperlink>
      <w:r w:rsidRPr="00325A4B">
        <w:t xml:space="preserve"> – w </w:t>
      </w:r>
      <w:hyperlink r:id="rId10" w:history="1">
        <w:r w:rsidRPr="00325A4B">
          <w:rPr>
            <w:rStyle w:val="Hipercze"/>
          </w:rPr>
          <w:t>zakładce</w:t>
        </w:r>
      </w:hyperlink>
      <w:r w:rsidRPr="00325A4B">
        <w:t xml:space="preserve"> poświęconej dokumentom.  </w:t>
      </w:r>
    </w:p>
    <w:p w14:paraId="596D3DE7" w14:textId="10822BF0" w:rsidR="000A7EF4" w:rsidRDefault="000A7EF4" w:rsidP="000A7EF4">
      <w:pPr>
        <w:pStyle w:val="Akapitzlist"/>
        <w:numPr>
          <w:ilvl w:val="0"/>
          <w:numId w:val="1"/>
        </w:numPr>
        <w:rPr>
          <w:b/>
          <w:bCs/>
        </w:rPr>
      </w:pPr>
      <w:r w:rsidRPr="000A7EF4">
        <w:rPr>
          <w:b/>
          <w:bCs/>
        </w:rPr>
        <w:t xml:space="preserve">Rozumiem, że jeden projekt będzie wypełniał wskaźniki całego programu (0,9 </w:t>
      </w:r>
      <w:proofErr w:type="spellStart"/>
      <w:r w:rsidRPr="000A7EF4">
        <w:rPr>
          <w:b/>
          <w:bCs/>
        </w:rPr>
        <w:t>Gwh</w:t>
      </w:r>
      <w:proofErr w:type="spellEnd"/>
      <w:r w:rsidRPr="000A7EF4">
        <w:rPr>
          <w:b/>
          <w:bCs/>
        </w:rPr>
        <w:t>)?</w:t>
      </w:r>
    </w:p>
    <w:p w14:paraId="1163FC04" w14:textId="447F762B" w:rsidR="000A7EF4" w:rsidRDefault="00325A4B" w:rsidP="000A7EF4">
      <w:pPr>
        <w:pStyle w:val="Akapitzlist"/>
      </w:pPr>
      <w:r w:rsidRPr="00325A4B">
        <w:t>Zgodnie z Załącznikiem do decyzji wykonawczej Rady UE w  sprawie zatwierdzenia oceny planu odbudowy i zwiększania odporności Polski</w:t>
      </w:r>
      <w:r w:rsidR="00595AC0">
        <w:t>,</w:t>
      </w:r>
      <w:r w:rsidRPr="00325A4B">
        <w:t xml:space="preserve"> realizacja inwestycji ma się przyczynić do osiągnięcia wskaźnika KPO - G6G tj. Rozpoczęcie eksploatacji wielkoskalowego systemu magazynowania energii (BESS)</w:t>
      </w:r>
      <w:r>
        <w:t xml:space="preserve"> </w:t>
      </w:r>
      <w:r w:rsidRPr="00325A4B">
        <w:t xml:space="preserve">o pojemności 0,9 </w:t>
      </w:r>
      <w:proofErr w:type="spellStart"/>
      <w:r w:rsidRPr="00325A4B">
        <w:t>GWh</w:t>
      </w:r>
      <w:proofErr w:type="spellEnd"/>
      <w:r w:rsidRPr="00325A4B">
        <w:t xml:space="preserve"> i czasie pracy między 4 a 5 godzin</w:t>
      </w:r>
      <w:r>
        <w:t xml:space="preserve">. Wskaźnik ten powinien zostać osiągnięty w ramach przedmiotowego naboru. </w:t>
      </w:r>
    </w:p>
    <w:p w14:paraId="3D29120D" w14:textId="77777777" w:rsidR="00325A4B" w:rsidRDefault="00325A4B" w:rsidP="000A7EF4">
      <w:pPr>
        <w:pStyle w:val="Akapitzlist"/>
      </w:pPr>
    </w:p>
    <w:p w14:paraId="63B60DA0" w14:textId="2F05F797" w:rsidR="00325A4B" w:rsidRPr="00325A4B" w:rsidRDefault="00E666F2" w:rsidP="00325A4B">
      <w:pPr>
        <w:pStyle w:val="Akapitzlist"/>
        <w:numPr>
          <w:ilvl w:val="0"/>
          <w:numId w:val="1"/>
        </w:numPr>
      </w:pPr>
      <w:r w:rsidRPr="00E666F2">
        <w:rPr>
          <w:rFonts w:ascii="Arial" w:hAnsi="Arial" w:cs="Arial"/>
        </w:rPr>
        <w:t>​​</w:t>
      </w:r>
      <w:r w:rsidRPr="00E666F2">
        <w:rPr>
          <w:b/>
          <w:bCs/>
        </w:rPr>
        <w:t>Zdecydowana większość rynku czeka na otwarcie projektowanego naboru dla ME o poj. mi. 4MWh/2MW. Obecny konkurs idealnie spełnia założenia inwestycji PGE w Żarnowcu (900MWh i ok 253MW).</w:t>
      </w:r>
    </w:p>
    <w:p w14:paraId="1313ADDA" w14:textId="1E33F4BE" w:rsidR="005D7301" w:rsidRDefault="00653E89" w:rsidP="00595AC0">
      <w:pPr>
        <w:pStyle w:val="Akapitzlist"/>
      </w:pPr>
      <w:r>
        <w:t xml:space="preserve">Uruchomienie naboru wniosków o dofinansowanie w ramach projektowanego programu priorytetowy </w:t>
      </w:r>
      <w:r w:rsidRPr="00653E89">
        <w:t>Magazyny energii elektrycznej i związana z nimi infrastruktura dla poprawy stabilności polskiej sieci elektroenergetycznej</w:t>
      </w:r>
      <w:r>
        <w:t xml:space="preserve"> planowane jest w kwietniu br., pod warunkiem wejścia w życie rozporządzenia Ministra Klimatu i Środowiska w sprawie </w:t>
      </w:r>
      <w:r w:rsidRPr="00653E89">
        <w:t>szczegółowych warunków udzielania pomocy publicznej na inwestycje w</w:t>
      </w:r>
      <w:r>
        <w:t xml:space="preserve"> </w:t>
      </w:r>
      <w:r w:rsidRPr="00653E89">
        <w:t>magazynowanie energii elektrycznej dla poprawy stabilności krajowej sieci</w:t>
      </w:r>
      <w:r>
        <w:t xml:space="preserve"> </w:t>
      </w:r>
      <w:r w:rsidRPr="00653E89">
        <w:t>elektroenergetycznej i związanej z nimi infrastruktury</w:t>
      </w:r>
    </w:p>
    <w:p w14:paraId="36C76AED" w14:textId="739AE879" w:rsidR="00595AC0" w:rsidRDefault="00595AC0" w:rsidP="00595AC0">
      <w:pPr>
        <w:pStyle w:val="Akapitzlist"/>
        <w:numPr>
          <w:ilvl w:val="0"/>
          <w:numId w:val="1"/>
        </w:numPr>
        <w:rPr>
          <w:b/>
          <w:bCs/>
        </w:rPr>
      </w:pPr>
      <w:r w:rsidRPr="00595AC0">
        <w:rPr>
          <w:b/>
          <w:bCs/>
        </w:rPr>
        <w:t>1 projekt zgarnia całą pulę.</w:t>
      </w:r>
    </w:p>
    <w:p w14:paraId="7460D4F1" w14:textId="47C8643C" w:rsidR="00595AC0" w:rsidRDefault="00595AC0" w:rsidP="00595AC0">
      <w:pPr>
        <w:pStyle w:val="Akapitzlist"/>
      </w:pPr>
      <w:r w:rsidRPr="002A0A76">
        <w:t xml:space="preserve">Nabór prowadzony jest w trybie konkursowym, wnioskować o wsparcie mogą przedsiębiorcy spełniający definicje Wnioskodawcy określoną w </w:t>
      </w:r>
      <w:r w:rsidR="002A0A76" w:rsidRPr="002A0A76">
        <w:t xml:space="preserve">§ 4 ust. 1 i 2 Regulaminu naboru. Powyższe wynika z wymogów Decyzji Komisji z dnia 3 października 2024 r. w sprawie SA.112460 (2024/N) – </w:t>
      </w:r>
      <w:r w:rsidR="002A0A76" w:rsidRPr="002A0A76">
        <w:rPr>
          <w:i/>
        </w:rPr>
        <w:t xml:space="preserve">TCTF-RRF: </w:t>
      </w:r>
      <w:proofErr w:type="spellStart"/>
      <w:r w:rsidR="002A0A76" w:rsidRPr="002A0A76">
        <w:rPr>
          <w:i/>
        </w:rPr>
        <w:t>Support</w:t>
      </w:r>
      <w:proofErr w:type="spellEnd"/>
      <w:r w:rsidR="002A0A76" w:rsidRPr="002A0A76">
        <w:rPr>
          <w:i/>
        </w:rPr>
        <w:t xml:space="preserve"> for </w:t>
      </w:r>
      <w:proofErr w:type="spellStart"/>
      <w:r w:rsidR="002A0A76" w:rsidRPr="002A0A76">
        <w:rPr>
          <w:i/>
        </w:rPr>
        <w:t>electricity</w:t>
      </w:r>
      <w:proofErr w:type="spellEnd"/>
      <w:r w:rsidR="002A0A76" w:rsidRPr="002A0A76">
        <w:rPr>
          <w:i/>
        </w:rPr>
        <w:t xml:space="preserve"> </w:t>
      </w:r>
      <w:proofErr w:type="spellStart"/>
      <w:r w:rsidR="002A0A76" w:rsidRPr="002A0A76">
        <w:rPr>
          <w:i/>
        </w:rPr>
        <w:t>storage</w:t>
      </w:r>
      <w:proofErr w:type="spellEnd"/>
      <w:r w:rsidR="002A0A76" w:rsidRPr="002A0A76">
        <w:rPr>
          <w:i/>
        </w:rPr>
        <w:t xml:space="preserve"> and </w:t>
      </w:r>
      <w:proofErr w:type="spellStart"/>
      <w:r w:rsidR="002A0A76" w:rsidRPr="002A0A76">
        <w:rPr>
          <w:i/>
        </w:rPr>
        <w:t>related</w:t>
      </w:r>
      <w:proofErr w:type="spellEnd"/>
      <w:r w:rsidR="002A0A76" w:rsidRPr="002A0A76">
        <w:rPr>
          <w:i/>
        </w:rPr>
        <w:t xml:space="preserve"> </w:t>
      </w:r>
      <w:proofErr w:type="spellStart"/>
      <w:r w:rsidR="002A0A76" w:rsidRPr="002A0A76">
        <w:rPr>
          <w:i/>
        </w:rPr>
        <w:t>infrastructure</w:t>
      </w:r>
      <w:proofErr w:type="spellEnd"/>
      <w:r w:rsidR="002A0A76" w:rsidRPr="002A0A76">
        <w:t>.</w:t>
      </w:r>
    </w:p>
    <w:p w14:paraId="5D081EC5" w14:textId="32590447" w:rsidR="002A0A76" w:rsidRDefault="002A0A76" w:rsidP="002A0A76">
      <w:pPr>
        <w:pStyle w:val="Akapitzlist"/>
        <w:numPr>
          <w:ilvl w:val="0"/>
          <w:numId w:val="1"/>
        </w:numPr>
        <w:rPr>
          <w:b/>
          <w:bCs/>
        </w:rPr>
      </w:pPr>
      <w:r w:rsidRPr="002A0A76">
        <w:rPr>
          <w:b/>
          <w:bCs/>
        </w:rPr>
        <w:t>Czy opublikowane kryteria punktowane będą również obowiązywały w drugim programie, z Funduszu Modernizacyjnego, w identycznym brzmieniu?</w:t>
      </w:r>
    </w:p>
    <w:p w14:paraId="0D271D9B" w14:textId="44B9223D" w:rsidR="002A0A76" w:rsidRDefault="002A0A76" w:rsidP="002A0A76">
      <w:pPr>
        <w:pStyle w:val="Akapitzlist"/>
      </w:pPr>
      <w:r w:rsidRPr="002A0A76">
        <w:t xml:space="preserve">Opublikowane kryteria szczegółowe inwestycji G1.1.3 przyjęte zostały przez Instytucję odpowiedzialną za Inwestycję G1.1.3 dla przedmiotowego naboru. Kryteria wyboru inwestycji w projektowanym programie priorytetowym z Funduszu Modernizacyjnego określa program priorytetowy. Ostateczna wersja kryteriów zostanie opublikowana z programem priorytetowym, po przyjęciu kryteriów przez Radę Nadzorczą NFOŚiGW. </w:t>
      </w:r>
    </w:p>
    <w:p w14:paraId="0EE62032" w14:textId="4D7CC57A" w:rsidR="002A0A76" w:rsidRPr="002A0A76" w:rsidRDefault="002A0A76" w:rsidP="002A0A76">
      <w:pPr>
        <w:pStyle w:val="Akapitzlist"/>
        <w:numPr>
          <w:ilvl w:val="0"/>
          <w:numId w:val="1"/>
        </w:numPr>
        <w:rPr>
          <w:b/>
          <w:bCs/>
        </w:rPr>
      </w:pPr>
      <w:r w:rsidRPr="002A0A76">
        <w:rPr>
          <w:b/>
          <w:bCs/>
        </w:rPr>
        <w:lastRenderedPageBreak/>
        <w:t>Obecny nabór jest przeznaczony dla OSD co widać w GWD. Czy na tym szkoleniu możemy się skupić na naborze wniosków dla MSP a nie dla OSD ?</w:t>
      </w:r>
    </w:p>
    <w:p w14:paraId="2FFF68E2" w14:textId="24F24CED" w:rsidR="002A0A76" w:rsidRDefault="002A0A76" w:rsidP="002A0A76">
      <w:pPr>
        <w:pStyle w:val="Akapitzlist"/>
      </w:pPr>
      <w:r>
        <w:t xml:space="preserve">Przedmiotowy nabór nie jest skierowany dla OSD, nabór skierowany jest do przedsiębiorców, zgodnie z </w:t>
      </w:r>
      <w:r w:rsidRPr="002A0A76">
        <w:t>w § 4 ust. 1 i 2 Regulaminu naboru.</w:t>
      </w:r>
      <w:r>
        <w:t xml:space="preserve"> Nabór nie jest prowadzony w systemie GWD. Nabór prowadzony jest w systemie CST2021.</w:t>
      </w:r>
    </w:p>
    <w:p w14:paraId="3F85F968" w14:textId="24983635" w:rsidR="002A0A76" w:rsidRDefault="002A0A76" w:rsidP="002A0A76">
      <w:pPr>
        <w:pStyle w:val="Akapitzlist"/>
        <w:numPr>
          <w:ilvl w:val="0"/>
          <w:numId w:val="1"/>
        </w:numPr>
        <w:rPr>
          <w:b/>
          <w:bCs/>
        </w:rPr>
      </w:pPr>
      <w:r w:rsidRPr="002A0A76">
        <w:rPr>
          <w:b/>
          <w:bCs/>
        </w:rPr>
        <w:t xml:space="preserve">Czy wsparciem mogą zostać objęte systemy magazynowania energii elektrycznej o pojemności znamionowej 0,9 </w:t>
      </w:r>
      <w:proofErr w:type="spellStart"/>
      <w:r w:rsidRPr="002A0A76">
        <w:rPr>
          <w:b/>
          <w:bCs/>
        </w:rPr>
        <w:t>GWh</w:t>
      </w:r>
      <w:proofErr w:type="spellEnd"/>
      <w:r w:rsidRPr="002A0A76">
        <w:rPr>
          <w:b/>
          <w:bCs/>
        </w:rPr>
        <w:t xml:space="preserve">, natomiast niższej niż 0.9 </w:t>
      </w:r>
      <w:proofErr w:type="spellStart"/>
      <w:r w:rsidRPr="002A0A76">
        <w:rPr>
          <w:b/>
          <w:bCs/>
        </w:rPr>
        <w:t>GWh</w:t>
      </w:r>
      <w:proofErr w:type="spellEnd"/>
      <w:r w:rsidRPr="002A0A76">
        <w:rPr>
          <w:b/>
          <w:bCs/>
        </w:rPr>
        <w:t xml:space="preserve"> pojemności użytkowej?</w:t>
      </w:r>
    </w:p>
    <w:p w14:paraId="245B8B87" w14:textId="7B4BDC48" w:rsidR="00DD38CC" w:rsidRDefault="00DD38CC" w:rsidP="00DD38CC">
      <w:pPr>
        <w:pStyle w:val="Akapitzlist"/>
      </w:pPr>
      <w:r w:rsidRPr="00DD38CC">
        <w:t>W ocenie kryterium szczegółowego mowa o pojemności całkowitej magazynu energii. We wnioskach o przyłączenie magazynu energii do sieci Inwestor określa pojemność magazynu. Na potrzeby przedmiotowego naboru rozumie się przez całkowitą pojemność magazynu jego pojemność nominalną/znamionową.</w:t>
      </w:r>
    </w:p>
    <w:p w14:paraId="6F35337A" w14:textId="7DB770F5" w:rsidR="00DD38CC" w:rsidRPr="00DD38CC" w:rsidRDefault="00DD38CC" w:rsidP="00DD38CC">
      <w:pPr>
        <w:pStyle w:val="Akapitzlist"/>
        <w:numPr>
          <w:ilvl w:val="0"/>
          <w:numId w:val="1"/>
        </w:numPr>
        <w:rPr>
          <w:b/>
          <w:bCs/>
        </w:rPr>
      </w:pPr>
      <w:r w:rsidRPr="00DD38CC">
        <w:rPr>
          <w:b/>
          <w:bCs/>
        </w:rPr>
        <w:t xml:space="preserve">W jakim terminie można liczyć na odpowiedzi na pytania wysłane do Państwa mailowo na adres podany na stronie naboru? </w:t>
      </w:r>
    </w:p>
    <w:p w14:paraId="1135E04C" w14:textId="22FEC51E" w:rsidR="00DD38CC" w:rsidRDefault="00DD38CC" w:rsidP="00DD38CC">
      <w:pPr>
        <w:pStyle w:val="Akapitzlist"/>
      </w:pPr>
      <w:r>
        <w:t xml:space="preserve">Z uwagi na zwiększoną ilość pytań wpływających na skrzynkę mailową dedykowaną zarówno dla przedmiotowego naboru z KPO jak i projektowanego programu priorytetowego z Funduszu Modernizacyjnego odpowiedzi udzielane są w przeciągu tygodnia, pod warunkiem, że nie wymagają dodatkowych opinii i konsultacji. </w:t>
      </w:r>
    </w:p>
    <w:p w14:paraId="6984A7BA" w14:textId="1987CF5D" w:rsidR="00B01DD5" w:rsidRDefault="00B01DD5" w:rsidP="00B01DD5">
      <w:pPr>
        <w:pStyle w:val="Akapitzlist"/>
        <w:numPr>
          <w:ilvl w:val="0"/>
          <w:numId w:val="1"/>
        </w:numPr>
        <w:rPr>
          <w:b/>
          <w:bCs/>
        </w:rPr>
      </w:pPr>
      <w:proofErr w:type="spellStart"/>
      <w:r w:rsidRPr="00B01DD5">
        <w:rPr>
          <w:b/>
          <w:bCs/>
        </w:rPr>
        <w:t>PnB</w:t>
      </w:r>
      <w:proofErr w:type="spellEnd"/>
      <w:r w:rsidRPr="00B01DD5">
        <w:rPr>
          <w:b/>
          <w:bCs/>
        </w:rPr>
        <w:t xml:space="preserve"> nie jest wymagane na moment składania wniosku?</w:t>
      </w:r>
    </w:p>
    <w:p w14:paraId="744227BD" w14:textId="38ED85D6" w:rsidR="00B01DD5" w:rsidRDefault="00B01DD5" w:rsidP="00B01DD5">
      <w:pPr>
        <w:pStyle w:val="Akapitzlist"/>
      </w:pPr>
      <w:r w:rsidRPr="00B01DD5">
        <w:t>Pozwolenie na budowę nie jest wymagane na dzień złożenia wniosku, jednakże przedłożenie decyzji zezwalającej na inwestycję umożliwia otrzymanie punktu na etapie oceny wg. kryteriów szczegółowych inwestycji G1.1.3, kryterium Gotowość administracyjna i techniczna.</w:t>
      </w:r>
    </w:p>
    <w:p w14:paraId="6CC8C006" w14:textId="117C160F" w:rsidR="00B01DD5" w:rsidRDefault="00511580" w:rsidP="00511580">
      <w:pPr>
        <w:pStyle w:val="Akapitzlist"/>
        <w:numPr>
          <w:ilvl w:val="0"/>
          <w:numId w:val="1"/>
        </w:numPr>
        <w:rPr>
          <w:b/>
          <w:bCs/>
        </w:rPr>
      </w:pPr>
      <w:r w:rsidRPr="00511580">
        <w:rPr>
          <w:b/>
          <w:bCs/>
        </w:rPr>
        <w:t>Co dokładnie rozumie się przez "rozpoczęcie inwestycji"?</w:t>
      </w:r>
    </w:p>
    <w:p w14:paraId="671EB250" w14:textId="48D6F2DC" w:rsidR="00511580" w:rsidRDefault="00511580" w:rsidP="00511580">
      <w:pPr>
        <w:pStyle w:val="Akapitzlist"/>
      </w:pPr>
      <w:r>
        <w:t>Rozpoczęcie inwestycji rozumiane jest jako:</w:t>
      </w:r>
    </w:p>
    <w:p w14:paraId="0A6850E8" w14:textId="77777777" w:rsidR="00511580" w:rsidRPr="00511580" w:rsidRDefault="00511580" w:rsidP="00511580">
      <w:pPr>
        <w:pStyle w:val="Akapitzlist"/>
        <w:numPr>
          <w:ilvl w:val="0"/>
          <w:numId w:val="3"/>
        </w:numPr>
      </w:pPr>
      <w:r w:rsidRPr="00511580">
        <w:t>rozpoczęcie budowy w rozumieniu art. 41 ust. 1 Prawa budowlanego,</w:t>
      </w:r>
    </w:p>
    <w:p w14:paraId="5EF478D9" w14:textId="77777777" w:rsidR="00511580" w:rsidRPr="00511580" w:rsidRDefault="00511580" w:rsidP="00511580">
      <w:pPr>
        <w:pStyle w:val="Akapitzlist"/>
        <w:numPr>
          <w:ilvl w:val="0"/>
          <w:numId w:val="3"/>
        </w:numPr>
      </w:pPr>
      <w:r w:rsidRPr="00511580">
        <w:t>złożenie prawnie wiążącego zobowiązania do zamówienia urządzeń,</w:t>
      </w:r>
    </w:p>
    <w:p w14:paraId="63CCF462" w14:textId="77777777" w:rsidR="00511580" w:rsidRPr="00511580" w:rsidRDefault="00511580" w:rsidP="00511580">
      <w:pPr>
        <w:pStyle w:val="Akapitzlist"/>
        <w:numPr>
          <w:ilvl w:val="0"/>
          <w:numId w:val="3"/>
        </w:numPr>
      </w:pPr>
      <w:r w:rsidRPr="00511580">
        <w:t>złożenie zobowiązania, które czyniłoby inwestycję nieodwracalną (np. zobowiązanie skutkujące znacznymi stratami finansowymi dla inwestora w przypadku rezygnacji).</w:t>
      </w:r>
    </w:p>
    <w:p w14:paraId="4B382100" w14:textId="7583E6A2" w:rsidR="00511580" w:rsidRPr="00511580" w:rsidRDefault="00511580" w:rsidP="00511580">
      <w:pPr>
        <w:pStyle w:val="Akapitzlist"/>
      </w:pPr>
      <w:r w:rsidRPr="00511580">
        <w:t>W przypadku przetargu przeprowadzanego zgodnie z PZP ogłoszenie o zamówieniu może stanowić rozpoczęcie prac, jeżeli zamawiający nie zastrzegł sobie możliwości jego unieważnienia (art. 257 PZP).</w:t>
      </w:r>
      <w:r>
        <w:t xml:space="preserve"> I</w:t>
      </w:r>
      <w:r w:rsidRPr="00511580">
        <w:t xml:space="preserve">nwestycja nie </w:t>
      </w:r>
      <w:r>
        <w:t xml:space="preserve">może być </w:t>
      </w:r>
      <w:r w:rsidRPr="00511580">
        <w:t>rozpoczę</w:t>
      </w:r>
      <w:r w:rsidR="00A22937">
        <w:t>ta</w:t>
      </w:r>
      <w:r w:rsidRPr="00511580">
        <w:t xml:space="preserve"> przed dniem 9 marca 2023 r.</w:t>
      </w:r>
    </w:p>
    <w:p w14:paraId="1F9009EF" w14:textId="3FA14B22" w:rsidR="00511580" w:rsidRDefault="00511580" w:rsidP="00511580">
      <w:pPr>
        <w:pStyle w:val="Akapitzlist"/>
        <w:numPr>
          <w:ilvl w:val="0"/>
          <w:numId w:val="1"/>
        </w:numPr>
        <w:rPr>
          <w:b/>
          <w:bCs/>
        </w:rPr>
      </w:pPr>
      <w:r w:rsidRPr="00511580">
        <w:rPr>
          <w:b/>
          <w:bCs/>
        </w:rPr>
        <w:t>W przypadku tego rozporządzenia magazyny mogą powinny być podłączone do sieci do 30.06.2029 roku? Czy podobne daty będą obowiązywać w drugim programie?</w:t>
      </w:r>
    </w:p>
    <w:p w14:paraId="7539E45F" w14:textId="0B2A5A17" w:rsidR="00511580" w:rsidRDefault="00511580" w:rsidP="00511580">
      <w:pPr>
        <w:pStyle w:val="Akapitzlist"/>
      </w:pPr>
      <w:r w:rsidRPr="00511580">
        <w:t xml:space="preserve">Należy zwrócić uwagę, że </w:t>
      </w:r>
      <w:r>
        <w:t>zgodnie z decyzją wykonawczą KE r</w:t>
      </w:r>
      <w:r w:rsidRPr="00511580">
        <w:t xml:space="preserve">ozpoczęcie eksploatacji wielkoskalowego systemu magazynowania energii (BESS) o pojemności 0,9 </w:t>
      </w:r>
      <w:proofErr w:type="spellStart"/>
      <w:r w:rsidRPr="00511580">
        <w:t>GWh</w:t>
      </w:r>
      <w:proofErr w:type="spellEnd"/>
      <w:r w:rsidRPr="00511580">
        <w:t xml:space="preserve"> i czasie pracy między 4 a 5 godzin</w:t>
      </w:r>
      <w:r>
        <w:t xml:space="preserve"> powinno nastąpić do 30.06.2026r. </w:t>
      </w:r>
    </w:p>
    <w:p w14:paraId="5D58879A" w14:textId="77777777" w:rsidR="00511580" w:rsidRDefault="00511580" w:rsidP="00511580">
      <w:pPr>
        <w:pStyle w:val="Akapitzlist"/>
      </w:pPr>
      <w:r>
        <w:t>W przypadku projektowanego programu priorytetowego Wnioskodawcy mają 36 miesięcy na rozpoczęcie eksploatacji od dnia udzielenia pomocy (zawarcia umowy o dofinansowanie)</w:t>
      </w:r>
    </w:p>
    <w:p w14:paraId="05548B61" w14:textId="3375C0E1" w:rsidR="00511580" w:rsidRDefault="00511580" w:rsidP="00511580">
      <w:pPr>
        <w:pStyle w:val="Akapitzlist"/>
        <w:numPr>
          <w:ilvl w:val="0"/>
          <w:numId w:val="1"/>
        </w:numPr>
        <w:rPr>
          <w:b/>
          <w:bCs/>
        </w:rPr>
      </w:pPr>
      <w:r w:rsidRPr="00511580">
        <w:rPr>
          <w:b/>
          <w:bCs/>
        </w:rPr>
        <w:t>Gdzie znajdziemy metodologię wyliczania wskaźnika CO</w:t>
      </w:r>
      <w:r w:rsidRPr="00511580">
        <w:rPr>
          <w:b/>
          <w:bCs/>
          <w:vertAlign w:val="subscript"/>
        </w:rPr>
        <w:t>2</w:t>
      </w:r>
      <w:r w:rsidRPr="00511580">
        <w:rPr>
          <w:b/>
          <w:bCs/>
        </w:rPr>
        <w:t>?</w:t>
      </w:r>
    </w:p>
    <w:p w14:paraId="35913872" w14:textId="6E6C2349" w:rsidR="00511580" w:rsidRDefault="00511580" w:rsidP="00511580">
      <w:pPr>
        <w:pStyle w:val="Akapitzlist"/>
      </w:pPr>
      <w:r w:rsidRPr="00511580">
        <w:t>Wnioskodawca przedstawia metodologię wyliczania wskaźnika CO</w:t>
      </w:r>
      <w:r w:rsidRPr="00511580">
        <w:rPr>
          <w:vertAlign w:val="subscript"/>
        </w:rPr>
        <w:t>2</w:t>
      </w:r>
      <w:r w:rsidRPr="00511580">
        <w:t xml:space="preserve"> w zależności od założeń pracy instalacji będącej przedmiotem wniosku o objęcie wsparciem. Możliwe jest posłużenie się podejściem modelowym, w którym </w:t>
      </w:r>
      <w:r>
        <w:t>e</w:t>
      </w:r>
      <w:r w:rsidRPr="00511580">
        <w:t xml:space="preserve">fekt ekologiczny opiera się na podejściu, że ilość energii zmagazynowanej w ciągu roku będzie stanowić tzw. „nadwyżkę” energii powstałej w sieci elektroenergetycznej głównie w wyniku produkcji energii z instalacji wytwarzających energię odnawialną. Ilość energii zmagazynowanej i </w:t>
      </w:r>
      <w:r w:rsidRPr="00511580">
        <w:lastRenderedPageBreak/>
        <w:t>oddanej do sieci przez magazyny energii przełoży się na ograniczenie produkcji energii z konwencjonalnych źródeł wytwarzania energii elektrycznej. Uwzględniając współczynnik emisji energii elektrycznej dla sieci elektroenergetycznej podawany corocznie przez KOBIZE, unikniętą/zredukowaną emisję CO</w:t>
      </w:r>
      <w:r w:rsidRPr="00511580">
        <w:rPr>
          <w:vertAlign w:val="subscript"/>
        </w:rPr>
        <w:t>2</w:t>
      </w:r>
      <w:r w:rsidRPr="00511580">
        <w:t xml:space="preserve"> oblicza się jako iloczyn energii elektrycznej zmagazynowanej i wprowadzonej do sieci rocznie oraz współczynnika emisji.</w:t>
      </w:r>
      <w:r>
        <w:t xml:space="preserve"> Zgodnie z informacją przekazaną na szkoleniu, magazynowanie energii w instalacji zintegrowanej z siecią elektroenergetyczną co do zasady powinno spowodować zmniejszenie wykorzystania paliw kopalnych w </w:t>
      </w:r>
      <w:proofErr w:type="spellStart"/>
      <w:r>
        <w:t>miksie</w:t>
      </w:r>
      <w:proofErr w:type="spellEnd"/>
      <w:r>
        <w:t xml:space="preserve"> energetycznym tj. zapewnić maksymalizację wykorzystania potencjału wytwórczego OZE. </w:t>
      </w:r>
    </w:p>
    <w:p w14:paraId="3C229C3F" w14:textId="2C9400AB" w:rsidR="00511580" w:rsidRDefault="00AA5BB6" w:rsidP="00511580">
      <w:pPr>
        <w:pStyle w:val="Akapitzlist"/>
        <w:numPr>
          <w:ilvl w:val="0"/>
          <w:numId w:val="1"/>
        </w:numPr>
        <w:rPr>
          <w:b/>
          <w:bCs/>
        </w:rPr>
      </w:pPr>
      <w:r w:rsidRPr="00AA5BB6">
        <w:rPr>
          <w:b/>
          <w:bCs/>
        </w:rPr>
        <w:t>Czy za większe projekty (przewidujące większe pojemności) przewidywana jest możliwość otrzymania dodatkowej ilości punktów?</w:t>
      </w:r>
    </w:p>
    <w:p w14:paraId="754A657F" w14:textId="54C45299" w:rsidR="00AA5BB6" w:rsidRDefault="00AA5BB6" w:rsidP="00AA5BB6">
      <w:pPr>
        <w:pStyle w:val="Akapitzlist"/>
      </w:pPr>
      <w:r w:rsidRPr="00AA5BB6">
        <w:t xml:space="preserve">Kryteria wyboru inwestycji nie </w:t>
      </w:r>
      <w:proofErr w:type="spellStart"/>
      <w:r w:rsidRPr="00AA5BB6">
        <w:t>przeidują</w:t>
      </w:r>
      <w:proofErr w:type="spellEnd"/>
      <w:r w:rsidRPr="00AA5BB6">
        <w:t xml:space="preserve"> dodatkowych punktów dla instalacji większych niż 0.9 </w:t>
      </w:r>
      <w:proofErr w:type="spellStart"/>
      <w:r w:rsidRPr="00AA5BB6">
        <w:t>GWh</w:t>
      </w:r>
      <w:proofErr w:type="spellEnd"/>
      <w:r w:rsidRPr="00AA5BB6">
        <w:t xml:space="preserve">. </w:t>
      </w:r>
    </w:p>
    <w:p w14:paraId="76FAE3DF" w14:textId="1BF9E3A6" w:rsidR="00AA5BB6" w:rsidRDefault="00AA5BB6" w:rsidP="00AA5BB6">
      <w:pPr>
        <w:pStyle w:val="Akapitzlist"/>
        <w:numPr>
          <w:ilvl w:val="0"/>
          <w:numId w:val="1"/>
        </w:numPr>
        <w:rPr>
          <w:b/>
          <w:bCs/>
        </w:rPr>
      </w:pPr>
      <w:r w:rsidRPr="00AA5BB6">
        <w:rPr>
          <w:b/>
          <w:bCs/>
        </w:rPr>
        <w:t>Proszę o wyjaśnienie par. 3 ust. 7 regulaminu odnośnie proporcjonalnego obniżania dofinansowania dla pozytywnie ocenionych wniosków?</w:t>
      </w:r>
    </w:p>
    <w:p w14:paraId="66E2ACF3" w14:textId="77777777" w:rsidR="00AA5BB6" w:rsidRPr="00AA5BB6" w:rsidRDefault="00AA5BB6" w:rsidP="00AA5BB6">
      <w:pPr>
        <w:pStyle w:val="Akapitzlist"/>
      </w:pPr>
      <w:r w:rsidRPr="00AA5BB6">
        <w:t>Zapis par. 7 ust. 3 dotyczy sytuacji, w której dwa projekty spełniają wszystkie kryteria oraz zostały złożone w tym samym terminie. W przypadku wniosków, które otrzymały taką sama liczbę punktów na etapie oceny według kryteriów szczegółowych, o kolejności umieszczenia wniosków na liście rankingowej decyduje kolejność wpływu wniosku do kancelarii NFOŚiGW.</w:t>
      </w:r>
      <w:r>
        <w:t xml:space="preserve"> </w:t>
      </w:r>
      <w:r w:rsidRPr="00AA5BB6">
        <w:t xml:space="preserve">Jeśli w ramach przeprowadzonej oceny okaże się, że obydwa wnioski o dofinansowanie uzyskają pozytywną ocenę wg kryteriów horyzontalnych, otrzymają taką samą liczbę punktów w ramach kryteriów szczegółowych oraz wnioski wpłynęły w tym samym terminie, JW (NFOŚiGW) informuje o wyniku oceny i zastosowaniu par. 3 ust. 7. Decyzję o akceptacji proponowanych warunków podejmuje Wnioskodawca. </w:t>
      </w:r>
    </w:p>
    <w:p w14:paraId="4EE4F1AA" w14:textId="1E26292A" w:rsidR="00AA5BB6" w:rsidRDefault="00AA5BB6" w:rsidP="00AA5BB6">
      <w:pPr>
        <w:pStyle w:val="Akapitzlist"/>
        <w:numPr>
          <w:ilvl w:val="0"/>
          <w:numId w:val="1"/>
        </w:numPr>
        <w:rPr>
          <w:b/>
          <w:bCs/>
        </w:rPr>
      </w:pPr>
      <w:r w:rsidRPr="00AA5BB6">
        <w:rPr>
          <w:b/>
          <w:bCs/>
        </w:rPr>
        <w:t>Czy dnsh będzie obowiązywało także w naborze w funduszu modernizacyjnym?</w:t>
      </w:r>
    </w:p>
    <w:p w14:paraId="3687C0B9" w14:textId="3EC5A196" w:rsidR="00AA5BB6" w:rsidRDefault="00AA5BB6" w:rsidP="00AA5BB6">
      <w:pPr>
        <w:pStyle w:val="Akapitzlist"/>
      </w:pPr>
      <w:r w:rsidRPr="00AA5BB6">
        <w:t>Tak, zgodność z zasadą DNSH będzie obowiązywała również dla projektowanego programu priorytetowego z Funduszu Modernizacyjnego.</w:t>
      </w:r>
    </w:p>
    <w:p w14:paraId="15C54A07" w14:textId="699A0BE7" w:rsidR="002C381A" w:rsidRDefault="002C381A" w:rsidP="002C381A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</w:t>
      </w:r>
      <w:r w:rsidRPr="002C381A">
        <w:rPr>
          <w:b/>
          <w:bCs/>
        </w:rPr>
        <w:t>zy w funduszu modernizacyjnym będą obowiązywały takie same widełki dla kryteriów dot. nakładów w stosunku do mocy i pojemności magazynu?</w:t>
      </w:r>
    </w:p>
    <w:p w14:paraId="6570851B" w14:textId="2C2FF420" w:rsidR="002C381A" w:rsidRDefault="002C381A" w:rsidP="002C381A">
      <w:pPr>
        <w:pStyle w:val="Akapitzlist"/>
      </w:pPr>
      <w:r w:rsidRPr="002C381A">
        <w:t xml:space="preserve">W projektowanym programie priorytetowym z Funduszu Modernizacyjnego będą obowiązywały inne przedziały punktowe. </w:t>
      </w:r>
    </w:p>
    <w:p w14:paraId="17403CD8" w14:textId="6DB40847" w:rsidR="002C381A" w:rsidRDefault="002C381A" w:rsidP="002C381A">
      <w:pPr>
        <w:pStyle w:val="Akapitzlist"/>
        <w:numPr>
          <w:ilvl w:val="0"/>
          <w:numId w:val="1"/>
        </w:numPr>
        <w:rPr>
          <w:b/>
          <w:bCs/>
        </w:rPr>
      </w:pPr>
      <w:r w:rsidRPr="002C381A">
        <w:rPr>
          <w:b/>
          <w:bCs/>
        </w:rPr>
        <w:t>Czy w funduszu modernizacyjnym Beneficjenci muszą korzystać z bazy konkurencyjności czy wystarczy postępowanie ofertowe ?</w:t>
      </w:r>
    </w:p>
    <w:p w14:paraId="76B77B80" w14:textId="347CF0C4" w:rsidR="002C381A" w:rsidRDefault="002C381A" w:rsidP="002C381A">
      <w:pPr>
        <w:pStyle w:val="Akapitzlist"/>
      </w:pPr>
      <w:r>
        <w:t xml:space="preserve">Wymogi jakie są stawiane Wnioskodawcom w kontekście zawierania umów z wykonawcami, określa wzór umowy z Funduszu modernizacyjnego, którą można znaleźć pod linkiem: </w:t>
      </w:r>
      <w:hyperlink r:id="rId11" w:history="1">
        <w:r>
          <w:rPr>
            <w:rStyle w:val="Hipercze"/>
          </w:rPr>
          <w:t>Wzory umów o dofinansowanie ze środków FM - Fundusz Modernizacyjny - Portal Gov.pl (www.gov.pl)</w:t>
        </w:r>
      </w:hyperlink>
    </w:p>
    <w:p w14:paraId="3E4F3D42" w14:textId="0AD488F3" w:rsidR="002C381A" w:rsidRDefault="002C381A" w:rsidP="002C381A">
      <w:pPr>
        <w:pStyle w:val="Akapitzlist"/>
        <w:numPr>
          <w:ilvl w:val="0"/>
          <w:numId w:val="1"/>
        </w:numPr>
        <w:rPr>
          <w:b/>
          <w:bCs/>
        </w:rPr>
      </w:pPr>
      <w:r w:rsidRPr="002C381A">
        <w:rPr>
          <w:b/>
          <w:bCs/>
        </w:rPr>
        <w:t>Licząc wskaźniki dotacji/MW i dotacji na MWh, bierzemy pod uwagę dotację liczoną od sumy wydatków kwalifikowanych w projekcie?</w:t>
      </w:r>
    </w:p>
    <w:p w14:paraId="4380B3D2" w14:textId="3ED89E5E" w:rsidR="002C381A" w:rsidRDefault="002C381A" w:rsidP="002C381A">
      <w:pPr>
        <w:pStyle w:val="Akapitzlist"/>
      </w:pPr>
      <w:r w:rsidRPr="002C381A">
        <w:t xml:space="preserve">Tak, do obliczeń należy przyjąć wartość wnioskowanej dotacji wyliczonej zgodnie z przepisami dot. dopuszczalności pomocy publicznej. </w:t>
      </w:r>
    </w:p>
    <w:p w14:paraId="177FA5D7" w14:textId="4592C925" w:rsidR="002C381A" w:rsidRPr="002C381A" w:rsidRDefault="002C381A" w:rsidP="002C381A">
      <w:pPr>
        <w:pStyle w:val="Akapitzlist"/>
        <w:numPr>
          <w:ilvl w:val="0"/>
          <w:numId w:val="1"/>
        </w:numPr>
        <w:rPr>
          <w:b/>
          <w:bCs/>
        </w:rPr>
      </w:pPr>
      <w:r w:rsidRPr="002C381A">
        <w:rPr>
          <w:b/>
          <w:bCs/>
        </w:rPr>
        <w:t xml:space="preserve">Czy zgodnie z przywołaną decyzją Komisji Europejskiej realizacja projektu powinna nastąpić do końca czerwca 2029 r.? </w:t>
      </w:r>
    </w:p>
    <w:p w14:paraId="115B9563" w14:textId="6033D3DA" w:rsidR="000501B7" w:rsidRDefault="002C381A" w:rsidP="002C381A">
      <w:pPr>
        <w:pStyle w:val="Akapitzlist"/>
      </w:pPr>
      <w:r>
        <w:t>Zgodnie z decyzją wykonawczą KE r</w:t>
      </w:r>
      <w:r w:rsidRPr="00511580">
        <w:t xml:space="preserve">ozpoczęcie eksploatacji wielkoskalowego systemu magazynowania energii (BESS) o pojemności 0,9 </w:t>
      </w:r>
      <w:proofErr w:type="spellStart"/>
      <w:r w:rsidRPr="00511580">
        <w:t>GWh</w:t>
      </w:r>
      <w:proofErr w:type="spellEnd"/>
      <w:r w:rsidRPr="00511580">
        <w:t xml:space="preserve"> i czasie pracy między 4 a 5 godzin</w:t>
      </w:r>
      <w:r>
        <w:t xml:space="preserve"> powinno nastąpić do 30.06.</w:t>
      </w:r>
      <w:r>
        <w:t>2026</w:t>
      </w:r>
      <w:r w:rsidR="000501B7">
        <w:t xml:space="preserve"> </w:t>
      </w:r>
      <w:r>
        <w:t>r</w:t>
      </w:r>
      <w:r>
        <w:t xml:space="preserve">. </w:t>
      </w:r>
    </w:p>
    <w:p w14:paraId="4B41C4D3" w14:textId="79EB5864" w:rsidR="002C381A" w:rsidRPr="002C381A" w:rsidRDefault="002C381A" w:rsidP="002C381A">
      <w:pPr>
        <w:pStyle w:val="Akapitzlist"/>
        <w:numPr>
          <w:ilvl w:val="0"/>
          <w:numId w:val="1"/>
        </w:numPr>
        <w:rPr>
          <w:b/>
          <w:bCs/>
        </w:rPr>
      </w:pPr>
      <w:r w:rsidRPr="002C381A">
        <w:rPr>
          <w:b/>
          <w:bCs/>
        </w:rPr>
        <w:lastRenderedPageBreak/>
        <w:t>Czy w projekcie 2/4 będzie wymóg ogłaszania zapytania na Bazie Konkurencyjności ? I jak to ma się do zapisu że wchodzą w grę inwestycje rozpoczęte w marcu 2024 r?</w:t>
      </w:r>
    </w:p>
    <w:p w14:paraId="6B98711D" w14:textId="70E3EA0D" w:rsidR="002C381A" w:rsidRDefault="002C381A" w:rsidP="002C381A">
      <w:pPr>
        <w:pStyle w:val="Akapitzlist"/>
      </w:pPr>
      <w:r>
        <w:t xml:space="preserve">W naborze nie ma obowiązku korzystania z Bazy Konkurencyjności. </w:t>
      </w:r>
      <w:r w:rsidRPr="002C381A">
        <w:t xml:space="preserve">Wymogi jakie są stawiane Wnioskodawcom w kontekście zawierania umów z wykonawcami, określa wzór umowy z Funduszu modernizacyjnego, którą można znaleźć pod linkiem: </w:t>
      </w:r>
      <w:hyperlink r:id="rId12" w:history="1">
        <w:r w:rsidRPr="002C381A">
          <w:rPr>
            <w:rStyle w:val="Hipercze"/>
          </w:rPr>
          <w:t>Wzory umów o dofinansowanie ze środków FM - Fundusz Modernizacyjny - Portal Gov.pl (www.gov.pl)</w:t>
        </w:r>
      </w:hyperlink>
    </w:p>
    <w:p w14:paraId="7522E69D" w14:textId="60DE14C5" w:rsidR="002C381A" w:rsidRDefault="002C381A" w:rsidP="002C381A">
      <w:pPr>
        <w:pStyle w:val="Akapitzlist"/>
        <w:numPr>
          <w:ilvl w:val="0"/>
          <w:numId w:val="1"/>
        </w:numPr>
        <w:rPr>
          <w:b/>
          <w:bCs/>
        </w:rPr>
      </w:pPr>
      <w:r w:rsidRPr="002C381A">
        <w:rPr>
          <w:b/>
          <w:bCs/>
        </w:rPr>
        <w:t xml:space="preserve">Wskaźnik obniżenia poziomu CO2 prze magazyn - jest bez sensu. Przecież ta energia "do magazynu" i "z magazynu" - będzie z tego samego </w:t>
      </w:r>
      <w:proofErr w:type="spellStart"/>
      <w:r w:rsidRPr="002C381A">
        <w:rPr>
          <w:b/>
          <w:bCs/>
        </w:rPr>
        <w:t>miksu</w:t>
      </w:r>
      <w:proofErr w:type="spellEnd"/>
      <w:r w:rsidRPr="002C381A">
        <w:rPr>
          <w:b/>
          <w:bCs/>
        </w:rPr>
        <w:t xml:space="preserve"> energetycznego. Czyli wpływ = 0</w:t>
      </w:r>
    </w:p>
    <w:p w14:paraId="0C65653C" w14:textId="1762A725" w:rsidR="002C381A" w:rsidRDefault="002C381A" w:rsidP="002C381A">
      <w:pPr>
        <w:pStyle w:val="Akapitzlist"/>
      </w:pPr>
      <w:r w:rsidRPr="00511580">
        <w:t xml:space="preserve">Możliwe jest posłużenie się podejściem modelowym, w którym </w:t>
      </w:r>
      <w:r>
        <w:t>e</w:t>
      </w:r>
      <w:r w:rsidRPr="00511580">
        <w:t>fekt ekologiczny opiera się na podejściu, że ilość energii zmagazynowanej w ciągu roku będzie stanowić tzw. „nadwyżkę” energii powstałej w sieci elektroenergetycznej głównie w wyniku produkcji energii z instalacji wytwarzających energię odnawialną. Ilość energii zmagazynowanej i oddanej do sieci przez magazyny energii przełoży się na ograniczenie produkcji energii z konwencjonalnych źródeł wytwarzania energii elektrycznej. Uwzględniając współczynnik emisji energii elektrycznej dla sieci elektroenergetycznej podawany corocznie przez KOBIZE, unikniętą/zredukowaną emisję CO</w:t>
      </w:r>
      <w:r w:rsidRPr="00511580">
        <w:rPr>
          <w:vertAlign w:val="subscript"/>
        </w:rPr>
        <w:t>2</w:t>
      </w:r>
      <w:r w:rsidRPr="00511580">
        <w:t xml:space="preserve"> oblicza się jako iloczyn energii elektrycznej zmagazynowanej i wprowadzonej do sieci rocznie oraz współczynnika emisji.</w:t>
      </w:r>
      <w:r>
        <w:t xml:space="preserve"> Zgodnie z informacją przekazaną na szkoleniu, magazynowanie energii w instalacji zintegrowanej z siecią elektroenergetyczną co do zasady powinno spowodować zmniejszenie wykorzystania paliw kopalnych w </w:t>
      </w:r>
      <w:proofErr w:type="spellStart"/>
      <w:r>
        <w:t>miksie</w:t>
      </w:r>
      <w:proofErr w:type="spellEnd"/>
      <w:r>
        <w:t xml:space="preserve"> energetycznym tj. zapewnić maksymalizację wykorzystania potencjału wytwórczego OZE. </w:t>
      </w:r>
    </w:p>
    <w:p w14:paraId="466FACF0" w14:textId="4B209893" w:rsidR="002C381A" w:rsidRDefault="002C381A" w:rsidP="002C381A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</w:t>
      </w:r>
      <w:r w:rsidRPr="002C381A">
        <w:rPr>
          <w:b/>
          <w:bCs/>
        </w:rPr>
        <w:t>dnośnie metodologii liczenia poziomu dofinansowania - czy mamy tutaj ewentualnie liczenie inwestycji referencyjnej? Czy będzie pojawi się metodologia obliczania poziomu dofinansowania</w:t>
      </w:r>
    </w:p>
    <w:p w14:paraId="66289C5B" w14:textId="0BA4E0F1" w:rsidR="001C61EF" w:rsidRPr="001C61EF" w:rsidRDefault="002C381A" w:rsidP="002479B7">
      <w:pPr>
        <w:pStyle w:val="Akapitzlist"/>
      </w:pPr>
      <w:r w:rsidRPr="001C61EF">
        <w:t xml:space="preserve">W przedmiotowym naborze nie stosuje się </w:t>
      </w:r>
      <w:r w:rsidR="001C61EF" w:rsidRPr="001C61EF">
        <w:t>metody wyliczania poziomu dofinansowania przy zastosowaniu inwestycji referencyjnej.</w:t>
      </w:r>
      <w:r w:rsidR="002479B7">
        <w:t xml:space="preserve"> </w:t>
      </w:r>
      <w:r w:rsidR="002479B7">
        <w:t>Kwota dotacji wyliczana jest na</w:t>
      </w:r>
      <w:r w:rsidR="002479B7">
        <w:t xml:space="preserve"> podstawie </w:t>
      </w:r>
      <w:r w:rsidR="002479B7">
        <w:t xml:space="preserve">maksymalnej intensywności dofinansowania w odniesieniu do kosztów kwalifikowanych. </w:t>
      </w:r>
      <w:r w:rsidR="001C61EF" w:rsidRPr="001C61EF">
        <w:t>Intensywność pomocy (wartość pomocy/koszty kwalifikowane</w:t>
      </w:r>
      <w:r w:rsidR="001C61EF" w:rsidRPr="001C61EF">
        <w:t>)</w:t>
      </w:r>
      <w:r w:rsidR="002479B7">
        <w:t xml:space="preserve"> </w:t>
      </w:r>
      <w:r w:rsidR="002479B7" w:rsidRPr="002479B7">
        <w:t>jest uzależniona od wielkości przedsiębiorstwa</w:t>
      </w:r>
      <w:r w:rsidR="001C61EF" w:rsidRPr="001C61EF">
        <w:t>:</w:t>
      </w:r>
    </w:p>
    <w:p w14:paraId="3F034093" w14:textId="77777777" w:rsidR="001C61EF" w:rsidRPr="001C61EF" w:rsidRDefault="001C61EF" w:rsidP="001C61EF">
      <w:pPr>
        <w:pStyle w:val="Akapitzlist"/>
        <w:numPr>
          <w:ilvl w:val="0"/>
          <w:numId w:val="4"/>
        </w:numPr>
      </w:pPr>
      <w:r w:rsidRPr="001C61EF">
        <w:t>45% dla dużego przedsiębiorstwa</w:t>
      </w:r>
    </w:p>
    <w:p w14:paraId="7AD1285B" w14:textId="77777777" w:rsidR="001C61EF" w:rsidRPr="001C61EF" w:rsidRDefault="001C61EF" w:rsidP="001C61EF">
      <w:pPr>
        <w:pStyle w:val="Akapitzlist"/>
        <w:numPr>
          <w:ilvl w:val="0"/>
          <w:numId w:val="4"/>
        </w:numPr>
      </w:pPr>
      <w:r w:rsidRPr="001C61EF">
        <w:t>55% dla średniego przedsiębiorstwa</w:t>
      </w:r>
    </w:p>
    <w:p w14:paraId="5AAAD83C" w14:textId="77777777" w:rsidR="002479B7" w:rsidRDefault="001C61EF" w:rsidP="00525615">
      <w:pPr>
        <w:pStyle w:val="Akapitzlist"/>
        <w:numPr>
          <w:ilvl w:val="0"/>
          <w:numId w:val="4"/>
        </w:numPr>
      </w:pPr>
      <w:r w:rsidRPr="001C61EF">
        <w:t>65% dla mikro i małego przedsiębiorstwa</w:t>
      </w:r>
    </w:p>
    <w:p w14:paraId="512F1C99" w14:textId="452A8F44" w:rsidR="002479B7" w:rsidRPr="001C61EF" w:rsidRDefault="002479B7" w:rsidP="00305B66">
      <w:pPr>
        <w:ind w:left="708"/>
      </w:pPr>
      <w:r w:rsidRPr="002479B7">
        <w:t xml:space="preserve">Wnioskodawcy, którzy deklarują się jako MŚP wypełniają załącznik nr 22 – Załącznik dotyczący wielkości przedsiębiorstwa. </w:t>
      </w:r>
    </w:p>
    <w:p w14:paraId="0D1D0D27" w14:textId="60CA3FDE" w:rsidR="001C61EF" w:rsidRPr="00607F4A" w:rsidRDefault="001C61EF" w:rsidP="001C61EF">
      <w:pPr>
        <w:pStyle w:val="Akapitzlist"/>
        <w:numPr>
          <w:ilvl w:val="0"/>
          <w:numId w:val="1"/>
        </w:numPr>
        <w:rPr>
          <w:b/>
        </w:rPr>
      </w:pPr>
      <w:r w:rsidRPr="00607F4A">
        <w:rPr>
          <w:b/>
        </w:rPr>
        <w:t>Co ze zmiana statusu MŚP po udzieleniu pomocy?</w:t>
      </w:r>
    </w:p>
    <w:p w14:paraId="18EBB1B7" w14:textId="729ECEFC" w:rsidR="002C381A" w:rsidRPr="001C61EF" w:rsidRDefault="0032341F" w:rsidP="00525615">
      <w:pPr>
        <w:pStyle w:val="Akapitzlist"/>
      </w:pPr>
      <w:r>
        <w:t>Zastosowanie ma zasada ochrony praw nabytych. Ewentualna zmiana statusu przedsiębiorstwa po dniu u</w:t>
      </w:r>
      <w:r w:rsidR="002479B7">
        <w:t>dzielenia pomocy, tj. dniu podpisaniu</w:t>
      </w:r>
      <w:r>
        <w:t xml:space="preserve"> umowy o dofinansowanie, pozostaje bez wpływu na udzieloną pomoc publiczną. </w:t>
      </w:r>
      <w:r w:rsidR="002479B7">
        <w:t>Przykładowo, średni przedsiębiorca podpisał umowę o dofinansowanie, które wynosi 55% kosztów inwestycji. Rok po podpisaniu um</w:t>
      </w:r>
      <w:r w:rsidR="00B7398C">
        <w:t xml:space="preserve">owy staje się dużym przedsiębiorstwem i </w:t>
      </w:r>
      <w:r w:rsidR="002479B7">
        <w:t xml:space="preserve">traci status MŚP. Nadal przysługuje mu dofinansowanie w wysokości 55% kosztów kwalifikowanych, do którego nabył prawo. </w:t>
      </w:r>
    </w:p>
    <w:p w14:paraId="61ADD02A" w14:textId="77777777" w:rsidR="001C61EF" w:rsidRPr="001C61EF" w:rsidRDefault="001C61EF" w:rsidP="001C61EF">
      <w:pPr>
        <w:pStyle w:val="Akapitzlist"/>
        <w:numPr>
          <w:ilvl w:val="0"/>
          <w:numId w:val="1"/>
        </w:numPr>
        <w:rPr>
          <w:b/>
          <w:bCs/>
        </w:rPr>
      </w:pPr>
      <w:r w:rsidRPr="001C61EF">
        <w:rPr>
          <w:b/>
          <w:bCs/>
        </w:rPr>
        <w:t>Czy studium ma dotyczyć samego projektu czy studium ma dotyczyć projektu + dotychczasowa działalność</w:t>
      </w:r>
    </w:p>
    <w:p w14:paraId="73A141C7" w14:textId="60C8B239" w:rsidR="002C381A" w:rsidRDefault="001C61EF" w:rsidP="001C61EF">
      <w:pPr>
        <w:pStyle w:val="Akapitzlist"/>
      </w:pPr>
      <w:r>
        <w:t xml:space="preserve">W Studium Wykonalności wnioskodawca opisuje zarówno projekt jak i swoją działalność. </w:t>
      </w:r>
    </w:p>
    <w:p w14:paraId="1A37CEEF" w14:textId="002F5491" w:rsidR="001C61EF" w:rsidRDefault="001C61EF" w:rsidP="001C61EF">
      <w:pPr>
        <w:pStyle w:val="Akapitzlist"/>
        <w:numPr>
          <w:ilvl w:val="0"/>
          <w:numId w:val="1"/>
        </w:numPr>
        <w:rPr>
          <w:b/>
          <w:bCs/>
        </w:rPr>
      </w:pPr>
      <w:r w:rsidRPr="001C61EF">
        <w:rPr>
          <w:b/>
          <w:bCs/>
        </w:rPr>
        <w:lastRenderedPageBreak/>
        <w:t>Czy w ramach analizy będzie prowadzona analiza ratingu przedsiębiorstwa w celu ustalenia parametrów pożyczki?</w:t>
      </w:r>
    </w:p>
    <w:p w14:paraId="76D2B279" w14:textId="6F973272" w:rsidR="001C61EF" w:rsidRDefault="001C61EF" w:rsidP="001C61EF">
      <w:pPr>
        <w:pStyle w:val="Akapitzlist"/>
      </w:pPr>
      <w:r w:rsidRPr="001C61EF">
        <w:t xml:space="preserve">W ramach przedmiotowego naboru wnioskowaną formą dofinansowania jest dotacja. </w:t>
      </w:r>
      <w:r>
        <w:t xml:space="preserve">Ocena ratingu dokonywana jest na potrzeby oceny finansowej, w tym możliwości zabezpieczenia przedmiotowej wierzytelności. </w:t>
      </w:r>
    </w:p>
    <w:p w14:paraId="75B9BA32" w14:textId="4EB89B47" w:rsidR="001C61EF" w:rsidRDefault="001C61EF" w:rsidP="001C61EF">
      <w:pPr>
        <w:pStyle w:val="Akapitzlist"/>
        <w:numPr>
          <w:ilvl w:val="0"/>
          <w:numId w:val="1"/>
        </w:numPr>
        <w:rPr>
          <w:b/>
          <w:bCs/>
        </w:rPr>
      </w:pPr>
      <w:r w:rsidRPr="001C61EF">
        <w:rPr>
          <w:b/>
          <w:bCs/>
        </w:rPr>
        <w:t>Czy od spółki celowej będzie wymagane dodatkowe zabezpieczenie poza wekslem?</w:t>
      </w:r>
    </w:p>
    <w:p w14:paraId="31E87845" w14:textId="4F563B24" w:rsidR="007B5D90" w:rsidRPr="006D3F3D" w:rsidRDefault="001C61EF" w:rsidP="008039BD">
      <w:pPr>
        <w:spacing w:before="60" w:after="0" w:line="276" w:lineRule="auto"/>
        <w:ind w:left="708"/>
        <w:rPr>
          <w:rFonts w:cstheme="minorHAnsi"/>
        </w:rPr>
      </w:pPr>
      <w:r w:rsidRPr="008039BD">
        <w:t>Zgodnie z metodyką oceny finansowej wniosku o dofinansowanie (</w:t>
      </w:r>
      <w:hyperlink r:id="rId13" w:history="1">
        <w:r w:rsidRPr="008039BD">
          <w:rPr>
            <w:rStyle w:val="Hipercze"/>
          </w:rPr>
          <w:t>Informacje ogólne - Narodowy Fundusz Ochrony Środowiska i Gospodarki Wodnej - Portal Gov.pl</w:t>
        </w:r>
      </w:hyperlink>
      <w:r w:rsidRPr="008039BD">
        <w:t xml:space="preserve">) </w:t>
      </w:r>
      <w:r w:rsidR="008039BD" w:rsidRPr="008039BD">
        <w:t xml:space="preserve">w przypadku przedsięwzięć realizowanych w formule </w:t>
      </w:r>
      <w:proofErr w:type="spellStart"/>
      <w:r w:rsidR="008039BD" w:rsidRPr="008039BD">
        <w:t>project</w:t>
      </w:r>
      <w:proofErr w:type="spellEnd"/>
      <w:r w:rsidR="008039BD" w:rsidRPr="008039BD">
        <w:t xml:space="preserve"> </w:t>
      </w:r>
      <w:proofErr w:type="spellStart"/>
      <w:r w:rsidR="008039BD" w:rsidRPr="008039BD">
        <w:t>finance</w:t>
      </w:r>
      <w:proofErr w:type="spellEnd"/>
      <w:r w:rsidR="008039BD" w:rsidRPr="008039BD">
        <w:t xml:space="preserve"> wymagane jest </w:t>
      </w:r>
      <w:r w:rsidR="007B5D90" w:rsidRPr="006D3F3D">
        <w:t>ustanowienie</w:t>
      </w:r>
      <w:r w:rsidR="008039BD" w:rsidRPr="008039BD">
        <w:rPr>
          <w:rFonts w:cstheme="minorHAnsi"/>
        </w:rPr>
        <w:t xml:space="preserve"> zabezpieczenia </w:t>
      </w:r>
      <w:r w:rsidR="007B5D90" w:rsidRPr="006D3F3D">
        <w:rPr>
          <w:rFonts w:cstheme="minorHAnsi"/>
        </w:rPr>
        <w:t xml:space="preserve">w formie </w:t>
      </w:r>
      <w:r w:rsidR="00003392" w:rsidRPr="006D3F3D">
        <w:rPr>
          <w:rFonts w:cstheme="minorHAnsi"/>
        </w:rPr>
        <w:t>przewidzianej</w:t>
      </w:r>
      <w:r w:rsidR="007B5D90" w:rsidRPr="006D3F3D">
        <w:rPr>
          <w:rFonts w:cstheme="minorHAnsi"/>
        </w:rPr>
        <w:t xml:space="preserve"> przez odrębne przepisy wewnętrzne NFOŚiGW. </w:t>
      </w:r>
    </w:p>
    <w:p w14:paraId="309573CF" w14:textId="3A27B9C2" w:rsidR="00003392" w:rsidRPr="006D3F3D" w:rsidRDefault="00003392" w:rsidP="006D3F3D">
      <w:pPr>
        <w:spacing w:after="0" w:line="276" w:lineRule="auto"/>
        <w:ind w:left="709"/>
        <w:rPr>
          <w:rFonts w:cstheme="minorHAnsi"/>
        </w:rPr>
      </w:pPr>
      <w:r w:rsidRPr="006D3F3D">
        <w:rPr>
          <w:rFonts w:cstheme="minorHAnsi"/>
        </w:rPr>
        <w:t xml:space="preserve">Pakiet podstawowych </w:t>
      </w:r>
      <w:r w:rsidR="008039BD" w:rsidRPr="008039BD">
        <w:rPr>
          <w:rFonts w:cstheme="minorHAnsi"/>
        </w:rPr>
        <w:t xml:space="preserve">zabezpieczeń </w:t>
      </w:r>
      <w:r w:rsidRPr="006D3F3D">
        <w:rPr>
          <w:rFonts w:cstheme="minorHAnsi"/>
        </w:rPr>
        <w:t>wierzytelności dla projektów realizowanych w formule „</w:t>
      </w:r>
      <w:proofErr w:type="spellStart"/>
      <w:r w:rsidRPr="006D3F3D">
        <w:rPr>
          <w:rFonts w:cstheme="minorHAnsi"/>
        </w:rPr>
        <w:t>project</w:t>
      </w:r>
      <w:proofErr w:type="spellEnd"/>
      <w:r w:rsidRPr="006D3F3D">
        <w:rPr>
          <w:rFonts w:cstheme="minorHAnsi"/>
        </w:rPr>
        <w:t xml:space="preserve"> </w:t>
      </w:r>
      <w:proofErr w:type="spellStart"/>
      <w:r w:rsidRPr="006D3F3D">
        <w:rPr>
          <w:rFonts w:cstheme="minorHAnsi"/>
        </w:rPr>
        <w:t>finance</w:t>
      </w:r>
      <w:proofErr w:type="spellEnd"/>
      <w:r w:rsidRPr="006D3F3D">
        <w:rPr>
          <w:rFonts w:cstheme="minorHAnsi"/>
        </w:rPr>
        <w:t>” stanowi:</w:t>
      </w:r>
    </w:p>
    <w:p w14:paraId="7088A044" w14:textId="65D8C50C" w:rsidR="00003392" w:rsidRPr="006D3F3D" w:rsidRDefault="00003392" w:rsidP="006D3F3D">
      <w:pPr>
        <w:pStyle w:val="Akapitzlist"/>
        <w:numPr>
          <w:ilvl w:val="0"/>
          <w:numId w:val="12"/>
        </w:numPr>
        <w:spacing w:after="0" w:line="276" w:lineRule="auto"/>
        <w:rPr>
          <w:rFonts w:cstheme="minorHAnsi"/>
        </w:rPr>
      </w:pPr>
      <w:r w:rsidRPr="006D3F3D">
        <w:rPr>
          <w:rFonts w:cstheme="minorHAnsi"/>
        </w:rPr>
        <w:t>weksel własny „in blanco” opatrzony klauzulą „bez protestu” wraz z deklaracją wekslową,</w:t>
      </w:r>
    </w:p>
    <w:p w14:paraId="44794943" w14:textId="36D8AF7F" w:rsidR="00003392" w:rsidRPr="006D3F3D" w:rsidRDefault="00003392" w:rsidP="006D3F3D">
      <w:pPr>
        <w:pStyle w:val="Akapitzlist"/>
        <w:numPr>
          <w:ilvl w:val="0"/>
          <w:numId w:val="12"/>
        </w:numPr>
        <w:spacing w:after="0" w:line="276" w:lineRule="auto"/>
        <w:rPr>
          <w:rFonts w:cstheme="minorHAnsi"/>
        </w:rPr>
      </w:pPr>
      <w:r w:rsidRPr="006D3F3D">
        <w:rPr>
          <w:rFonts w:cstheme="minorHAnsi"/>
        </w:rPr>
        <w:t xml:space="preserve">cesja wierzytelności z rachunku bankowego/zastaw rejestrowy </w:t>
      </w:r>
      <w:r w:rsidR="008039BD" w:rsidRPr="008039BD">
        <w:rPr>
          <w:rFonts w:cstheme="minorHAnsi"/>
        </w:rPr>
        <w:t xml:space="preserve">na </w:t>
      </w:r>
      <w:r w:rsidRPr="006D3F3D">
        <w:rPr>
          <w:rFonts w:cstheme="minorHAnsi"/>
        </w:rPr>
        <w:t>wierzytelności z rachunku bankowego,</w:t>
      </w:r>
    </w:p>
    <w:p w14:paraId="7BFC7337" w14:textId="5C28DF37" w:rsidR="00003392" w:rsidRPr="006D3F3D" w:rsidRDefault="00003392" w:rsidP="006D3F3D">
      <w:pPr>
        <w:pStyle w:val="Akapitzlist"/>
        <w:numPr>
          <w:ilvl w:val="0"/>
          <w:numId w:val="12"/>
        </w:numPr>
        <w:spacing w:after="0" w:line="276" w:lineRule="auto"/>
        <w:rPr>
          <w:rFonts w:cstheme="minorHAnsi"/>
        </w:rPr>
      </w:pPr>
      <w:r w:rsidRPr="006D3F3D">
        <w:rPr>
          <w:rFonts w:cstheme="minorHAnsi"/>
        </w:rPr>
        <w:t>zastaw rejestrowy na akcjach/udziałach spółki celowej,</w:t>
      </w:r>
    </w:p>
    <w:p w14:paraId="1EDD0A0E" w14:textId="2479C529" w:rsidR="00003392" w:rsidRPr="006D3F3D" w:rsidRDefault="00003392" w:rsidP="006D3F3D">
      <w:pPr>
        <w:pStyle w:val="Akapitzlist"/>
        <w:numPr>
          <w:ilvl w:val="0"/>
          <w:numId w:val="12"/>
        </w:numPr>
        <w:spacing w:after="0" w:line="276" w:lineRule="auto"/>
        <w:rPr>
          <w:rFonts w:cstheme="minorHAnsi"/>
        </w:rPr>
      </w:pPr>
      <w:r w:rsidRPr="006D3F3D">
        <w:rPr>
          <w:rFonts w:cstheme="minorHAnsi"/>
        </w:rPr>
        <w:t>hipoteka, w tym:</w:t>
      </w:r>
    </w:p>
    <w:p w14:paraId="20D78558" w14:textId="00D8A87C" w:rsidR="00003392" w:rsidRPr="006D3F3D" w:rsidRDefault="00003392" w:rsidP="006D3F3D">
      <w:pPr>
        <w:pStyle w:val="Akapitzlist"/>
        <w:numPr>
          <w:ilvl w:val="0"/>
          <w:numId w:val="15"/>
        </w:numPr>
        <w:spacing w:after="0" w:line="276" w:lineRule="auto"/>
        <w:rPr>
          <w:rFonts w:cstheme="minorHAnsi"/>
        </w:rPr>
      </w:pPr>
      <w:r w:rsidRPr="006D3F3D">
        <w:rPr>
          <w:rFonts w:cstheme="minorHAnsi"/>
        </w:rPr>
        <w:t>na składnikach majątkowych własnych podmiotu realizującego projekt,</w:t>
      </w:r>
    </w:p>
    <w:p w14:paraId="072334AC" w14:textId="03FA1071" w:rsidR="00003392" w:rsidRPr="006D3F3D" w:rsidRDefault="00003392" w:rsidP="006D3F3D">
      <w:pPr>
        <w:pStyle w:val="Akapitzlist"/>
        <w:numPr>
          <w:ilvl w:val="0"/>
          <w:numId w:val="15"/>
        </w:numPr>
        <w:spacing w:after="0" w:line="276" w:lineRule="auto"/>
        <w:rPr>
          <w:rFonts w:cstheme="minorHAnsi"/>
        </w:rPr>
      </w:pPr>
      <w:r w:rsidRPr="006D3F3D">
        <w:rPr>
          <w:rFonts w:cstheme="minorHAnsi"/>
        </w:rPr>
        <w:t>lub na składnikach majątkowych podmiotu realizującego projekt powstałych w wyniku realizacji projektu,</w:t>
      </w:r>
    </w:p>
    <w:p w14:paraId="6CA86AB2" w14:textId="77777777" w:rsidR="00003392" w:rsidRPr="006D3F3D" w:rsidRDefault="00003392" w:rsidP="006D3F3D">
      <w:pPr>
        <w:spacing w:after="0" w:line="276" w:lineRule="auto"/>
        <w:ind w:left="1069"/>
        <w:rPr>
          <w:rFonts w:cstheme="minorHAnsi"/>
        </w:rPr>
      </w:pPr>
      <w:r w:rsidRPr="006D3F3D">
        <w:rPr>
          <w:rFonts w:cstheme="minorHAnsi"/>
        </w:rPr>
        <w:t>W przypadku uzasadnionego braku możliwości ustanowienia hipoteki dopuszcza się zastosowanie cesji wierzytelności z umowy dzierżawy.</w:t>
      </w:r>
    </w:p>
    <w:p w14:paraId="1412220E" w14:textId="47C86FC6" w:rsidR="00003392" w:rsidRPr="006D3F3D" w:rsidRDefault="00003392" w:rsidP="006D3F3D">
      <w:pPr>
        <w:pStyle w:val="Akapitzlist"/>
        <w:numPr>
          <w:ilvl w:val="0"/>
          <w:numId w:val="12"/>
        </w:numPr>
        <w:spacing w:after="0" w:line="276" w:lineRule="auto"/>
        <w:rPr>
          <w:rFonts w:cstheme="minorHAnsi"/>
        </w:rPr>
      </w:pPr>
      <w:r w:rsidRPr="006D3F3D">
        <w:rPr>
          <w:rFonts w:cstheme="minorHAnsi"/>
        </w:rPr>
        <w:t>notarialne oświadczenie o poddaniu się rygorowi egzekucji w myśl art. 777 § 1 pkt. 4, 5 lub 6 k.p.c.,</w:t>
      </w:r>
    </w:p>
    <w:p w14:paraId="16B14270" w14:textId="43E52688" w:rsidR="00003392" w:rsidRPr="006D3F3D" w:rsidRDefault="00003392" w:rsidP="006D3F3D">
      <w:pPr>
        <w:pStyle w:val="Akapitzlist"/>
        <w:numPr>
          <w:ilvl w:val="0"/>
          <w:numId w:val="12"/>
        </w:numPr>
        <w:spacing w:after="0" w:line="276" w:lineRule="auto"/>
        <w:rPr>
          <w:rFonts w:cstheme="minorHAnsi"/>
        </w:rPr>
      </w:pPr>
      <w:r w:rsidRPr="006D3F3D">
        <w:rPr>
          <w:rFonts w:cstheme="minorHAnsi"/>
        </w:rPr>
        <w:t>zastaw rejestrowy na zbiorze rzeczy ruchomych i praw majątkowych spółki celowej,</w:t>
      </w:r>
    </w:p>
    <w:p w14:paraId="294E83E0" w14:textId="5111ED5A" w:rsidR="00003392" w:rsidRPr="006D3F3D" w:rsidRDefault="00003392" w:rsidP="006D3F3D">
      <w:pPr>
        <w:pStyle w:val="Akapitzlist"/>
        <w:numPr>
          <w:ilvl w:val="0"/>
          <w:numId w:val="12"/>
        </w:numPr>
        <w:spacing w:after="0" w:line="276" w:lineRule="auto"/>
        <w:rPr>
          <w:rFonts w:cstheme="minorHAnsi"/>
        </w:rPr>
      </w:pPr>
      <w:r w:rsidRPr="006D3F3D">
        <w:rPr>
          <w:rFonts w:cstheme="minorHAnsi"/>
        </w:rPr>
        <w:t>cesja wierzytelności z umów sprzedaży (np. energii elektrycznej lub cieplnej, praw majątkowych wynikających ze sprzedaży świadectw pochodzenia),</w:t>
      </w:r>
    </w:p>
    <w:p w14:paraId="44260343" w14:textId="1153BC52" w:rsidR="00003392" w:rsidRPr="006D3F3D" w:rsidRDefault="00003392" w:rsidP="006D3F3D">
      <w:pPr>
        <w:pStyle w:val="Akapitzlist"/>
        <w:numPr>
          <w:ilvl w:val="0"/>
          <w:numId w:val="12"/>
        </w:numPr>
        <w:spacing w:after="0" w:line="276" w:lineRule="auto"/>
        <w:rPr>
          <w:rFonts w:cstheme="minorHAnsi"/>
        </w:rPr>
      </w:pPr>
      <w:r w:rsidRPr="006D3F3D">
        <w:rPr>
          <w:rFonts w:cstheme="minorHAnsi"/>
        </w:rPr>
        <w:t xml:space="preserve">cesja wierzytelności z umów/polis ubezpieczeniowych, </w:t>
      </w:r>
    </w:p>
    <w:p w14:paraId="015807D9" w14:textId="210E0D9D" w:rsidR="00003392" w:rsidRPr="006D3F3D" w:rsidRDefault="00003392" w:rsidP="006D3F3D">
      <w:pPr>
        <w:pStyle w:val="Akapitzlist"/>
        <w:numPr>
          <w:ilvl w:val="0"/>
          <w:numId w:val="12"/>
        </w:numPr>
        <w:spacing w:after="0" w:line="276" w:lineRule="auto"/>
        <w:rPr>
          <w:rFonts w:cstheme="minorHAnsi"/>
        </w:rPr>
      </w:pPr>
      <w:r w:rsidRPr="006D3F3D">
        <w:rPr>
          <w:rFonts w:cstheme="minorHAnsi"/>
        </w:rPr>
        <w:t>zabezpieczenia na innych dokumentach projektu</w:t>
      </w:r>
      <w:r w:rsidR="008039BD" w:rsidRPr="008039BD">
        <w:rPr>
          <w:rFonts w:cstheme="minorHAnsi"/>
        </w:rPr>
        <w:t xml:space="preserve"> oraz </w:t>
      </w:r>
      <w:r w:rsidRPr="006D3F3D">
        <w:rPr>
          <w:rFonts w:cstheme="minorHAnsi"/>
        </w:rPr>
        <w:t>inne przewidziane prawem formy zabezpieczeń.</w:t>
      </w:r>
    </w:p>
    <w:p w14:paraId="2931AF87" w14:textId="77777777" w:rsidR="00003392" w:rsidRPr="006D3F3D" w:rsidRDefault="00003392" w:rsidP="006D3F3D">
      <w:pPr>
        <w:spacing w:after="0" w:line="276" w:lineRule="auto"/>
        <w:ind w:left="709"/>
        <w:rPr>
          <w:rFonts w:cstheme="minorHAnsi"/>
        </w:rPr>
      </w:pPr>
    </w:p>
    <w:p w14:paraId="7227A183" w14:textId="332CF41D" w:rsidR="00003392" w:rsidRPr="006D3F3D" w:rsidRDefault="00003392" w:rsidP="006D3F3D">
      <w:pPr>
        <w:spacing w:after="0" w:line="276" w:lineRule="auto"/>
        <w:ind w:left="709"/>
        <w:rPr>
          <w:rFonts w:cstheme="minorHAnsi"/>
        </w:rPr>
      </w:pPr>
      <w:r w:rsidRPr="006D3F3D">
        <w:rPr>
          <w:rFonts w:cstheme="minorHAnsi"/>
        </w:rPr>
        <w:t>Jeżeli forma prawna lub instytucjonalna</w:t>
      </w:r>
      <w:r w:rsidR="008039BD" w:rsidRPr="008039BD">
        <w:rPr>
          <w:rFonts w:cstheme="minorHAnsi"/>
        </w:rPr>
        <w:t xml:space="preserve"> Wnioskodawcy </w:t>
      </w:r>
      <w:r w:rsidRPr="006D3F3D">
        <w:rPr>
          <w:rFonts w:cstheme="minorHAnsi"/>
        </w:rPr>
        <w:t>w ocenie NFOŚiGW wskaże na podwyższone ryzyko wykonalności i trwałości przedsięwzięcia oraz zwrotu środków to NFOŚiGW może wymagać ustanowienia:</w:t>
      </w:r>
    </w:p>
    <w:p w14:paraId="756C1144" w14:textId="00D90883" w:rsidR="00003392" w:rsidRPr="006D3F3D" w:rsidRDefault="00003392" w:rsidP="006D3F3D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</w:rPr>
      </w:pPr>
      <w:r w:rsidRPr="006D3F3D">
        <w:rPr>
          <w:rFonts w:cstheme="minorHAnsi"/>
        </w:rPr>
        <w:t>zabezpieczenia w formie gwarancji bankowej</w:t>
      </w:r>
    </w:p>
    <w:p w14:paraId="4DDF4AE0" w14:textId="3070AA49" w:rsidR="00003392" w:rsidRPr="006D3F3D" w:rsidRDefault="00003392" w:rsidP="006D3F3D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</w:rPr>
      </w:pPr>
      <w:r w:rsidRPr="006D3F3D">
        <w:rPr>
          <w:rFonts w:cstheme="minorHAnsi"/>
        </w:rPr>
        <w:t>zabezpieczenia w formie poręczenia innej wiarygodnej instytucji (w tym finansowej), zaakceptowanej przez NFOŚiGW,</w:t>
      </w:r>
    </w:p>
    <w:p w14:paraId="0A483FE1" w14:textId="69686C7B" w:rsidR="00003392" w:rsidRPr="006D3F3D" w:rsidRDefault="00003392" w:rsidP="006D3F3D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</w:rPr>
      </w:pPr>
      <w:r w:rsidRPr="006D3F3D">
        <w:rPr>
          <w:rFonts w:cstheme="minorHAnsi"/>
        </w:rPr>
        <w:t xml:space="preserve">zabezpieczenia uzupełniającego. </w:t>
      </w:r>
    </w:p>
    <w:p w14:paraId="10C75FAD" w14:textId="77777777" w:rsidR="00003392" w:rsidRPr="006D3F3D" w:rsidRDefault="00003392" w:rsidP="006D3F3D">
      <w:pPr>
        <w:spacing w:after="0" w:line="276" w:lineRule="auto"/>
        <w:ind w:left="709"/>
        <w:rPr>
          <w:rFonts w:cstheme="minorHAnsi"/>
        </w:rPr>
      </w:pPr>
    </w:p>
    <w:p w14:paraId="4BAE2785" w14:textId="77777777" w:rsidR="00003392" w:rsidRPr="006D3F3D" w:rsidRDefault="00003392" w:rsidP="006D3F3D">
      <w:pPr>
        <w:spacing w:after="0" w:line="276" w:lineRule="auto"/>
        <w:ind w:left="709"/>
        <w:rPr>
          <w:rFonts w:cstheme="minorHAnsi"/>
        </w:rPr>
      </w:pPr>
      <w:r w:rsidRPr="006D3F3D">
        <w:rPr>
          <w:rFonts w:cstheme="minorHAnsi"/>
        </w:rPr>
        <w:t>Zabezpieczenie uzupełniające:</w:t>
      </w:r>
    </w:p>
    <w:p w14:paraId="732EF194" w14:textId="5E9DB93A" w:rsidR="00003392" w:rsidRPr="006D3F3D" w:rsidRDefault="00003392" w:rsidP="006D3F3D">
      <w:pPr>
        <w:pStyle w:val="Akapitzlist"/>
        <w:numPr>
          <w:ilvl w:val="0"/>
          <w:numId w:val="17"/>
        </w:numPr>
        <w:spacing w:after="0" w:line="276" w:lineRule="auto"/>
        <w:rPr>
          <w:rFonts w:cstheme="minorHAnsi"/>
        </w:rPr>
      </w:pPr>
      <w:r w:rsidRPr="006D3F3D">
        <w:rPr>
          <w:rFonts w:cstheme="minorHAnsi"/>
        </w:rPr>
        <w:t xml:space="preserve">przyjmowane są od podmiotu realizującego projekt lub od </w:t>
      </w:r>
      <w:r w:rsidR="008039BD" w:rsidRPr="008039BD">
        <w:rPr>
          <w:rFonts w:cstheme="minorHAnsi"/>
        </w:rPr>
        <w:t>innego podmiotu</w:t>
      </w:r>
      <w:r w:rsidRPr="006D3F3D">
        <w:rPr>
          <w:rFonts w:cstheme="minorHAnsi"/>
        </w:rPr>
        <w:t xml:space="preserve">, </w:t>
      </w:r>
    </w:p>
    <w:p w14:paraId="6AF6B9EB" w14:textId="2E937748" w:rsidR="00003392" w:rsidRPr="006D3F3D" w:rsidRDefault="00003392" w:rsidP="006D3F3D">
      <w:pPr>
        <w:pStyle w:val="Akapitzlist"/>
        <w:numPr>
          <w:ilvl w:val="0"/>
          <w:numId w:val="17"/>
        </w:numPr>
        <w:spacing w:after="0" w:line="276" w:lineRule="auto"/>
        <w:rPr>
          <w:rFonts w:cstheme="minorHAnsi"/>
        </w:rPr>
      </w:pPr>
      <w:r w:rsidRPr="006D3F3D">
        <w:rPr>
          <w:rFonts w:cstheme="minorHAnsi"/>
        </w:rPr>
        <w:lastRenderedPageBreak/>
        <w:t>stanowi regres, tj. przeniesienie odpowiedzialności za realizację projektu i zabezpieczenia zwrotu części lub całości dofinansowania na inne podmioty (np. na podmiot zaangażowany w realizację projektu, udziałowców, właścicieli, itp.).</w:t>
      </w:r>
    </w:p>
    <w:p w14:paraId="16474FA7" w14:textId="77777777" w:rsidR="00003392" w:rsidRPr="006D3F3D" w:rsidRDefault="00003392" w:rsidP="006D3F3D">
      <w:pPr>
        <w:spacing w:after="0" w:line="276" w:lineRule="auto"/>
        <w:ind w:left="709"/>
        <w:rPr>
          <w:rFonts w:cstheme="minorHAnsi"/>
        </w:rPr>
      </w:pPr>
      <w:r w:rsidRPr="006D3F3D">
        <w:rPr>
          <w:rFonts w:cstheme="minorHAnsi"/>
        </w:rPr>
        <w:t>Przykładowe formy prawnego zabezpieczenia uzupełniającego:</w:t>
      </w:r>
    </w:p>
    <w:p w14:paraId="48C78712" w14:textId="48655D16" w:rsidR="00003392" w:rsidRPr="006D3F3D" w:rsidRDefault="00003392" w:rsidP="006D3F3D">
      <w:pPr>
        <w:pStyle w:val="Akapitzlist"/>
        <w:numPr>
          <w:ilvl w:val="0"/>
          <w:numId w:val="19"/>
        </w:numPr>
        <w:spacing w:after="0" w:line="276" w:lineRule="auto"/>
        <w:rPr>
          <w:rFonts w:cstheme="minorHAnsi"/>
        </w:rPr>
      </w:pPr>
      <w:r w:rsidRPr="006D3F3D">
        <w:rPr>
          <w:rFonts w:cstheme="minorHAnsi"/>
        </w:rPr>
        <w:t>poręczenie wekslowe (awal),</w:t>
      </w:r>
    </w:p>
    <w:p w14:paraId="2995895E" w14:textId="543DD625" w:rsidR="00003392" w:rsidRPr="006D3F3D" w:rsidRDefault="00003392" w:rsidP="006D3F3D">
      <w:pPr>
        <w:pStyle w:val="Akapitzlist"/>
        <w:numPr>
          <w:ilvl w:val="0"/>
          <w:numId w:val="19"/>
        </w:numPr>
        <w:spacing w:after="0" w:line="276" w:lineRule="auto"/>
        <w:rPr>
          <w:rFonts w:cstheme="minorHAnsi"/>
        </w:rPr>
      </w:pPr>
      <w:r w:rsidRPr="006D3F3D">
        <w:rPr>
          <w:rFonts w:cstheme="minorHAnsi"/>
        </w:rPr>
        <w:t>poręczenie według kodeksu cywilnego,</w:t>
      </w:r>
    </w:p>
    <w:p w14:paraId="47570C1A" w14:textId="67A7D6C7" w:rsidR="008039BD" w:rsidRPr="008039BD" w:rsidRDefault="00003392" w:rsidP="00607F4A">
      <w:pPr>
        <w:pStyle w:val="Akapitzlist"/>
        <w:numPr>
          <w:ilvl w:val="0"/>
          <w:numId w:val="19"/>
        </w:numPr>
        <w:spacing w:after="0" w:line="276" w:lineRule="auto"/>
        <w:rPr>
          <w:rFonts w:cstheme="minorHAnsi"/>
        </w:rPr>
      </w:pPr>
      <w:r w:rsidRPr="006D3F3D">
        <w:rPr>
          <w:rFonts w:cstheme="minorHAnsi"/>
        </w:rPr>
        <w:t>gwarancje lub poręczenie Skarbu Państwa, banku, innej wiarygodnej instytucji</w:t>
      </w:r>
      <w:r w:rsidR="008039BD" w:rsidRPr="008039BD">
        <w:rPr>
          <w:rFonts w:cstheme="minorHAnsi"/>
        </w:rPr>
        <w:t xml:space="preserve"> finansowej</w:t>
      </w:r>
      <w:r w:rsidRPr="006D3F3D">
        <w:rPr>
          <w:rFonts w:cstheme="minorHAnsi"/>
        </w:rPr>
        <w:t>, z zastrzeżeniem, że może stanowić zabezpieczenie samoistne - o ile zabezpiecza całą kwotę wierzytelności oraz z zastrzeżeniem pkt 2) powyżej,</w:t>
      </w:r>
    </w:p>
    <w:p w14:paraId="35FAAB7B" w14:textId="0ADE3A34" w:rsidR="00003392" w:rsidRPr="006D3F3D" w:rsidRDefault="00003392" w:rsidP="006D3F3D">
      <w:pPr>
        <w:pStyle w:val="Akapitzlist"/>
        <w:numPr>
          <w:ilvl w:val="0"/>
          <w:numId w:val="19"/>
        </w:numPr>
        <w:spacing w:after="0" w:line="276" w:lineRule="auto"/>
        <w:rPr>
          <w:rFonts w:cstheme="minorHAnsi"/>
        </w:rPr>
      </w:pPr>
      <w:r w:rsidRPr="006D3F3D">
        <w:rPr>
          <w:rFonts w:cstheme="minorHAnsi"/>
        </w:rPr>
        <w:t>zastaw rejestrowy na akcjach/udziałach innego podmiotu (np. podmiotu zaangażowanego w realizację projektu lub innego podmiotu),</w:t>
      </w:r>
    </w:p>
    <w:p w14:paraId="6C916293" w14:textId="6667D65A" w:rsidR="00003392" w:rsidRPr="006D3F3D" w:rsidRDefault="00003392" w:rsidP="006D3F3D">
      <w:pPr>
        <w:pStyle w:val="Akapitzlist"/>
        <w:numPr>
          <w:ilvl w:val="0"/>
          <w:numId w:val="19"/>
        </w:numPr>
        <w:spacing w:after="0" w:line="276" w:lineRule="auto"/>
        <w:rPr>
          <w:rFonts w:cstheme="minorHAnsi"/>
        </w:rPr>
      </w:pPr>
      <w:r w:rsidRPr="006D3F3D">
        <w:rPr>
          <w:rFonts w:cstheme="minorHAnsi"/>
        </w:rPr>
        <w:t xml:space="preserve">hipoteka na składnikach majątkowych innego podmiotu, </w:t>
      </w:r>
    </w:p>
    <w:p w14:paraId="207F99E4" w14:textId="6F0989D8" w:rsidR="00003392" w:rsidRPr="006D3F3D" w:rsidRDefault="00003392" w:rsidP="006D3F3D">
      <w:pPr>
        <w:pStyle w:val="Akapitzlist"/>
        <w:numPr>
          <w:ilvl w:val="0"/>
          <w:numId w:val="19"/>
        </w:numPr>
        <w:spacing w:after="0" w:line="276" w:lineRule="auto"/>
        <w:rPr>
          <w:rFonts w:cstheme="minorHAnsi"/>
        </w:rPr>
      </w:pPr>
      <w:r w:rsidRPr="006D3F3D">
        <w:rPr>
          <w:rFonts w:cstheme="minorHAnsi"/>
        </w:rPr>
        <w:t>przelew / cesja wierzytelności innego podmiotu,</w:t>
      </w:r>
    </w:p>
    <w:p w14:paraId="5A3F764D" w14:textId="08950E08" w:rsidR="00003392" w:rsidRPr="006D3F3D" w:rsidRDefault="00003392" w:rsidP="006D3F3D">
      <w:pPr>
        <w:pStyle w:val="Akapitzlist"/>
        <w:numPr>
          <w:ilvl w:val="0"/>
          <w:numId w:val="19"/>
        </w:numPr>
        <w:spacing w:after="0" w:line="276" w:lineRule="auto"/>
        <w:rPr>
          <w:rFonts w:cstheme="minorHAnsi"/>
        </w:rPr>
      </w:pPr>
      <w:r w:rsidRPr="006D3F3D">
        <w:rPr>
          <w:rFonts w:cstheme="minorHAnsi"/>
        </w:rPr>
        <w:t>przystąpienie do długu,</w:t>
      </w:r>
    </w:p>
    <w:p w14:paraId="4FAA43D6" w14:textId="6B3C8328" w:rsidR="00003392" w:rsidRPr="006D3F3D" w:rsidRDefault="00003392" w:rsidP="006D3F3D">
      <w:pPr>
        <w:pStyle w:val="Akapitzlist"/>
        <w:numPr>
          <w:ilvl w:val="0"/>
          <w:numId w:val="19"/>
        </w:numPr>
        <w:spacing w:after="0" w:line="276" w:lineRule="auto"/>
        <w:rPr>
          <w:rFonts w:cstheme="minorHAnsi"/>
        </w:rPr>
      </w:pPr>
      <w:r w:rsidRPr="006D3F3D">
        <w:rPr>
          <w:rFonts w:cstheme="minorHAnsi"/>
        </w:rPr>
        <w:t>blokada środków pieniężnych na rachunku bankowym np. innego podmiotu,</w:t>
      </w:r>
    </w:p>
    <w:p w14:paraId="51F936BE" w14:textId="44A88571" w:rsidR="00003392" w:rsidRPr="006D3F3D" w:rsidRDefault="00003392" w:rsidP="006D3F3D">
      <w:pPr>
        <w:pStyle w:val="Akapitzlist"/>
        <w:numPr>
          <w:ilvl w:val="0"/>
          <w:numId w:val="19"/>
        </w:numPr>
        <w:spacing w:after="0" w:line="276" w:lineRule="auto"/>
        <w:rPr>
          <w:rFonts w:cstheme="minorHAnsi"/>
        </w:rPr>
      </w:pPr>
      <w:r w:rsidRPr="006D3F3D">
        <w:rPr>
          <w:rFonts w:cstheme="minorHAnsi"/>
        </w:rPr>
        <w:t>blokada papierów wartościowych i środków pieniężnych na rachunku inwestycyjnym np. innego podmiotu,</w:t>
      </w:r>
    </w:p>
    <w:p w14:paraId="60B5F43C" w14:textId="1254A4F8" w:rsidR="00003392" w:rsidRPr="006D3F3D" w:rsidRDefault="00003392" w:rsidP="006D3F3D">
      <w:pPr>
        <w:pStyle w:val="Akapitzlist"/>
        <w:numPr>
          <w:ilvl w:val="0"/>
          <w:numId w:val="19"/>
        </w:numPr>
        <w:spacing w:after="0" w:line="276" w:lineRule="auto"/>
        <w:rPr>
          <w:rFonts w:cstheme="minorHAnsi"/>
        </w:rPr>
      </w:pPr>
      <w:r w:rsidRPr="006D3F3D">
        <w:rPr>
          <w:rFonts w:cstheme="minorHAnsi"/>
        </w:rPr>
        <w:t>nieodwołalne pełnomocnictwo do dysponowania rachunkiem (bankowym, inwestycyjnym, innym) innego podmiotu,</w:t>
      </w:r>
    </w:p>
    <w:p w14:paraId="3F677A23" w14:textId="50A698B1" w:rsidR="00003392" w:rsidRPr="006D3F3D" w:rsidRDefault="00003392" w:rsidP="006D3F3D">
      <w:pPr>
        <w:pStyle w:val="Akapitzlist"/>
        <w:numPr>
          <w:ilvl w:val="0"/>
          <w:numId w:val="19"/>
        </w:numPr>
        <w:spacing w:after="0" w:line="276" w:lineRule="auto"/>
        <w:rPr>
          <w:rFonts w:cstheme="minorHAnsi"/>
        </w:rPr>
      </w:pPr>
      <w:r w:rsidRPr="006D3F3D">
        <w:rPr>
          <w:rFonts w:cstheme="minorHAnsi"/>
        </w:rPr>
        <w:t>oraz inne przewidziane prawem formy zabezpieczeń.</w:t>
      </w:r>
    </w:p>
    <w:p w14:paraId="7FC57078" w14:textId="77777777" w:rsidR="00003392" w:rsidRPr="006D3F3D" w:rsidRDefault="00003392" w:rsidP="006D3F3D">
      <w:pPr>
        <w:spacing w:after="0" w:line="276" w:lineRule="auto"/>
        <w:ind w:left="709"/>
        <w:rPr>
          <w:rFonts w:cstheme="minorHAnsi"/>
        </w:rPr>
      </w:pPr>
    </w:p>
    <w:p w14:paraId="5478B10A" w14:textId="77777777" w:rsidR="00003392" w:rsidRPr="006D3F3D" w:rsidRDefault="00003392" w:rsidP="006D3F3D">
      <w:pPr>
        <w:spacing w:after="0" w:line="276" w:lineRule="auto"/>
        <w:ind w:left="709"/>
        <w:rPr>
          <w:rFonts w:cstheme="minorHAnsi"/>
        </w:rPr>
      </w:pPr>
      <w:r w:rsidRPr="006D3F3D">
        <w:rPr>
          <w:rFonts w:cstheme="minorHAnsi"/>
        </w:rPr>
        <w:t>Dodatkowe warunki dofinansowania projektów realizowanych w formule „</w:t>
      </w:r>
      <w:proofErr w:type="spellStart"/>
      <w:r w:rsidRPr="006D3F3D">
        <w:rPr>
          <w:rFonts w:cstheme="minorHAnsi"/>
        </w:rPr>
        <w:t>project</w:t>
      </w:r>
      <w:proofErr w:type="spellEnd"/>
      <w:r w:rsidRPr="006D3F3D">
        <w:rPr>
          <w:rFonts w:cstheme="minorHAnsi"/>
        </w:rPr>
        <w:t xml:space="preserve"> </w:t>
      </w:r>
      <w:proofErr w:type="spellStart"/>
      <w:r w:rsidRPr="006D3F3D">
        <w:rPr>
          <w:rFonts w:cstheme="minorHAnsi"/>
        </w:rPr>
        <w:t>finance</w:t>
      </w:r>
      <w:proofErr w:type="spellEnd"/>
      <w:r w:rsidRPr="006D3F3D">
        <w:rPr>
          <w:rFonts w:cstheme="minorHAnsi"/>
        </w:rPr>
        <w:t>” stanowią:</w:t>
      </w:r>
    </w:p>
    <w:p w14:paraId="352CB9CE" w14:textId="5FF8AC2D" w:rsidR="00003392" w:rsidRPr="006D3F3D" w:rsidRDefault="00003392" w:rsidP="006D3F3D">
      <w:pPr>
        <w:pStyle w:val="Akapitzlist"/>
        <w:numPr>
          <w:ilvl w:val="0"/>
          <w:numId w:val="20"/>
        </w:numPr>
        <w:spacing w:after="0" w:line="276" w:lineRule="auto"/>
        <w:rPr>
          <w:rFonts w:cstheme="minorHAnsi"/>
        </w:rPr>
      </w:pPr>
      <w:r w:rsidRPr="006D3F3D">
        <w:rPr>
          <w:rFonts w:cstheme="minorHAnsi"/>
        </w:rPr>
        <w:t>wymóg udziału środków własnych Wnioskodawcy (z zastrzeżeniem, że środki własne nie obejmują: kredytów bankowych, emisji obligacji, pożyczek właścicielskich, pożyczek udzielonych przez inne podmioty itp.) w wysokości min. 15% kosztów kwalifikowanych przedsięwzięcia, wniesionego w postaci udziału kapitału zakładowego pokrytego wkładem pieniężnym,</w:t>
      </w:r>
    </w:p>
    <w:p w14:paraId="0FE0E044" w14:textId="13A38482" w:rsidR="00003392" w:rsidRPr="006D3F3D" w:rsidRDefault="00003392" w:rsidP="006D3F3D">
      <w:pPr>
        <w:pStyle w:val="Akapitzlist"/>
        <w:numPr>
          <w:ilvl w:val="0"/>
          <w:numId w:val="20"/>
        </w:numPr>
        <w:spacing w:after="0" w:line="276" w:lineRule="auto"/>
        <w:rPr>
          <w:rFonts w:cstheme="minorHAnsi"/>
        </w:rPr>
      </w:pPr>
      <w:r w:rsidRPr="006D3F3D">
        <w:rPr>
          <w:rFonts w:cstheme="minorHAnsi"/>
        </w:rPr>
        <w:t>wymóg zaangażowania i udokumentowania wydatkowania środków własnych i z innych źródeł finansowania (w szczególności pożyczek właścicielskich) w pierwszej kolejności. W przypadku środków pochodzących z innych instytucji współfinansujących przedsięwzięcie, kolejność uruchamiania środków zależy od indywidualnych uzgodnień,</w:t>
      </w:r>
    </w:p>
    <w:p w14:paraId="41084EAB" w14:textId="406B898C" w:rsidR="00003392" w:rsidRPr="006D3F3D" w:rsidRDefault="00003392" w:rsidP="006D3F3D">
      <w:pPr>
        <w:pStyle w:val="Akapitzlist"/>
        <w:numPr>
          <w:ilvl w:val="0"/>
          <w:numId w:val="20"/>
        </w:numPr>
        <w:spacing w:after="0" w:line="276" w:lineRule="auto"/>
        <w:rPr>
          <w:rFonts w:cstheme="minorHAnsi"/>
        </w:rPr>
      </w:pPr>
      <w:r w:rsidRPr="006D3F3D">
        <w:rPr>
          <w:rFonts w:cstheme="minorHAnsi"/>
        </w:rPr>
        <w:t>wymóg rozpoczęcia spłaty pożyczki właścicielskiej udzielonej na realizację projektu po spłacie pożyczki NFOŚiGW (pożyczka właścicielska podporządkowana spłacie pożyczki NFOŚiGW).</w:t>
      </w:r>
    </w:p>
    <w:p w14:paraId="1BDA914B" w14:textId="2182485C" w:rsidR="00003392" w:rsidRPr="006D3F3D" w:rsidRDefault="00003392" w:rsidP="006D3F3D">
      <w:pPr>
        <w:pStyle w:val="Akapitzlist"/>
        <w:numPr>
          <w:ilvl w:val="0"/>
          <w:numId w:val="20"/>
        </w:numPr>
        <w:spacing w:after="0" w:line="276" w:lineRule="auto"/>
        <w:rPr>
          <w:rFonts w:cstheme="minorHAnsi"/>
        </w:rPr>
      </w:pPr>
      <w:r w:rsidRPr="006D3F3D">
        <w:rPr>
          <w:rFonts w:cstheme="minorHAnsi"/>
        </w:rPr>
        <w:t>Brak wypłat zaliczkowych.</w:t>
      </w:r>
    </w:p>
    <w:p w14:paraId="3037AD11" w14:textId="77777777" w:rsidR="00003392" w:rsidRPr="006D3F3D" w:rsidRDefault="00003392" w:rsidP="006D3F3D">
      <w:pPr>
        <w:spacing w:after="0" w:line="276" w:lineRule="auto"/>
        <w:ind w:left="709"/>
        <w:rPr>
          <w:rFonts w:cstheme="minorHAnsi"/>
        </w:rPr>
      </w:pPr>
    </w:p>
    <w:p w14:paraId="039C4DE5" w14:textId="77777777" w:rsidR="00003392" w:rsidRPr="006D3F3D" w:rsidRDefault="00003392" w:rsidP="006D3F3D">
      <w:pPr>
        <w:spacing w:after="0" w:line="276" w:lineRule="auto"/>
        <w:ind w:left="709"/>
        <w:rPr>
          <w:rFonts w:cstheme="minorHAnsi"/>
        </w:rPr>
      </w:pPr>
    </w:p>
    <w:p w14:paraId="3025D74C" w14:textId="5D261D29" w:rsidR="001C61EF" w:rsidRPr="00607F4A" w:rsidRDefault="008039BD" w:rsidP="008039BD">
      <w:pPr>
        <w:pStyle w:val="Akapitzlist"/>
        <w:numPr>
          <w:ilvl w:val="0"/>
          <w:numId w:val="1"/>
        </w:numPr>
        <w:rPr>
          <w:b/>
        </w:rPr>
      </w:pPr>
      <w:r w:rsidRPr="00607F4A">
        <w:rPr>
          <w:b/>
        </w:rPr>
        <w:t>Na jaki okres powinna zostać sporządzona prognoza i zaliczać wartość rezydualną ?</w:t>
      </w:r>
    </w:p>
    <w:p w14:paraId="0774493F" w14:textId="178156BB" w:rsidR="002B5EA6" w:rsidRPr="006D3F3D" w:rsidRDefault="002B5EA6" w:rsidP="002B5EA6">
      <w:pPr>
        <w:spacing w:after="0"/>
        <w:rPr>
          <w:rFonts w:cstheme="minorHAnsi"/>
        </w:rPr>
      </w:pPr>
      <w:r w:rsidRPr="006D3F3D">
        <w:rPr>
          <w:rFonts w:cstheme="minorHAnsi"/>
        </w:rPr>
        <w:t>Okres prognoz finansowych uzależniony jest od formy i źródeł finansowania:</w:t>
      </w:r>
    </w:p>
    <w:p w14:paraId="679BDBDA" w14:textId="162FEDD1" w:rsidR="002B5EA6" w:rsidRPr="006D3F3D" w:rsidRDefault="002B5EA6" w:rsidP="00DC20E6">
      <w:pPr>
        <w:pStyle w:val="Akapitzlist"/>
        <w:numPr>
          <w:ilvl w:val="0"/>
          <w:numId w:val="7"/>
        </w:numPr>
        <w:spacing w:after="0"/>
        <w:rPr>
          <w:rFonts w:cstheme="minorHAnsi"/>
        </w:rPr>
      </w:pPr>
      <w:r w:rsidRPr="006D3F3D">
        <w:rPr>
          <w:rFonts w:cstheme="minorHAnsi"/>
        </w:rPr>
        <w:t xml:space="preserve">w przypadku finansowania wnioskowanego przedsięwzięcia tylko ze środków z Krajowego Planu Odbudowy i Zwiększania Odporności (dalej „KPO”) okres prognoz finansowych wynosi pięć lat od daty zakończenia realizacji przedsięwzięcia, </w:t>
      </w:r>
    </w:p>
    <w:p w14:paraId="614E1AED" w14:textId="29851174" w:rsidR="002B5EA6" w:rsidRPr="006D3F3D" w:rsidRDefault="002B5EA6" w:rsidP="002B5EA6">
      <w:pPr>
        <w:pStyle w:val="Akapitzlist"/>
        <w:numPr>
          <w:ilvl w:val="0"/>
          <w:numId w:val="7"/>
        </w:numPr>
        <w:spacing w:after="0"/>
        <w:rPr>
          <w:rFonts w:cstheme="minorHAnsi"/>
        </w:rPr>
      </w:pPr>
      <w:r w:rsidRPr="006D3F3D">
        <w:rPr>
          <w:rFonts w:cstheme="minorHAnsi"/>
        </w:rPr>
        <w:lastRenderedPageBreak/>
        <w:t xml:space="preserve">w przypadku dofinansowania w formie dotacji z innych źródeł finansowania okres prognoz finansowych wynosi pięć lat od daty zakończenia realizacji przedsięwzięcia, </w:t>
      </w:r>
    </w:p>
    <w:p w14:paraId="0C6BE30C" w14:textId="5BAD99FF" w:rsidR="002B5EA6" w:rsidRPr="006D3F3D" w:rsidRDefault="002B5EA6" w:rsidP="002B5EA6">
      <w:pPr>
        <w:pStyle w:val="Akapitzlist"/>
        <w:numPr>
          <w:ilvl w:val="0"/>
          <w:numId w:val="7"/>
        </w:numPr>
        <w:spacing w:after="0"/>
        <w:rPr>
          <w:rFonts w:cstheme="minorHAnsi"/>
        </w:rPr>
      </w:pPr>
      <w:r w:rsidRPr="006D3F3D">
        <w:rPr>
          <w:rFonts w:cstheme="minorHAnsi"/>
        </w:rPr>
        <w:t>w przypadku dofinansowania w formie kredytów/pożyczek z innych źródeł finansowania okres prognoz finansowych jest tożsamy z okresem finansowania, który oznacza sumę okresu wypłat, karencji w spłacie kapitału oraz spłat kredytu/pożyczki.</w:t>
      </w:r>
    </w:p>
    <w:p w14:paraId="14B9E76E" w14:textId="01E24AE2" w:rsidR="003D4230" w:rsidRPr="006D3F3D" w:rsidRDefault="002B5EA6" w:rsidP="002B5EA6">
      <w:pPr>
        <w:spacing w:after="0"/>
        <w:rPr>
          <w:rFonts w:cstheme="minorHAnsi"/>
        </w:rPr>
      </w:pPr>
      <w:bookmarkStart w:id="0" w:name="_Hlk192505042"/>
      <w:r w:rsidRPr="006D3F3D">
        <w:rPr>
          <w:rFonts w:cstheme="minorHAnsi"/>
        </w:rPr>
        <w:t>W każdym przypadku, prognozy finansowe powinny zostać sporządzone na okres nie krótszy niż pięć lat od daty zakończenia realizacji przedsięwzięcia (bez względu na formę dofinansowania)</w:t>
      </w:r>
      <w:r w:rsidR="003D4230" w:rsidRPr="006D3F3D">
        <w:rPr>
          <w:rFonts w:cstheme="minorHAnsi"/>
        </w:rPr>
        <w:t xml:space="preserve">, z zastrzeżeniem sporządzania prognoz na okres nie krótszy niż okres finansowania innych kredytów/pożyczek stanowiących źródła finansowania wnioskowanej inwestycji. </w:t>
      </w:r>
    </w:p>
    <w:bookmarkEnd w:id="0"/>
    <w:p w14:paraId="0A234786" w14:textId="77777777" w:rsidR="002B5EA6" w:rsidRPr="006D3F3D" w:rsidRDefault="002B5EA6" w:rsidP="002B5EA6">
      <w:pPr>
        <w:spacing w:after="0"/>
        <w:rPr>
          <w:rFonts w:cstheme="minorHAnsi"/>
        </w:rPr>
      </w:pPr>
      <w:r w:rsidRPr="006D3F3D">
        <w:rPr>
          <w:rFonts w:cstheme="minorHAnsi"/>
        </w:rPr>
        <w:t xml:space="preserve">Wartość rezydualna powinna zostać wyliczona w oparciu o wycenę wartości aktywów trwałych netto w ostatnim roku prognoz finansowych. </w:t>
      </w:r>
    </w:p>
    <w:p w14:paraId="4A250A19" w14:textId="77777777" w:rsidR="003C3F86" w:rsidRPr="006D3F3D" w:rsidRDefault="003C3F86" w:rsidP="002B5EA6">
      <w:pPr>
        <w:spacing w:after="0"/>
        <w:rPr>
          <w:rFonts w:cstheme="minorHAnsi"/>
        </w:rPr>
      </w:pPr>
    </w:p>
    <w:p w14:paraId="2D6C452C" w14:textId="4429D387" w:rsidR="008039BD" w:rsidRPr="00607F4A" w:rsidRDefault="008039BD" w:rsidP="008039BD">
      <w:pPr>
        <w:pStyle w:val="Akapitzlist"/>
        <w:numPr>
          <w:ilvl w:val="0"/>
          <w:numId w:val="1"/>
        </w:numPr>
        <w:rPr>
          <w:b/>
        </w:rPr>
      </w:pPr>
      <w:r w:rsidRPr="00607F4A">
        <w:rPr>
          <w:b/>
        </w:rPr>
        <w:t>Czy inwestycja w ramach tego naboru i planowanego z Funduszu Modernizacyjnego ma jakiś zdefiniowany poziom opłacalności inwestycji? Przedsiębiorstwo zależy na osiąganiu zysku z inwestycji?</w:t>
      </w:r>
    </w:p>
    <w:p w14:paraId="38FC698B" w14:textId="0A4E3367" w:rsidR="002B5EA6" w:rsidRPr="006D3F3D" w:rsidRDefault="002B5EA6" w:rsidP="002B5EA6">
      <w:pPr>
        <w:spacing w:after="0"/>
        <w:rPr>
          <w:rFonts w:cstheme="minorHAnsi"/>
        </w:rPr>
      </w:pPr>
      <w:r w:rsidRPr="006D3F3D">
        <w:rPr>
          <w:rFonts w:cstheme="minorHAnsi"/>
        </w:rPr>
        <w:t xml:space="preserve">Poziom opłacalności jest pojęciem bardzo ogólnym, ale najczęściej stosowaną miarą opłacalności inwestycji są wskaźniki efektywności finansowej (NPV i IRR). </w:t>
      </w:r>
    </w:p>
    <w:p w14:paraId="63EC52D3" w14:textId="5ED7238B" w:rsidR="0085188F" w:rsidRPr="006D3F3D" w:rsidRDefault="0085188F" w:rsidP="002B5EA6">
      <w:pPr>
        <w:spacing w:after="0"/>
        <w:rPr>
          <w:rFonts w:cstheme="minorHAnsi"/>
        </w:rPr>
      </w:pPr>
      <w:r w:rsidRPr="006D3F3D">
        <w:rPr>
          <w:rFonts w:cstheme="minorHAnsi"/>
        </w:rPr>
        <w:t xml:space="preserve">Wartości wskaźników efektywności finansowej wynikają bezpośrednio z charakteru inwestycji, </w:t>
      </w:r>
      <w:r w:rsidR="00BA5ACB" w:rsidRPr="006D3F3D">
        <w:rPr>
          <w:rFonts w:cstheme="minorHAnsi"/>
        </w:rPr>
        <w:t>celu realizacji, formuły inwestycyjnej (</w:t>
      </w:r>
      <w:proofErr w:type="spellStart"/>
      <w:r w:rsidR="00BA5ACB" w:rsidRPr="006D3F3D">
        <w:rPr>
          <w:rFonts w:cstheme="minorHAnsi"/>
        </w:rPr>
        <w:t>corporate</w:t>
      </w:r>
      <w:proofErr w:type="spellEnd"/>
      <w:r w:rsidR="00BA5ACB" w:rsidRPr="006D3F3D">
        <w:rPr>
          <w:rFonts w:cstheme="minorHAnsi"/>
        </w:rPr>
        <w:t>/</w:t>
      </w:r>
      <w:proofErr w:type="spellStart"/>
      <w:r w:rsidR="00BA5ACB" w:rsidRPr="006D3F3D">
        <w:rPr>
          <w:rFonts w:cstheme="minorHAnsi"/>
        </w:rPr>
        <w:t>project</w:t>
      </w:r>
      <w:proofErr w:type="spellEnd"/>
      <w:r w:rsidR="00BA5ACB" w:rsidRPr="006D3F3D">
        <w:rPr>
          <w:rFonts w:cstheme="minorHAnsi"/>
        </w:rPr>
        <w:t xml:space="preserve"> </w:t>
      </w:r>
      <w:proofErr w:type="spellStart"/>
      <w:r w:rsidR="00BA5ACB" w:rsidRPr="006D3F3D">
        <w:rPr>
          <w:rFonts w:cstheme="minorHAnsi"/>
        </w:rPr>
        <w:t>finance</w:t>
      </w:r>
      <w:proofErr w:type="spellEnd"/>
      <w:r w:rsidR="00BA5ACB" w:rsidRPr="006D3F3D">
        <w:rPr>
          <w:rFonts w:cstheme="minorHAnsi"/>
        </w:rPr>
        <w:t xml:space="preserve">), </w:t>
      </w:r>
      <w:r w:rsidRPr="006D3F3D">
        <w:rPr>
          <w:rFonts w:cstheme="minorHAnsi"/>
        </w:rPr>
        <w:t xml:space="preserve">źródeł finansowania, nakładów finansowych, struktury przychodowo-kosztowej, </w:t>
      </w:r>
      <w:r w:rsidR="00BA5ACB" w:rsidRPr="006D3F3D">
        <w:rPr>
          <w:rFonts w:cstheme="minorHAnsi"/>
        </w:rPr>
        <w:t xml:space="preserve">okresu analizy, </w:t>
      </w:r>
      <w:r w:rsidRPr="006D3F3D">
        <w:rPr>
          <w:rFonts w:cstheme="minorHAnsi"/>
        </w:rPr>
        <w:t>it</w:t>
      </w:r>
      <w:r w:rsidR="00BA5ACB" w:rsidRPr="006D3F3D">
        <w:rPr>
          <w:rFonts w:cstheme="minorHAnsi"/>
        </w:rPr>
        <w:t>p</w:t>
      </w:r>
      <w:r w:rsidRPr="006D3F3D">
        <w:rPr>
          <w:rFonts w:cstheme="minorHAnsi"/>
        </w:rPr>
        <w:t>.</w:t>
      </w:r>
    </w:p>
    <w:p w14:paraId="7DFDCA79" w14:textId="376821D6" w:rsidR="004D43BF" w:rsidRPr="006D3F3D" w:rsidRDefault="004D43BF" w:rsidP="002B5EA6">
      <w:pPr>
        <w:spacing w:after="0"/>
        <w:rPr>
          <w:rFonts w:cstheme="minorHAnsi"/>
        </w:rPr>
      </w:pPr>
      <w:r w:rsidRPr="006D3F3D">
        <w:rPr>
          <w:rFonts w:cstheme="minorHAnsi"/>
        </w:rPr>
        <w:t>NFOŚiGW jest instytucją finansującą ochronę środowiska i gospodarkę wodną w zakresie określonym w ustawie z dnia 27 kwietnia 2001 r. Prawo ochrony środowiska.</w:t>
      </w:r>
    </w:p>
    <w:p w14:paraId="14C50C6C" w14:textId="1AAFEA5E" w:rsidR="00C47B42" w:rsidRPr="006D3F3D" w:rsidRDefault="00C47B42" w:rsidP="002B5EA6">
      <w:pPr>
        <w:spacing w:after="0"/>
        <w:rPr>
          <w:rFonts w:cstheme="minorHAnsi"/>
        </w:rPr>
      </w:pPr>
      <w:r w:rsidRPr="006D3F3D">
        <w:rPr>
          <w:rFonts w:cstheme="minorHAnsi"/>
        </w:rPr>
        <w:t xml:space="preserve">Generalnie NFOŚIGW finansuje inwestycje o wysokim efekcie ekologicznym, które mogą charakteryzować się zarówno dodatnią jak i ujemną opłacalnością finansową. </w:t>
      </w:r>
    </w:p>
    <w:p w14:paraId="70EB7B54" w14:textId="0225B0B0" w:rsidR="00C47B42" w:rsidRPr="006D3F3D" w:rsidRDefault="00C47B42" w:rsidP="002B5EA6">
      <w:pPr>
        <w:spacing w:after="0"/>
        <w:rPr>
          <w:rFonts w:cstheme="minorHAnsi"/>
        </w:rPr>
      </w:pPr>
      <w:r w:rsidRPr="006D3F3D">
        <w:rPr>
          <w:rFonts w:cstheme="minorHAnsi"/>
        </w:rPr>
        <w:t xml:space="preserve">Jednak w każdym przypadku nadrzędne jest zachowanie trwałości i wykonalności finansowej każdej z finansowanych inwestycji. </w:t>
      </w:r>
    </w:p>
    <w:p w14:paraId="72C9A276" w14:textId="7EA17A1A" w:rsidR="00C47B42" w:rsidRPr="006D3F3D" w:rsidRDefault="00C47B42" w:rsidP="002B5EA6">
      <w:pPr>
        <w:spacing w:after="0"/>
        <w:rPr>
          <w:rFonts w:cstheme="minorHAnsi"/>
        </w:rPr>
      </w:pPr>
      <w:r w:rsidRPr="006D3F3D">
        <w:rPr>
          <w:rFonts w:cstheme="minorHAnsi"/>
        </w:rPr>
        <w:t>Dodatnia efektywność finansowa (wartość NPV powyżej zera i wartość IRR powyżej wartości stopy dyskontowej) jest bezwzględnie wymaga dla projektów realizowanych w formule „</w:t>
      </w:r>
      <w:proofErr w:type="spellStart"/>
      <w:r w:rsidRPr="006D3F3D">
        <w:rPr>
          <w:rFonts w:cstheme="minorHAnsi"/>
        </w:rPr>
        <w:t>project</w:t>
      </w:r>
      <w:proofErr w:type="spellEnd"/>
      <w:r w:rsidRPr="006D3F3D">
        <w:rPr>
          <w:rFonts w:cstheme="minorHAnsi"/>
        </w:rPr>
        <w:t xml:space="preserve"> </w:t>
      </w:r>
      <w:proofErr w:type="spellStart"/>
      <w:r w:rsidRPr="006D3F3D">
        <w:rPr>
          <w:rFonts w:cstheme="minorHAnsi"/>
        </w:rPr>
        <w:t>finance</w:t>
      </w:r>
      <w:proofErr w:type="spellEnd"/>
      <w:r w:rsidRPr="006D3F3D">
        <w:rPr>
          <w:rFonts w:cstheme="minorHAnsi"/>
        </w:rPr>
        <w:t xml:space="preserve">”, natomiast ujemna efektywność (wartość NPV poniżej zera i wartość IRR poniżej wartości stopy dyskontowej) wymaga szczegółowego uzasadnienia i wskazania źródeł finansowania pozwalającego na zachowanie trwałości finansowej. </w:t>
      </w:r>
    </w:p>
    <w:p w14:paraId="2D855D57" w14:textId="77777777" w:rsidR="00D729C8" w:rsidRPr="006D3F3D" w:rsidRDefault="00D729C8" w:rsidP="002B5EA6">
      <w:pPr>
        <w:spacing w:after="0"/>
        <w:rPr>
          <w:rFonts w:cstheme="minorHAnsi"/>
        </w:rPr>
      </w:pPr>
    </w:p>
    <w:p w14:paraId="01EF78AD" w14:textId="63168372" w:rsidR="008039BD" w:rsidRPr="00607F4A" w:rsidRDefault="008039BD" w:rsidP="008039BD">
      <w:pPr>
        <w:pStyle w:val="Akapitzlist"/>
        <w:numPr>
          <w:ilvl w:val="0"/>
          <w:numId w:val="1"/>
        </w:numPr>
        <w:rPr>
          <w:b/>
        </w:rPr>
      </w:pPr>
      <w:r w:rsidRPr="00607F4A">
        <w:rPr>
          <w:b/>
        </w:rPr>
        <w:t>Czy w ramach studium wykonalności w zakresie analizy wariantów istnieje możliwość nie prowadzenia analizy różnych wariantów inwestycyjnych, a np. porównanie z wariantem bezinwestycyjnym?</w:t>
      </w:r>
    </w:p>
    <w:p w14:paraId="1BB26A3C" w14:textId="59B15FD6" w:rsidR="005B6CD1" w:rsidRPr="006D3F3D" w:rsidRDefault="00D729C8" w:rsidP="00D729C8">
      <w:pPr>
        <w:spacing w:after="0"/>
      </w:pPr>
      <w:r w:rsidRPr="006D3F3D">
        <w:t xml:space="preserve">Na wnioskodawcy spoczywa obowiązek wykazania, że wybrany przez niego wariant realizacji inwestycji reprezentuje najlepsze spośród wszelkich możliwych rozwiązań. Celem </w:t>
      </w:r>
      <w:r w:rsidR="005B6CD1" w:rsidRPr="006D3F3D">
        <w:t xml:space="preserve">tej </w:t>
      </w:r>
      <w:r w:rsidRPr="006D3F3D">
        <w:t>analizy jest zidentyfikowanie możliwych do zastosowania rozwiązań inwestycyjnych, które można uznać za wykonalne pod względem technicznym, ekonomiczn</w:t>
      </w:r>
      <w:r w:rsidR="005B6CD1" w:rsidRPr="006D3F3D">
        <w:t>o-finansowym</w:t>
      </w:r>
      <w:r w:rsidRPr="006D3F3D">
        <w:t xml:space="preserve">, </w:t>
      </w:r>
      <w:r w:rsidR="005B6CD1" w:rsidRPr="006D3F3D">
        <w:t xml:space="preserve">prawnym, </w:t>
      </w:r>
      <w:r w:rsidRPr="006D3F3D">
        <w:t xml:space="preserve">środowiskowym i instytucjonalnym. </w:t>
      </w:r>
    </w:p>
    <w:p w14:paraId="73A99C9B" w14:textId="6AE62774" w:rsidR="005B6CD1" w:rsidRPr="006D3F3D" w:rsidRDefault="005B6CD1" w:rsidP="00D729C8">
      <w:pPr>
        <w:spacing w:after="0"/>
      </w:pPr>
      <w:r w:rsidRPr="006D3F3D">
        <w:t xml:space="preserve">W przypadku projektów, </w:t>
      </w:r>
      <w:r w:rsidR="00D729C8" w:rsidRPr="006D3F3D">
        <w:t xml:space="preserve">dla których brak jest technicznego, </w:t>
      </w:r>
      <w:r w:rsidRPr="006D3F3D">
        <w:t xml:space="preserve">ekonomiczno-finansowego, prawnego, środowiskowego i instytucjonalnego </w:t>
      </w:r>
      <w:r w:rsidR="00D729C8" w:rsidRPr="006D3F3D">
        <w:t>alternatywnego rozwiązania inwestycyjnego</w:t>
      </w:r>
      <w:r w:rsidRPr="006D3F3D">
        <w:t xml:space="preserve">, </w:t>
      </w:r>
      <w:r w:rsidR="00D729C8" w:rsidRPr="006D3F3D">
        <w:t xml:space="preserve">wnioskodawca musi we wniosku o dofinansowanie </w:t>
      </w:r>
      <w:r w:rsidRPr="006D3F3D">
        <w:t>przedstawić szczegółowe uzasadnienie.</w:t>
      </w:r>
    </w:p>
    <w:p w14:paraId="271E601D" w14:textId="77777777" w:rsidR="00D729C8" w:rsidRPr="006D3F3D" w:rsidRDefault="00D729C8" w:rsidP="00D729C8">
      <w:pPr>
        <w:rPr>
          <w:b/>
          <w:bCs/>
        </w:rPr>
      </w:pPr>
    </w:p>
    <w:p w14:paraId="5BA8F6B5" w14:textId="762E593F" w:rsidR="008039BD" w:rsidRPr="00607F4A" w:rsidRDefault="008039BD" w:rsidP="008039BD">
      <w:pPr>
        <w:pStyle w:val="Akapitzlist"/>
        <w:numPr>
          <w:ilvl w:val="0"/>
          <w:numId w:val="1"/>
        </w:numPr>
        <w:rPr>
          <w:b/>
        </w:rPr>
      </w:pPr>
      <w:r w:rsidRPr="00607F4A">
        <w:rPr>
          <w:b/>
        </w:rPr>
        <w:t xml:space="preserve">Analiza wrażliwości na jakie czynniki - </w:t>
      </w:r>
      <w:proofErr w:type="spellStart"/>
      <w:r w:rsidRPr="00607F4A">
        <w:rPr>
          <w:b/>
        </w:rPr>
        <w:t>capex</w:t>
      </w:r>
      <w:proofErr w:type="spellEnd"/>
      <w:r w:rsidRPr="00607F4A">
        <w:rPr>
          <w:b/>
        </w:rPr>
        <w:t>, cena sprzedaży energii czy coś jeszcze ?</w:t>
      </w:r>
    </w:p>
    <w:p w14:paraId="5CF795BD" w14:textId="696E9C5D" w:rsidR="005B6CD1" w:rsidRPr="006D3F3D" w:rsidRDefault="005B6CD1" w:rsidP="00D27A18">
      <w:pPr>
        <w:spacing w:after="0"/>
      </w:pPr>
      <w:r w:rsidRPr="006D3F3D">
        <w:lastRenderedPageBreak/>
        <w:t xml:space="preserve">Na wnioskodawcy spoczywa obowiązek przeprowadzenia </w:t>
      </w:r>
      <w:r w:rsidR="00D27A18" w:rsidRPr="006D3F3D">
        <w:t xml:space="preserve">identyfikacji czynników ryzyka, których zmiany mogą wpłynąć na trwałość i wykonalność finansową inwestycji. </w:t>
      </w:r>
    </w:p>
    <w:p w14:paraId="4FDDC248" w14:textId="4A19EE28" w:rsidR="00D27A18" w:rsidRPr="006D3F3D" w:rsidRDefault="00D27A18" w:rsidP="00D27A18">
      <w:pPr>
        <w:spacing w:after="0"/>
      </w:pPr>
      <w:r w:rsidRPr="006D3F3D">
        <w:t>Przykładowe zmienne, jakie mogą być poddane analizie w ramach analizy wrażliwości:</w:t>
      </w:r>
    </w:p>
    <w:p w14:paraId="5C7E8B14" w14:textId="77777777" w:rsidR="00D27A18" w:rsidRPr="006D3F3D" w:rsidRDefault="00D27A18" w:rsidP="00D27A18">
      <w:pPr>
        <w:pStyle w:val="Akapitzlist"/>
        <w:numPr>
          <w:ilvl w:val="0"/>
          <w:numId w:val="8"/>
        </w:numPr>
        <w:spacing w:after="0"/>
      </w:pPr>
      <w:r w:rsidRPr="006D3F3D">
        <w:t xml:space="preserve">prognozy makroekonomiczne, </w:t>
      </w:r>
    </w:p>
    <w:p w14:paraId="76E9D71E" w14:textId="77777777" w:rsidR="00D27A18" w:rsidRPr="006D3F3D" w:rsidRDefault="00D27A18" w:rsidP="00D27A18">
      <w:pPr>
        <w:pStyle w:val="Akapitzlist"/>
        <w:numPr>
          <w:ilvl w:val="0"/>
          <w:numId w:val="8"/>
        </w:numPr>
        <w:spacing w:after="0"/>
      </w:pPr>
      <w:r w:rsidRPr="006D3F3D">
        <w:t>źródła i intensywność dofinansowania,</w:t>
      </w:r>
    </w:p>
    <w:p w14:paraId="22945751" w14:textId="7B2926A4" w:rsidR="00D27A18" w:rsidRPr="006D3F3D" w:rsidRDefault="00D27A18" w:rsidP="00D27A18">
      <w:pPr>
        <w:pStyle w:val="Akapitzlist"/>
        <w:numPr>
          <w:ilvl w:val="0"/>
          <w:numId w:val="8"/>
        </w:numPr>
        <w:spacing w:after="0"/>
      </w:pPr>
      <w:r w:rsidRPr="006D3F3D">
        <w:t>nakłady inwestycyjne,</w:t>
      </w:r>
    </w:p>
    <w:p w14:paraId="00F3CF21" w14:textId="77777777" w:rsidR="00D27A18" w:rsidRPr="006D3F3D" w:rsidRDefault="00D27A18" w:rsidP="002D5916">
      <w:pPr>
        <w:pStyle w:val="Akapitzlist"/>
        <w:numPr>
          <w:ilvl w:val="0"/>
          <w:numId w:val="8"/>
        </w:numPr>
        <w:spacing w:after="0"/>
      </w:pPr>
      <w:r w:rsidRPr="006D3F3D">
        <w:t xml:space="preserve">prognoza popytu, </w:t>
      </w:r>
    </w:p>
    <w:p w14:paraId="38F40256" w14:textId="05662023" w:rsidR="00D27A18" w:rsidRPr="006D3F3D" w:rsidRDefault="00D27A18" w:rsidP="002D5916">
      <w:pPr>
        <w:pStyle w:val="Akapitzlist"/>
        <w:numPr>
          <w:ilvl w:val="0"/>
          <w:numId w:val="8"/>
        </w:numPr>
        <w:spacing w:after="0"/>
      </w:pPr>
      <w:r w:rsidRPr="006D3F3D">
        <w:t xml:space="preserve">ceny oferowanych usług, produktów, </w:t>
      </w:r>
    </w:p>
    <w:p w14:paraId="63D3CA80" w14:textId="290150F1" w:rsidR="00D27A18" w:rsidRPr="006D3F3D" w:rsidRDefault="00D27A18" w:rsidP="00D27A18">
      <w:pPr>
        <w:pStyle w:val="Akapitzlist"/>
        <w:numPr>
          <w:ilvl w:val="0"/>
          <w:numId w:val="8"/>
        </w:numPr>
        <w:spacing w:after="0"/>
      </w:pPr>
      <w:r w:rsidRPr="006D3F3D">
        <w:t>ceny jednostkowe głównych kategorii kosztów operacyjnych (np. ceny energii)</w:t>
      </w:r>
      <w:r w:rsidR="009B6ECC" w:rsidRPr="006D3F3D">
        <w:t>.</w:t>
      </w:r>
    </w:p>
    <w:p w14:paraId="29E3E75D" w14:textId="33E4D2B4" w:rsidR="00D27A18" w:rsidRPr="006D3F3D" w:rsidRDefault="005B6CD1" w:rsidP="00D27A18">
      <w:pPr>
        <w:spacing w:after="0"/>
      </w:pPr>
      <w:r w:rsidRPr="006D3F3D">
        <w:t xml:space="preserve">Analiza wrażliwości ma na celu wskazanie, jak zmiany w wartościach zmiennych krytycznych </w:t>
      </w:r>
      <w:r w:rsidR="00D27A18" w:rsidRPr="006D3F3D">
        <w:t xml:space="preserve">inwestycji </w:t>
      </w:r>
      <w:r w:rsidRPr="006D3F3D">
        <w:t xml:space="preserve">wpłyną na wyniki analiz przeprowadzonych </w:t>
      </w:r>
      <w:r w:rsidR="00D27A18" w:rsidRPr="006D3F3D">
        <w:t>analiz</w:t>
      </w:r>
      <w:r w:rsidRPr="006D3F3D">
        <w:t>, a w szczególności na wartość wskaźników efektywności finansowej (NPV</w:t>
      </w:r>
      <w:r w:rsidR="00D27A18" w:rsidRPr="006D3F3D">
        <w:t xml:space="preserve"> i IRR) </w:t>
      </w:r>
      <w:r w:rsidRPr="006D3F3D">
        <w:t xml:space="preserve">oraz </w:t>
      </w:r>
      <w:r w:rsidR="00D27A18" w:rsidRPr="006D3F3D">
        <w:t xml:space="preserve">na </w:t>
      </w:r>
      <w:r w:rsidRPr="006D3F3D">
        <w:t>trwałość finansową</w:t>
      </w:r>
      <w:r w:rsidR="00D27A18" w:rsidRPr="006D3F3D">
        <w:t xml:space="preserve"> (saldo środków pieniężnych w rachunku przepływów pieniężnych na koniec każdego roku w okresie prognozy)</w:t>
      </w:r>
      <w:r w:rsidRPr="006D3F3D">
        <w:t>.</w:t>
      </w:r>
    </w:p>
    <w:p w14:paraId="695FB041" w14:textId="77777777" w:rsidR="00D27A18" w:rsidRPr="006D3F3D" w:rsidRDefault="00D27A18" w:rsidP="00D27A18">
      <w:pPr>
        <w:spacing w:after="0"/>
      </w:pPr>
    </w:p>
    <w:p w14:paraId="3004F2E1" w14:textId="2564E24F" w:rsidR="008039BD" w:rsidRPr="008039BD" w:rsidRDefault="008039BD" w:rsidP="008039BD">
      <w:pPr>
        <w:pStyle w:val="Akapitzlist"/>
        <w:numPr>
          <w:ilvl w:val="0"/>
          <w:numId w:val="1"/>
        </w:numPr>
        <w:rPr>
          <w:b/>
          <w:bCs/>
        </w:rPr>
      </w:pPr>
      <w:r w:rsidRPr="008039BD">
        <w:rPr>
          <w:b/>
          <w:bCs/>
        </w:rPr>
        <w:t>Czy koszty opracowania Studium Wykonalności mogą być kosztami kwalifikowanymi projektu ?</w:t>
      </w:r>
    </w:p>
    <w:p w14:paraId="0FCABE85" w14:textId="2ED40197" w:rsidR="008039BD" w:rsidRDefault="008039BD" w:rsidP="008039BD">
      <w:pPr>
        <w:pStyle w:val="Akapitzlist"/>
      </w:pPr>
      <w:r w:rsidRPr="008039BD">
        <w:t xml:space="preserve">W przypadku przedmiotowego naboru możliwe jest kwalifikowane dokumentacji przygotowawczej. </w:t>
      </w:r>
      <w:r>
        <w:t xml:space="preserve">O ile koszt nie został poniesiony przed 9.03.2023r., i dotyczy realizacji inwestycji będącej przedmiotem naboru. </w:t>
      </w:r>
    </w:p>
    <w:p w14:paraId="4E64F0B3" w14:textId="77777777" w:rsidR="008039BD" w:rsidRDefault="008039BD" w:rsidP="008039BD">
      <w:pPr>
        <w:pStyle w:val="Akapitzlist"/>
        <w:numPr>
          <w:ilvl w:val="0"/>
          <w:numId w:val="1"/>
        </w:numPr>
        <w:rPr>
          <w:b/>
          <w:bCs/>
        </w:rPr>
      </w:pPr>
      <w:r w:rsidRPr="008039BD">
        <w:rPr>
          <w:b/>
          <w:bCs/>
        </w:rPr>
        <w:t>Czy w formule „</w:t>
      </w:r>
      <w:proofErr w:type="spellStart"/>
      <w:r w:rsidRPr="008039BD">
        <w:rPr>
          <w:b/>
          <w:bCs/>
        </w:rPr>
        <w:t>project</w:t>
      </w:r>
      <w:proofErr w:type="spellEnd"/>
      <w:r w:rsidRPr="008039BD">
        <w:rPr>
          <w:b/>
          <w:bCs/>
        </w:rPr>
        <w:t xml:space="preserve"> </w:t>
      </w:r>
      <w:proofErr w:type="spellStart"/>
      <w:r w:rsidRPr="008039BD">
        <w:rPr>
          <w:b/>
          <w:bCs/>
        </w:rPr>
        <w:t>finance</w:t>
      </w:r>
      <w:proofErr w:type="spellEnd"/>
      <w:r w:rsidRPr="008039BD">
        <w:rPr>
          <w:b/>
          <w:bCs/>
        </w:rPr>
        <w:t>" spółka celowa może dopiero na etapie zawierania Umowy podnieść kapitał zakładowy aby udokumentować udział kapitału zakładowego pokrytego wkładem pieniężnym ?</w:t>
      </w:r>
    </w:p>
    <w:p w14:paraId="52783B4F" w14:textId="40D66057" w:rsidR="008039BD" w:rsidRDefault="00D77AB9" w:rsidP="008039BD">
      <w:pPr>
        <w:pStyle w:val="Akapitzlist"/>
        <w:rPr>
          <w:rFonts w:cstheme="minorHAnsi"/>
        </w:rPr>
      </w:pPr>
      <w:r>
        <w:rPr>
          <w:rFonts w:cstheme="minorHAnsi"/>
        </w:rPr>
        <w:t>U</w:t>
      </w:r>
      <w:r w:rsidR="008039BD" w:rsidRPr="008039BD">
        <w:rPr>
          <w:rFonts w:cstheme="minorHAnsi"/>
        </w:rPr>
        <w:t>działu środków własnych Wnioskodawcy w wysokości min. 15% kosztów kwalifikowanych przedsięwzięcia (z zastrzeżeniem, że środki własne nie obejmują: kredytów bankowych, emisji obligacji, pożyczek właścicielskich, pożyczek udzielonych przez inne podmioty itp.) wniesionego w postaci udziału kapitału zakładowego pokrytego wkładem pieniężnym</w:t>
      </w:r>
      <w:r w:rsidR="008039BD">
        <w:rPr>
          <w:rFonts w:cstheme="minorHAnsi"/>
        </w:rPr>
        <w:t xml:space="preserve"> jest wymogiem obligatoryjnym dla przedsięwzięć realizowanych w formule </w:t>
      </w:r>
      <w:proofErr w:type="spellStart"/>
      <w:r w:rsidR="008039BD">
        <w:rPr>
          <w:rFonts w:cstheme="minorHAnsi"/>
        </w:rPr>
        <w:t>project</w:t>
      </w:r>
      <w:proofErr w:type="spellEnd"/>
      <w:r w:rsidR="008039BD">
        <w:rPr>
          <w:rFonts w:cstheme="minorHAnsi"/>
        </w:rPr>
        <w:t xml:space="preserve"> </w:t>
      </w:r>
      <w:proofErr w:type="spellStart"/>
      <w:r w:rsidR="008039BD">
        <w:rPr>
          <w:rFonts w:cstheme="minorHAnsi"/>
        </w:rPr>
        <w:t>finance</w:t>
      </w:r>
      <w:proofErr w:type="spellEnd"/>
      <w:r w:rsidR="008039BD">
        <w:rPr>
          <w:rFonts w:cstheme="minorHAnsi"/>
        </w:rPr>
        <w:t xml:space="preserve">. Na etapie aplikowania wnioskodawca powinien przedstawić dokumenty potwierdzające zbilansowanie źródeł finansowania zgodnie z listą załączników stanowiąca załącznik do Regulaminu naboru. </w:t>
      </w:r>
    </w:p>
    <w:p w14:paraId="78ED5A9A" w14:textId="77777777" w:rsidR="00914162" w:rsidRPr="006D3F3D" w:rsidRDefault="00914162" w:rsidP="008039BD">
      <w:pPr>
        <w:pStyle w:val="Akapitzlist"/>
        <w:rPr>
          <w:rFonts w:cstheme="minorHAnsi"/>
        </w:rPr>
      </w:pPr>
    </w:p>
    <w:p w14:paraId="1D1AC72A" w14:textId="5C6403BC" w:rsidR="00914162" w:rsidRPr="006D3F3D" w:rsidRDefault="00914162" w:rsidP="008039BD">
      <w:pPr>
        <w:pStyle w:val="Akapitzlist"/>
        <w:rPr>
          <w:rFonts w:cstheme="minorHAnsi"/>
        </w:rPr>
      </w:pPr>
      <w:r w:rsidRPr="006D3F3D">
        <w:rPr>
          <w:rFonts w:cstheme="minorHAnsi"/>
        </w:rPr>
        <w:t xml:space="preserve">Podniesienie kapitału zakładowego jako czynność techniczna </w:t>
      </w:r>
      <w:r w:rsidR="007B5D90" w:rsidRPr="006D3F3D">
        <w:rPr>
          <w:rFonts w:cstheme="minorHAnsi"/>
        </w:rPr>
        <w:t xml:space="preserve">może </w:t>
      </w:r>
      <w:r w:rsidRPr="006D3F3D">
        <w:rPr>
          <w:rFonts w:cstheme="minorHAnsi"/>
        </w:rPr>
        <w:t xml:space="preserve">zostać przeprowadzone po zakończeniu oceny wniosku, przy założeniu oceny pozytywnej lub pozytywnej warunkowo, na etapie negocjacji lub (najpóźniej) przed podpisaniem umowy o dofinansowanie. </w:t>
      </w:r>
    </w:p>
    <w:p w14:paraId="3D5E487E" w14:textId="77777777" w:rsidR="007B5D90" w:rsidRPr="006D3F3D" w:rsidRDefault="00914162" w:rsidP="008039BD">
      <w:pPr>
        <w:pStyle w:val="Akapitzlist"/>
        <w:rPr>
          <w:rFonts w:cstheme="minorHAnsi"/>
        </w:rPr>
      </w:pPr>
      <w:r w:rsidRPr="006D3F3D">
        <w:rPr>
          <w:rFonts w:cstheme="minorHAnsi"/>
        </w:rPr>
        <w:t>W każdym przypadku, wnioskodawcy nie może zostać wypłacona pierwsza transza dofinansowania bez</w:t>
      </w:r>
      <w:r w:rsidR="007B5D90" w:rsidRPr="006D3F3D">
        <w:rPr>
          <w:rFonts w:cstheme="minorHAnsi"/>
        </w:rPr>
        <w:t>:</w:t>
      </w:r>
    </w:p>
    <w:p w14:paraId="6BC6FF70" w14:textId="77777777" w:rsidR="007B5D90" w:rsidRPr="006D3F3D" w:rsidRDefault="00914162" w:rsidP="007B5D90">
      <w:pPr>
        <w:pStyle w:val="Akapitzlist"/>
        <w:numPr>
          <w:ilvl w:val="0"/>
          <w:numId w:val="10"/>
        </w:numPr>
        <w:rPr>
          <w:rFonts w:cstheme="minorHAnsi"/>
        </w:rPr>
      </w:pPr>
      <w:r w:rsidRPr="006D3F3D">
        <w:rPr>
          <w:rFonts w:cstheme="minorHAnsi"/>
        </w:rPr>
        <w:t>przedstawieni</w:t>
      </w:r>
      <w:r w:rsidR="007B5D90" w:rsidRPr="006D3F3D">
        <w:rPr>
          <w:rFonts w:cstheme="minorHAnsi"/>
        </w:rPr>
        <w:t>a</w:t>
      </w:r>
      <w:r w:rsidRPr="006D3F3D">
        <w:rPr>
          <w:rFonts w:cstheme="minorHAnsi"/>
        </w:rPr>
        <w:t xml:space="preserve"> dokumentów potwierdzających </w:t>
      </w:r>
      <w:r w:rsidR="007B5D90" w:rsidRPr="006D3F3D">
        <w:rPr>
          <w:rFonts w:cstheme="minorHAnsi"/>
        </w:rPr>
        <w:t>podjęcie decyzji o dokapitalizowaniu i objęciu kapitału (zgodnie z ładem korporacyjnym),</w:t>
      </w:r>
    </w:p>
    <w:p w14:paraId="7E596FA2" w14:textId="77777777" w:rsidR="007B5D90" w:rsidRPr="006D3F3D" w:rsidRDefault="007B5D90" w:rsidP="007B5D90">
      <w:pPr>
        <w:pStyle w:val="Akapitzlist"/>
        <w:numPr>
          <w:ilvl w:val="0"/>
          <w:numId w:val="10"/>
        </w:numPr>
        <w:rPr>
          <w:rFonts w:cstheme="minorHAnsi"/>
        </w:rPr>
      </w:pPr>
      <w:r w:rsidRPr="006D3F3D">
        <w:rPr>
          <w:rFonts w:cstheme="minorHAnsi"/>
        </w:rPr>
        <w:t xml:space="preserve">przedstawienia dokumentów potwierdzających </w:t>
      </w:r>
      <w:r w:rsidR="00914162" w:rsidRPr="006D3F3D">
        <w:rPr>
          <w:rFonts w:cstheme="minorHAnsi"/>
        </w:rPr>
        <w:t>przelew środków na podniesienie kapitału zakładowego</w:t>
      </w:r>
      <w:r w:rsidRPr="006D3F3D">
        <w:rPr>
          <w:rFonts w:cstheme="minorHAnsi"/>
        </w:rPr>
        <w:t xml:space="preserve">, </w:t>
      </w:r>
    </w:p>
    <w:p w14:paraId="7DDB7165" w14:textId="1D30D165" w:rsidR="00914162" w:rsidRPr="006D3F3D" w:rsidRDefault="00914162" w:rsidP="007B5D90">
      <w:pPr>
        <w:pStyle w:val="Akapitzlist"/>
        <w:numPr>
          <w:ilvl w:val="0"/>
          <w:numId w:val="10"/>
        </w:numPr>
        <w:rPr>
          <w:rFonts w:cstheme="minorHAnsi"/>
        </w:rPr>
      </w:pPr>
      <w:r w:rsidRPr="006D3F3D">
        <w:rPr>
          <w:rFonts w:cstheme="minorHAnsi"/>
        </w:rPr>
        <w:t xml:space="preserve">rejestracji podniesienia kapitału zakładowego w KRS. </w:t>
      </w:r>
    </w:p>
    <w:p w14:paraId="1319654B" w14:textId="77777777" w:rsidR="009B6ECC" w:rsidRPr="006D3F3D" w:rsidRDefault="009B6ECC" w:rsidP="008039BD">
      <w:pPr>
        <w:pStyle w:val="Akapitzlist"/>
        <w:rPr>
          <w:rFonts w:cstheme="minorHAnsi"/>
        </w:rPr>
      </w:pPr>
    </w:p>
    <w:p w14:paraId="5BDB1826" w14:textId="20A4D171" w:rsidR="00D77AB9" w:rsidRDefault="00D77AB9" w:rsidP="008039BD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</w:t>
      </w:r>
      <w:r w:rsidRPr="00D77AB9">
        <w:rPr>
          <w:b/>
          <w:bCs/>
        </w:rPr>
        <w:t>ie łączymy w tym naborze dotacji i pożyczki tzn. albo to albo to? A czy tak będzie w przypadku naboru z Funduszu Modernizacyjnego</w:t>
      </w:r>
    </w:p>
    <w:p w14:paraId="67A64A4F" w14:textId="1CB80D18" w:rsidR="008039BD" w:rsidRPr="00D77AB9" w:rsidRDefault="008039BD" w:rsidP="00D77AB9">
      <w:pPr>
        <w:pStyle w:val="Akapitzlist"/>
      </w:pPr>
      <w:r w:rsidRPr="00D77AB9">
        <w:lastRenderedPageBreak/>
        <w:t xml:space="preserve">W ramach przedmiotowego naboru można wnioskować wyłącznie o wsparcie w formie dotacji. W projektowanym programie priorytetowym </w:t>
      </w:r>
      <w:r w:rsidR="00D77AB9" w:rsidRPr="00D77AB9">
        <w:t>z Funduszu Modernizacyjnego będzie możliwość wnioskowania o dotację/pożyczkę lub dotację i pożyczkę.</w:t>
      </w:r>
    </w:p>
    <w:p w14:paraId="51811B1B" w14:textId="73DF3226" w:rsidR="00D77AB9" w:rsidRPr="00607F4A" w:rsidRDefault="00D77AB9" w:rsidP="008039BD">
      <w:pPr>
        <w:pStyle w:val="Akapitzlist"/>
        <w:numPr>
          <w:ilvl w:val="0"/>
          <w:numId w:val="1"/>
        </w:numPr>
        <w:rPr>
          <w:b/>
        </w:rPr>
      </w:pPr>
      <w:r w:rsidRPr="00607F4A">
        <w:rPr>
          <w:b/>
        </w:rPr>
        <w:t>Czy minimalny okres prognozy to 1 rok czy mniejsze okresy ?</w:t>
      </w:r>
    </w:p>
    <w:p w14:paraId="681202AC" w14:textId="180B06C4" w:rsidR="003D4230" w:rsidRPr="006D3F3D" w:rsidRDefault="00843697" w:rsidP="00843697">
      <w:pPr>
        <w:spacing w:after="0"/>
      </w:pPr>
      <w:r w:rsidRPr="006D3F3D">
        <w:t>Odpowiedzi na to pytanie udzielono w pkt. 29 powyżej</w:t>
      </w:r>
    </w:p>
    <w:p w14:paraId="103A44A5" w14:textId="77777777" w:rsidR="003D4230" w:rsidRPr="006D3F3D" w:rsidRDefault="003D4230" w:rsidP="00843697">
      <w:pPr>
        <w:spacing w:after="0"/>
        <w:rPr>
          <w:b/>
          <w:bCs/>
        </w:rPr>
      </w:pPr>
    </w:p>
    <w:p w14:paraId="23923FC2" w14:textId="2F5FC519" w:rsidR="00D77AB9" w:rsidRPr="00D77AB9" w:rsidRDefault="00D77AB9" w:rsidP="00D77AB9">
      <w:pPr>
        <w:pStyle w:val="Akapitzlist"/>
        <w:numPr>
          <w:ilvl w:val="0"/>
          <w:numId w:val="1"/>
        </w:numPr>
        <w:rPr>
          <w:b/>
          <w:bCs/>
        </w:rPr>
      </w:pPr>
      <w:r w:rsidRPr="00D77AB9">
        <w:rPr>
          <w:b/>
          <w:bCs/>
        </w:rPr>
        <w:t>Czy te 15% musimy być bezwzględnie udokumentowane na dzień złożenia wniosku? Czy może będzie możliwość uzupełnienia w sytuacji przyznania dofinansowania lub uzupełnienia na etapie oceny? Czy taki wymóg 15% wkładu pieniężnego będzie podtrzymany w projekcie 2MW/4MWh z Funduszu Modernizacyjnego ?</w:t>
      </w:r>
    </w:p>
    <w:p w14:paraId="4497B69A" w14:textId="63B109FD" w:rsidR="00D77AB9" w:rsidRPr="00D77AB9" w:rsidRDefault="00D77AB9" w:rsidP="00D77AB9">
      <w:pPr>
        <w:pStyle w:val="Akapitzlist"/>
      </w:pPr>
      <w:r w:rsidRPr="00D77AB9">
        <w:t xml:space="preserve">Odp. W pyt. 34. W przypadku programu priorytetowego z Funduszu Modernizacyjnego obowiązywać będą takie same zasady dla przedsięwzięć realizowanych w formule </w:t>
      </w:r>
      <w:proofErr w:type="spellStart"/>
      <w:r w:rsidRPr="00D77AB9">
        <w:t>project</w:t>
      </w:r>
      <w:proofErr w:type="spellEnd"/>
      <w:r w:rsidRPr="00D77AB9">
        <w:t xml:space="preserve"> </w:t>
      </w:r>
      <w:proofErr w:type="spellStart"/>
      <w:r w:rsidRPr="00D77AB9">
        <w:t>finance</w:t>
      </w:r>
      <w:proofErr w:type="spellEnd"/>
      <w:r w:rsidRPr="00D77AB9">
        <w:t xml:space="preserve">. </w:t>
      </w:r>
    </w:p>
    <w:p w14:paraId="256E9A81" w14:textId="2F2D4548" w:rsidR="008039BD" w:rsidRPr="00607F4A" w:rsidRDefault="00D77AB9" w:rsidP="00D77AB9">
      <w:pPr>
        <w:pStyle w:val="Akapitzlist"/>
        <w:numPr>
          <w:ilvl w:val="0"/>
          <w:numId w:val="1"/>
        </w:numPr>
        <w:rPr>
          <w:b/>
        </w:rPr>
      </w:pPr>
      <w:r w:rsidRPr="00607F4A">
        <w:rPr>
          <w:b/>
        </w:rPr>
        <w:t>Czy jest jakaś ścieżka referencyjna cen energii elektrycznej ?</w:t>
      </w:r>
    </w:p>
    <w:p w14:paraId="4E1E44C7" w14:textId="10B95D7A" w:rsidR="00843697" w:rsidRPr="006D3F3D" w:rsidRDefault="00843697" w:rsidP="00843697">
      <w:pPr>
        <w:spacing w:after="0"/>
      </w:pPr>
      <w:r w:rsidRPr="006D3F3D">
        <w:t xml:space="preserve">Prognozy finansowe przeprowadzone w Modelu finansowym powinny zostać szczegółowo opisane w Studium Wykonalności. </w:t>
      </w:r>
    </w:p>
    <w:p w14:paraId="447CE726" w14:textId="09201299" w:rsidR="00843697" w:rsidRPr="006D3F3D" w:rsidRDefault="00843697" w:rsidP="00843697">
      <w:pPr>
        <w:spacing w:after="0"/>
      </w:pPr>
      <w:r w:rsidRPr="006D3F3D">
        <w:t>Każda z zastosowanych w Modelu ścieżek cenowych dla prognozy przychodów/kosztów powinna zostać w SW szczegółowo przestawiona i uzasadniona wraz z podaniem źródeł danych, cen jednostkowych, wskaźników waloryzacji, itp.</w:t>
      </w:r>
    </w:p>
    <w:p w14:paraId="41A5AB52" w14:textId="77777777" w:rsidR="00843697" w:rsidRPr="006D3F3D" w:rsidRDefault="00843697" w:rsidP="00843697">
      <w:pPr>
        <w:spacing w:after="0"/>
      </w:pPr>
    </w:p>
    <w:p w14:paraId="5829F469" w14:textId="03F6CE28" w:rsidR="00D77AB9" w:rsidRPr="00D77AB9" w:rsidRDefault="00D77AB9" w:rsidP="00D77AB9">
      <w:pPr>
        <w:pStyle w:val="Akapitzlist"/>
        <w:numPr>
          <w:ilvl w:val="0"/>
          <w:numId w:val="1"/>
        </w:numPr>
        <w:rPr>
          <w:b/>
          <w:bCs/>
        </w:rPr>
      </w:pPr>
      <w:r w:rsidRPr="00D77AB9">
        <w:rPr>
          <w:b/>
          <w:bCs/>
        </w:rPr>
        <w:t>Czy w przypadku dotacji jest możliwość wnioskowania o pokrycie reszty inwestycji pożyczka z programu?</w:t>
      </w:r>
    </w:p>
    <w:p w14:paraId="4FD7683F" w14:textId="3E70256E" w:rsidR="00D77AB9" w:rsidRPr="00607F4A" w:rsidRDefault="00D77AB9" w:rsidP="00D77AB9">
      <w:pPr>
        <w:ind w:left="360" w:firstLine="348"/>
      </w:pPr>
      <w:r w:rsidRPr="00D77AB9">
        <w:t>W ramach przedmiotowego naboru można wnioskować wyłącznie o wsparcie w formie dotacji.</w:t>
      </w:r>
    </w:p>
    <w:sectPr w:rsidR="00D77AB9" w:rsidRPr="00607F4A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C94AD" w14:textId="77777777" w:rsidR="0087437F" w:rsidRDefault="0087437F" w:rsidP="00607F4A">
      <w:pPr>
        <w:spacing w:after="0" w:line="240" w:lineRule="auto"/>
      </w:pPr>
      <w:r>
        <w:separator/>
      </w:r>
    </w:p>
  </w:endnote>
  <w:endnote w:type="continuationSeparator" w:id="0">
    <w:p w14:paraId="59F8337B" w14:textId="77777777" w:rsidR="0087437F" w:rsidRDefault="0087437F" w:rsidP="00607F4A">
      <w:pPr>
        <w:spacing w:after="0" w:line="240" w:lineRule="auto"/>
      </w:pPr>
      <w:r>
        <w:continuationSeparator/>
      </w:r>
    </w:p>
  </w:endnote>
  <w:endnote w:type="continuationNotice" w:id="1">
    <w:p w14:paraId="0808A11D" w14:textId="77777777" w:rsidR="0087437F" w:rsidRDefault="008743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A1799" w14:textId="77777777" w:rsidR="00607F4A" w:rsidRDefault="00607F4A" w:rsidP="00607F4A">
    <w:pPr>
      <w:pStyle w:val="TematkomentarzaZnak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7A872" w14:textId="77777777" w:rsidR="0087437F" w:rsidRDefault="0087437F" w:rsidP="00607F4A">
      <w:pPr>
        <w:spacing w:after="0" w:line="240" w:lineRule="auto"/>
      </w:pPr>
      <w:r>
        <w:separator/>
      </w:r>
    </w:p>
  </w:footnote>
  <w:footnote w:type="continuationSeparator" w:id="0">
    <w:p w14:paraId="6F3BC269" w14:textId="77777777" w:rsidR="0087437F" w:rsidRDefault="0087437F" w:rsidP="00607F4A">
      <w:pPr>
        <w:spacing w:after="0" w:line="240" w:lineRule="auto"/>
      </w:pPr>
      <w:r>
        <w:continuationSeparator/>
      </w:r>
    </w:p>
  </w:footnote>
  <w:footnote w:type="continuationNotice" w:id="1">
    <w:p w14:paraId="6858DFF1" w14:textId="77777777" w:rsidR="0087437F" w:rsidRDefault="008743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4F8DF" w14:textId="77777777" w:rsidR="00607F4A" w:rsidRDefault="00607F4A" w:rsidP="00607F4A">
    <w:pPr>
      <w:pStyle w:val="TekstkomentarzaZna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03292"/>
    <w:multiLevelType w:val="hybridMultilevel"/>
    <w:tmpl w:val="3572A25A"/>
    <w:lvl w:ilvl="0" w:tplc="288CCE7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95201"/>
    <w:multiLevelType w:val="hybridMultilevel"/>
    <w:tmpl w:val="61BAA252"/>
    <w:lvl w:ilvl="0" w:tplc="8F96D05A">
      <w:start w:val="1"/>
      <w:numFmt w:val="bullet"/>
      <w:lvlText w:val=""/>
      <w:lvlJc w:val="left"/>
      <w:pPr>
        <w:ind w:left="148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 w15:restartNumberingAfterBreak="0">
    <w:nsid w:val="13985A7B"/>
    <w:multiLevelType w:val="hybridMultilevel"/>
    <w:tmpl w:val="D5189158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606670"/>
    <w:multiLevelType w:val="hybridMultilevel"/>
    <w:tmpl w:val="410E1B20"/>
    <w:lvl w:ilvl="0" w:tplc="A1363748">
      <w:start w:val="1"/>
      <w:numFmt w:val="lowerRoman"/>
      <w:lvlText w:val="(%1)"/>
      <w:lvlJc w:val="left"/>
      <w:pPr>
        <w:ind w:left="148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276D37AB"/>
    <w:multiLevelType w:val="hybridMultilevel"/>
    <w:tmpl w:val="CDC8196A"/>
    <w:lvl w:ilvl="0" w:tplc="3C60A828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AD6EF3E6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6E2E409A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BE4854D8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62A0E9AE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4072D12C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1D7C9B1C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15ACC5C4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905CBD76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5" w15:restartNumberingAfterBreak="0">
    <w:nsid w:val="28157615"/>
    <w:multiLevelType w:val="hybridMultilevel"/>
    <w:tmpl w:val="72CEE60C"/>
    <w:lvl w:ilvl="0" w:tplc="F2E6ECB8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8E38CC"/>
    <w:multiLevelType w:val="hybridMultilevel"/>
    <w:tmpl w:val="5C72F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943B0"/>
    <w:multiLevelType w:val="hybridMultilevel"/>
    <w:tmpl w:val="E8465A54"/>
    <w:lvl w:ilvl="0" w:tplc="8F96D05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35452"/>
    <w:multiLevelType w:val="hybridMultilevel"/>
    <w:tmpl w:val="29E23F0E"/>
    <w:lvl w:ilvl="0" w:tplc="F2E6ECB8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D55E1"/>
    <w:multiLevelType w:val="hybridMultilevel"/>
    <w:tmpl w:val="682CBA0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3042940">
      <w:start w:val="1"/>
      <w:numFmt w:val="lowerLetter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E285108"/>
    <w:multiLevelType w:val="hybridMultilevel"/>
    <w:tmpl w:val="E806EE10"/>
    <w:lvl w:ilvl="0" w:tplc="8F96D05A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E5C098F"/>
    <w:multiLevelType w:val="hybridMultilevel"/>
    <w:tmpl w:val="C00AB582"/>
    <w:lvl w:ilvl="0" w:tplc="F2E6ECB8">
      <w:start w:val="1"/>
      <w:numFmt w:val="decimal"/>
      <w:lvlText w:val="%1)"/>
      <w:lvlJc w:val="left"/>
      <w:pPr>
        <w:ind w:left="212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23210DE"/>
    <w:multiLevelType w:val="hybridMultilevel"/>
    <w:tmpl w:val="A04C289C"/>
    <w:lvl w:ilvl="0" w:tplc="8F96D05A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A32532"/>
    <w:multiLevelType w:val="hybridMultilevel"/>
    <w:tmpl w:val="EE26D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72B4F"/>
    <w:multiLevelType w:val="hybridMultilevel"/>
    <w:tmpl w:val="5BAC5A02"/>
    <w:lvl w:ilvl="0" w:tplc="8842C0FC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09B8322E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70ACD974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C2D61BB2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DECE2872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196E14DA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5986F272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8046973A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3AB49F7A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15" w15:restartNumberingAfterBreak="0">
    <w:nsid w:val="623C58A6"/>
    <w:multiLevelType w:val="hybridMultilevel"/>
    <w:tmpl w:val="3B64FE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5C445F"/>
    <w:multiLevelType w:val="hybridMultilevel"/>
    <w:tmpl w:val="5220E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37AD5"/>
    <w:multiLevelType w:val="hybridMultilevel"/>
    <w:tmpl w:val="135274B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A37ADF"/>
    <w:multiLevelType w:val="hybridMultilevel"/>
    <w:tmpl w:val="1D84D1FA"/>
    <w:lvl w:ilvl="0" w:tplc="8F96D05A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453F33"/>
    <w:multiLevelType w:val="hybridMultilevel"/>
    <w:tmpl w:val="83503618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C580723"/>
    <w:multiLevelType w:val="hybridMultilevel"/>
    <w:tmpl w:val="D128826C"/>
    <w:lvl w:ilvl="0" w:tplc="F2E6ECB8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5055960">
    <w:abstractNumId w:val="13"/>
  </w:num>
  <w:num w:numId="2" w16cid:durableId="2007898108">
    <w:abstractNumId w:val="16"/>
  </w:num>
  <w:num w:numId="3" w16cid:durableId="884173718">
    <w:abstractNumId w:val="4"/>
  </w:num>
  <w:num w:numId="4" w16cid:durableId="1179855347">
    <w:abstractNumId w:val="14"/>
  </w:num>
  <w:num w:numId="5" w16cid:durableId="1986624989">
    <w:abstractNumId w:val="15"/>
  </w:num>
  <w:num w:numId="6" w16cid:durableId="297533580">
    <w:abstractNumId w:val="6"/>
  </w:num>
  <w:num w:numId="7" w16cid:durableId="1794443650">
    <w:abstractNumId w:val="18"/>
  </w:num>
  <w:num w:numId="8" w16cid:durableId="57947096">
    <w:abstractNumId w:val="7"/>
  </w:num>
  <w:num w:numId="9" w16cid:durableId="1406225046">
    <w:abstractNumId w:val="0"/>
  </w:num>
  <w:num w:numId="10" w16cid:durableId="1106002241">
    <w:abstractNumId w:val="1"/>
  </w:num>
  <w:num w:numId="11" w16cid:durableId="867136491">
    <w:abstractNumId w:val="3"/>
  </w:num>
  <w:num w:numId="12" w16cid:durableId="1952546617">
    <w:abstractNumId w:val="2"/>
  </w:num>
  <w:num w:numId="13" w16cid:durableId="1738166240">
    <w:abstractNumId w:val="20"/>
  </w:num>
  <w:num w:numId="14" w16cid:durableId="1357543053">
    <w:abstractNumId w:val="11"/>
  </w:num>
  <w:num w:numId="15" w16cid:durableId="1981690317">
    <w:abstractNumId w:val="10"/>
  </w:num>
  <w:num w:numId="16" w16cid:durableId="560334803">
    <w:abstractNumId w:val="12"/>
  </w:num>
  <w:num w:numId="17" w16cid:durableId="2105179909">
    <w:abstractNumId w:val="9"/>
  </w:num>
  <w:num w:numId="18" w16cid:durableId="1824815767">
    <w:abstractNumId w:val="5"/>
  </w:num>
  <w:num w:numId="19" w16cid:durableId="1308626643">
    <w:abstractNumId w:val="17"/>
  </w:num>
  <w:num w:numId="20" w16cid:durableId="1604806178">
    <w:abstractNumId w:val="19"/>
  </w:num>
  <w:num w:numId="21" w16cid:durableId="9747946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301"/>
    <w:rsid w:val="00003392"/>
    <w:rsid w:val="000501B7"/>
    <w:rsid w:val="000A7EF4"/>
    <w:rsid w:val="001165AF"/>
    <w:rsid w:val="001C61EF"/>
    <w:rsid w:val="002479B7"/>
    <w:rsid w:val="002A0A76"/>
    <w:rsid w:val="002B5EA6"/>
    <w:rsid w:val="002C381A"/>
    <w:rsid w:val="00305B66"/>
    <w:rsid w:val="0032341F"/>
    <w:rsid w:val="00325A4B"/>
    <w:rsid w:val="003B7A12"/>
    <w:rsid w:val="003C3F86"/>
    <w:rsid w:val="003D4230"/>
    <w:rsid w:val="00496DEE"/>
    <w:rsid w:val="004A2BCE"/>
    <w:rsid w:val="004D43BF"/>
    <w:rsid w:val="00511580"/>
    <w:rsid w:val="00525615"/>
    <w:rsid w:val="00595AC0"/>
    <w:rsid w:val="005B6CD1"/>
    <w:rsid w:val="005D7301"/>
    <w:rsid w:val="00607F4A"/>
    <w:rsid w:val="00642757"/>
    <w:rsid w:val="00653E89"/>
    <w:rsid w:val="00677EE7"/>
    <w:rsid w:val="006B4E67"/>
    <w:rsid w:val="006D3F3D"/>
    <w:rsid w:val="006E1AC4"/>
    <w:rsid w:val="007322D8"/>
    <w:rsid w:val="007B5D90"/>
    <w:rsid w:val="008039BD"/>
    <w:rsid w:val="00803B31"/>
    <w:rsid w:val="00843697"/>
    <w:rsid w:val="0085188F"/>
    <w:rsid w:val="0087437F"/>
    <w:rsid w:val="00914162"/>
    <w:rsid w:val="0095069C"/>
    <w:rsid w:val="009644BA"/>
    <w:rsid w:val="009B5493"/>
    <w:rsid w:val="009B6ECC"/>
    <w:rsid w:val="00A22937"/>
    <w:rsid w:val="00A5392C"/>
    <w:rsid w:val="00AA5BB6"/>
    <w:rsid w:val="00AD3046"/>
    <w:rsid w:val="00B01DD5"/>
    <w:rsid w:val="00B451C3"/>
    <w:rsid w:val="00B7398C"/>
    <w:rsid w:val="00B75540"/>
    <w:rsid w:val="00BA097F"/>
    <w:rsid w:val="00BA53CA"/>
    <w:rsid w:val="00BA5ACB"/>
    <w:rsid w:val="00C47B42"/>
    <w:rsid w:val="00CD406B"/>
    <w:rsid w:val="00D27A18"/>
    <w:rsid w:val="00D729C8"/>
    <w:rsid w:val="00D77AB9"/>
    <w:rsid w:val="00DD38CC"/>
    <w:rsid w:val="00E46346"/>
    <w:rsid w:val="00E47547"/>
    <w:rsid w:val="00E666F2"/>
    <w:rsid w:val="00EB5FE7"/>
    <w:rsid w:val="00F800BB"/>
    <w:rsid w:val="00FA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6AB24"/>
  <w15:chartTrackingRefBased/>
  <w15:docId w15:val="{38BD8FED-21C6-4795-B128-3B057CBC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7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7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7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7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7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7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7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7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7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7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D7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7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73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73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73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73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73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73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7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7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7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7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7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73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73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73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7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73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730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25A4B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25A4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1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7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9B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4275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07F4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7F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7F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7F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7F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7F4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07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7F4A"/>
  </w:style>
  <w:style w:type="paragraph" w:styleId="Stopka">
    <w:name w:val="footer"/>
    <w:basedOn w:val="Normalny"/>
    <w:link w:val="StopkaZnak"/>
    <w:uiPriority w:val="99"/>
    <w:unhideWhenUsed/>
    <w:rsid w:val="00607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7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4168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4440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9932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7030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6463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87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2651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766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3754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8371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99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4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6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61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50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13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ALL/?uri=CELEX%3A52006XC0801%2801%29" TargetMode="External"/><Relationship Id="rId13" Type="http://schemas.openxmlformats.org/officeDocument/2006/relationships/hyperlink" Target="https://www.gov.pl/web/nfosigw/informacje-ogoln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gov.pl/web/funduszmodernizacyjny/wzory-umow-o-dofinansowanie-ze-srodkow-f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web/funduszmodernizacyjny/wzory-umow-o-dofinansowanie-ze-srodkow-f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kpo.gov.pl/strony/o-kpo/dla-instytucji/dokumenty/wytycz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po.gov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4024</Words>
  <Characters>24147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Popowicz Filip</dc:creator>
  <cp:keywords/>
  <dc:description/>
  <cp:lastModifiedBy>Karasek Dawid</cp:lastModifiedBy>
  <cp:revision>1</cp:revision>
  <dcterms:created xsi:type="dcterms:W3CDTF">2025-03-10T14:17:00Z</dcterms:created>
  <dcterms:modified xsi:type="dcterms:W3CDTF">2025-03-10T14:22:00Z</dcterms:modified>
</cp:coreProperties>
</file>