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E94E" w14:textId="20D793AC" w:rsidR="002662E7" w:rsidRDefault="002662E7" w:rsidP="00B45C17">
      <w:pPr>
        <w:tabs>
          <w:tab w:val="left" w:pos="2535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Zasady przetwarzania danych osobowych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przez Generalnego Dyrektora Dróg Krajowych i Autostrad</w:t>
      </w:r>
    </w:p>
    <w:p w14:paraId="0ACDFBF6" w14:textId="4E26DB93" w:rsidR="002662E7" w:rsidRDefault="002662E7" w:rsidP="00B45C17">
      <w:pPr>
        <w:tabs>
          <w:tab w:val="left" w:pos="2535"/>
        </w:tabs>
        <w:spacing w:after="240" w:line="276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 związku z realizacją procedury gospodarowania składnikami rzeczowymi majątku ruchomego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Skarbu Państwa</w:t>
      </w:r>
      <w:r w:rsidR="00B45C17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przez Generalną Dyrekcję Dróg Krajowych i Autostra</w:t>
      </w:r>
      <w:r w:rsidR="00852B50">
        <w:rPr>
          <w:rFonts w:ascii="Verdana" w:hAnsi="Verdana"/>
          <w:b/>
          <w:sz w:val="16"/>
          <w:szCs w:val="16"/>
        </w:rPr>
        <w:t>d</w:t>
      </w:r>
    </w:p>
    <w:p w14:paraId="1B47C790" w14:textId="4018D011" w:rsidR="002662E7" w:rsidRPr="00B45C17" w:rsidRDefault="002662E7" w:rsidP="00013128">
      <w:pPr>
        <w:pStyle w:val="Akapitzlist"/>
        <w:numPr>
          <w:ilvl w:val="0"/>
          <w:numId w:val="1"/>
        </w:numPr>
        <w:spacing w:line="276" w:lineRule="auto"/>
        <w:ind w:left="567" w:hanging="426"/>
        <w:mirrorIndents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Administrator</w:t>
      </w:r>
    </w:p>
    <w:p w14:paraId="4C985819" w14:textId="1B29DFA9" w:rsidR="00B45C1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Administratorem Państwa danych osobowych jest Generalny Dyrektor Dróg Krajowych i Autostrad, ul.</w:t>
      </w:r>
      <w:r w:rsidR="00B45C17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Wronia 53, 00-874 Warszawa, tel. (022) 375 8888, e-mail: </w:t>
      </w:r>
      <w:hyperlink r:id="rId8" w:history="1">
        <w:r w:rsidR="00B45C17" w:rsidRPr="00782D78">
          <w:rPr>
            <w:rStyle w:val="Hipercze"/>
            <w:rFonts w:ascii="Verdana" w:hAnsi="Verdana"/>
            <w:sz w:val="16"/>
            <w:szCs w:val="16"/>
          </w:rPr>
          <w:t>kancelaria@gddkia.gov.pl</w:t>
        </w:r>
      </w:hyperlink>
      <w:r>
        <w:rPr>
          <w:rFonts w:ascii="Verdana" w:hAnsi="Verdana"/>
          <w:sz w:val="16"/>
          <w:szCs w:val="16"/>
        </w:rPr>
        <w:t>.</w:t>
      </w:r>
    </w:p>
    <w:p w14:paraId="72494034" w14:textId="54DD65D4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Inspektor Ochrony Danych</w:t>
      </w:r>
    </w:p>
    <w:p w14:paraId="7F30FFB3" w14:textId="67ACE395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związanych z przetwarzaniem danych osobowych można kontaktować się z Inspektorem Ochrony Danych w GDDKIA, za pośrednictwem adresu e-mail: iod@gddkia.gov.pl</w:t>
      </w:r>
      <w:r w:rsidR="00B45C17">
        <w:rPr>
          <w:rFonts w:ascii="Verdana" w:hAnsi="Verdana"/>
          <w:sz w:val="16"/>
          <w:szCs w:val="16"/>
        </w:rPr>
        <w:t>.</w:t>
      </w:r>
    </w:p>
    <w:p w14:paraId="15CE7D20" w14:textId="2C188CA9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>Cel przetwarzania danych</w:t>
      </w:r>
    </w:p>
    <w:p w14:paraId="2DA2FB49" w14:textId="2F53679F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przetwarza Państwa dane osobowe w celu wyłonienia Kupującego oferującego najkorzystniejsze warunki oraz zawarcia z nim, realizacji i rozliczenia umowy kupna – sprzedaży oraz w</w:t>
      </w:r>
      <w:r w:rsidR="00013128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celu archiwizacji. Państwa dane osobowe mogą być przetwarzane przez Administratora także w celu ustalenia, dochodzenia lub obrony roszczeń.</w:t>
      </w:r>
    </w:p>
    <w:p w14:paraId="608EDE02" w14:textId="42AE399C" w:rsidR="002662E7" w:rsidRPr="00B45C17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B45C17">
        <w:rPr>
          <w:rFonts w:ascii="Verdana" w:hAnsi="Verdana"/>
          <w:b/>
          <w:sz w:val="16"/>
          <w:szCs w:val="16"/>
        </w:rPr>
        <w:t xml:space="preserve">Podstawa prawna przetwarzania </w:t>
      </w:r>
    </w:p>
    <w:p w14:paraId="63E7DF4C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przetwarza Państwa dane osobowe:</w:t>
      </w:r>
    </w:p>
    <w:p w14:paraId="13D79B44" w14:textId="064412DC" w:rsidR="00B45C17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sz w:val="16"/>
          <w:szCs w:val="16"/>
        </w:rPr>
        <w:t>w celu realizacji prawnie uzasadnionych interesów Administratora, polegających na wyłonieniu Wykonawcy oferującego najkorzystniejsze warunki oraz zawarciu z nim i realizacji zamówienia oraz obrony przed roszczeniami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B45C17">
        <w:rPr>
          <w:rFonts w:ascii="Verdana" w:hAnsi="Verdana"/>
          <w:sz w:val="16"/>
          <w:szCs w:val="16"/>
        </w:rPr>
        <w:t xml:space="preserve"> f</w:t>
      </w:r>
      <w:r w:rsidR="00013128">
        <w:rPr>
          <w:rFonts w:ascii="Verdana" w:hAnsi="Verdana"/>
          <w:sz w:val="16"/>
          <w:szCs w:val="16"/>
        </w:rPr>
        <w:t>)</w:t>
      </w:r>
      <w:r w:rsidRPr="00B45C17">
        <w:rPr>
          <w:rFonts w:ascii="Verdana" w:hAnsi="Verdana"/>
          <w:sz w:val="16"/>
          <w:szCs w:val="16"/>
        </w:rPr>
        <w:t xml:space="preserve"> RODO</w:t>
      </w:r>
      <w:r>
        <w:rPr>
          <w:rStyle w:val="Odwoanieprzypisudolnego"/>
          <w:rFonts w:ascii="Verdana" w:hAnsi="Verdana"/>
          <w:sz w:val="16"/>
          <w:szCs w:val="16"/>
        </w:rPr>
        <w:footnoteReference w:id="1"/>
      </w:r>
      <w:r w:rsidR="00B45C17">
        <w:rPr>
          <w:rFonts w:ascii="Verdana" w:hAnsi="Verdana"/>
          <w:sz w:val="16"/>
          <w:szCs w:val="16"/>
        </w:rPr>
        <w:t>;</w:t>
      </w:r>
    </w:p>
    <w:p w14:paraId="00070238" w14:textId="77777777" w:rsid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B45C17">
        <w:rPr>
          <w:rFonts w:ascii="Verdana" w:hAnsi="Verdana"/>
          <w:sz w:val="16"/>
          <w:szCs w:val="16"/>
        </w:rPr>
        <w:t>w celu zawarcia i realizacji umowy z Państwem (dotyczy przetwarzania danych osobowych osób fizycznych prowadzących jednoosobową działalność gospodarczą lub będących wspólnikami spółki cywilnej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B45C17">
        <w:rPr>
          <w:rFonts w:ascii="Verdana" w:hAnsi="Verdana"/>
          <w:sz w:val="16"/>
          <w:szCs w:val="16"/>
        </w:rPr>
        <w:t xml:space="preserve"> b</w:t>
      </w:r>
      <w:r w:rsidR="00013128">
        <w:rPr>
          <w:rFonts w:ascii="Verdana" w:hAnsi="Verdana"/>
          <w:sz w:val="16"/>
          <w:szCs w:val="16"/>
        </w:rPr>
        <w:t>)</w:t>
      </w:r>
      <w:r w:rsidRPr="00B45C17">
        <w:rPr>
          <w:rFonts w:ascii="Verdana" w:hAnsi="Verdana"/>
          <w:sz w:val="16"/>
          <w:szCs w:val="16"/>
        </w:rPr>
        <w:t xml:space="preserve"> RODO</w:t>
      </w:r>
      <w:r w:rsidR="00B45C17">
        <w:rPr>
          <w:rFonts w:ascii="Verdana" w:hAnsi="Verdana"/>
          <w:sz w:val="16"/>
          <w:szCs w:val="16"/>
        </w:rPr>
        <w:t>;</w:t>
      </w:r>
    </w:p>
    <w:p w14:paraId="0FC37876" w14:textId="77777777" w:rsid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w celu realizacji obowiązku prawnego nałożonego na Administratora na podstawie ustawy o</w:t>
      </w:r>
      <w:r w:rsidR="00013128">
        <w:rPr>
          <w:rFonts w:ascii="Verdana" w:hAnsi="Verdana"/>
          <w:sz w:val="16"/>
          <w:szCs w:val="16"/>
        </w:rPr>
        <w:t> </w:t>
      </w:r>
      <w:r w:rsidRPr="00013128">
        <w:rPr>
          <w:rFonts w:ascii="Verdana" w:hAnsi="Verdana"/>
          <w:sz w:val="16"/>
          <w:szCs w:val="16"/>
        </w:rPr>
        <w:t>rachunkowości (rozliczenie zamówienia), ustawy o finansach publicznych (ustalenie i dochodzenie roszczeń) oraz ustawy o archiwizacji i archiwach państwowych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013128">
        <w:rPr>
          <w:rFonts w:ascii="Verdana" w:hAnsi="Verdana"/>
          <w:sz w:val="16"/>
          <w:szCs w:val="16"/>
        </w:rPr>
        <w:t xml:space="preserve"> c</w:t>
      </w:r>
      <w:r w:rsidR="00013128">
        <w:rPr>
          <w:rFonts w:ascii="Verdana" w:hAnsi="Verdana"/>
          <w:sz w:val="16"/>
          <w:szCs w:val="16"/>
        </w:rPr>
        <w:t>)</w:t>
      </w:r>
      <w:r w:rsidRPr="00013128">
        <w:rPr>
          <w:rFonts w:ascii="Verdana" w:hAnsi="Verdana"/>
          <w:sz w:val="16"/>
          <w:szCs w:val="16"/>
        </w:rPr>
        <w:t xml:space="preserve"> RODO</w:t>
      </w:r>
      <w:r w:rsidR="00013128">
        <w:rPr>
          <w:rFonts w:ascii="Verdana" w:hAnsi="Verdana"/>
          <w:sz w:val="16"/>
          <w:szCs w:val="16"/>
        </w:rPr>
        <w:t>;</w:t>
      </w:r>
    </w:p>
    <w:p w14:paraId="5F92FA53" w14:textId="1B1FA43A" w:rsidR="002662E7" w:rsidRPr="00013128" w:rsidRDefault="002662E7" w:rsidP="00013128">
      <w:pPr>
        <w:pStyle w:val="Akapitzlist"/>
        <w:numPr>
          <w:ilvl w:val="0"/>
          <w:numId w:val="2"/>
        </w:numPr>
        <w:tabs>
          <w:tab w:val="left" w:pos="2535"/>
        </w:tabs>
        <w:spacing w:after="240" w:line="276" w:lineRule="auto"/>
        <w:ind w:left="851" w:hanging="284"/>
        <w:contextualSpacing w:val="0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w celu realizacji prawnie uzasadnionych interesów Administratora, polegających na prowadzeniu analiz związanych z realizowanymi zamówieniami publicznymi - art. 6 ust. 1 lit</w:t>
      </w:r>
      <w:r w:rsidR="00013128">
        <w:rPr>
          <w:rFonts w:ascii="Verdana" w:hAnsi="Verdana"/>
          <w:sz w:val="16"/>
          <w:szCs w:val="16"/>
        </w:rPr>
        <w:t>.</w:t>
      </w:r>
      <w:r w:rsidRPr="00013128">
        <w:rPr>
          <w:rFonts w:ascii="Verdana" w:hAnsi="Verdana"/>
          <w:sz w:val="16"/>
          <w:szCs w:val="16"/>
        </w:rPr>
        <w:t xml:space="preserve"> f</w:t>
      </w:r>
      <w:r w:rsidR="00013128">
        <w:rPr>
          <w:rFonts w:ascii="Verdana" w:hAnsi="Verdana"/>
          <w:sz w:val="16"/>
          <w:szCs w:val="16"/>
        </w:rPr>
        <w:t>)</w:t>
      </w:r>
      <w:r w:rsidRPr="00013128">
        <w:rPr>
          <w:rFonts w:ascii="Verdana" w:hAnsi="Verdana"/>
          <w:sz w:val="16"/>
          <w:szCs w:val="16"/>
        </w:rPr>
        <w:t xml:space="preserve"> RODO</w:t>
      </w:r>
      <w:r w:rsidR="00013128">
        <w:rPr>
          <w:rFonts w:ascii="Verdana" w:hAnsi="Verdana"/>
          <w:sz w:val="16"/>
          <w:szCs w:val="16"/>
        </w:rPr>
        <w:t>.</w:t>
      </w:r>
    </w:p>
    <w:p w14:paraId="249A29DB" w14:textId="7FC7238C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Rodzaje przetwarzanych danych</w:t>
      </w:r>
    </w:p>
    <w:p w14:paraId="4944847C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zbiera i przetwarza następujące dane osobowe:</w:t>
      </w:r>
    </w:p>
    <w:p w14:paraId="1AB77626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2662E7" w:rsidRPr="00013128">
        <w:rPr>
          <w:rFonts w:ascii="Verdana" w:hAnsi="Verdana"/>
          <w:sz w:val="16"/>
          <w:szCs w:val="16"/>
        </w:rPr>
        <w:t>mię i nazwisko</w:t>
      </w:r>
      <w:r>
        <w:rPr>
          <w:rFonts w:ascii="Verdana" w:hAnsi="Verdana"/>
          <w:sz w:val="16"/>
          <w:szCs w:val="16"/>
        </w:rPr>
        <w:t>;</w:t>
      </w:r>
    </w:p>
    <w:p w14:paraId="7F646684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>dres e-mail, nr telefonu</w:t>
      </w:r>
      <w:r>
        <w:rPr>
          <w:rFonts w:ascii="Verdana" w:hAnsi="Verdana"/>
          <w:sz w:val="16"/>
          <w:szCs w:val="16"/>
        </w:rPr>
        <w:t>;</w:t>
      </w:r>
    </w:p>
    <w:p w14:paraId="5D87C868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="002662E7" w:rsidRPr="00013128">
        <w:rPr>
          <w:rFonts w:ascii="Verdana" w:hAnsi="Verdana"/>
          <w:sz w:val="16"/>
          <w:szCs w:val="16"/>
        </w:rPr>
        <w:t>tanowisko służbowe, nazwa firmy, nazwa podmiotu, nazwa pracodawcy</w:t>
      </w:r>
      <w:r>
        <w:rPr>
          <w:rFonts w:ascii="Verdana" w:hAnsi="Verdana"/>
          <w:sz w:val="16"/>
          <w:szCs w:val="16"/>
        </w:rPr>
        <w:t>;</w:t>
      </w:r>
    </w:p>
    <w:p w14:paraId="4F018A08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2662E7" w:rsidRPr="00013128">
        <w:rPr>
          <w:rFonts w:ascii="Verdana" w:hAnsi="Verdana"/>
          <w:sz w:val="16"/>
          <w:szCs w:val="16"/>
        </w:rPr>
        <w:t>r PESEL, nr NIP</w:t>
      </w:r>
      <w:r>
        <w:rPr>
          <w:rFonts w:ascii="Verdana" w:hAnsi="Verdana"/>
          <w:sz w:val="16"/>
          <w:szCs w:val="16"/>
        </w:rPr>
        <w:t>;</w:t>
      </w:r>
    </w:p>
    <w:p w14:paraId="0C0E4E00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 xml:space="preserve">dres zamieszkania, </w:t>
      </w:r>
      <w:r>
        <w:rPr>
          <w:rFonts w:ascii="Verdana" w:hAnsi="Verdana"/>
          <w:sz w:val="16"/>
          <w:szCs w:val="16"/>
        </w:rPr>
        <w:t>a</w:t>
      </w:r>
      <w:r w:rsidR="002662E7" w:rsidRPr="00013128">
        <w:rPr>
          <w:rFonts w:ascii="Verdana" w:hAnsi="Verdana"/>
          <w:sz w:val="16"/>
          <w:szCs w:val="16"/>
        </w:rPr>
        <w:t>dres do korespondencji, adres wykonywanej działalności</w:t>
      </w:r>
      <w:r>
        <w:rPr>
          <w:rFonts w:ascii="Verdana" w:hAnsi="Verdana"/>
          <w:sz w:val="16"/>
          <w:szCs w:val="16"/>
        </w:rPr>
        <w:t>;</w:t>
      </w:r>
    </w:p>
    <w:p w14:paraId="776F803E" w14:textId="77777777" w:rsidR="00013128" w:rsidRDefault="00013128" w:rsidP="00013128">
      <w:pPr>
        <w:pStyle w:val="Akapitzlist"/>
        <w:numPr>
          <w:ilvl w:val="0"/>
          <w:numId w:val="3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d</w:t>
      </w:r>
      <w:r w:rsidR="002662E7" w:rsidRPr="00013128">
        <w:rPr>
          <w:rFonts w:ascii="Verdana" w:hAnsi="Verdana"/>
          <w:sz w:val="16"/>
          <w:szCs w:val="16"/>
        </w:rPr>
        <w:t>ane zawarte w Krajowym Rejestrze Sądowym (KRS) lub w Centralnej Ewidencji</w:t>
      </w:r>
      <w:r>
        <w:rPr>
          <w:rFonts w:ascii="Verdana" w:hAnsi="Verdana"/>
          <w:sz w:val="16"/>
          <w:szCs w:val="16"/>
        </w:rPr>
        <w:t xml:space="preserve"> </w:t>
      </w:r>
      <w:r w:rsidR="002662E7" w:rsidRPr="00013128">
        <w:rPr>
          <w:rFonts w:ascii="Verdana" w:hAnsi="Verdana"/>
          <w:sz w:val="16"/>
          <w:szCs w:val="16"/>
        </w:rPr>
        <w:t>i Informacji o</w:t>
      </w:r>
      <w:r>
        <w:rPr>
          <w:rFonts w:ascii="Verdana" w:hAnsi="Verdana"/>
          <w:sz w:val="16"/>
          <w:szCs w:val="16"/>
        </w:rPr>
        <w:t> </w:t>
      </w:r>
      <w:r w:rsidR="002662E7" w:rsidRPr="00013128">
        <w:rPr>
          <w:rFonts w:ascii="Verdana" w:hAnsi="Verdana"/>
          <w:sz w:val="16"/>
          <w:szCs w:val="16"/>
        </w:rPr>
        <w:t>Działalności Gospodarczej (CEiDG)</w:t>
      </w:r>
      <w:r>
        <w:rPr>
          <w:rFonts w:ascii="Verdana" w:hAnsi="Verdana"/>
          <w:sz w:val="16"/>
          <w:szCs w:val="16"/>
        </w:rPr>
        <w:t>;</w:t>
      </w:r>
    </w:p>
    <w:p w14:paraId="47C2EAB8" w14:textId="0B97B6F3" w:rsidR="002662E7" w:rsidRPr="00013128" w:rsidRDefault="002662E7" w:rsidP="00013128">
      <w:pPr>
        <w:pStyle w:val="Akapitzlist"/>
        <w:numPr>
          <w:ilvl w:val="0"/>
          <w:numId w:val="3"/>
        </w:numPr>
        <w:tabs>
          <w:tab w:val="left" w:pos="2535"/>
        </w:tabs>
        <w:spacing w:after="240" w:line="276" w:lineRule="auto"/>
        <w:ind w:left="851" w:hanging="295"/>
        <w:contextualSpacing w:val="0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nr rachunku bankowego</w:t>
      </w:r>
      <w:r w:rsidR="00013128">
        <w:rPr>
          <w:rFonts w:ascii="Verdana" w:hAnsi="Verdana"/>
          <w:sz w:val="16"/>
          <w:szCs w:val="16"/>
        </w:rPr>
        <w:t>.</w:t>
      </w:r>
    </w:p>
    <w:p w14:paraId="1BB366E5" w14:textId="7B7FDD56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Obowiązek podania danych</w:t>
      </w:r>
    </w:p>
    <w:p w14:paraId="4C7F0EB2" w14:textId="15B96010" w:rsidR="002662E7" w:rsidRDefault="002662E7" w:rsidP="00013128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Podanie danych osobowych przez osoby reprezentujące Kupujących jest warunkiem przyjęcia </w:t>
      </w:r>
      <w:r w:rsidR="007A4834">
        <w:rPr>
          <w:rFonts w:ascii="Verdana" w:hAnsi="Verdana"/>
          <w:sz w:val="16"/>
          <w:szCs w:val="16"/>
        </w:rPr>
        <w:t xml:space="preserve">                          </w:t>
      </w:r>
      <w:r>
        <w:rPr>
          <w:rFonts w:ascii="Verdana" w:hAnsi="Verdana"/>
          <w:sz w:val="16"/>
          <w:szCs w:val="16"/>
        </w:rPr>
        <w:t xml:space="preserve">i rozpatrzenia oferty. Skutkiem niepodania tych danych może być wykluczenie </w:t>
      </w:r>
      <w:r w:rsidR="00013128">
        <w:rPr>
          <w:rFonts w:ascii="Verdana" w:hAnsi="Verdana"/>
          <w:sz w:val="16"/>
          <w:szCs w:val="16"/>
        </w:rPr>
        <w:t>W</w:t>
      </w:r>
      <w:r>
        <w:rPr>
          <w:rFonts w:ascii="Verdana" w:hAnsi="Verdana"/>
          <w:sz w:val="16"/>
          <w:szCs w:val="16"/>
        </w:rPr>
        <w:t>ykonawcy z postępowania i odrzucenie oferty.</w:t>
      </w:r>
    </w:p>
    <w:p w14:paraId="4163A2A6" w14:textId="56F3A731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Okres przechowywania danych</w:t>
      </w:r>
    </w:p>
    <w:p w14:paraId="266387EF" w14:textId="77777777" w:rsidR="002662E7" w:rsidRDefault="002662E7" w:rsidP="00013128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Administrator będzie przechowywał Państwa dane osobowe:</w:t>
      </w:r>
    </w:p>
    <w:p w14:paraId="7FC59186" w14:textId="77777777" w:rsid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pozyskane od Wykonawców, których oferty nie zostały uznane za najkorzystniejsze – przez okres 5 lat</w:t>
      </w:r>
      <w:r w:rsidR="00013128">
        <w:rPr>
          <w:rFonts w:ascii="Verdana" w:hAnsi="Verdana"/>
          <w:sz w:val="16"/>
          <w:szCs w:val="16"/>
        </w:rPr>
        <w:t>;</w:t>
      </w:r>
    </w:p>
    <w:p w14:paraId="27399CCF" w14:textId="77777777" w:rsid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  <w:r w:rsidR="00013128">
        <w:rPr>
          <w:rFonts w:ascii="Verdana" w:hAnsi="Verdana"/>
          <w:sz w:val="16"/>
          <w:szCs w:val="16"/>
        </w:rPr>
        <w:t>;</w:t>
      </w:r>
    </w:p>
    <w:p w14:paraId="1EC3F746" w14:textId="37E354D1" w:rsidR="002662E7" w:rsidRPr="00013128" w:rsidRDefault="002662E7" w:rsidP="00013128">
      <w:pPr>
        <w:pStyle w:val="Akapitzlist"/>
        <w:numPr>
          <w:ilvl w:val="0"/>
          <w:numId w:val="4"/>
        </w:numPr>
        <w:tabs>
          <w:tab w:val="left" w:pos="2535"/>
        </w:tabs>
        <w:spacing w:line="276" w:lineRule="auto"/>
        <w:ind w:left="851" w:hanging="294"/>
        <w:jc w:val="both"/>
        <w:rPr>
          <w:rFonts w:ascii="Verdana" w:hAnsi="Verdana"/>
          <w:sz w:val="16"/>
          <w:szCs w:val="16"/>
        </w:rPr>
      </w:pPr>
      <w:r w:rsidRPr="00013128">
        <w:rPr>
          <w:rFonts w:ascii="Verdana" w:hAnsi="Verdana"/>
          <w:sz w:val="16"/>
          <w:szCs w:val="16"/>
        </w:rPr>
        <w:t>przetwarzane w wyniku realizacji obowiązków wynikających z przepisów prawa – przez okres określony w tych przepisach.</w:t>
      </w:r>
    </w:p>
    <w:p w14:paraId="5EF202C2" w14:textId="09552960" w:rsidR="002662E7" w:rsidRDefault="002662E7" w:rsidP="008F7E8E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Po zakończeniu ww. okresów dane osobowe podlegają weryfikacji i brakowaniu, a następne w zakresie w</w:t>
      </w:r>
      <w:r w:rsidR="00013128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jakim wymagają tego przepisy o archiwizacji są przekazywane do archiwum.</w:t>
      </w:r>
    </w:p>
    <w:p w14:paraId="0560AD83" w14:textId="4EB0F5F5" w:rsidR="002662E7" w:rsidRPr="00013128" w:rsidRDefault="002662E7" w:rsidP="00013128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013128">
        <w:rPr>
          <w:rFonts w:ascii="Verdana" w:hAnsi="Verdana"/>
          <w:b/>
          <w:sz w:val="16"/>
          <w:szCs w:val="16"/>
        </w:rPr>
        <w:t>Dostęp do danych osobowych</w:t>
      </w:r>
    </w:p>
    <w:p w14:paraId="6F57A4F9" w14:textId="7578B21F" w:rsidR="002662E7" w:rsidRDefault="002662E7" w:rsidP="008F7E8E">
      <w:pPr>
        <w:tabs>
          <w:tab w:val="left" w:pos="2535"/>
        </w:tabs>
        <w:spacing w:after="240"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</w:t>
      </w:r>
      <w:r w:rsidR="008F7E8E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</w:t>
      </w:r>
      <w:r w:rsidR="008F7E8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c</w:t>
      </w:r>
      <w:r w:rsidR="008F7E8E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RODO). Szczegółowe informacje na temat warunków przekazania Państwa danych osobowych do państw trzecich możne udzielić Inspektor Ochrony Danych</w:t>
      </w:r>
      <w:r w:rsidR="008F7E8E">
        <w:rPr>
          <w:rFonts w:ascii="Verdana" w:hAnsi="Verdana"/>
          <w:sz w:val="16"/>
          <w:szCs w:val="16"/>
        </w:rPr>
        <w:t>.</w:t>
      </w:r>
    </w:p>
    <w:p w14:paraId="1060D6A7" w14:textId="4B9BC8DA" w:rsidR="002662E7" w:rsidRPr="008F7E8E" w:rsidRDefault="002662E7" w:rsidP="008F7E8E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8F7E8E">
        <w:rPr>
          <w:rFonts w:ascii="Verdana" w:hAnsi="Verdana"/>
          <w:b/>
          <w:sz w:val="16"/>
          <w:szCs w:val="16"/>
        </w:rPr>
        <w:t>Prawa osób, których dane dotyczą</w:t>
      </w:r>
    </w:p>
    <w:p w14:paraId="6E17713F" w14:textId="77777777" w:rsidR="002662E7" w:rsidRDefault="002662E7" w:rsidP="008F7E8E">
      <w:pPr>
        <w:tabs>
          <w:tab w:val="left" w:pos="2535"/>
        </w:tabs>
        <w:spacing w:line="276" w:lineRule="auto"/>
        <w:ind w:left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Przysługują Państwu następujące prawa:</w:t>
      </w:r>
    </w:p>
    <w:p w14:paraId="412989CA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dostępu do danych osobowych i ich sprostowania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</w:t>
      </w:r>
      <w:r w:rsidR="008F7E8E">
        <w:rPr>
          <w:rFonts w:ascii="Verdana" w:hAnsi="Verdana"/>
          <w:sz w:val="16"/>
          <w:szCs w:val="16"/>
        </w:rPr>
        <w:t>;</w:t>
      </w:r>
    </w:p>
    <w:p w14:paraId="50AE8244" w14:textId="513491E5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żądania ograniczenia przetwarzania - jeżeli spełnione są przesłanki określone w art. 18 RODO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Ograniczenie przetwarzania danych osobowych powoduje, że Administrator może jedynie przechowywać dane osobowe. Nie może on przekazywać tych danych innym podmiotom, modyfikować ich ani usuwać.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Ograniczenie przetwarzania danych osobowych następuje także w przypadku wniesienia sprzeciwu wobec przetwarzania danych – do czasu rozpatrzenia przez Administratora tego sprzeciwu</w:t>
      </w:r>
      <w:r w:rsidR="008F7E8E">
        <w:rPr>
          <w:rFonts w:ascii="Verdana" w:hAnsi="Verdana"/>
          <w:sz w:val="16"/>
          <w:szCs w:val="16"/>
        </w:rPr>
        <w:t>;</w:t>
      </w:r>
    </w:p>
    <w:p w14:paraId="33300AF3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żądania usunięcia danych osobowych - jeżeli spełnione są przesłanki określone w art. 17 RODO</w:t>
      </w:r>
      <w:r w:rsidR="008F7E8E">
        <w:rPr>
          <w:rFonts w:ascii="Verdana" w:hAnsi="Verdana"/>
          <w:sz w:val="16"/>
          <w:szCs w:val="16"/>
        </w:rPr>
        <w:t xml:space="preserve">. </w:t>
      </w:r>
      <w:r w:rsidRPr="008F7E8E">
        <w:rPr>
          <w:rFonts w:ascii="Verdana" w:hAnsi="Verdana"/>
          <w:sz w:val="16"/>
          <w:szCs w:val="16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</w:t>
      </w:r>
      <w:r w:rsidR="008F7E8E">
        <w:rPr>
          <w:rFonts w:ascii="Verdana" w:hAnsi="Verdana"/>
          <w:sz w:val="16"/>
          <w:szCs w:val="16"/>
        </w:rPr>
        <w:t>;</w:t>
      </w:r>
    </w:p>
    <w:p w14:paraId="7CBC95A4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</w:t>
      </w:r>
      <w:r w:rsidR="008F7E8E">
        <w:rPr>
          <w:rFonts w:ascii="Verdana" w:hAnsi="Verdana"/>
          <w:sz w:val="16"/>
          <w:szCs w:val="16"/>
        </w:rPr>
        <w:t>.</w:t>
      </w:r>
      <w:r w:rsidRPr="008F7E8E">
        <w:rPr>
          <w:rFonts w:ascii="Verdana" w:hAnsi="Verdana"/>
          <w:sz w:val="16"/>
          <w:szCs w:val="16"/>
        </w:rPr>
        <w:t xml:space="preserve"> b</w:t>
      </w:r>
      <w:r w:rsidR="008F7E8E">
        <w:rPr>
          <w:rFonts w:ascii="Verdana" w:hAnsi="Verdana"/>
          <w:sz w:val="16"/>
          <w:szCs w:val="16"/>
        </w:rPr>
        <w:t>)</w:t>
      </w:r>
      <w:r w:rsidRPr="008F7E8E">
        <w:rPr>
          <w:rFonts w:ascii="Verdana" w:hAnsi="Verdana"/>
          <w:sz w:val="16"/>
          <w:szCs w:val="16"/>
        </w:rPr>
        <w:t xml:space="preserve"> RODO)</w:t>
      </w:r>
      <w:r w:rsidR="008F7E8E">
        <w:rPr>
          <w:rFonts w:ascii="Verdana" w:hAnsi="Verdana"/>
          <w:sz w:val="16"/>
          <w:szCs w:val="16"/>
        </w:rPr>
        <w:t>;</w:t>
      </w:r>
    </w:p>
    <w:p w14:paraId="74675481" w14:textId="77777777" w:rsidR="008F7E8E" w:rsidRDefault="002662E7" w:rsidP="00B45C17">
      <w:pPr>
        <w:pStyle w:val="Akapitzlist"/>
        <w:numPr>
          <w:ilvl w:val="0"/>
          <w:numId w:val="5"/>
        </w:numPr>
        <w:tabs>
          <w:tab w:val="left" w:pos="2535"/>
        </w:tabs>
        <w:spacing w:line="276" w:lineRule="auto"/>
        <w:ind w:left="851" w:hanging="284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wniesienia sprzeciwu wobec przetwarzania danych osobowych - w przypadku, gdy podstawą przetwarzania danych jest realizacja prawnie uzasadnionych interesów administratora (art. 6 ust. 1 lit</w:t>
      </w:r>
      <w:r w:rsidR="008F7E8E">
        <w:rPr>
          <w:rFonts w:ascii="Verdana" w:hAnsi="Verdana"/>
          <w:sz w:val="16"/>
          <w:szCs w:val="16"/>
        </w:rPr>
        <w:t>.</w:t>
      </w:r>
      <w:r w:rsidRPr="008F7E8E">
        <w:rPr>
          <w:rFonts w:ascii="Verdana" w:hAnsi="Verdana"/>
          <w:sz w:val="16"/>
          <w:szCs w:val="16"/>
        </w:rPr>
        <w:t xml:space="preserve"> f</w:t>
      </w:r>
      <w:r w:rsidR="008F7E8E">
        <w:rPr>
          <w:rFonts w:ascii="Verdana" w:hAnsi="Verdana"/>
          <w:sz w:val="16"/>
          <w:szCs w:val="16"/>
        </w:rPr>
        <w:t>)</w:t>
      </w:r>
      <w:r w:rsidRPr="008F7E8E">
        <w:rPr>
          <w:rFonts w:ascii="Verdana" w:hAnsi="Verdana"/>
          <w:sz w:val="16"/>
          <w:szCs w:val="16"/>
        </w:rPr>
        <w:t xml:space="preserve"> RODO).</w:t>
      </w:r>
      <w:r w:rsidR="008F7E8E">
        <w:rPr>
          <w:rFonts w:ascii="Verdana" w:hAnsi="Verdana"/>
          <w:sz w:val="16"/>
          <w:szCs w:val="16"/>
        </w:rPr>
        <w:t xml:space="preserve"> </w:t>
      </w:r>
      <w:r w:rsidRPr="008F7E8E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</w:t>
      </w:r>
      <w:r w:rsidR="008F7E8E">
        <w:rPr>
          <w:rFonts w:ascii="Verdana" w:hAnsi="Verdana"/>
          <w:sz w:val="16"/>
          <w:szCs w:val="16"/>
        </w:rPr>
        <w:t>;</w:t>
      </w:r>
    </w:p>
    <w:p w14:paraId="5CA05871" w14:textId="1A0D4FE5" w:rsidR="002662E7" w:rsidRPr="008F7E8E" w:rsidRDefault="002662E7" w:rsidP="008F7E8E">
      <w:pPr>
        <w:pStyle w:val="Akapitzlist"/>
        <w:numPr>
          <w:ilvl w:val="0"/>
          <w:numId w:val="5"/>
        </w:numPr>
        <w:tabs>
          <w:tab w:val="left" w:pos="2535"/>
        </w:tabs>
        <w:spacing w:after="240" w:line="276" w:lineRule="auto"/>
        <w:ind w:left="851" w:hanging="284"/>
        <w:contextualSpacing w:val="0"/>
        <w:jc w:val="both"/>
        <w:rPr>
          <w:rFonts w:ascii="Verdana" w:hAnsi="Verdana"/>
          <w:sz w:val="16"/>
          <w:szCs w:val="16"/>
        </w:rPr>
      </w:pPr>
      <w:r w:rsidRPr="008F7E8E">
        <w:rPr>
          <w:rFonts w:ascii="Verdana" w:hAnsi="Verdana"/>
          <w:sz w:val="16"/>
          <w:szCs w:val="16"/>
        </w:rPr>
        <w:t>prawo wniesienia skargi do Prezesa Urzędu Ochrony Danych Osobowych</w:t>
      </w:r>
      <w:r w:rsidR="008F7E8E">
        <w:rPr>
          <w:rFonts w:ascii="Verdana" w:hAnsi="Verdana"/>
          <w:sz w:val="16"/>
          <w:szCs w:val="16"/>
        </w:rPr>
        <w:t>.</w:t>
      </w:r>
    </w:p>
    <w:p w14:paraId="0E6DD9C5" w14:textId="2883887B" w:rsidR="002662E7" w:rsidRPr="008F7E8E" w:rsidRDefault="002662E7" w:rsidP="008F7E8E">
      <w:pPr>
        <w:pStyle w:val="Akapitzlist"/>
        <w:numPr>
          <w:ilvl w:val="0"/>
          <w:numId w:val="1"/>
        </w:numPr>
        <w:tabs>
          <w:tab w:val="left" w:pos="2535"/>
        </w:tabs>
        <w:spacing w:line="276" w:lineRule="auto"/>
        <w:ind w:left="567" w:hanging="567"/>
        <w:jc w:val="both"/>
        <w:rPr>
          <w:rFonts w:ascii="Verdana" w:hAnsi="Verdana"/>
          <w:b/>
          <w:sz w:val="16"/>
          <w:szCs w:val="16"/>
        </w:rPr>
      </w:pPr>
      <w:r w:rsidRPr="008F7E8E">
        <w:rPr>
          <w:rFonts w:ascii="Verdana" w:hAnsi="Verdana"/>
          <w:b/>
          <w:sz w:val="16"/>
          <w:szCs w:val="16"/>
        </w:rPr>
        <w:t>Zautomatyzowane podejmowanie decyzji</w:t>
      </w:r>
    </w:p>
    <w:p w14:paraId="1B43C325" w14:textId="66F6994F" w:rsidR="00ED4D81" w:rsidRPr="008F7E8E" w:rsidRDefault="002662E7" w:rsidP="008F7E8E">
      <w:pPr>
        <w:tabs>
          <w:tab w:val="left" w:pos="253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Państwa dane osobowe nie będą podlegały zautomatyzowanemu podejmowaniu decyzji, w tym profilowaniu. </w:t>
      </w:r>
    </w:p>
    <w:sectPr w:rsidR="00ED4D81" w:rsidRPr="008F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3030" w14:textId="77777777" w:rsidR="00654FA7" w:rsidRDefault="00654FA7" w:rsidP="002662E7">
      <w:r>
        <w:separator/>
      </w:r>
    </w:p>
  </w:endnote>
  <w:endnote w:type="continuationSeparator" w:id="0">
    <w:p w14:paraId="50CEEB81" w14:textId="77777777" w:rsidR="00654FA7" w:rsidRDefault="00654FA7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37EE" w14:textId="77777777" w:rsidR="00654FA7" w:rsidRDefault="00654FA7" w:rsidP="002662E7">
      <w:r>
        <w:separator/>
      </w:r>
    </w:p>
  </w:footnote>
  <w:footnote w:type="continuationSeparator" w:id="0">
    <w:p w14:paraId="261F3D8B" w14:textId="77777777" w:rsidR="00654FA7" w:rsidRDefault="00654FA7" w:rsidP="002662E7">
      <w:r>
        <w:continuationSeparator/>
      </w:r>
    </w:p>
  </w:footnote>
  <w:footnote w:id="1">
    <w:p w14:paraId="12D6A798" w14:textId="1568AB42" w:rsidR="002662E7" w:rsidRPr="00013128" w:rsidRDefault="002662E7" w:rsidP="00013128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13128">
        <w:rPr>
          <w:rStyle w:val="Odwoanieprzypisudolnego"/>
          <w:rFonts w:ascii="Verdana" w:hAnsi="Verdana"/>
          <w:sz w:val="12"/>
          <w:szCs w:val="12"/>
        </w:rPr>
        <w:footnoteRef/>
      </w:r>
      <w:r w:rsidR="00013128" w:rsidRPr="00013128">
        <w:rPr>
          <w:rFonts w:ascii="Verdana" w:hAnsi="Verdana"/>
          <w:sz w:val="12"/>
          <w:szCs w:val="12"/>
        </w:rPr>
        <w:t xml:space="preserve"> </w:t>
      </w:r>
      <w:r w:rsidRPr="00013128">
        <w:rPr>
          <w:rFonts w:ascii="Verdana" w:hAnsi="Verdana"/>
          <w:sz w:val="12"/>
          <w:szCs w:val="12"/>
        </w:rPr>
        <w:t>Rozporządzenie Parlamentu Europejskiego i Rady (UE) 2016/679 z dnia 27 kwietnia 2016 r. w sprawie ochrony osób fizycznych w związku z</w:t>
      </w:r>
      <w:r w:rsidR="00013128">
        <w:rPr>
          <w:rFonts w:ascii="Verdana" w:hAnsi="Verdana"/>
          <w:sz w:val="12"/>
          <w:szCs w:val="12"/>
        </w:rPr>
        <w:t> </w:t>
      </w:r>
      <w:r w:rsidRPr="00013128">
        <w:rPr>
          <w:rFonts w:ascii="Verdana" w:hAnsi="Verdana"/>
          <w:sz w:val="12"/>
          <w:szCs w:val="12"/>
        </w:rPr>
        <w:t>przetwarzaniem danych osobowych i w sprawie swobodnego przepływu takich danych oraz uchylenia dyrektywy 95/46/WE (ogólne rozporządzenie o</w:t>
      </w:r>
      <w:r w:rsidR="00013128">
        <w:rPr>
          <w:rFonts w:ascii="Verdana" w:hAnsi="Verdana"/>
          <w:sz w:val="12"/>
          <w:szCs w:val="12"/>
        </w:rPr>
        <w:t> </w:t>
      </w:r>
      <w:r w:rsidRPr="00013128">
        <w:rPr>
          <w:rFonts w:ascii="Verdana" w:hAnsi="Verdana"/>
          <w:sz w:val="12"/>
          <w:szCs w:val="12"/>
        </w:rPr>
        <w:t>ochronie danych)</w:t>
      </w:r>
      <w:r w:rsidR="00013128">
        <w:rPr>
          <w:rFonts w:ascii="Verdana" w:hAnsi="Verdana"/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B2A"/>
    <w:multiLevelType w:val="hybridMultilevel"/>
    <w:tmpl w:val="BDCA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96122"/>
    <w:multiLevelType w:val="hybridMultilevel"/>
    <w:tmpl w:val="6600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02B5"/>
    <w:multiLevelType w:val="hybridMultilevel"/>
    <w:tmpl w:val="0A28204C"/>
    <w:lvl w:ilvl="0" w:tplc="3C90CE0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5066D"/>
    <w:multiLevelType w:val="hybridMultilevel"/>
    <w:tmpl w:val="5FBE9786"/>
    <w:lvl w:ilvl="0" w:tplc="20420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0A3"/>
    <w:multiLevelType w:val="hybridMultilevel"/>
    <w:tmpl w:val="58DC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4F"/>
    <w:rsid w:val="00013128"/>
    <w:rsid w:val="000B4612"/>
    <w:rsid w:val="001169DA"/>
    <w:rsid w:val="002662E7"/>
    <w:rsid w:val="002E5A9A"/>
    <w:rsid w:val="00371CC7"/>
    <w:rsid w:val="003B4416"/>
    <w:rsid w:val="004452BC"/>
    <w:rsid w:val="00654FA7"/>
    <w:rsid w:val="007A4834"/>
    <w:rsid w:val="007B630F"/>
    <w:rsid w:val="007E4F14"/>
    <w:rsid w:val="00852B50"/>
    <w:rsid w:val="008F7E8E"/>
    <w:rsid w:val="0093774D"/>
    <w:rsid w:val="00A104A6"/>
    <w:rsid w:val="00A1114F"/>
    <w:rsid w:val="00B14252"/>
    <w:rsid w:val="00B45C17"/>
    <w:rsid w:val="00B85F1C"/>
    <w:rsid w:val="00BE607E"/>
    <w:rsid w:val="00E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99D5"/>
  <w15:chartTrackingRefBased/>
  <w15:docId w15:val="{76447763-A90A-444B-86F5-7272617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662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62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662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F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F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5C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C115-B61F-4962-92CD-E83CD729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 Aneta</dc:creator>
  <cp:keywords/>
  <dc:description/>
  <cp:lastModifiedBy>Augustyniak Agnieszka</cp:lastModifiedBy>
  <cp:revision>2</cp:revision>
  <dcterms:created xsi:type="dcterms:W3CDTF">2026-01-21T07:55:00Z</dcterms:created>
  <dcterms:modified xsi:type="dcterms:W3CDTF">2026-01-21T07:55:00Z</dcterms:modified>
</cp:coreProperties>
</file>