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F54E1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54E1A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54E1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stycznia 2024</w:t>
      </w:r>
      <w:bookmarkEnd w:id="0"/>
      <w:r w:rsidRPr="002740C0">
        <w:rPr>
          <w:rFonts w:cs="Arial"/>
          <w:szCs w:val="24"/>
        </w:rPr>
        <w:t xml:space="preserve"> r.</w:t>
      </w:r>
    </w:p>
    <w:p w:rsidR="002740C0" w:rsidRPr="002E6FA4" w:rsidRDefault="00F54E1A" w:rsidP="002E6FA4">
      <w:pPr>
        <w:pStyle w:val="Nagwek2"/>
      </w:pPr>
      <w:r w:rsidRPr="002E6FA4">
        <w:t>zmieniające zarządzenie 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</w:t>
      </w:r>
      <w:r>
        <w:rPr>
          <w:rStyle w:val="Nagwek2Znak"/>
          <w:b/>
        </w:rPr>
        <w:t xml:space="preserve"> Gdańsku</w:t>
      </w:r>
    </w:p>
    <w:p w:rsidR="008076A3" w:rsidRDefault="00F54E1A" w:rsidP="008644C3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>art. 16 ustawy z dnia 23 stycznia 2009 r. o wojewodzie i administracji rządowej w województwie (Dz. U. z 2</w:t>
      </w:r>
      <w:r>
        <w:rPr>
          <w:rFonts w:cs="Arial"/>
          <w:szCs w:val="24"/>
        </w:rPr>
        <w:t xml:space="preserve">023 r. poz. 190) </w:t>
      </w:r>
      <w:r>
        <w:t>zarządza się, co następuje:</w:t>
      </w:r>
    </w:p>
    <w:p w:rsidR="00F97DD6" w:rsidRPr="008E736E" w:rsidRDefault="00F54E1A" w:rsidP="00F97DD6">
      <w:pPr>
        <w:rPr>
          <w:rFonts w:cs="Arial"/>
          <w:szCs w:val="24"/>
        </w:rPr>
      </w:pPr>
      <w:bookmarkStart w:id="1" w:name="_Hlk71116339"/>
      <w:r w:rsidRPr="00F97DD6">
        <w:rPr>
          <w:b/>
          <w:bCs/>
        </w:rPr>
        <w:t>§ 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</w:t>
      </w:r>
      <w:r w:rsidRPr="008E736E">
        <w:rPr>
          <w:rFonts w:cs="Arial"/>
          <w:szCs w:val="24"/>
        </w:rPr>
        <w:t>2021 r. w 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8E736E">
        <w:rPr>
          <w:rFonts w:cs="Arial"/>
          <w:szCs w:val="24"/>
          <w:vertAlign w:val="superscript"/>
        </w:rPr>
        <w:t>)</w:t>
      </w:r>
      <w:r w:rsidRPr="008E736E">
        <w:rPr>
          <w:rFonts w:cs="Arial"/>
          <w:szCs w:val="24"/>
        </w:rPr>
        <w:t xml:space="preserve"> wprowadza się następujące zmi</w:t>
      </w:r>
      <w:bookmarkStart w:id="2" w:name="_GoBack"/>
      <w:bookmarkEnd w:id="2"/>
      <w:r w:rsidRPr="008E736E">
        <w:rPr>
          <w:rFonts w:cs="Arial"/>
          <w:szCs w:val="24"/>
        </w:rPr>
        <w:t>any:</w:t>
      </w:r>
    </w:p>
    <w:p w:rsidR="00F97DD6" w:rsidRPr="008E736E" w:rsidRDefault="00F54E1A" w:rsidP="00F97DD6">
      <w:pPr>
        <w:pStyle w:val="Akapitzlist"/>
        <w:numPr>
          <w:ilvl w:val="0"/>
          <w:numId w:val="1"/>
        </w:numPr>
        <w:spacing w:after="120"/>
        <w:ind w:left="425" w:hanging="425"/>
      </w:pPr>
      <w:r w:rsidRPr="008E736E">
        <w:rPr>
          <w:rFonts w:cs="Arial"/>
          <w:szCs w:val="24"/>
        </w:rPr>
        <w:t>w §</w:t>
      </w:r>
      <w:bookmarkEnd w:id="1"/>
      <w:r w:rsidRPr="008E736E">
        <w:rPr>
          <w:rFonts w:cs="Arial"/>
          <w:szCs w:val="24"/>
        </w:rPr>
        <w:t xml:space="preserve"> 45  w pkt 2:</w:t>
      </w:r>
    </w:p>
    <w:p w:rsidR="00F97DD6" w:rsidRPr="008E736E" w:rsidRDefault="00F54E1A" w:rsidP="00F97DD6">
      <w:pPr>
        <w:pStyle w:val="Akapitzlist"/>
        <w:numPr>
          <w:ilvl w:val="0"/>
          <w:numId w:val="2"/>
        </w:numPr>
        <w:spacing w:after="120"/>
      </w:pPr>
      <w:r w:rsidRPr="008E736E">
        <w:rPr>
          <w:rFonts w:cs="Arial"/>
          <w:szCs w:val="24"/>
        </w:rPr>
        <w:t>uchyla się lit. e,</w:t>
      </w:r>
    </w:p>
    <w:p w:rsidR="00F97DD6" w:rsidRPr="008E736E" w:rsidRDefault="00F54E1A" w:rsidP="00F97DD6">
      <w:pPr>
        <w:pStyle w:val="Akapitzlist"/>
        <w:numPr>
          <w:ilvl w:val="0"/>
          <w:numId w:val="2"/>
        </w:numPr>
        <w:spacing w:after="120"/>
      </w:pPr>
      <w:r w:rsidRPr="008E736E">
        <w:rPr>
          <w:rFonts w:cs="Arial"/>
          <w:szCs w:val="24"/>
        </w:rPr>
        <w:t>uchyla się lit. n,</w:t>
      </w:r>
    </w:p>
    <w:p w:rsidR="00F97DD6" w:rsidRPr="008E736E" w:rsidRDefault="00F54E1A" w:rsidP="00F97DD6">
      <w:pPr>
        <w:pStyle w:val="Akapitzlist"/>
        <w:numPr>
          <w:ilvl w:val="0"/>
          <w:numId w:val="2"/>
        </w:numPr>
        <w:spacing w:after="120"/>
      </w:pPr>
      <w:r w:rsidRPr="008E736E">
        <w:rPr>
          <w:rFonts w:cs="Arial"/>
          <w:szCs w:val="24"/>
        </w:rPr>
        <w:t>lit. t otrzymuje brzmienie:</w:t>
      </w:r>
    </w:p>
    <w:p w:rsidR="00F97DD6" w:rsidRPr="008E736E" w:rsidRDefault="00F54E1A" w:rsidP="000908BD">
      <w:pPr>
        <w:pStyle w:val="Akapitzlist"/>
        <w:spacing w:after="120"/>
        <w:ind w:left="1134" w:hanging="349"/>
      </w:pPr>
      <w:r w:rsidRPr="008E736E">
        <w:rPr>
          <w:rFonts w:cs="Arial"/>
          <w:szCs w:val="24"/>
        </w:rPr>
        <w:t>„t) o usługach hotelarskich oraz usługach pilotów wycieczek i przewodników turystycznych,”,</w:t>
      </w:r>
    </w:p>
    <w:p w:rsidR="00F97DD6" w:rsidRPr="008E736E" w:rsidRDefault="00F54E1A" w:rsidP="00F97DD6">
      <w:pPr>
        <w:pStyle w:val="Akapitzlist"/>
        <w:numPr>
          <w:ilvl w:val="0"/>
          <w:numId w:val="2"/>
        </w:numPr>
        <w:spacing w:after="120"/>
      </w:pPr>
      <w:r w:rsidRPr="008E736E">
        <w:t>dodaje się lit. u  w brzmieniu:</w:t>
      </w:r>
    </w:p>
    <w:p w:rsidR="00F97DD6" w:rsidRPr="008E736E" w:rsidRDefault="00F54E1A" w:rsidP="00C55356">
      <w:pPr>
        <w:pStyle w:val="Akapitzlist"/>
        <w:ind w:left="782" w:firstLine="0"/>
        <w:contextualSpacing w:val="0"/>
      </w:pPr>
      <w:r w:rsidRPr="008E736E">
        <w:t>„u) o imprezach turystycznych i powiązanych usługach turystycznych;”;</w:t>
      </w:r>
    </w:p>
    <w:p w:rsidR="00F97DD6" w:rsidRDefault="00F54E1A" w:rsidP="00F97DD6">
      <w:pPr>
        <w:pStyle w:val="Akapitzlist"/>
        <w:numPr>
          <w:ilvl w:val="0"/>
          <w:numId w:val="1"/>
        </w:numPr>
        <w:spacing w:after="120"/>
        <w:ind w:left="425" w:hanging="425"/>
      </w:pPr>
      <w:r>
        <w:t xml:space="preserve">w </w:t>
      </w:r>
      <w:bookmarkStart w:id="3" w:name="_Hlk155604504"/>
      <w:r>
        <w:rPr>
          <w:rFonts w:cs="Arial"/>
        </w:rPr>
        <w:t>§</w:t>
      </w:r>
      <w:r>
        <w:t xml:space="preserve"> 52 </w:t>
      </w:r>
      <w:bookmarkEnd w:id="3"/>
      <w:r>
        <w:t>ust. 3 otrzymuje brzmienie:</w:t>
      </w:r>
    </w:p>
    <w:p w:rsidR="006C3649" w:rsidRDefault="00F54E1A" w:rsidP="00C55356">
      <w:pPr>
        <w:pStyle w:val="Akapitzlist"/>
        <w:ind w:left="425" w:firstLine="284"/>
        <w:contextualSpacing w:val="0"/>
      </w:pPr>
      <w:r>
        <w:t xml:space="preserve">„3. </w:t>
      </w:r>
      <w:r w:rsidRPr="001E6499">
        <w:rPr>
          <w:rFonts w:cs="Arial"/>
          <w:color w:val="000000"/>
          <w:szCs w:val="24"/>
        </w:rPr>
        <w:t>Kierownikiem komórki do spraw kontroli jest dyrektor wydziału</w:t>
      </w:r>
      <w:r>
        <w:rPr>
          <w:rFonts w:cs="Arial"/>
          <w:color w:val="000000"/>
          <w:szCs w:val="24"/>
        </w:rPr>
        <w:t xml:space="preserve"> właściwy ze względu na zakres przeprowadzania kontroli lub jego zastępca w przypadku przydzielenia mu takiego zakresu w regulaminie organizacyjnym wydziału.”;</w:t>
      </w:r>
    </w:p>
    <w:p w:rsidR="006C3649" w:rsidRDefault="00F54E1A" w:rsidP="00F97DD6">
      <w:pPr>
        <w:pStyle w:val="Akapitzlist"/>
        <w:numPr>
          <w:ilvl w:val="0"/>
          <w:numId w:val="1"/>
        </w:numPr>
        <w:spacing w:after="120"/>
        <w:ind w:left="425" w:hanging="425"/>
      </w:pPr>
      <w:r>
        <w:t xml:space="preserve">w </w:t>
      </w:r>
      <w:r>
        <w:rPr>
          <w:rFonts w:cs="Arial"/>
        </w:rPr>
        <w:t>§</w:t>
      </w:r>
      <w:r>
        <w:t xml:space="preserve"> 64:</w:t>
      </w:r>
    </w:p>
    <w:p w:rsidR="00E3501A" w:rsidRDefault="00F54E1A" w:rsidP="00E3501A">
      <w:pPr>
        <w:pStyle w:val="Akapitzlist"/>
        <w:numPr>
          <w:ilvl w:val="0"/>
          <w:numId w:val="3"/>
        </w:numPr>
        <w:spacing w:after="120"/>
      </w:pPr>
      <w:r>
        <w:t>uchyla się pkt 4,</w:t>
      </w:r>
    </w:p>
    <w:p w:rsidR="00E3501A" w:rsidRDefault="00F54E1A" w:rsidP="00E3501A">
      <w:pPr>
        <w:pStyle w:val="Akapitzlist"/>
        <w:numPr>
          <w:ilvl w:val="0"/>
          <w:numId w:val="3"/>
        </w:numPr>
        <w:spacing w:after="120"/>
      </w:pPr>
      <w:r>
        <w:t>pkt 7 otrzymuje brzmienie:</w:t>
      </w:r>
    </w:p>
    <w:p w:rsidR="00E3501A" w:rsidRDefault="00F54E1A" w:rsidP="000908BD">
      <w:pPr>
        <w:pStyle w:val="Akapitzlist"/>
        <w:spacing w:after="120"/>
        <w:ind w:left="1276" w:hanging="567"/>
      </w:pPr>
      <w:r>
        <w:t>„7) prowadzenie spraw z zakresu sprawowania kontroli nad działalnością tłumaczy przysięgłych;”,</w:t>
      </w:r>
    </w:p>
    <w:p w:rsidR="00E3501A" w:rsidRDefault="00F54E1A" w:rsidP="00E3501A">
      <w:pPr>
        <w:pStyle w:val="Akapitzlist"/>
        <w:numPr>
          <w:ilvl w:val="0"/>
          <w:numId w:val="3"/>
        </w:numPr>
        <w:spacing w:after="120"/>
      </w:pPr>
      <w:r>
        <w:t>w pkt 9 wstęp do wyliczenia otrzymuje brzmienie:</w:t>
      </w:r>
    </w:p>
    <w:p w:rsidR="00E3501A" w:rsidRDefault="00F54E1A" w:rsidP="000908BD">
      <w:pPr>
        <w:pStyle w:val="Akapitzlist"/>
        <w:spacing w:after="120"/>
        <w:ind w:left="1276" w:hanging="491"/>
      </w:pPr>
      <w:r>
        <w:t>„9) realizacja zadań Kontrolera Krajowego w ramach programu Interreg Południowy Bałtyk 2021-2027, w tym:”,</w:t>
      </w:r>
    </w:p>
    <w:p w:rsidR="00E3501A" w:rsidRDefault="00F54E1A" w:rsidP="00E3501A">
      <w:pPr>
        <w:pStyle w:val="Akapitzlist"/>
        <w:numPr>
          <w:ilvl w:val="0"/>
          <w:numId w:val="3"/>
        </w:numPr>
        <w:spacing w:after="120"/>
      </w:pPr>
      <w:r>
        <w:t>pkt 11 otrzymuje brzmienie:</w:t>
      </w:r>
    </w:p>
    <w:p w:rsidR="00F0799E" w:rsidRDefault="00F54E1A" w:rsidP="000908BD">
      <w:pPr>
        <w:pStyle w:val="Akapitzlist"/>
        <w:spacing w:after="120"/>
        <w:ind w:left="1276" w:hanging="567"/>
      </w:pPr>
      <w:r>
        <w:lastRenderedPageBreak/>
        <w:t>„11) realizacja oraz wdrażanie projektów współfinansowanych w ramach Pomocy Technicznej dla Funduszy Europejskich 2021-2027, w których beneficjentem/odbiorcą pomocy jest Pomorski Urząd Wojewódzki w Gdańsku;”,</w:t>
      </w:r>
    </w:p>
    <w:p w:rsidR="00F0799E" w:rsidRDefault="00F54E1A" w:rsidP="00E3501A">
      <w:pPr>
        <w:pStyle w:val="Akapitzlist"/>
        <w:numPr>
          <w:ilvl w:val="0"/>
          <w:numId w:val="3"/>
        </w:numPr>
        <w:spacing w:after="120"/>
      </w:pPr>
      <w:r>
        <w:t>pkt 13 otrzymuje brzmienie:</w:t>
      </w:r>
    </w:p>
    <w:p w:rsidR="00F0799E" w:rsidRDefault="00F54E1A" w:rsidP="00617A2D">
      <w:pPr>
        <w:pStyle w:val="Akapitzlist"/>
        <w:spacing w:after="120"/>
        <w:ind w:left="1276" w:hanging="567"/>
      </w:pPr>
      <w:r>
        <w:t>„13) przeprowadzanie kontroli wykonania przez stowarzyszenia jednostek samorządu terytorialnego obowiązków w zakresie przeciwdziałania praniu pieniędzy oraz finansowania terroryzmu;”,</w:t>
      </w:r>
    </w:p>
    <w:p w:rsidR="00F0799E" w:rsidRDefault="00F54E1A" w:rsidP="00E3501A">
      <w:pPr>
        <w:pStyle w:val="Akapitzlist"/>
        <w:numPr>
          <w:ilvl w:val="0"/>
          <w:numId w:val="3"/>
        </w:numPr>
        <w:spacing w:after="120"/>
      </w:pPr>
      <w:r>
        <w:t>po pkt 13 dodaje się pkt 14-16 w brzmieniu:</w:t>
      </w:r>
    </w:p>
    <w:p w:rsidR="00F0799E" w:rsidRDefault="00F54E1A" w:rsidP="00617A2D">
      <w:pPr>
        <w:pStyle w:val="Akapitzlist"/>
        <w:spacing w:after="120"/>
        <w:ind w:left="1276" w:hanging="567"/>
      </w:pPr>
      <w:r>
        <w:t>„14) realizacja zadań w ramach Programu Współpracy Transgranicznej INTERREG V-A 2014-2020 Południowy Bałtyk;</w:t>
      </w:r>
    </w:p>
    <w:p w:rsidR="00617A2D" w:rsidRDefault="00F54E1A" w:rsidP="00617A2D">
      <w:pPr>
        <w:pStyle w:val="Akapitzlist"/>
        <w:spacing w:after="120"/>
        <w:ind w:left="1276" w:hanging="567"/>
      </w:pPr>
      <w:r>
        <w:t>15) przeprowadzanie kontroli przyjmowania i załatwiania skarg i wniosków przez organy jednostek samorządu terytorialnego oraz samorządowe jednostki organizacyjne;</w:t>
      </w:r>
    </w:p>
    <w:p w:rsidR="00617A2D" w:rsidRDefault="00F54E1A" w:rsidP="000908BD">
      <w:pPr>
        <w:pStyle w:val="Akapitzlist"/>
        <w:spacing w:after="360"/>
        <w:ind w:left="1276" w:hanging="567"/>
        <w:contextualSpacing w:val="0"/>
      </w:pPr>
      <w:r>
        <w:t>16) dokonywanie ocen przyjmowania i załatwiania skarg i wniosków przez organy jednostek samorządu terytorialnego oraz samorządowe jednostki organizacyjne.”.</w:t>
      </w:r>
    </w:p>
    <w:p w:rsidR="00FA7C91" w:rsidRDefault="00F54E1A" w:rsidP="00FA7C91">
      <w:pPr>
        <w:tabs>
          <w:tab w:val="left" w:pos="0"/>
          <w:tab w:val="left" w:pos="851"/>
        </w:tabs>
        <w:spacing w:after="720"/>
        <w:ind w:left="-1276" w:hanging="142"/>
        <w:jc w:val="center"/>
        <w:rPr>
          <w:rFonts w:cs="Arial"/>
        </w:rPr>
      </w:pPr>
      <w:r w:rsidRPr="004F7818">
        <w:rPr>
          <w:b/>
          <w:bCs/>
        </w:rPr>
        <w:t>§ 2</w:t>
      </w:r>
      <w:r>
        <w:t>. Zarządzenie wchodzi w życie z dniem podpisania.</w:t>
      </w:r>
      <w:r w:rsidR="00FA7C91" w:rsidRPr="00FA7C91">
        <w:rPr>
          <w:rFonts w:cs="Arial"/>
        </w:rPr>
        <w:t xml:space="preserve"> </w:t>
      </w:r>
    </w:p>
    <w:p w:rsidR="00FA7C91" w:rsidRDefault="00FA7C91" w:rsidP="00FA7C91">
      <w:pPr>
        <w:tabs>
          <w:tab w:val="left" w:pos="567"/>
          <w:tab w:val="left" w:pos="851"/>
        </w:tabs>
        <w:ind w:firstLine="5245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A7C91" w:rsidRDefault="00FA7C91" w:rsidP="00FA7C91">
      <w:pPr>
        <w:tabs>
          <w:tab w:val="left" w:pos="567"/>
          <w:tab w:val="left" w:pos="851"/>
        </w:tabs>
        <w:ind w:firstLine="5245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A7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881" w:rsidRDefault="004A6881">
      <w:pPr>
        <w:spacing w:after="0" w:line="240" w:lineRule="auto"/>
      </w:pPr>
      <w:r>
        <w:separator/>
      </w:r>
    </w:p>
  </w:endnote>
  <w:endnote w:type="continuationSeparator" w:id="0">
    <w:p w:rsidR="004A6881" w:rsidRDefault="004A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881" w:rsidRDefault="004A6881" w:rsidP="00F97DD6">
      <w:pPr>
        <w:spacing w:after="0" w:line="240" w:lineRule="auto"/>
      </w:pPr>
      <w:r>
        <w:separator/>
      </w:r>
    </w:p>
  </w:footnote>
  <w:footnote w:type="continuationSeparator" w:id="0">
    <w:p w:rsidR="004A6881" w:rsidRDefault="004A6881" w:rsidP="00F97DD6">
      <w:pPr>
        <w:spacing w:after="0" w:line="240" w:lineRule="auto"/>
      </w:pPr>
      <w:r>
        <w:continuationSeparator/>
      </w:r>
    </w:p>
  </w:footnote>
  <w:footnote w:id="1">
    <w:p w:rsidR="00F97DD6" w:rsidRDefault="00F54E1A" w:rsidP="00F97DD6">
      <w:pPr>
        <w:pStyle w:val="Tekstprzypisudolnego"/>
        <w:ind w:left="284" w:hanging="142"/>
        <w:jc w:val="left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 oraz z dnia 6 grudnia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5701"/>
    <w:multiLevelType w:val="hybridMultilevel"/>
    <w:tmpl w:val="04CC609C"/>
    <w:lvl w:ilvl="0" w:tplc="7BA4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9CE4F10" w:tentative="1">
      <w:start w:val="1"/>
      <w:numFmt w:val="lowerLetter"/>
      <w:lvlText w:val="%2."/>
      <w:lvlJc w:val="left"/>
      <w:pPr>
        <w:ind w:left="1789" w:hanging="360"/>
      </w:pPr>
    </w:lvl>
    <w:lvl w:ilvl="2" w:tplc="A11A035A" w:tentative="1">
      <w:start w:val="1"/>
      <w:numFmt w:val="lowerRoman"/>
      <w:lvlText w:val="%3."/>
      <w:lvlJc w:val="right"/>
      <w:pPr>
        <w:ind w:left="2509" w:hanging="180"/>
      </w:pPr>
    </w:lvl>
    <w:lvl w:ilvl="3" w:tplc="D294EDCA" w:tentative="1">
      <w:start w:val="1"/>
      <w:numFmt w:val="decimal"/>
      <w:lvlText w:val="%4."/>
      <w:lvlJc w:val="left"/>
      <w:pPr>
        <w:ind w:left="3229" w:hanging="360"/>
      </w:pPr>
    </w:lvl>
    <w:lvl w:ilvl="4" w:tplc="F6C22506" w:tentative="1">
      <w:start w:val="1"/>
      <w:numFmt w:val="lowerLetter"/>
      <w:lvlText w:val="%5."/>
      <w:lvlJc w:val="left"/>
      <w:pPr>
        <w:ind w:left="3949" w:hanging="360"/>
      </w:pPr>
    </w:lvl>
    <w:lvl w:ilvl="5" w:tplc="D7F6B0CC" w:tentative="1">
      <w:start w:val="1"/>
      <w:numFmt w:val="lowerRoman"/>
      <w:lvlText w:val="%6."/>
      <w:lvlJc w:val="right"/>
      <w:pPr>
        <w:ind w:left="4669" w:hanging="180"/>
      </w:pPr>
    </w:lvl>
    <w:lvl w:ilvl="6" w:tplc="22FC6954" w:tentative="1">
      <w:start w:val="1"/>
      <w:numFmt w:val="decimal"/>
      <w:lvlText w:val="%7."/>
      <w:lvlJc w:val="left"/>
      <w:pPr>
        <w:ind w:left="5389" w:hanging="360"/>
      </w:pPr>
    </w:lvl>
    <w:lvl w:ilvl="7" w:tplc="3A460FAA" w:tentative="1">
      <w:start w:val="1"/>
      <w:numFmt w:val="lowerLetter"/>
      <w:lvlText w:val="%8."/>
      <w:lvlJc w:val="left"/>
      <w:pPr>
        <w:ind w:left="6109" w:hanging="360"/>
      </w:pPr>
    </w:lvl>
    <w:lvl w:ilvl="8" w:tplc="6ADE680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C93833"/>
    <w:multiLevelType w:val="hybridMultilevel"/>
    <w:tmpl w:val="CCD2498C"/>
    <w:lvl w:ilvl="0" w:tplc="2C646C1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52BC809E" w:tentative="1">
      <w:start w:val="1"/>
      <w:numFmt w:val="lowerLetter"/>
      <w:lvlText w:val="%2."/>
      <w:lvlJc w:val="left"/>
      <w:pPr>
        <w:ind w:left="1505" w:hanging="360"/>
      </w:pPr>
    </w:lvl>
    <w:lvl w:ilvl="2" w:tplc="B792D4A8" w:tentative="1">
      <w:start w:val="1"/>
      <w:numFmt w:val="lowerRoman"/>
      <w:lvlText w:val="%3."/>
      <w:lvlJc w:val="right"/>
      <w:pPr>
        <w:ind w:left="2225" w:hanging="180"/>
      </w:pPr>
    </w:lvl>
    <w:lvl w:ilvl="3" w:tplc="C1B85ED6" w:tentative="1">
      <w:start w:val="1"/>
      <w:numFmt w:val="decimal"/>
      <w:lvlText w:val="%4."/>
      <w:lvlJc w:val="left"/>
      <w:pPr>
        <w:ind w:left="2945" w:hanging="360"/>
      </w:pPr>
    </w:lvl>
    <w:lvl w:ilvl="4" w:tplc="CC0450A6" w:tentative="1">
      <w:start w:val="1"/>
      <w:numFmt w:val="lowerLetter"/>
      <w:lvlText w:val="%5."/>
      <w:lvlJc w:val="left"/>
      <w:pPr>
        <w:ind w:left="3665" w:hanging="360"/>
      </w:pPr>
    </w:lvl>
    <w:lvl w:ilvl="5" w:tplc="81C8495A" w:tentative="1">
      <w:start w:val="1"/>
      <w:numFmt w:val="lowerRoman"/>
      <w:lvlText w:val="%6."/>
      <w:lvlJc w:val="right"/>
      <w:pPr>
        <w:ind w:left="4385" w:hanging="180"/>
      </w:pPr>
    </w:lvl>
    <w:lvl w:ilvl="6" w:tplc="7042148A" w:tentative="1">
      <w:start w:val="1"/>
      <w:numFmt w:val="decimal"/>
      <w:lvlText w:val="%7."/>
      <w:lvlJc w:val="left"/>
      <w:pPr>
        <w:ind w:left="5105" w:hanging="360"/>
      </w:pPr>
    </w:lvl>
    <w:lvl w:ilvl="7" w:tplc="5B9AAF08" w:tentative="1">
      <w:start w:val="1"/>
      <w:numFmt w:val="lowerLetter"/>
      <w:lvlText w:val="%8."/>
      <w:lvlJc w:val="left"/>
      <w:pPr>
        <w:ind w:left="5825" w:hanging="360"/>
      </w:pPr>
    </w:lvl>
    <w:lvl w:ilvl="8" w:tplc="6FCC479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680648B"/>
    <w:multiLevelType w:val="hybridMultilevel"/>
    <w:tmpl w:val="E800C424"/>
    <w:lvl w:ilvl="0" w:tplc="E6FC127C">
      <w:start w:val="1"/>
      <w:numFmt w:val="lowerLetter"/>
      <w:lvlText w:val="%1)"/>
      <w:lvlJc w:val="left"/>
      <w:pPr>
        <w:ind w:left="785" w:hanging="360"/>
      </w:pPr>
      <w:rPr>
        <w:rFonts w:cs="Arial" w:hint="default"/>
        <w:color w:val="auto"/>
      </w:rPr>
    </w:lvl>
    <w:lvl w:ilvl="1" w:tplc="9BACBDD2" w:tentative="1">
      <w:start w:val="1"/>
      <w:numFmt w:val="lowerLetter"/>
      <w:lvlText w:val="%2."/>
      <w:lvlJc w:val="left"/>
      <w:pPr>
        <w:ind w:left="1505" w:hanging="360"/>
      </w:pPr>
    </w:lvl>
    <w:lvl w:ilvl="2" w:tplc="C92E79EA" w:tentative="1">
      <w:start w:val="1"/>
      <w:numFmt w:val="lowerRoman"/>
      <w:lvlText w:val="%3."/>
      <w:lvlJc w:val="right"/>
      <w:pPr>
        <w:ind w:left="2225" w:hanging="180"/>
      </w:pPr>
    </w:lvl>
    <w:lvl w:ilvl="3" w:tplc="9940AE30" w:tentative="1">
      <w:start w:val="1"/>
      <w:numFmt w:val="decimal"/>
      <w:lvlText w:val="%4."/>
      <w:lvlJc w:val="left"/>
      <w:pPr>
        <w:ind w:left="2945" w:hanging="360"/>
      </w:pPr>
    </w:lvl>
    <w:lvl w:ilvl="4" w:tplc="F1340A36" w:tentative="1">
      <w:start w:val="1"/>
      <w:numFmt w:val="lowerLetter"/>
      <w:lvlText w:val="%5."/>
      <w:lvlJc w:val="left"/>
      <w:pPr>
        <w:ind w:left="3665" w:hanging="360"/>
      </w:pPr>
    </w:lvl>
    <w:lvl w:ilvl="5" w:tplc="0D3AC668" w:tentative="1">
      <w:start w:val="1"/>
      <w:numFmt w:val="lowerRoman"/>
      <w:lvlText w:val="%6."/>
      <w:lvlJc w:val="right"/>
      <w:pPr>
        <w:ind w:left="4385" w:hanging="180"/>
      </w:pPr>
    </w:lvl>
    <w:lvl w:ilvl="6" w:tplc="39E0965E" w:tentative="1">
      <w:start w:val="1"/>
      <w:numFmt w:val="decimal"/>
      <w:lvlText w:val="%7."/>
      <w:lvlJc w:val="left"/>
      <w:pPr>
        <w:ind w:left="5105" w:hanging="360"/>
      </w:pPr>
    </w:lvl>
    <w:lvl w:ilvl="7" w:tplc="078E3B56" w:tentative="1">
      <w:start w:val="1"/>
      <w:numFmt w:val="lowerLetter"/>
      <w:lvlText w:val="%8."/>
      <w:lvlJc w:val="left"/>
      <w:pPr>
        <w:ind w:left="5825" w:hanging="360"/>
      </w:pPr>
    </w:lvl>
    <w:lvl w:ilvl="8" w:tplc="DBD29BEC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3D"/>
    <w:rsid w:val="002A723D"/>
    <w:rsid w:val="004A6881"/>
    <w:rsid w:val="00A85705"/>
    <w:rsid w:val="00F54E1A"/>
    <w:rsid w:val="00F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379B"/>
  <w15:docId w15:val="{001A2009-DE70-49A5-A6F2-C3672CB8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7D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DD6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D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9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14 stycznia 2024 r zmieniające zarządzenie w sprawie ustalenia regulaminu Pomorskiego Urzędu Wojewódzkiego w Gdańsku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14 stycznia 2024 r zmieniające zarządzenie w sprawie ustalenia regulaminu Pomorskiego Urzędu Wojewódzkiego w Gdańsku</dc:title>
  <dc:creator>Maria Leszczyńska</dc:creator>
  <cp:lastModifiedBy>Monika Giedrojć</cp:lastModifiedBy>
  <cp:revision>13</cp:revision>
  <cp:lastPrinted>2017-01-05T08:10:00Z</cp:lastPrinted>
  <dcterms:created xsi:type="dcterms:W3CDTF">2021-05-10T11:38:00Z</dcterms:created>
  <dcterms:modified xsi:type="dcterms:W3CDTF">2024-01-16T10:33:00Z</dcterms:modified>
</cp:coreProperties>
</file>