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854D" w14:textId="06486B14" w:rsidR="00A333EB" w:rsidRPr="006A7617" w:rsidRDefault="006712FE" w:rsidP="006A7617">
      <w:pPr>
        <w:pStyle w:val="Nagwek1"/>
      </w:pPr>
      <w:r w:rsidRPr="00A64524">
        <w:t>PROGRAM PRIORYTETOWY</w:t>
      </w:r>
    </w:p>
    <w:p w14:paraId="6E1B7C9D" w14:textId="77777777" w:rsidR="006712FE" w:rsidRPr="00A64524" w:rsidRDefault="00EF2200" w:rsidP="006A7617">
      <w:pPr>
        <w:spacing w:before="240" w:line="276" w:lineRule="auto"/>
        <w:rPr>
          <w:rFonts w:asciiTheme="minorHAnsi" w:hAnsiTheme="minorHAnsi"/>
          <w:b/>
          <w:sz w:val="22"/>
          <w:szCs w:val="22"/>
        </w:rPr>
      </w:pPr>
      <w:r w:rsidRPr="00A64524">
        <w:rPr>
          <w:rFonts w:asciiTheme="minorHAnsi" w:hAnsiTheme="minorHAnsi"/>
          <w:b/>
          <w:sz w:val="22"/>
          <w:szCs w:val="22"/>
        </w:rPr>
        <w:t xml:space="preserve">Tytuł programu: </w:t>
      </w:r>
    </w:p>
    <w:p w14:paraId="2F88823B" w14:textId="50CFFAA0" w:rsidR="00F17358" w:rsidRPr="00195E59" w:rsidRDefault="00870593" w:rsidP="00E73F90">
      <w:pPr>
        <w:tabs>
          <w:tab w:val="left" w:pos="1276"/>
        </w:tabs>
        <w:autoSpaceDE w:val="0"/>
        <w:autoSpaceDN w:val="0"/>
        <w:adjustRightInd w:val="0"/>
        <w:spacing w:before="240" w:after="240" w:line="276" w:lineRule="auto"/>
        <w:rPr>
          <w:rFonts w:asciiTheme="minorHAnsi" w:hAnsiTheme="minorHAnsi"/>
          <w:b/>
          <w:sz w:val="28"/>
          <w:szCs w:val="28"/>
        </w:rPr>
      </w:pPr>
      <w:r>
        <w:rPr>
          <w:rFonts w:asciiTheme="minorHAnsi" w:hAnsiTheme="minorHAnsi"/>
          <w:b/>
          <w:sz w:val="28"/>
          <w:szCs w:val="28"/>
        </w:rPr>
        <w:t xml:space="preserve">Poprawa efektywności energetycznej </w:t>
      </w:r>
      <w:r w:rsidR="00354DFF">
        <w:rPr>
          <w:rFonts w:asciiTheme="minorHAnsi" w:hAnsiTheme="minorHAnsi"/>
          <w:b/>
          <w:sz w:val="28"/>
          <w:szCs w:val="28"/>
        </w:rPr>
        <w:t>budynków</w:t>
      </w:r>
      <w:r w:rsidR="00E9112E">
        <w:rPr>
          <w:rFonts w:asciiTheme="minorHAnsi" w:hAnsiTheme="minorHAnsi"/>
          <w:b/>
          <w:sz w:val="28"/>
          <w:szCs w:val="28"/>
        </w:rPr>
        <w:t xml:space="preserve"> </w:t>
      </w:r>
      <w:r w:rsidR="003077B7">
        <w:rPr>
          <w:rFonts w:asciiTheme="minorHAnsi" w:hAnsiTheme="minorHAnsi"/>
          <w:b/>
          <w:sz w:val="28"/>
          <w:szCs w:val="28"/>
        </w:rPr>
        <w:t>szpitalnych</w:t>
      </w:r>
    </w:p>
    <w:p w14:paraId="22F8E7FA" w14:textId="77777777" w:rsidR="000343DD" w:rsidRPr="00A64524" w:rsidRDefault="00FC3057" w:rsidP="00E73F90">
      <w:pPr>
        <w:pStyle w:val="Akapitzlist"/>
        <w:numPr>
          <w:ilvl w:val="0"/>
          <w:numId w:val="2"/>
        </w:numPr>
        <w:tabs>
          <w:tab w:val="left" w:pos="284"/>
        </w:tabs>
        <w:autoSpaceDE w:val="0"/>
        <w:autoSpaceDN w:val="0"/>
        <w:adjustRightInd w:val="0"/>
        <w:spacing w:before="120" w:after="12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Cel programu </w:t>
      </w:r>
    </w:p>
    <w:p w14:paraId="56C306BE" w14:textId="1713D9F8" w:rsidR="001D38B7" w:rsidRDefault="000A1F73" w:rsidP="00E73F90">
      <w:pPr>
        <w:tabs>
          <w:tab w:val="left" w:pos="284"/>
        </w:tabs>
        <w:autoSpaceDE w:val="0"/>
        <w:autoSpaceDN w:val="0"/>
        <w:adjustRightInd w:val="0"/>
        <w:spacing w:before="120" w:line="276" w:lineRule="auto"/>
        <w:rPr>
          <w:rFonts w:asciiTheme="minorHAnsi" w:hAnsiTheme="minorHAnsi" w:cstheme="minorHAnsi"/>
          <w:sz w:val="22"/>
          <w:szCs w:val="22"/>
        </w:rPr>
      </w:pPr>
      <w:r w:rsidRPr="00354DFF">
        <w:rPr>
          <w:rFonts w:asciiTheme="minorHAnsi" w:hAnsiTheme="minorHAnsi"/>
          <w:color w:val="000000"/>
          <w:sz w:val="22"/>
          <w:szCs w:val="22"/>
        </w:rPr>
        <w:t xml:space="preserve">Celem programu jest poprawa efektywności energetycznej budynków </w:t>
      </w:r>
      <w:r w:rsidR="00F817DB">
        <w:rPr>
          <w:rFonts w:asciiTheme="minorHAnsi" w:hAnsiTheme="minorHAnsi"/>
          <w:color w:val="000000"/>
          <w:sz w:val="22"/>
          <w:szCs w:val="22"/>
        </w:rPr>
        <w:t>szpitalnych</w:t>
      </w:r>
      <w:r w:rsidR="00615C15">
        <w:rPr>
          <w:rFonts w:asciiTheme="minorHAnsi" w:hAnsiTheme="minorHAnsi"/>
          <w:color w:val="000000"/>
          <w:sz w:val="22"/>
          <w:szCs w:val="22"/>
        </w:rPr>
        <w:t xml:space="preserve"> </w:t>
      </w:r>
      <w:r w:rsidR="00615C15" w:rsidRPr="008912E2">
        <w:rPr>
          <w:rFonts w:asciiTheme="minorHAnsi" w:hAnsiTheme="minorHAnsi" w:cstheme="minorHAnsi"/>
          <w:sz w:val="22"/>
          <w:szCs w:val="22"/>
        </w:rPr>
        <w:t xml:space="preserve">poprzez realizację </w:t>
      </w:r>
      <w:r w:rsidR="00891004">
        <w:rPr>
          <w:rFonts w:asciiTheme="minorHAnsi" w:hAnsiTheme="minorHAnsi" w:cstheme="minorHAnsi"/>
          <w:sz w:val="22"/>
          <w:szCs w:val="22"/>
        </w:rPr>
        <w:t xml:space="preserve">kompleksowych </w:t>
      </w:r>
      <w:r w:rsidR="00A833DB">
        <w:rPr>
          <w:rFonts w:asciiTheme="minorHAnsi" w:hAnsiTheme="minorHAnsi" w:cstheme="minorHAnsi"/>
          <w:sz w:val="22"/>
          <w:szCs w:val="22"/>
        </w:rPr>
        <w:t>modernizacji</w:t>
      </w:r>
      <w:r w:rsidR="00E4379B">
        <w:rPr>
          <w:rFonts w:asciiTheme="minorHAnsi" w:hAnsiTheme="minorHAnsi" w:cstheme="minorHAnsi"/>
          <w:sz w:val="22"/>
          <w:szCs w:val="22"/>
        </w:rPr>
        <w:t xml:space="preserve"> </w:t>
      </w:r>
      <w:r w:rsidR="00615C15" w:rsidRPr="008912E2">
        <w:rPr>
          <w:rFonts w:asciiTheme="minorHAnsi" w:hAnsiTheme="minorHAnsi" w:cstheme="minorHAnsi"/>
          <w:sz w:val="22"/>
          <w:szCs w:val="22"/>
        </w:rPr>
        <w:t>zmniejszających zużycie energii i emisj</w:t>
      </w:r>
      <w:r w:rsidR="00C34552">
        <w:rPr>
          <w:rFonts w:asciiTheme="minorHAnsi" w:hAnsiTheme="minorHAnsi" w:cstheme="minorHAnsi"/>
          <w:sz w:val="22"/>
          <w:szCs w:val="22"/>
        </w:rPr>
        <w:t>i</w:t>
      </w:r>
      <w:r w:rsidR="00615C15" w:rsidRPr="008912E2">
        <w:rPr>
          <w:rFonts w:asciiTheme="minorHAnsi" w:hAnsiTheme="minorHAnsi" w:cstheme="minorHAnsi"/>
          <w:sz w:val="22"/>
          <w:szCs w:val="22"/>
        </w:rPr>
        <w:t xml:space="preserve"> gazów cieplarnianych</w:t>
      </w:r>
      <w:r w:rsidR="00E4379B">
        <w:rPr>
          <w:rFonts w:asciiTheme="minorHAnsi" w:hAnsiTheme="minorHAnsi" w:cstheme="minorHAnsi"/>
          <w:sz w:val="22"/>
          <w:szCs w:val="22"/>
        </w:rPr>
        <w:t xml:space="preserve"> z</w:t>
      </w:r>
      <w:r w:rsidR="005A31F0">
        <w:rPr>
          <w:rFonts w:asciiTheme="minorHAnsi" w:hAnsiTheme="minorHAnsi" w:cstheme="minorHAnsi"/>
          <w:sz w:val="22"/>
          <w:szCs w:val="22"/>
        </w:rPr>
        <w:t> </w:t>
      </w:r>
      <w:r w:rsidR="00E4379B">
        <w:rPr>
          <w:rFonts w:asciiTheme="minorHAnsi" w:hAnsiTheme="minorHAnsi" w:cstheme="minorHAnsi"/>
          <w:sz w:val="22"/>
          <w:szCs w:val="22"/>
        </w:rPr>
        <w:t>zastosowaniem odnawialnych źródeł energii</w:t>
      </w:r>
      <w:r w:rsidR="00654132">
        <w:rPr>
          <w:rFonts w:asciiTheme="minorHAnsi" w:hAnsiTheme="minorHAnsi" w:cstheme="minorHAnsi"/>
          <w:sz w:val="22"/>
          <w:szCs w:val="22"/>
        </w:rPr>
        <w:t xml:space="preserve">, w tym poprzez zoptymalizowane inwestycje </w:t>
      </w:r>
      <w:r w:rsidR="00101658">
        <w:rPr>
          <w:rFonts w:asciiTheme="minorHAnsi" w:hAnsiTheme="minorHAnsi" w:cstheme="minorHAnsi"/>
          <w:sz w:val="22"/>
          <w:szCs w:val="22"/>
        </w:rPr>
        <w:t>w</w:t>
      </w:r>
      <w:r w:rsidR="00E73F90">
        <w:rPr>
          <w:rFonts w:asciiTheme="minorHAnsi" w:hAnsiTheme="minorHAnsi" w:cstheme="minorHAnsi"/>
          <w:sz w:val="22"/>
          <w:szCs w:val="22"/>
        </w:rPr>
        <w:t> </w:t>
      </w:r>
      <w:r w:rsidR="00101658">
        <w:rPr>
          <w:rFonts w:asciiTheme="minorHAnsi" w:hAnsiTheme="minorHAnsi" w:cstheme="minorHAnsi"/>
          <w:sz w:val="22"/>
          <w:szCs w:val="22"/>
        </w:rPr>
        <w:t>formule ESCO/EPC.</w:t>
      </w:r>
    </w:p>
    <w:p w14:paraId="764AEBE8" w14:textId="1A01F472" w:rsidR="00C417EA" w:rsidRDefault="00C417EA" w:rsidP="00E73F90">
      <w:pPr>
        <w:tabs>
          <w:tab w:val="left" w:pos="284"/>
        </w:tabs>
        <w:autoSpaceDE w:val="0"/>
        <w:autoSpaceDN w:val="0"/>
        <w:adjustRightInd w:val="0"/>
        <w:spacing w:before="120" w:line="276" w:lineRule="auto"/>
        <w:rPr>
          <w:rFonts w:asciiTheme="minorHAnsi" w:hAnsiTheme="minorHAnsi" w:cstheme="minorHAnsi"/>
          <w:sz w:val="22"/>
          <w:szCs w:val="22"/>
        </w:rPr>
      </w:pPr>
      <w:r w:rsidRPr="008912E2">
        <w:rPr>
          <w:rFonts w:asciiTheme="minorHAnsi" w:hAnsiTheme="minorHAnsi" w:cstheme="minorHAnsi"/>
          <w:sz w:val="22"/>
          <w:szCs w:val="22"/>
        </w:rPr>
        <w:t>Program wspiera również integrację rozwiązań poprawiających komfort cieplny</w:t>
      </w:r>
      <w:r w:rsidR="0073121D">
        <w:rPr>
          <w:rFonts w:asciiTheme="minorHAnsi" w:hAnsiTheme="minorHAnsi" w:cstheme="minorHAnsi"/>
          <w:sz w:val="22"/>
          <w:szCs w:val="22"/>
        </w:rPr>
        <w:t xml:space="preserve"> z </w:t>
      </w:r>
      <w:r w:rsidRPr="008912E2">
        <w:rPr>
          <w:rFonts w:asciiTheme="minorHAnsi" w:hAnsiTheme="minorHAnsi" w:cstheme="minorHAnsi"/>
          <w:sz w:val="22"/>
          <w:szCs w:val="22"/>
        </w:rPr>
        <w:t xml:space="preserve"> </w:t>
      </w:r>
      <w:r w:rsidR="00FB7785">
        <w:rPr>
          <w:rFonts w:asciiTheme="minorHAnsi" w:hAnsiTheme="minorHAnsi" w:cstheme="minorHAnsi"/>
          <w:sz w:val="22"/>
          <w:szCs w:val="22"/>
        </w:rPr>
        <w:t>zapewni</w:t>
      </w:r>
      <w:r w:rsidR="0073121D">
        <w:rPr>
          <w:rFonts w:asciiTheme="minorHAnsi" w:hAnsiTheme="minorHAnsi" w:cstheme="minorHAnsi"/>
          <w:sz w:val="22"/>
          <w:szCs w:val="22"/>
        </w:rPr>
        <w:t>eniem</w:t>
      </w:r>
      <w:r w:rsidR="00FB7785">
        <w:rPr>
          <w:rFonts w:asciiTheme="minorHAnsi" w:hAnsiTheme="minorHAnsi" w:cstheme="minorHAnsi"/>
          <w:sz w:val="22"/>
          <w:szCs w:val="22"/>
        </w:rPr>
        <w:t xml:space="preserve"> </w:t>
      </w:r>
      <w:r w:rsidR="00CD0479">
        <w:rPr>
          <w:rFonts w:asciiTheme="minorHAnsi" w:hAnsiTheme="minorHAnsi" w:cstheme="minorHAnsi"/>
          <w:sz w:val="22"/>
          <w:szCs w:val="22"/>
        </w:rPr>
        <w:t>wysokiego</w:t>
      </w:r>
      <w:r w:rsidR="00E21DF9">
        <w:rPr>
          <w:rFonts w:asciiTheme="minorHAnsi" w:hAnsiTheme="minorHAnsi" w:cstheme="minorHAnsi"/>
          <w:sz w:val="22"/>
          <w:szCs w:val="22"/>
        </w:rPr>
        <w:t xml:space="preserve"> stop</w:t>
      </w:r>
      <w:r w:rsidR="00CD0479">
        <w:rPr>
          <w:rFonts w:asciiTheme="minorHAnsi" w:hAnsiTheme="minorHAnsi" w:cstheme="minorHAnsi"/>
          <w:sz w:val="22"/>
          <w:szCs w:val="22"/>
        </w:rPr>
        <w:t>nia</w:t>
      </w:r>
      <w:r w:rsidR="00E21DF9">
        <w:rPr>
          <w:rFonts w:asciiTheme="minorHAnsi" w:hAnsiTheme="minorHAnsi" w:cstheme="minorHAnsi"/>
          <w:sz w:val="22"/>
          <w:szCs w:val="22"/>
        </w:rPr>
        <w:t xml:space="preserve"> samowystarczalności energetycznej </w:t>
      </w:r>
      <w:r w:rsidRPr="008912E2">
        <w:rPr>
          <w:rFonts w:asciiTheme="minorHAnsi" w:hAnsiTheme="minorHAnsi" w:cstheme="minorHAnsi"/>
          <w:sz w:val="22"/>
          <w:szCs w:val="22"/>
        </w:rPr>
        <w:t xml:space="preserve">oraz umożliwia rozwój niebiesko-zielonej infrastruktury, co sprzyja adaptacji budynków </w:t>
      </w:r>
      <w:r w:rsidR="00CD0479">
        <w:rPr>
          <w:rFonts w:asciiTheme="minorHAnsi" w:hAnsiTheme="minorHAnsi" w:cstheme="minorHAnsi"/>
          <w:sz w:val="22"/>
          <w:szCs w:val="22"/>
        </w:rPr>
        <w:t>szpitalnych</w:t>
      </w:r>
      <w:r w:rsidRPr="008912E2">
        <w:rPr>
          <w:rFonts w:asciiTheme="minorHAnsi" w:hAnsiTheme="minorHAnsi" w:cstheme="minorHAnsi"/>
          <w:sz w:val="22"/>
          <w:szCs w:val="22"/>
        </w:rPr>
        <w:t xml:space="preserve"> do zmian klimatu.</w:t>
      </w:r>
    </w:p>
    <w:p w14:paraId="2CE56D18" w14:textId="42F54D87" w:rsidR="00CA47CE" w:rsidRDefault="002E015B" w:rsidP="00E73F90">
      <w:pPr>
        <w:autoSpaceDE w:val="0"/>
        <w:autoSpaceDN w:val="0"/>
        <w:adjustRightInd w:val="0"/>
        <w:spacing w:before="120" w:line="276" w:lineRule="auto"/>
        <w:rPr>
          <w:rFonts w:asciiTheme="minorHAnsi" w:hAnsiTheme="minorHAnsi" w:cstheme="minorHAnsi"/>
          <w:sz w:val="22"/>
          <w:szCs w:val="22"/>
        </w:rPr>
      </w:pPr>
      <w:r>
        <w:rPr>
          <w:rFonts w:asciiTheme="minorHAnsi" w:hAnsiTheme="minorHAnsi" w:cstheme="minorHAnsi"/>
          <w:sz w:val="22"/>
          <w:szCs w:val="22"/>
        </w:rPr>
        <w:t>Program jest zgodny z legislacją Unii Europejskiej, w tym z art. 10d dyrektywy 2003/87</w:t>
      </w:r>
      <w:r w:rsidR="004809BF">
        <w:rPr>
          <w:rFonts w:asciiTheme="minorHAnsi" w:hAnsiTheme="minorHAnsi" w:cstheme="minorHAnsi"/>
          <w:sz w:val="22"/>
          <w:szCs w:val="22"/>
        </w:rPr>
        <w:t>/WE Parlamentu Europejskiego i Rady z dnia 13 października 2003 r</w:t>
      </w:r>
      <w:r w:rsidR="006B6EA3">
        <w:rPr>
          <w:rFonts w:asciiTheme="minorHAnsi" w:hAnsiTheme="minorHAnsi" w:cstheme="minorHAnsi"/>
          <w:sz w:val="22"/>
          <w:szCs w:val="22"/>
        </w:rPr>
        <w:t>. ustanawiającego system handlu przydziałami emisji gazów cieplarnianych w Unii oraz zmieniających dyrektywę Rady 96/61/WE oraz</w:t>
      </w:r>
      <w:r w:rsidR="00E73F90">
        <w:rPr>
          <w:rFonts w:asciiTheme="minorHAnsi" w:hAnsiTheme="minorHAnsi" w:cstheme="minorHAnsi"/>
          <w:sz w:val="22"/>
          <w:szCs w:val="22"/>
        </w:rPr>
        <w:t> </w:t>
      </w:r>
      <w:r w:rsidR="006B6EA3">
        <w:rPr>
          <w:rFonts w:asciiTheme="minorHAnsi" w:hAnsiTheme="minorHAnsi" w:cstheme="minorHAnsi"/>
          <w:sz w:val="22"/>
          <w:szCs w:val="22"/>
        </w:rPr>
        <w:t xml:space="preserve">rozporządzeniem </w:t>
      </w:r>
      <w:r w:rsidR="001C3919">
        <w:rPr>
          <w:rFonts w:asciiTheme="minorHAnsi" w:hAnsiTheme="minorHAnsi" w:cstheme="minorHAnsi"/>
          <w:sz w:val="22"/>
          <w:szCs w:val="22"/>
        </w:rPr>
        <w:t xml:space="preserve">wykonawczym Komisji (UE) 2020/87/WE Parlamentu Europejskiego </w:t>
      </w:r>
      <w:r w:rsidR="00CE64AD">
        <w:rPr>
          <w:rFonts w:asciiTheme="minorHAnsi" w:hAnsiTheme="minorHAnsi" w:cstheme="minorHAnsi"/>
          <w:sz w:val="22"/>
          <w:szCs w:val="22"/>
        </w:rPr>
        <w:t>i Rady w</w:t>
      </w:r>
      <w:r w:rsidR="00E73F90">
        <w:rPr>
          <w:rFonts w:asciiTheme="minorHAnsi" w:hAnsiTheme="minorHAnsi" w:cstheme="minorHAnsi"/>
          <w:sz w:val="22"/>
          <w:szCs w:val="22"/>
        </w:rPr>
        <w:t> </w:t>
      </w:r>
      <w:r w:rsidR="00CE64AD">
        <w:rPr>
          <w:rFonts w:asciiTheme="minorHAnsi" w:hAnsiTheme="minorHAnsi" w:cstheme="minorHAnsi"/>
          <w:sz w:val="22"/>
          <w:szCs w:val="22"/>
        </w:rPr>
        <w:t xml:space="preserve">odniesieniu do funkcjonowania Funduszu Modernizacyjnego wspierającego inwestycje </w:t>
      </w:r>
      <w:r w:rsidR="009B1DE6">
        <w:rPr>
          <w:rFonts w:asciiTheme="minorHAnsi" w:hAnsiTheme="minorHAnsi" w:cstheme="minorHAnsi"/>
          <w:sz w:val="22"/>
          <w:szCs w:val="22"/>
        </w:rPr>
        <w:t xml:space="preserve">w modernizację systemów energetycznych oraz poprawę efektywności energetycznej </w:t>
      </w:r>
      <w:r w:rsidR="0055785D">
        <w:rPr>
          <w:rFonts w:asciiTheme="minorHAnsi" w:hAnsiTheme="minorHAnsi" w:cstheme="minorHAnsi"/>
          <w:sz w:val="22"/>
          <w:szCs w:val="22"/>
        </w:rPr>
        <w:t>niektórych państw członkowskich. Program przyczyni się do osiągnięcia celów ramowych dotyczących klimatu i</w:t>
      </w:r>
      <w:r w:rsidR="00E73F90">
        <w:rPr>
          <w:rFonts w:asciiTheme="minorHAnsi" w:hAnsiTheme="minorHAnsi" w:cstheme="minorHAnsi"/>
          <w:sz w:val="22"/>
          <w:szCs w:val="22"/>
        </w:rPr>
        <w:t> </w:t>
      </w:r>
      <w:r w:rsidR="0055785D">
        <w:rPr>
          <w:rFonts w:asciiTheme="minorHAnsi" w:hAnsiTheme="minorHAnsi" w:cstheme="minorHAnsi"/>
          <w:sz w:val="22"/>
          <w:szCs w:val="22"/>
        </w:rPr>
        <w:t xml:space="preserve">energetyki określonych na poziomie krajowym oraz celów długoterminowych </w:t>
      </w:r>
      <w:r w:rsidR="00E27244">
        <w:rPr>
          <w:rFonts w:asciiTheme="minorHAnsi" w:hAnsiTheme="minorHAnsi" w:cstheme="minorHAnsi"/>
          <w:sz w:val="22"/>
          <w:szCs w:val="22"/>
        </w:rPr>
        <w:t>określonych w</w:t>
      </w:r>
      <w:r w:rsidR="00E73F90">
        <w:rPr>
          <w:rFonts w:asciiTheme="minorHAnsi" w:hAnsiTheme="minorHAnsi" w:cstheme="minorHAnsi"/>
          <w:sz w:val="22"/>
          <w:szCs w:val="22"/>
        </w:rPr>
        <w:t> </w:t>
      </w:r>
      <w:r w:rsidR="00E27244">
        <w:rPr>
          <w:rFonts w:asciiTheme="minorHAnsi" w:hAnsiTheme="minorHAnsi" w:cstheme="minorHAnsi"/>
          <w:sz w:val="22"/>
          <w:szCs w:val="22"/>
        </w:rPr>
        <w:t>Porozumieniu Paryskim.</w:t>
      </w:r>
    </w:p>
    <w:p w14:paraId="0417C1A6" w14:textId="77777777" w:rsidR="000343DD" w:rsidRDefault="00E25072" w:rsidP="006A7617">
      <w:pPr>
        <w:pStyle w:val="Akapitzlist"/>
        <w:numPr>
          <w:ilvl w:val="0"/>
          <w:numId w:val="2"/>
        </w:numPr>
        <w:tabs>
          <w:tab w:val="left" w:pos="284"/>
        </w:tabs>
        <w:autoSpaceDE w:val="0"/>
        <w:autoSpaceDN w:val="0"/>
        <w:adjustRightInd w:val="0"/>
        <w:spacing w:before="24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Wskaźnik</w:t>
      </w:r>
      <w:r w:rsidR="00B64715" w:rsidRPr="00A64524">
        <w:rPr>
          <w:rFonts w:asciiTheme="minorHAnsi" w:hAnsiTheme="minorHAnsi"/>
          <w:b/>
          <w:color w:val="000000"/>
          <w:sz w:val="22"/>
          <w:szCs w:val="22"/>
        </w:rPr>
        <w:t xml:space="preserve"> osiągnięcia celu </w:t>
      </w:r>
    </w:p>
    <w:p w14:paraId="270BD345" w14:textId="77777777" w:rsidR="007B44EA" w:rsidRDefault="007B44EA" w:rsidP="00E73F90">
      <w:pPr>
        <w:tabs>
          <w:tab w:val="left" w:pos="284"/>
        </w:tabs>
        <w:autoSpaceDE w:val="0"/>
        <w:autoSpaceDN w:val="0"/>
        <w:adjustRightInd w:val="0"/>
        <w:spacing w:before="240" w:after="120" w:line="276" w:lineRule="auto"/>
        <w:rPr>
          <w:rFonts w:asciiTheme="minorHAnsi" w:hAnsiTheme="minorHAnsi"/>
          <w:color w:val="000000"/>
          <w:sz w:val="22"/>
          <w:szCs w:val="22"/>
        </w:rPr>
      </w:pPr>
      <w:r w:rsidRPr="007B44EA">
        <w:rPr>
          <w:rFonts w:asciiTheme="minorHAnsi" w:hAnsiTheme="minorHAnsi"/>
          <w:color w:val="000000"/>
          <w:sz w:val="22"/>
          <w:szCs w:val="22"/>
        </w:rPr>
        <w:t>Stopień realizacji celu programu mierzony za pomocą wskaźnika osiągnięcia celu pn.:</w:t>
      </w:r>
    </w:p>
    <w:p w14:paraId="395C3B8B" w14:textId="6FA1468A" w:rsidR="007B44EA" w:rsidRPr="007036C0" w:rsidRDefault="00FF05DA" w:rsidP="00E73F90">
      <w:pPr>
        <w:tabs>
          <w:tab w:val="left" w:pos="284"/>
        </w:tabs>
        <w:autoSpaceDE w:val="0"/>
        <w:autoSpaceDN w:val="0"/>
        <w:adjustRightInd w:val="0"/>
        <w:spacing w:line="276" w:lineRule="auto"/>
        <w:rPr>
          <w:rFonts w:asciiTheme="minorHAnsi" w:hAnsiTheme="minorHAnsi"/>
          <w:b/>
          <w:bCs/>
          <w:color w:val="000000"/>
          <w:sz w:val="22"/>
          <w:szCs w:val="22"/>
        </w:rPr>
      </w:pPr>
      <w:r w:rsidRPr="007036C0">
        <w:rPr>
          <w:rFonts w:asciiTheme="minorHAnsi" w:hAnsiTheme="minorHAnsi"/>
          <w:b/>
          <w:bCs/>
          <w:color w:val="000000"/>
          <w:sz w:val="22"/>
          <w:szCs w:val="22"/>
        </w:rPr>
        <w:t>Liczba budynków objętych termomodernizacją</w:t>
      </w:r>
    </w:p>
    <w:p w14:paraId="339256F0" w14:textId="5F049B5A" w:rsidR="00BF5499" w:rsidRPr="007036C0" w:rsidRDefault="00BF5499" w:rsidP="00E73F90">
      <w:pPr>
        <w:spacing w:line="276" w:lineRule="auto"/>
        <w:rPr>
          <w:rFonts w:asciiTheme="minorHAnsi" w:hAnsiTheme="minorHAnsi" w:cstheme="minorHAnsi"/>
          <w:bCs/>
          <w:color w:val="000000" w:themeColor="text1"/>
          <w:sz w:val="22"/>
          <w:szCs w:val="22"/>
        </w:rPr>
      </w:pPr>
      <w:r w:rsidRPr="007036C0">
        <w:rPr>
          <w:rFonts w:asciiTheme="minorHAnsi" w:hAnsiTheme="minorHAnsi" w:cstheme="minorHAnsi"/>
          <w:bCs/>
          <w:color w:val="000000" w:themeColor="text1"/>
          <w:sz w:val="22"/>
          <w:szCs w:val="22"/>
        </w:rPr>
        <w:t>Planowana wartość wskaźnika osiągnięcia celu dla bezzwrotnej</w:t>
      </w:r>
      <w:r w:rsidR="0024589F" w:rsidRPr="007036C0">
        <w:rPr>
          <w:rFonts w:asciiTheme="minorHAnsi" w:hAnsiTheme="minorHAnsi" w:cstheme="minorHAnsi"/>
          <w:bCs/>
          <w:color w:val="000000" w:themeColor="text1"/>
          <w:sz w:val="22"/>
          <w:szCs w:val="22"/>
        </w:rPr>
        <w:t>/zwrotnej</w:t>
      </w:r>
      <w:r w:rsidRPr="007036C0">
        <w:rPr>
          <w:rFonts w:asciiTheme="minorHAnsi" w:hAnsiTheme="minorHAnsi" w:cstheme="minorHAnsi"/>
          <w:bCs/>
          <w:color w:val="000000" w:themeColor="text1"/>
          <w:sz w:val="22"/>
          <w:szCs w:val="22"/>
        </w:rPr>
        <w:t xml:space="preserve"> formy dofinansowania wynosi </w:t>
      </w:r>
      <w:r w:rsidR="006874F1" w:rsidRPr="009962EE">
        <w:rPr>
          <w:rFonts w:asciiTheme="minorHAnsi" w:hAnsiTheme="minorHAnsi" w:cstheme="minorHAnsi"/>
          <w:bCs/>
          <w:color w:val="000000" w:themeColor="text1"/>
          <w:sz w:val="22"/>
          <w:szCs w:val="22"/>
        </w:rPr>
        <w:t>110</w:t>
      </w:r>
      <w:r w:rsidRPr="007036C0">
        <w:rPr>
          <w:rFonts w:asciiTheme="minorHAnsi" w:hAnsiTheme="minorHAnsi" w:cstheme="minorHAnsi"/>
          <w:bCs/>
          <w:color w:val="000000" w:themeColor="text1"/>
          <w:sz w:val="22"/>
          <w:szCs w:val="22"/>
        </w:rPr>
        <w:t> szt.</w:t>
      </w:r>
    </w:p>
    <w:p w14:paraId="077D98EA" w14:textId="189FCA1D" w:rsidR="00BF5499" w:rsidRPr="007036C0" w:rsidRDefault="00FF05DA" w:rsidP="00E73F90">
      <w:pPr>
        <w:spacing w:line="276" w:lineRule="auto"/>
        <w:rPr>
          <w:rFonts w:asciiTheme="minorHAnsi" w:hAnsiTheme="minorHAnsi"/>
          <w:b/>
          <w:bCs/>
          <w:color w:val="000000"/>
          <w:sz w:val="22"/>
          <w:szCs w:val="22"/>
        </w:rPr>
      </w:pPr>
      <w:r w:rsidRPr="007036C0">
        <w:rPr>
          <w:rFonts w:asciiTheme="minorHAnsi" w:hAnsiTheme="minorHAnsi"/>
          <w:b/>
          <w:bCs/>
          <w:color w:val="000000"/>
          <w:sz w:val="22"/>
          <w:szCs w:val="22"/>
        </w:rPr>
        <w:t>Zmniejszenie zużycia energii pierwotnej</w:t>
      </w:r>
    </w:p>
    <w:p w14:paraId="58B665F0" w14:textId="4EC8B51E" w:rsidR="00BF5499" w:rsidRPr="007036C0" w:rsidRDefault="00BF5499" w:rsidP="00E73F90">
      <w:pPr>
        <w:spacing w:line="276" w:lineRule="auto"/>
        <w:rPr>
          <w:rFonts w:asciiTheme="minorHAnsi" w:hAnsiTheme="minorHAnsi" w:cstheme="minorHAnsi"/>
          <w:bCs/>
          <w:color w:val="000000" w:themeColor="text1"/>
          <w:sz w:val="22"/>
          <w:szCs w:val="22"/>
        </w:rPr>
      </w:pPr>
      <w:r w:rsidRPr="007036C0">
        <w:rPr>
          <w:rFonts w:asciiTheme="minorHAnsi" w:hAnsiTheme="minorHAnsi" w:cstheme="minorHAnsi"/>
          <w:bCs/>
          <w:color w:val="000000" w:themeColor="text1"/>
          <w:sz w:val="22"/>
          <w:szCs w:val="22"/>
        </w:rPr>
        <w:t>Planowana wartość wskaźnika osiągnięcia celu dla bezzwrotnej</w:t>
      </w:r>
      <w:r w:rsidR="00992F20" w:rsidRPr="007036C0">
        <w:rPr>
          <w:rFonts w:asciiTheme="minorHAnsi" w:hAnsiTheme="minorHAnsi" w:cstheme="minorHAnsi"/>
          <w:bCs/>
          <w:color w:val="000000" w:themeColor="text1"/>
          <w:sz w:val="22"/>
          <w:szCs w:val="22"/>
        </w:rPr>
        <w:t>/zwrotnej</w:t>
      </w:r>
      <w:r w:rsidRPr="007036C0">
        <w:rPr>
          <w:rFonts w:asciiTheme="minorHAnsi" w:hAnsiTheme="minorHAnsi" w:cstheme="minorHAnsi"/>
          <w:bCs/>
          <w:color w:val="000000" w:themeColor="text1"/>
          <w:sz w:val="22"/>
          <w:szCs w:val="22"/>
        </w:rPr>
        <w:t xml:space="preserve"> formy dofinansowania wynosi co najmniej </w:t>
      </w:r>
      <w:r w:rsidR="001D4216" w:rsidRPr="009962EE">
        <w:rPr>
          <w:rStyle w:val="ui-provider"/>
          <w:rFonts w:asciiTheme="minorHAnsi" w:hAnsiTheme="minorHAnsi" w:cstheme="minorHAnsi"/>
          <w:sz w:val="22"/>
          <w:szCs w:val="22"/>
        </w:rPr>
        <w:t>250</w:t>
      </w:r>
      <w:r w:rsidR="00480DBE" w:rsidRPr="009962EE">
        <w:rPr>
          <w:rStyle w:val="ui-provider"/>
          <w:rFonts w:asciiTheme="minorHAnsi" w:hAnsiTheme="minorHAnsi" w:cstheme="minorHAnsi"/>
          <w:sz w:val="22"/>
          <w:szCs w:val="22"/>
        </w:rPr>
        <w:t> 000</w:t>
      </w:r>
      <w:r w:rsidR="00480DBE" w:rsidRPr="007036C0">
        <w:rPr>
          <w:rStyle w:val="ui-provider"/>
          <w:rFonts w:asciiTheme="minorHAnsi" w:hAnsiTheme="minorHAnsi" w:cstheme="minorHAnsi"/>
          <w:sz w:val="22"/>
          <w:szCs w:val="22"/>
        </w:rPr>
        <w:t xml:space="preserve"> GJ/rok.</w:t>
      </w:r>
    </w:p>
    <w:p w14:paraId="0EA5E40E" w14:textId="1CC81C70" w:rsidR="00BF5499" w:rsidRPr="007036C0" w:rsidRDefault="00FF05DA" w:rsidP="00E73F90">
      <w:pPr>
        <w:tabs>
          <w:tab w:val="left" w:pos="284"/>
        </w:tabs>
        <w:autoSpaceDE w:val="0"/>
        <w:autoSpaceDN w:val="0"/>
        <w:adjustRightInd w:val="0"/>
        <w:spacing w:line="276" w:lineRule="auto"/>
        <w:rPr>
          <w:rFonts w:asciiTheme="minorHAnsi" w:hAnsiTheme="minorHAnsi"/>
          <w:b/>
          <w:bCs/>
          <w:color w:val="000000"/>
          <w:sz w:val="22"/>
          <w:szCs w:val="22"/>
        </w:rPr>
      </w:pPr>
      <w:r w:rsidRPr="007036C0">
        <w:rPr>
          <w:rFonts w:asciiTheme="minorHAnsi" w:hAnsiTheme="minorHAnsi"/>
          <w:b/>
          <w:bCs/>
          <w:color w:val="000000"/>
          <w:sz w:val="22"/>
          <w:szCs w:val="22"/>
        </w:rPr>
        <w:t>Dodatkowa zdolność wytwarzania energii ze źródeł odnawialnych</w:t>
      </w:r>
    </w:p>
    <w:p w14:paraId="1E6CBB0C" w14:textId="04D92F8C" w:rsidR="00BE091B" w:rsidRPr="007036C0" w:rsidRDefault="00BF5499" w:rsidP="00E73F90">
      <w:pPr>
        <w:spacing w:line="276" w:lineRule="auto"/>
        <w:rPr>
          <w:rFonts w:asciiTheme="minorHAnsi" w:hAnsiTheme="minorHAnsi" w:cstheme="minorHAnsi"/>
          <w:bCs/>
          <w:color w:val="000000" w:themeColor="text1"/>
          <w:sz w:val="22"/>
          <w:szCs w:val="22"/>
        </w:rPr>
      </w:pPr>
      <w:r w:rsidRPr="007036C0">
        <w:rPr>
          <w:rFonts w:asciiTheme="minorHAnsi" w:hAnsiTheme="minorHAnsi" w:cstheme="minorHAnsi"/>
          <w:bCs/>
          <w:color w:val="000000" w:themeColor="text1"/>
          <w:sz w:val="22"/>
          <w:szCs w:val="22"/>
        </w:rPr>
        <w:t>Planowana wartość wskaźnika osiągnięcia celu dla bezzwrotnej</w:t>
      </w:r>
      <w:r w:rsidR="00E011C3" w:rsidRPr="007036C0">
        <w:rPr>
          <w:rFonts w:asciiTheme="minorHAnsi" w:hAnsiTheme="minorHAnsi" w:cstheme="minorHAnsi"/>
          <w:bCs/>
          <w:color w:val="000000" w:themeColor="text1"/>
          <w:sz w:val="22"/>
          <w:szCs w:val="22"/>
        </w:rPr>
        <w:t>/zwrotnej</w:t>
      </w:r>
      <w:r w:rsidRPr="007036C0">
        <w:rPr>
          <w:rFonts w:asciiTheme="minorHAnsi" w:hAnsiTheme="minorHAnsi" w:cstheme="minorHAnsi"/>
          <w:bCs/>
          <w:color w:val="000000" w:themeColor="text1"/>
          <w:sz w:val="22"/>
          <w:szCs w:val="22"/>
        </w:rPr>
        <w:t xml:space="preserve"> formy dofinansowania wynosi co najmniej </w:t>
      </w:r>
      <w:r w:rsidR="00873FA9" w:rsidRPr="009962EE">
        <w:rPr>
          <w:rFonts w:asciiTheme="minorHAnsi" w:hAnsiTheme="minorHAnsi" w:cstheme="minorHAnsi"/>
          <w:bCs/>
          <w:color w:val="000000" w:themeColor="text1"/>
          <w:sz w:val="22"/>
          <w:szCs w:val="22"/>
        </w:rPr>
        <w:t>5</w:t>
      </w:r>
      <w:r w:rsidR="00480DBE" w:rsidRPr="007036C0">
        <w:rPr>
          <w:rFonts w:asciiTheme="minorHAnsi" w:hAnsiTheme="minorHAnsi" w:cstheme="minorHAnsi"/>
          <w:bCs/>
          <w:color w:val="000000" w:themeColor="text1"/>
          <w:sz w:val="22"/>
          <w:szCs w:val="22"/>
        </w:rPr>
        <w:t xml:space="preserve"> MW.</w:t>
      </w:r>
    </w:p>
    <w:p w14:paraId="088C8511" w14:textId="451978BA" w:rsidR="00BB5C39" w:rsidRPr="007036C0" w:rsidRDefault="0024589F" w:rsidP="00E73F90">
      <w:pPr>
        <w:tabs>
          <w:tab w:val="left" w:pos="284"/>
        </w:tabs>
        <w:autoSpaceDE w:val="0"/>
        <w:autoSpaceDN w:val="0"/>
        <w:adjustRightInd w:val="0"/>
        <w:spacing w:line="276" w:lineRule="auto"/>
        <w:rPr>
          <w:rFonts w:asciiTheme="minorHAnsi" w:hAnsiTheme="minorHAnsi"/>
          <w:b/>
          <w:bCs/>
          <w:color w:val="000000"/>
          <w:sz w:val="22"/>
          <w:szCs w:val="22"/>
        </w:rPr>
      </w:pPr>
      <w:r w:rsidRPr="007036C0">
        <w:rPr>
          <w:rFonts w:asciiTheme="minorHAnsi" w:hAnsiTheme="minorHAnsi"/>
          <w:b/>
          <w:bCs/>
          <w:color w:val="000000"/>
          <w:sz w:val="22"/>
          <w:szCs w:val="22"/>
        </w:rPr>
        <w:t>Zmniejszenie emisji gazów cieplarnianych</w:t>
      </w:r>
    </w:p>
    <w:p w14:paraId="11D982B8" w14:textId="1B01B3B3" w:rsidR="00BB5C39" w:rsidRDefault="00BB5C39" w:rsidP="00E73F90">
      <w:pPr>
        <w:spacing w:line="276" w:lineRule="auto"/>
        <w:rPr>
          <w:rFonts w:asciiTheme="minorHAnsi" w:hAnsiTheme="minorHAnsi" w:cstheme="minorHAnsi"/>
          <w:bCs/>
          <w:color w:val="000000" w:themeColor="text1"/>
          <w:sz w:val="22"/>
          <w:szCs w:val="22"/>
        </w:rPr>
      </w:pPr>
      <w:r w:rsidRPr="007036C0">
        <w:rPr>
          <w:rFonts w:asciiTheme="minorHAnsi" w:hAnsiTheme="minorHAnsi" w:cstheme="minorHAnsi"/>
          <w:bCs/>
          <w:color w:val="000000" w:themeColor="text1"/>
          <w:sz w:val="22"/>
          <w:szCs w:val="22"/>
        </w:rPr>
        <w:t>Planowana wartość wskaźnika osiągnięcia celu dla bezzwrotnej</w:t>
      </w:r>
      <w:r w:rsidR="00E011C3" w:rsidRPr="007036C0">
        <w:rPr>
          <w:rFonts w:asciiTheme="minorHAnsi" w:hAnsiTheme="minorHAnsi" w:cstheme="minorHAnsi"/>
          <w:bCs/>
          <w:color w:val="000000" w:themeColor="text1"/>
          <w:sz w:val="22"/>
          <w:szCs w:val="22"/>
        </w:rPr>
        <w:t>/zwrotnej</w:t>
      </w:r>
      <w:r w:rsidRPr="007036C0">
        <w:rPr>
          <w:rFonts w:asciiTheme="minorHAnsi" w:hAnsiTheme="minorHAnsi" w:cstheme="minorHAnsi"/>
          <w:bCs/>
          <w:color w:val="000000" w:themeColor="text1"/>
          <w:sz w:val="22"/>
          <w:szCs w:val="22"/>
        </w:rPr>
        <w:t xml:space="preserve"> formy dofinansowania wynosi co </w:t>
      </w:r>
      <w:r w:rsidRPr="007036C0">
        <w:rPr>
          <w:rFonts w:asciiTheme="minorHAnsi" w:hAnsiTheme="minorHAnsi" w:cstheme="minorHAnsi"/>
          <w:bCs/>
          <w:sz w:val="22"/>
          <w:szCs w:val="22"/>
        </w:rPr>
        <w:t xml:space="preserve">najmniej </w:t>
      </w:r>
      <w:r w:rsidR="00813604" w:rsidRPr="009962EE">
        <w:rPr>
          <w:rFonts w:asciiTheme="minorHAnsi" w:hAnsiTheme="minorHAnsi" w:cstheme="minorHAnsi"/>
          <w:bCs/>
          <w:sz w:val="22"/>
          <w:szCs w:val="22"/>
        </w:rPr>
        <w:t>20</w:t>
      </w:r>
      <w:r w:rsidR="003B595A" w:rsidRPr="009962EE">
        <w:rPr>
          <w:rFonts w:asciiTheme="minorHAnsi" w:hAnsiTheme="minorHAnsi" w:cstheme="minorHAnsi"/>
          <w:bCs/>
          <w:sz w:val="22"/>
          <w:szCs w:val="22"/>
        </w:rPr>
        <w:t> 000</w:t>
      </w:r>
      <w:r w:rsidR="003B595A" w:rsidRPr="007036C0">
        <w:rPr>
          <w:rFonts w:asciiTheme="minorHAnsi" w:hAnsiTheme="minorHAnsi" w:cstheme="minorHAnsi"/>
          <w:bCs/>
          <w:sz w:val="22"/>
          <w:szCs w:val="22"/>
        </w:rPr>
        <w:t xml:space="preserve"> Mg/rok</w:t>
      </w:r>
      <w:r w:rsidRPr="007036C0">
        <w:rPr>
          <w:rFonts w:asciiTheme="minorHAnsi" w:hAnsiTheme="minorHAnsi" w:cstheme="minorHAnsi"/>
          <w:bCs/>
          <w:color w:val="000000" w:themeColor="text1"/>
          <w:sz w:val="22"/>
          <w:szCs w:val="22"/>
        </w:rPr>
        <w:t>.</w:t>
      </w:r>
    </w:p>
    <w:p w14:paraId="235FCDE0" w14:textId="2D69DB73" w:rsidR="00BB5C39" w:rsidRPr="008800F6" w:rsidRDefault="00E73F90" w:rsidP="00E73F90">
      <w:pP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br w:type="page"/>
      </w:r>
    </w:p>
    <w:p w14:paraId="4C50889C" w14:textId="77777777" w:rsidR="000F2A93" w:rsidRDefault="000F2A93" w:rsidP="00E73F90">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lastRenderedPageBreak/>
        <w:t xml:space="preserve">Budżet </w:t>
      </w:r>
    </w:p>
    <w:p w14:paraId="1B664CFE" w14:textId="2ABFC0B1" w:rsidR="00BF5499" w:rsidRPr="00FB1C99" w:rsidRDefault="00BF5499" w:rsidP="00E73F90">
      <w:pPr>
        <w:tabs>
          <w:tab w:val="left" w:pos="284"/>
        </w:tabs>
        <w:autoSpaceDE w:val="0"/>
        <w:autoSpaceDN w:val="0"/>
        <w:adjustRightInd w:val="0"/>
        <w:spacing w:before="120" w:line="276" w:lineRule="auto"/>
        <w:rPr>
          <w:rFonts w:asciiTheme="minorHAnsi" w:hAnsiTheme="minorHAnsi"/>
          <w:bCs/>
          <w:color w:val="000000"/>
          <w:sz w:val="22"/>
          <w:szCs w:val="22"/>
        </w:rPr>
      </w:pPr>
      <w:r w:rsidRPr="00FB1C99">
        <w:rPr>
          <w:rFonts w:asciiTheme="minorHAnsi" w:hAnsiTheme="minorHAnsi"/>
          <w:bCs/>
          <w:color w:val="000000"/>
          <w:sz w:val="22"/>
          <w:szCs w:val="22"/>
        </w:rPr>
        <w:t xml:space="preserve">Budżet na realizację celu programu wynosi do </w:t>
      </w:r>
      <w:r w:rsidR="00AE5664">
        <w:rPr>
          <w:rFonts w:asciiTheme="minorHAnsi" w:hAnsiTheme="minorHAnsi"/>
          <w:bCs/>
          <w:color w:val="000000"/>
          <w:sz w:val="22"/>
          <w:szCs w:val="22"/>
        </w:rPr>
        <w:t>1</w:t>
      </w:r>
      <w:r w:rsidR="007E0B04" w:rsidRPr="00FB1C99">
        <w:rPr>
          <w:rFonts w:asciiTheme="minorHAnsi" w:hAnsiTheme="minorHAnsi"/>
          <w:bCs/>
          <w:color w:val="000000"/>
          <w:sz w:val="22"/>
          <w:szCs w:val="22"/>
        </w:rPr>
        <w:t> 000</w:t>
      </w:r>
      <w:r w:rsidR="00C06F54" w:rsidRPr="00FB1C99">
        <w:rPr>
          <w:rFonts w:asciiTheme="minorHAnsi" w:hAnsiTheme="minorHAnsi"/>
          <w:bCs/>
          <w:color w:val="000000"/>
          <w:sz w:val="22"/>
          <w:szCs w:val="22"/>
        </w:rPr>
        <w:t> </w:t>
      </w:r>
      <w:r w:rsidR="007E0B04" w:rsidRPr="00FB1C99">
        <w:rPr>
          <w:rFonts w:asciiTheme="minorHAnsi" w:hAnsiTheme="minorHAnsi"/>
          <w:bCs/>
          <w:color w:val="000000"/>
          <w:sz w:val="22"/>
          <w:szCs w:val="22"/>
        </w:rPr>
        <w:t>000</w:t>
      </w:r>
      <w:r w:rsidR="00C06F54" w:rsidRPr="00FB1C99">
        <w:rPr>
          <w:rFonts w:asciiTheme="minorHAnsi" w:hAnsiTheme="minorHAnsi"/>
          <w:bCs/>
          <w:color w:val="000000"/>
          <w:sz w:val="22"/>
          <w:szCs w:val="22"/>
        </w:rPr>
        <w:t xml:space="preserve"> 000 </w:t>
      </w:r>
      <w:r w:rsidRPr="00FB1C99">
        <w:rPr>
          <w:rFonts w:asciiTheme="minorHAnsi" w:hAnsiTheme="minorHAnsi"/>
          <w:bCs/>
          <w:color w:val="000000"/>
          <w:sz w:val="22"/>
          <w:szCs w:val="22"/>
        </w:rPr>
        <w:t xml:space="preserve"> zł, w tym:</w:t>
      </w:r>
    </w:p>
    <w:p w14:paraId="47E55BDD" w14:textId="2E58E002" w:rsidR="00BF5499" w:rsidRPr="00FB1C99" w:rsidRDefault="00BF5499" w:rsidP="00E73F90">
      <w:pPr>
        <w:pStyle w:val="Akapitzlist"/>
        <w:numPr>
          <w:ilvl w:val="0"/>
          <w:numId w:val="24"/>
        </w:numPr>
        <w:tabs>
          <w:tab w:val="left" w:pos="426"/>
        </w:tabs>
        <w:autoSpaceDE w:val="0"/>
        <w:autoSpaceDN w:val="0"/>
        <w:adjustRightInd w:val="0"/>
        <w:spacing w:before="120" w:line="276" w:lineRule="auto"/>
        <w:ind w:left="426" w:hanging="426"/>
        <w:rPr>
          <w:rFonts w:asciiTheme="minorHAnsi" w:hAnsiTheme="minorHAnsi"/>
          <w:bCs/>
          <w:color w:val="000000"/>
          <w:sz w:val="22"/>
          <w:szCs w:val="22"/>
        </w:rPr>
      </w:pPr>
      <w:r w:rsidRPr="00FB1C99">
        <w:rPr>
          <w:rFonts w:asciiTheme="minorHAnsi" w:hAnsiTheme="minorHAnsi"/>
          <w:bCs/>
          <w:color w:val="000000"/>
          <w:sz w:val="22"/>
          <w:szCs w:val="22"/>
        </w:rPr>
        <w:t>dla bezzwrotnych form dofinansowania – do</w:t>
      </w:r>
      <w:r w:rsidR="007B3A69" w:rsidRPr="00FB1C99">
        <w:rPr>
          <w:rFonts w:asciiTheme="minorHAnsi" w:hAnsiTheme="minorHAnsi"/>
          <w:bCs/>
          <w:color w:val="000000"/>
          <w:sz w:val="22"/>
          <w:szCs w:val="22"/>
        </w:rPr>
        <w:t xml:space="preserve"> </w:t>
      </w:r>
      <w:r w:rsidR="00AE5664">
        <w:rPr>
          <w:rFonts w:asciiTheme="minorHAnsi" w:hAnsiTheme="minorHAnsi"/>
          <w:bCs/>
          <w:color w:val="000000"/>
          <w:sz w:val="22"/>
          <w:szCs w:val="22"/>
        </w:rPr>
        <w:t>9</w:t>
      </w:r>
      <w:r w:rsidR="00850BCE" w:rsidRPr="00FB1C99">
        <w:rPr>
          <w:rFonts w:asciiTheme="minorHAnsi" w:hAnsiTheme="minorHAnsi"/>
          <w:bCs/>
          <w:color w:val="000000"/>
          <w:sz w:val="22"/>
          <w:szCs w:val="22"/>
        </w:rPr>
        <w:t>00 000 000</w:t>
      </w:r>
      <w:r w:rsidR="007B3A69" w:rsidRPr="00FB1C99">
        <w:rPr>
          <w:rFonts w:asciiTheme="minorHAnsi" w:hAnsiTheme="minorHAnsi"/>
          <w:bCs/>
          <w:color w:val="000000"/>
          <w:sz w:val="22"/>
          <w:szCs w:val="22"/>
        </w:rPr>
        <w:t xml:space="preserve"> zł</w:t>
      </w:r>
      <w:r w:rsidR="00817C65">
        <w:rPr>
          <w:rFonts w:asciiTheme="minorHAnsi" w:hAnsiTheme="minorHAnsi"/>
          <w:bCs/>
          <w:color w:val="000000"/>
          <w:sz w:val="22"/>
          <w:szCs w:val="22"/>
        </w:rPr>
        <w:t>;</w:t>
      </w:r>
    </w:p>
    <w:p w14:paraId="4895ACED" w14:textId="26D424F1" w:rsidR="00CD5C81" w:rsidRPr="006A7617" w:rsidRDefault="00C06F54" w:rsidP="006A7617">
      <w:pPr>
        <w:pStyle w:val="Akapitzlist"/>
        <w:numPr>
          <w:ilvl w:val="0"/>
          <w:numId w:val="24"/>
        </w:numPr>
        <w:tabs>
          <w:tab w:val="left" w:pos="426"/>
        </w:tabs>
        <w:autoSpaceDE w:val="0"/>
        <w:autoSpaceDN w:val="0"/>
        <w:adjustRightInd w:val="0"/>
        <w:spacing w:before="120" w:line="276" w:lineRule="auto"/>
        <w:ind w:left="426" w:hanging="426"/>
        <w:rPr>
          <w:rFonts w:asciiTheme="minorHAnsi" w:hAnsiTheme="minorHAnsi"/>
          <w:bCs/>
          <w:color w:val="000000"/>
          <w:sz w:val="22"/>
          <w:szCs w:val="22"/>
        </w:rPr>
      </w:pPr>
      <w:r w:rsidRPr="00FB1C99">
        <w:rPr>
          <w:rFonts w:asciiTheme="minorHAnsi" w:hAnsiTheme="minorHAnsi"/>
          <w:bCs/>
          <w:color w:val="000000"/>
          <w:sz w:val="22"/>
          <w:szCs w:val="22"/>
        </w:rPr>
        <w:t xml:space="preserve">dla zwrotnych form dofinansowania </w:t>
      </w:r>
      <w:r w:rsidR="00850BCE" w:rsidRPr="00FB1C99">
        <w:rPr>
          <w:rFonts w:asciiTheme="minorHAnsi" w:hAnsiTheme="minorHAnsi"/>
          <w:bCs/>
          <w:color w:val="000000"/>
          <w:sz w:val="22"/>
          <w:szCs w:val="22"/>
        </w:rPr>
        <w:t>–</w:t>
      </w:r>
      <w:r w:rsidRPr="00FB1C99">
        <w:rPr>
          <w:rFonts w:asciiTheme="minorHAnsi" w:hAnsiTheme="minorHAnsi"/>
          <w:bCs/>
          <w:color w:val="000000"/>
          <w:sz w:val="22"/>
          <w:szCs w:val="22"/>
        </w:rPr>
        <w:t xml:space="preserve"> </w:t>
      </w:r>
      <w:r w:rsidR="00850BCE" w:rsidRPr="00FB1C99">
        <w:rPr>
          <w:rFonts w:asciiTheme="minorHAnsi" w:hAnsiTheme="minorHAnsi"/>
          <w:bCs/>
          <w:color w:val="000000"/>
          <w:sz w:val="22"/>
          <w:szCs w:val="22"/>
        </w:rPr>
        <w:t xml:space="preserve">do </w:t>
      </w:r>
      <w:r w:rsidR="00AE5664">
        <w:rPr>
          <w:rFonts w:asciiTheme="minorHAnsi" w:hAnsiTheme="minorHAnsi"/>
          <w:bCs/>
          <w:color w:val="000000"/>
          <w:sz w:val="22"/>
          <w:szCs w:val="22"/>
        </w:rPr>
        <w:t>1</w:t>
      </w:r>
      <w:r w:rsidR="00850BCE" w:rsidRPr="00FB1C99">
        <w:rPr>
          <w:rFonts w:asciiTheme="minorHAnsi" w:hAnsiTheme="minorHAnsi"/>
          <w:bCs/>
          <w:color w:val="000000"/>
          <w:sz w:val="22"/>
          <w:szCs w:val="22"/>
        </w:rPr>
        <w:t xml:space="preserve">00 000 000 </w:t>
      </w:r>
      <w:r w:rsidR="0026238F" w:rsidRPr="00FB1C99">
        <w:rPr>
          <w:rFonts w:asciiTheme="minorHAnsi" w:hAnsiTheme="minorHAnsi"/>
          <w:bCs/>
          <w:color w:val="000000"/>
          <w:sz w:val="22"/>
          <w:szCs w:val="22"/>
        </w:rPr>
        <w:t>zł</w:t>
      </w:r>
      <w:r w:rsidR="00817C65">
        <w:rPr>
          <w:rFonts w:asciiTheme="minorHAnsi" w:hAnsiTheme="minorHAnsi"/>
          <w:bCs/>
          <w:color w:val="000000"/>
          <w:sz w:val="22"/>
          <w:szCs w:val="22"/>
        </w:rPr>
        <w:t>.</w:t>
      </w:r>
    </w:p>
    <w:p w14:paraId="3117DB49" w14:textId="58A6CE5B" w:rsidR="000F2A93" w:rsidRDefault="000F2A93" w:rsidP="006A7617">
      <w:pPr>
        <w:pStyle w:val="Akapitzlist"/>
        <w:numPr>
          <w:ilvl w:val="0"/>
          <w:numId w:val="2"/>
        </w:numPr>
        <w:tabs>
          <w:tab w:val="left" w:pos="284"/>
        </w:tabs>
        <w:autoSpaceDE w:val="0"/>
        <w:autoSpaceDN w:val="0"/>
        <w:adjustRightInd w:val="0"/>
        <w:spacing w:before="24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Okres wdrażania </w:t>
      </w:r>
    </w:p>
    <w:p w14:paraId="71401196" w14:textId="51E2233B" w:rsidR="00BF5499" w:rsidRPr="00BF5499" w:rsidRDefault="00BF5499" w:rsidP="00E73F90">
      <w:pPr>
        <w:tabs>
          <w:tab w:val="left" w:pos="284"/>
        </w:tabs>
        <w:autoSpaceDE w:val="0"/>
        <w:autoSpaceDN w:val="0"/>
        <w:adjustRightInd w:val="0"/>
        <w:spacing w:before="240" w:after="120" w:line="276" w:lineRule="auto"/>
        <w:rPr>
          <w:rFonts w:asciiTheme="minorHAnsi" w:hAnsiTheme="minorHAnsi"/>
          <w:color w:val="000000"/>
          <w:sz w:val="22"/>
          <w:szCs w:val="22"/>
        </w:rPr>
      </w:pPr>
      <w:r w:rsidRPr="00BF5499">
        <w:rPr>
          <w:rFonts w:asciiTheme="minorHAnsi" w:hAnsiTheme="minorHAnsi"/>
          <w:color w:val="000000"/>
          <w:sz w:val="22"/>
          <w:szCs w:val="22"/>
        </w:rPr>
        <w:t>Program realizowany będzie w latach 202</w:t>
      </w:r>
      <w:r w:rsidR="0026238F">
        <w:rPr>
          <w:rFonts w:asciiTheme="minorHAnsi" w:hAnsiTheme="minorHAnsi"/>
          <w:color w:val="000000"/>
          <w:sz w:val="22"/>
          <w:szCs w:val="22"/>
        </w:rPr>
        <w:t>6</w:t>
      </w:r>
      <w:r w:rsidRPr="00BF5499">
        <w:rPr>
          <w:rFonts w:asciiTheme="minorHAnsi" w:hAnsiTheme="minorHAnsi"/>
          <w:color w:val="000000"/>
          <w:sz w:val="22"/>
          <w:szCs w:val="22"/>
        </w:rPr>
        <w:t xml:space="preserve"> – 20</w:t>
      </w:r>
      <w:r w:rsidR="0026238F">
        <w:rPr>
          <w:rFonts w:asciiTheme="minorHAnsi" w:hAnsiTheme="minorHAnsi"/>
          <w:color w:val="000000"/>
          <w:sz w:val="22"/>
          <w:szCs w:val="22"/>
        </w:rPr>
        <w:t>30</w:t>
      </w:r>
      <w:r w:rsidRPr="00BF5499">
        <w:rPr>
          <w:rFonts w:asciiTheme="minorHAnsi" w:hAnsiTheme="minorHAnsi"/>
          <w:color w:val="000000"/>
          <w:sz w:val="22"/>
          <w:szCs w:val="22"/>
        </w:rPr>
        <w:t>, przy czym:</w:t>
      </w:r>
    </w:p>
    <w:p w14:paraId="41EF9BDB" w14:textId="35B886A8" w:rsidR="00BF5499" w:rsidRPr="00BF5499" w:rsidRDefault="00BF5499" w:rsidP="00E73F90">
      <w:pPr>
        <w:tabs>
          <w:tab w:val="left" w:pos="284"/>
        </w:tabs>
        <w:autoSpaceDE w:val="0"/>
        <w:autoSpaceDN w:val="0"/>
        <w:adjustRightInd w:val="0"/>
        <w:spacing w:before="60" w:after="60" w:line="276" w:lineRule="auto"/>
        <w:rPr>
          <w:rFonts w:asciiTheme="minorHAnsi" w:hAnsiTheme="minorHAnsi"/>
          <w:color w:val="000000"/>
          <w:sz w:val="22"/>
          <w:szCs w:val="22"/>
        </w:rPr>
      </w:pPr>
      <w:r w:rsidRPr="00BF5499">
        <w:rPr>
          <w:rFonts w:asciiTheme="minorHAnsi" w:hAnsiTheme="minorHAnsi"/>
          <w:color w:val="000000"/>
          <w:sz w:val="22"/>
          <w:szCs w:val="22"/>
        </w:rPr>
        <w:t>1)</w:t>
      </w:r>
      <w:r w:rsidRPr="00BF5499">
        <w:rPr>
          <w:rFonts w:asciiTheme="minorHAnsi" w:hAnsiTheme="minorHAnsi"/>
          <w:color w:val="000000"/>
          <w:sz w:val="22"/>
          <w:szCs w:val="22"/>
        </w:rPr>
        <w:tab/>
        <w:t xml:space="preserve">zobowiązania (rozumiane jako podpisywanie umów) podejmowane będą do </w:t>
      </w:r>
      <w:r w:rsidR="004652A5">
        <w:rPr>
          <w:rFonts w:asciiTheme="minorHAnsi" w:hAnsiTheme="minorHAnsi"/>
          <w:color w:val="000000"/>
          <w:sz w:val="22"/>
          <w:szCs w:val="22"/>
        </w:rPr>
        <w:t>31</w:t>
      </w:r>
      <w:r w:rsidRPr="00BF5499">
        <w:rPr>
          <w:rFonts w:asciiTheme="minorHAnsi" w:hAnsiTheme="minorHAnsi"/>
          <w:color w:val="000000"/>
          <w:sz w:val="22"/>
          <w:szCs w:val="22"/>
        </w:rPr>
        <w:t>.</w:t>
      </w:r>
      <w:r w:rsidR="00C824BD">
        <w:rPr>
          <w:rFonts w:asciiTheme="minorHAnsi" w:hAnsiTheme="minorHAnsi"/>
          <w:color w:val="000000"/>
          <w:sz w:val="22"/>
          <w:szCs w:val="22"/>
        </w:rPr>
        <w:t>12</w:t>
      </w:r>
      <w:r w:rsidRPr="00BF5499">
        <w:rPr>
          <w:rFonts w:asciiTheme="minorHAnsi" w:hAnsiTheme="minorHAnsi"/>
          <w:color w:val="000000"/>
          <w:sz w:val="22"/>
          <w:szCs w:val="22"/>
        </w:rPr>
        <w:t>.202</w:t>
      </w:r>
      <w:r w:rsidR="00830B5B">
        <w:rPr>
          <w:rFonts w:asciiTheme="minorHAnsi" w:hAnsiTheme="minorHAnsi"/>
          <w:color w:val="000000"/>
          <w:sz w:val="22"/>
          <w:szCs w:val="22"/>
        </w:rPr>
        <w:t>9</w:t>
      </w:r>
      <w:r w:rsidRPr="00BF5499">
        <w:rPr>
          <w:rFonts w:asciiTheme="minorHAnsi" w:hAnsiTheme="minorHAnsi"/>
          <w:color w:val="000000"/>
          <w:sz w:val="22"/>
          <w:szCs w:val="22"/>
        </w:rPr>
        <w:t xml:space="preserve"> r.;</w:t>
      </w:r>
    </w:p>
    <w:p w14:paraId="1EBB9CD0" w14:textId="7AD1287D" w:rsidR="000D292C" w:rsidRDefault="00BF5499" w:rsidP="00E73F90">
      <w:pPr>
        <w:tabs>
          <w:tab w:val="left" w:pos="284"/>
        </w:tabs>
        <w:autoSpaceDE w:val="0"/>
        <w:autoSpaceDN w:val="0"/>
        <w:adjustRightInd w:val="0"/>
        <w:spacing w:before="60" w:after="60" w:line="276" w:lineRule="auto"/>
        <w:rPr>
          <w:rFonts w:asciiTheme="minorHAnsi" w:hAnsiTheme="minorHAnsi"/>
          <w:color w:val="000000"/>
          <w:sz w:val="22"/>
          <w:szCs w:val="22"/>
        </w:rPr>
      </w:pPr>
      <w:r w:rsidRPr="00BF5499">
        <w:rPr>
          <w:rFonts w:asciiTheme="minorHAnsi" w:hAnsiTheme="minorHAnsi"/>
          <w:color w:val="000000"/>
          <w:sz w:val="22"/>
          <w:szCs w:val="22"/>
        </w:rPr>
        <w:t>2)</w:t>
      </w:r>
      <w:r w:rsidRPr="00BF5499">
        <w:rPr>
          <w:rFonts w:asciiTheme="minorHAnsi" w:hAnsiTheme="minorHAnsi"/>
          <w:color w:val="000000"/>
          <w:sz w:val="22"/>
          <w:szCs w:val="22"/>
        </w:rPr>
        <w:tab/>
        <w:t>środki wydatkowane będą do 3</w:t>
      </w:r>
      <w:r w:rsidR="00093EA0">
        <w:rPr>
          <w:rFonts w:asciiTheme="minorHAnsi" w:hAnsiTheme="minorHAnsi"/>
          <w:color w:val="000000"/>
          <w:sz w:val="22"/>
          <w:szCs w:val="22"/>
        </w:rPr>
        <w:t>1</w:t>
      </w:r>
      <w:r w:rsidRPr="00BF5499">
        <w:rPr>
          <w:rFonts w:asciiTheme="minorHAnsi" w:hAnsiTheme="minorHAnsi"/>
          <w:color w:val="000000"/>
          <w:sz w:val="22"/>
          <w:szCs w:val="22"/>
        </w:rPr>
        <w:t>.</w:t>
      </w:r>
      <w:r w:rsidR="00093EA0">
        <w:rPr>
          <w:rFonts w:asciiTheme="minorHAnsi" w:hAnsiTheme="minorHAnsi"/>
          <w:color w:val="000000"/>
          <w:sz w:val="22"/>
          <w:szCs w:val="22"/>
        </w:rPr>
        <w:t>1</w:t>
      </w:r>
      <w:r w:rsidR="00015AAF">
        <w:rPr>
          <w:rFonts w:asciiTheme="minorHAnsi" w:hAnsiTheme="minorHAnsi"/>
          <w:color w:val="000000"/>
          <w:sz w:val="22"/>
          <w:szCs w:val="22"/>
        </w:rPr>
        <w:t>2</w:t>
      </w:r>
      <w:r w:rsidRPr="00BF5499">
        <w:rPr>
          <w:rFonts w:asciiTheme="minorHAnsi" w:hAnsiTheme="minorHAnsi"/>
          <w:color w:val="000000"/>
          <w:sz w:val="22"/>
          <w:szCs w:val="22"/>
        </w:rPr>
        <w:t>.20</w:t>
      </w:r>
      <w:r w:rsidR="00993F9A">
        <w:rPr>
          <w:rFonts w:asciiTheme="minorHAnsi" w:hAnsiTheme="minorHAnsi"/>
          <w:color w:val="000000"/>
          <w:sz w:val="22"/>
          <w:szCs w:val="22"/>
        </w:rPr>
        <w:t>30</w:t>
      </w:r>
      <w:r w:rsidRPr="00BF5499">
        <w:rPr>
          <w:rFonts w:asciiTheme="minorHAnsi" w:hAnsiTheme="minorHAnsi"/>
          <w:color w:val="000000"/>
          <w:sz w:val="22"/>
          <w:szCs w:val="22"/>
        </w:rPr>
        <w:t xml:space="preserve"> r.</w:t>
      </w:r>
    </w:p>
    <w:p w14:paraId="4AC962E6" w14:textId="491A8E46" w:rsidR="00DE543E" w:rsidRPr="00DE543E" w:rsidRDefault="00F5249F" w:rsidP="006A7617">
      <w:pPr>
        <w:pStyle w:val="Akapitzlist"/>
        <w:numPr>
          <w:ilvl w:val="0"/>
          <w:numId w:val="2"/>
        </w:numPr>
        <w:tabs>
          <w:tab w:val="left" w:pos="284"/>
        </w:tabs>
        <w:autoSpaceDE w:val="0"/>
        <w:autoSpaceDN w:val="0"/>
        <w:adjustRightInd w:val="0"/>
        <w:spacing w:before="24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Terminy </w:t>
      </w:r>
      <w:r w:rsidR="00304B3F" w:rsidRPr="00A64524">
        <w:rPr>
          <w:rFonts w:asciiTheme="minorHAnsi" w:hAnsiTheme="minorHAnsi"/>
          <w:b/>
          <w:color w:val="000000"/>
          <w:sz w:val="22"/>
          <w:szCs w:val="22"/>
        </w:rPr>
        <w:t xml:space="preserve">i sposób </w:t>
      </w:r>
      <w:r w:rsidRPr="00A64524">
        <w:rPr>
          <w:rFonts w:asciiTheme="minorHAnsi" w:hAnsiTheme="minorHAnsi"/>
          <w:b/>
          <w:color w:val="000000"/>
          <w:sz w:val="22"/>
          <w:szCs w:val="22"/>
        </w:rPr>
        <w:t>składania wniosków</w:t>
      </w:r>
    </w:p>
    <w:p w14:paraId="06ECAF90" w14:textId="5D265614" w:rsidR="008E0B6A" w:rsidRDefault="008E0B6A" w:rsidP="00E73F90">
      <w:pPr>
        <w:pStyle w:val="Akapitzlist"/>
        <w:tabs>
          <w:tab w:val="left" w:pos="284"/>
        </w:tabs>
        <w:autoSpaceDE w:val="0"/>
        <w:autoSpaceDN w:val="0"/>
        <w:adjustRightInd w:val="0"/>
        <w:spacing w:before="120" w:line="276" w:lineRule="auto"/>
        <w:ind w:left="0"/>
        <w:contextualSpacing w:val="0"/>
        <w:rPr>
          <w:rFonts w:asciiTheme="minorHAnsi" w:hAnsiTheme="minorHAnsi"/>
          <w:sz w:val="22"/>
          <w:szCs w:val="22"/>
        </w:rPr>
      </w:pPr>
      <w:r w:rsidRPr="000203D7">
        <w:rPr>
          <w:rFonts w:asciiTheme="minorHAnsi" w:hAnsiTheme="minorHAnsi"/>
          <w:color w:val="000000"/>
          <w:sz w:val="22"/>
          <w:szCs w:val="22"/>
        </w:rPr>
        <w:t>Nabór wniosków odbywa się</w:t>
      </w:r>
      <w:r w:rsidR="00057678" w:rsidRPr="000203D7">
        <w:rPr>
          <w:rFonts w:asciiTheme="minorHAnsi" w:hAnsiTheme="minorHAnsi"/>
          <w:color w:val="000000"/>
          <w:sz w:val="22"/>
          <w:szCs w:val="22"/>
        </w:rPr>
        <w:t xml:space="preserve"> w </w:t>
      </w:r>
      <w:r w:rsidRPr="000203D7">
        <w:rPr>
          <w:rFonts w:asciiTheme="minorHAnsi" w:hAnsiTheme="minorHAnsi"/>
          <w:color w:val="000000"/>
          <w:sz w:val="22"/>
          <w:szCs w:val="22"/>
        </w:rPr>
        <w:t>trybie ciągłym</w:t>
      </w:r>
      <w:r w:rsidR="00F056AA" w:rsidRPr="005518CC">
        <w:rPr>
          <w:rFonts w:asciiTheme="minorHAnsi" w:hAnsiTheme="minorHAnsi"/>
          <w:sz w:val="22"/>
          <w:szCs w:val="22"/>
        </w:rPr>
        <w:t xml:space="preserve"> </w:t>
      </w:r>
      <w:r w:rsidR="00702C13">
        <w:rPr>
          <w:rFonts w:asciiTheme="minorHAnsi" w:hAnsiTheme="minorHAnsi"/>
          <w:sz w:val="22"/>
          <w:szCs w:val="22"/>
        </w:rPr>
        <w:t xml:space="preserve">lub </w:t>
      </w:r>
      <w:r w:rsidR="003B2B21">
        <w:rPr>
          <w:rFonts w:asciiTheme="minorHAnsi" w:hAnsiTheme="minorHAnsi"/>
          <w:sz w:val="22"/>
          <w:szCs w:val="22"/>
        </w:rPr>
        <w:t>w trybie ciągłym konkurencyjnym</w:t>
      </w:r>
      <w:r w:rsidR="00DB1F87">
        <w:rPr>
          <w:rFonts w:asciiTheme="minorHAnsi" w:hAnsiTheme="minorHAnsi"/>
          <w:sz w:val="22"/>
          <w:szCs w:val="22"/>
        </w:rPr>
        <w:t>.</w:t>
      </w:r>
    </w:p>
    <w:p w14:paraId="19397FC9" w14:textId="77777777" w:rsidR="00AF7D8D" w:rsidRDefault="00AF7D8D" w:rsidP="00E73F90">
      <w:pPr>
        <w:pStyle w:val="Akapitzlist"/>
        <w:autoSpaceDE w:val="0"/>
        <w:autoSpaceDN w:val="0"/>
        <w:adjustRightInd w:val="0"/>
        <w:spacing w:before="120" w:line="276" w:lineRule="auto"/>
        <w:ind w:left="0"/>
        <w:contextualSpacing w:val="0"/>
        <w:rPr>
          <w:rFonts w:asciiTheme="minorHAnsi" w:hAnsiTheme="minorHAnsi"/>
          <w:sz w:val="22"/>
          <w:szCs w:val="22"/>
        </w:rPr>
      </w:pPr>
      <w:r w:rsidRPr="00D155D1">
        <w:rPr>
          <w:rFonts w:asciiTheme="minorHAnsi" w:hAnsiTheme="minorHAnsi"/>
          <w:sz w:val="22"/>
          <w:szCs w:val="22"/>
        </w:rPr>
        <w:t>Terminy, sposób składania i rozpatrywania wniosków</w:t>
      </w:r>
      <w:r>
        <w:rPr>
          <w:rFonts w:asciiTheme="minorHAnsi" w:hAnsiTheme="minorHAnsi"/>
          <w:sz w:val="22"/>
          <w:szCs w:val="22"/>
        </w:rPr>
        <w:t xml:space="preserve"> w ramach naborów ciągłych i ciągłym konkurencyjnym</w:t>
      </w:r>
      <w:r w:rsidRPr="00D155D1">
        <w:rPr>
          <w:rFonts w:asciiTheme="minorHAnsi" w:hAnsiTheme="minorHAnsi"/>
          <w:sz w:val="22"/>
          <w:szCs w:val="22"/>
        </w:rPr>
        <w:t xml:space="preserve"> określone zostaną odpowiednio w </w:t>
      </w:r>
      <w:r w:rsidRPr="005518CC">
        <w:rPr>
          <w:rFonts w:asciiTheme="minorHAnsi" w:hAnsiTheme="minorHAnsi"/>
          <w:sz w:val="22"/>
          <w:szCs w:val="22"/>
        </w:rPr>
        <w:t>Regulaminie naboru lub w ogłoszeniu o naborze,</w:t>
      </w:r>
      <w:r w:rsidRPr="00D155D1">
        <w:rPr>
          <w:rFonts w:asciiTheme="minorHAnsi" w:hAnsiTheme="minorHAnsi"/>
          <w:sz w:val="22"/>
          <w:szCs w:val="22"/>
        </w:rPr>
        <w:t xml:space="preserve"> które zamieszczone będą na stronie internetowej NFOŚiGW.</w:t>
      </w:r>
    </w:p>
    <w:p w14:paraId="77B76EED" w14:textId="450B46FC" w:rsidR="00DE543E" w:rsidRPr="00D155D1" w:rsidRDefault="00DB1F87" w:rsidP="006A7617">
      <w:pPr>
        <w:pStyle w:val="Akapitzlist"/>
        <w:autoSpaceDE w:val="0"/>
        <w:autoSpaceDN w:val="0"/>
        <w:adjustRightInd w:val="0"/>
        <w:spacing w:before="120" w:line="276" w:lineRule="auto"/>
        <w:ind w:left="0"/>
        <w:contextualSpacing w:val="0"/>
        <w:rPr>
          <w:rFonts w:asciiTheme="minorHAnsi" w:hAnsiTheme="minorHAnsi"/>
          <w:sz w:val="22"/>
          <w:szCs w:val="22"/>
        </w:rPr>
      </w:pPr>
      <w:r>
        <w:rPr>
          <w:rFonts w:asciiTheme="minorHAnsi" w:hAnsiTheme="minorHAnsi"/>
          <w:sz w:val="22"/>
          <w:szCs w:val="22"/>
        </w:rPr>
        <w:t xml:space="preserve">Przewiduje się przeprowadzenie </w:t>
      </w:r>
      <w:r w:rsidR="00440CAB">
        <w:rPr>
          <w:rFonts w:asciiTheme="minorHAnsi" w:hAnsiTheme="minorHAnsi"/>
          <w:sz w:val="22"/>
          <w:szCs w:val="22"/>
        </w:rPr>
        <w:t>odrębn</w:t>
      </w:r>
      <w:r w:rsidR="00FB1F78">
        <w:rPr>
          <w:rFonts w:asciiTheme="minorHAnsi" w:hAnsiTheme="minorHAnsi"/>
          <w:sz w:val="22"/>
          <w:szCs w:val="22"/>
        </w:rPr>
        <w:t>ego</w:t>
      </w:r>
      <w:r w:rsidR="00440CAB">
        <w:rPr>
          <w:rFonts w:asciiTheme="minorHAnsi" w:hAnsiTheme="minorHAnsi"/>
          <w:sz w:val="22"/>
          <w:szCs w:val="22"/>
        </w:rPr>
        <w:t xml:space="preserve"> </w:t>
      </w:r>
      <w:r>
        <w:rPr>
          <w:rFonts w:asciiTheme="minorHAnsi" w:hAnsiTheme="minorHAnsi"/>
          <w:sz w:val="22"/>
          <w:szCs w:val="22"/>
        </w:rPr>
        <w:t>nabor</w:t>
      </w:r>
      <w:r w:rsidR="00FB1F78">
        <w:rPr>
          <w:rFonts w:asciiTheme="minorHAnsi" w:hAnsiTheme="minorHAnsi"/>
          <w:sz w:val="22"/>
          <w:szCs w:val="22"/>
        </w:rPr>
        <w:t>u</w:t>
      </w:r>
      <w:r>
        <w:rPr>
          <w:rFonts w:asciiTheme="minorHAnsi" w:hAnsiTheme="minorHAnsi"/>
          <w:sz w:val="22"/>
          <w:szCs w:val="22"/>
        </w:rPr>
        <w:t xml:space="preserve"> ciągł</w:t>
      </w:r>
      <w:r w:rsidR="00FB1F78">
        <w:rPr>
          <w:rFonts w:asciiTheme="minorHAnsi" w:hAnsiTheme="minorHAnsi"/>
          <w:sz w:val="22"/>
          <w:szCs w:val="22"/>
        </w:rPr>
        <w:t>ego</w:t>
      </w:r>
      <w:r>
        <w:rPr>
          <w:rFonts w:asciiTheme="minorHAnsi" w:hAnsiTheme="minorHAnsi"/>
          <w:sz w:val="22"/>
          <w:szCs w:val="22"/>
        </w:rPr>
        <w:t xml:space="preserve"> dla </w:t>
      </w:r>
      <w:r w:rsidR="00FB1F78">
        <w:rPr>
          <w:rFonts w:asciiTheme="minorHAnsi" w:hAnsiTheme="minorHAnsi"/>
          <w:sz w:val="22"/>
          <w:szCs w:val="22"/>
        </w:rPr>
        <w:t>inwestycji</w:t>
      </w:r>
      <w:r>
        <w:rPr>
          <w:rFonts w:asciiTheme="minorHAnsi" w:hAnsiTheme="minorHAnsi"/>
          <w:sz w:val="22"/>
          <w:szCs w:val="22"/>
        </w:rPr>
        <w:t xml:space="preserve"> realizowanych w</w:t>
      </w:r>
      <w:r w:rsidR="00CA57C8">
        <w:rPr>
          <w:rFonts w:asciiTheme="minorHAnsi" w:hAnsiTheme="minorHAnsi"/>
          <w:sz w:val="22"/>
          <w:szCs w:val="22"/>
        </w:rPr>
        <w:t> </w:t>
      </w:r>
      <w:r>
        <w:rPr>
          <w:rFonts w:asciiTheme="minorHAnsi" w:hAnsiTheme="minorHAnsi"/>
          <w:sz w:val="22"/>
          <w:szCs w:val="22"/>
        </w:rPr>
        <w:t>formule ESCO/EPC.</w:t>
      </w:r>
      <w:r w:rsidR="000D22E3">
        <w:rPr>
          <w:rFonts w:asciiTheme="minorHAnsi" w:hAnsiTheme="minorHAnsi"/>
          <w:sz w:val="22"/>
          <w:szCs w:val="22"/>
        </w:rPr>
        <w:t xml:space="preserve"> Dla pozostałych </w:t>
      </w:r>
      <w:r w:rsidR="00E613A0">
        <w:rPr>
          <w:rFonts w:asciiTheme="minorHAnsi" w:hAnsiTheme="minorHAnsi"/>
          <w:sz w:val="22"/>
          <w:szCs w:val="22"/>
        </w:rPr>
        <w:t>inwestycji</w:t>
      </w:r>
      <w:r w:rsidR="000D22E3">
        <w:rPr>
          <w:rFonts w:asciiTheme="minorHAnsi" w:hAnsiTheme="minorHAnsi"/>
          <w:sz w:val="22"/>
          <w:szCs w:val="22"/>
        </w:rPr>
        <w:t xml:space="preserve"> </w:t>
      </w:r>
      <w:r w:rsidR="002864AA">
        <w:rPr>
          <w:rFonts w:asciiTheme="minorHAnsi" w:hAnsiTheme="minorHAnsi"/>
          <w:sz w:val="22"/>
          <w:szCs w:val="22"/>
        </w:rPr>
        <w:t xml:space="preserve">planowane jest przeprowadzenie </w:t>
      </w:r>
      <w:r w:rsidR="00761ECF">
        <w:rPr>
          <w:rFonts w:asciiTheme="minorHAnsi" w:hAnsiTheme="minorHAnsi"/>
          <w:sz w:val="22"/>
          <w:szCs w:val="22"/>
        </w:rPr>
        <w:t>naboru/</w:t>
      </w:r>
      <w:r w:rsidR="002864AA">
        <w:rPr>
          <w:rFonts w:asciiTheme="minorHAnsi" w:hAnsiTheme="minorHAnsi"/>
          <w:sz w:val="22"/>
          <w:szCs w:val="22"/>
        </w:rPr>
        <w:t xml:space="preserve">naborów </w:t>
      </w:r>
      <w:r w:rsidR="0056362F">
        <w:rPr>
          <w:rFonts w:asciiTheme="minorHAnsi" w:hAnsiTheme="minorHAnsi"/>
          <w:sz w:val="22"/>
          <w:szCs w:val="22"/>
        </w:rPr>
        <w:t>ciągłych konkurencyjnych</w:t>
      </w:r>
      <w:r w:rsidR="00CA062B">
        <w:rPr>
          <w:rFonts w:asciiTheme="minorHAnsi" w:hAnsiTheme="minorHAnsi"/>
          <w:sz w:val="22"/>
          <w:szCs w:val="22"/>
        </w:rPr>
        <w:t>.</w:t>
      </w:r>
      <w:r w:rsidR="002864AA">
        <w:rPr>
          <w:rFonts w:asciiTheme="minorHAnsi" w:hAnsiTheme="minorHAnsi"/>
          <w:sz w:val="22"/>
          <w:szCs w:val="22"/>
        </w:rPr>
        <w:t xml:space="preserve"> </w:t>
      </w:r>
    </w:p>
    <w:p w14:paraId="7ACED025" w14:textId="32F6BB8E" w:rsidR="00DA7CFB" w:rsidRPr="00A64524" w:rsidRDefault="00DA7CFB" w:rsidP="006A7617">
      <w:pPr>
        <w:pStyle w:val="Akapitzlist"/>
        <w:numPr>
          <w:ilvl w:val="0"/>
          <w:numId w:val="2"/>
        </w:numPr>
        <w:tabs>
          <w:tab w:val="left" w:pos="284"/>
        </w:tabs>
        <w:autoSpaceDE w:val="0"/>
        <w:autoSpaceDN w:val="0"/>
        <w:adjustRightInd w:val="0"/>
        <w:spacing w:before="240" w:after="120" w:line="276" w:lineRule="auto"/>
        <w:ind w:left="0" w:firstLine="0"/>
        <w:contextualSpacing w:val="0"/>
        <w:rPr>
          <w:rFonts w:asciiTheme="minorHAnsi" w:hAnsiTheme="minorHAnsi"/>
          <w:b/>
          <w:color w:val="000000"/>
          <w:sz w:val="22"/>
          <w:szCs w:val="22"/>
        </w:rPr>
      </w:pPr>
      <w:r w:rsidRPr="00A64524">
        <w:rPr>
          <w:rFonts w:asciiTheme="minorHAnsi" w:hAnsiTheme="minorHAnsi"/>
          <w:b/>
          <w:color w:val="000000"/>
          <w:sz w:val="22"/>
          <w:szCs w:val="22"/>
        </w:rPr>
        <w:t>Koszty kwalifikowane</w:t>
      </w:r>
    </w:p>
    <w:p w14:paraId="0C197A06" w14:textId="3AAFC6EB" w:rsidR="003869A6" w:rsidRPr="00A5287E" w:rsidRDefault="003869A6" w:rsidP="00E73F90">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sidRPr="00A5287E">
        <w:rPr>
          <w:rFonts w:asciiTheme="minorHAnsi" w:hAnsiTheme="minorHAnsi"/>
          <w:sz w:val="22"/>
          <w:szCs w:val="22"/>
        </w:rPr>
        <w:t>Okres kwalifikowalności kosztów od 01.</w:t>
      </w:r>
      <w:r w:rsidR="00AD18D0">
        <w:rPr>
          <w:rFonts w:asciiTheme="minorHAnsi" w:hAnsiTheme="minorHAnsi"/>
          <w:sz w:val="22"/>
          <w:szCs w:val="22"/>
        </w:rPr>
        <w:t>07</w:t>
      </w:r>
      <w:r w:rsidRPr="00A5287E">
        <w:rPr>
          <w:rFonts w:asciiTheme="minorHAnsi" w:hAnsiTheme="minorHAnsi"/>
          <w:sz w:val="22"/>
          <w:szCs w:val="22"/>
        </w:rPr>
        <w:t>.202</w:t>
      </w:r>
      <w:r w:rsidR="008E42FF">
        <w:rPr>
          <w:rFonts w:asciiTheme="minorHAnsi" w:hAnsiTheme="minorHAnsi"/>
          <w:sz w:val="22"/>
          <w:szCs w:val="22"/>
        </w:rPr>
        <w:t>6</w:t>
      </w:r>
      <w:r w:rsidRPr="00A5287E">
        <w:rPr>
          <w:rFonts w:asciiTheme="minorHAnsi" w:hAnsiTheme="minorHAnsi"/>
          <w:sz w:val="22"/>
          <w:szCs w:val="22"/>
        </w:rPr>
        <w:t xml:space="preserve"> r</w:t>
      </w:r>
      <w:r w:rsidRPr="00A5287E">
        <w:rPr>
          <w:rStyle w:val="Odwoaniedokomentarza"/>
          <w:rFonts w:asciiTheme="minorHAnsi" w:hAnsiTheme="minorHAnsi"/>
          <w:sz w:val="22"/>
          <w:szCs w:val="22"/>
        </w:rPr>
        <w:t xml:space="preserve">. </w:t>
      </w:r>
      <w:r w:rsidRPr="00A5287E">
        <w:rPr>
          <w:rFonts w:asciiTheme="minorHAnsi" w:hAnsiTheme="minorHAnsi"/>
          <w:sz w:val="22"/>
          <w:szCs w:val="22"/>
        </w:rPr>
        <w:t>do 3</w:t>
      </w:r>
      <w:r w:rsidR="00093EA0">
        <w:rPr>
          <w:rFonts w:asciiTheme="minorHAnsi" w:hAnsiTheme="minorHAnsi"/>
          <w:sz w:val="22"/>
          <w:szCs w:val="22"/>
        </w:rPr>
        <w:t>1</w:t>
      </w:r>
      <w:r w:rsidRPr="00A5287E">
        <w:rPr>
          <w:rFonts w:asciiTheme="minorHAnsi" w:hAnsiTheme="minorHAnsi"/>
          <w:sz w:val="22"/>
          <w:szCs w:val="22"/>
        </w:rPr>
        <w:t>.</w:t>
      </w:r>
      <w:r w:rsidR="004B36B8">
        <w:rPr>
          <w:rFonts w:asciiTheme="minorHAnsi" w:hAnsiTheme="minorHAnsi"/>
          <w:sz w:val="22"/>
          <w:szCs w:val="22"/>
        </w:rPr>
        <w:t>10</w:t>
      </w:r>
      <w:r w:rsidRPr="00A5287E">
        <w:rPr>
          <w:rFonts w:asciiTheme="minorHAnsi" w:hAnsiTheme="minorHAnsi"/>
          <w:sz w:val="22"/>
          <w:szCs w:val="22"/>
        </w:rPr>
        <w:t>.20</w:t>
      </w:r>
      <w:r w:rsidR="008E42FF">
        <w:rPr>
          <w:rFonts w:asciiTheme="minorHAnsi" w:hAnsiTheme="minorHAnsi"/>
          <w:sz w:val="22"/>
          <w:szCs w:val="22"/>
        </w:rPr>
        <w:t>30</w:t>
      </w:r>
      <w:r w:rsidRPr="00A5287E">
        <w:rPr>
          <w:rFonts w:asciiTheme="minorHAnsi" w:hAnsiTheme="minorHAnsi"/>
          <w:sz w:val="22"/>
          <w:szCs w:val="22"/>
        </w:rPr>
        <w:t xml:space="preserve"> r.</w:t>
      </w:r>
      <w:r w:rsidR="0062192D" w:rsidRPr="00A5287E">
        <w:rPr>
          <w:rFonts w:asciiTheme="minorHAnsi" w:hAnsiTheme="minorHAnsi"/>
          <w:sz w:val="22"/>
          <w:szCs w:val="22"/>
        </w:rPr>
        <w:t>, w którym poniesione koszty</w:t>
      </w:r>
      <w:r w:rsidR="008800F6" w:rsidRPr="00A5287E">
        <w:rPr>
          <w:rFonts w:asciiTheme="minorHAnsi" w:hAnsiTheme="minorHAnsi"/>
          <w:sz w:val="22"/>
          <w:szCs w:val="22"/>
        </w:rPr>
        <w:t xml:space="preserve"> </w:t>
      </w:r>
      <w:r w:rsidR="0062192D" w:rsidRPr="00A5287E">
        <w:rPr>
          <w:rFonts w:asciiTheme="minorHAnsi" w:hAnsiTheme="minorHAnsi"/>
          <w:sz w:val="22"/>
          <w:szCs w:val="22"/>
        </w:rPr>
        <w:t>mogą być uznane za kwalifikowane.</w:t>
      </w:r>
    </w:p>
    <w:p w14:paraId="21D73039" w14:textId="366014A2" w:rsidR="00F056AA" w:rsidRDefault="00CC5159" w:rsidP="00E73F90">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rPr>
      </w:pPr>
      <w:r>
        <w:rPr>
          <w:rFonts w:asciiTheme="minorHAnsi" w:hAnsiTheme="minorHAnsi"/>
          <w:sz w:val="22"/>
          <w:szCs w:val="22"/>
        </w:rPr>
        <w:t>Koszty kwalifikowane</w:t>
      </w:r>
      <w:r w:rsidR="006414D4">
        <w:rPr>
          <w:rFonts w:asciiTheme="minorHAnsi" w:hAnsiTheme="minorHAnsi"/>
          <w:sz w:val="22"/>
          <w:szCs w:val="22"/>
        </w:rPr>
        <w:t xml:space="preserve"> - </w:t>
      </w:r>
      <w:r w:rsidR="007F1FEA" w:rsidRPr="00E216F5">
        <w:rPr>
          <w:rFonts w:asciiTheme="minorHAnsi" w:hAnsiTheme="minorHAnsi"/>
          <w:sz w:val="22"/>
          <w:szCs w:val="22"/>
        </w:rPr>
        <w:t>zgodnie z „Wytycznymi w zakre</w:t>
      </w:r>
      <w:r w:rsidR="007F1FEA">
        <w:rPr>
          <w:rFonts w:asciiTheme="minorHAnsi" w:hAnsiTheme="minorHAnsi"/>
          <w:sz w:val="22"/>
          <w:szCs w:val="22"/>
        </w:rPr>
        <w:t>sie kosztów kwalifikowanych"</w:t>
      </w:r>
      <w:r w:rsidR="007F1FEA">
        <w:rPr>
          <w:rFonts w:asciiTheme="minorHAnsi" w:hAnsiTheme="minorHAnsi"/>
          <w:sz w:val="22"/>
        </w:rPr>
        <w:t xml:space="preserve"> </w:t>
      </w:r>
      <w:r w:rsidR="00B01A14">
        <w:rPr>
          <w:rFonts w:asciiTheme="minorHAnsi" w:hAnsiTheme="minorHAnsi"/>
          <w:sz w:val="22"/>
        </w:rPr>
        <w:t>z</w:t>
      </w:r>
      <w:r w:rsidR="00466B03">
        <w:rPr>
          <w:rFonts w:asciiTheme="minorHAnsi" w:hAnsiTheme="minorHAnsi"/>
          <w:sz w:val="22"/>
        </w:rPr>
        <w:t> </w:t>
      </w:r>
      <w:r w:rsidR="002504A3">
        <w:rPr>
          <w:rFonts w:asciiTheme="minorHAnsi" w:hAnsiTheme="minorHAnsi"/>
          <w:sz w:val="22"/>
        </w:rPr>
        <w:t xml:space="preserve">uwzględnieniem </w:t>
      </w:r>
      <w:r w:rsidR="00F056AA" w:rsidRPr="00704D25">
        <w:rPr>
          <w:rFonts w:asciiTheme="minorHAnsi" w:hAnsiTheme="minorHAnsi"/>
          <w:sz w:val="22"/>
        </w:rPr>
        <w:t>„Ramow</w:t>
      </w:r>
      <w:r w:rsidR="0093533F" w:rsidRPr="00704D25">
        <w:rPr>
          <w:rFonts w:asciiTheme="minorHAnsi" w:hAnsiTheme="minorHAnsi"/>
          <w:sz w:val="22"/>
        </w:rPr>
        <w:t>ego</w:t>
      </w:r>
      <w:r w:rsidR="00F056AA" w:rsidRPr="00704D25">
        <w:rPr>
          <w:rFonts w:asciiTheme="minorHAnsi" w:hAnsiTheme="minorHAnsi"/>
          <w:sz w:val="22"/>
        </w:rPr>
        <w:t xml:space="preserve"> Katalog</w:t>
      </w:r>
      <w:r w:rsidR="0093533F" w:rsidRPr="00704D25">
        <w:rPr>
          <w:rFonts w:asciiTheme="minorHAnsi" w:hAnsiTheme="minorHAnsi"/>
          <w:sz w:val="22"/>
        </w:rPr>
        <w:t>u</w:t>
      </w:r>
      <w:r w:rsidR="00F056AA" w:rsidRPr="00704D25">
        <w:rPr>
          <w:rFonts w:asciiTheme="minorHAnsi" w:hAnsiTheme="minorHAnsi"/>
          <w:sz w:val="22"/>
        </w:rPr>
        <w:t xml:space="preserve"> Kosztów</w:t>
      </w:r>
      <w:r w:rsidR="006414D4" w:rsidRPr="00704D25">
        <w:rPr>
          <w:rFonts w:asciiTheme="minorHAnsi" w:hAnsiTheme="minorHAnsi"/>
          <w:sz w:val="22"/>
        </w:rPr>
        <w:t xml:space="preserve"> </w:t>
      </w:r>
      <w:r w:rsidR="00F056AA" w:rsidRPr="00704D25">
        <w:rPr>
          <w:rFonts w:asciiTheme="minorHAnsi" w:hAnsiTheme="minorHAnsi"/>
          <w:sz w:val="22"/>
        </w:rPr>
        <w:t>Kwalifikowanych”</w:t>
      </w:r>
      <w:r w:rsidR="00F056AA">
        <w:rPr>
          <w:rFonts w:asciiTheme="minorHAnsi" w:hAnsiTheme="minorHAnsi"/>
          <w:sz w:val="22"/>
        </w:rPr>
        <w:t xml:space="preserve"> </w:t>
      </w:r>
      <w:r w:rsidR="00F056AA" w:rsidRPr="00F056AA">
        <w:rPr>
          <w:rFonts w:asciiTheme="minorHAnsi" w:hAnsiTheme="minorHAnsi"/>
          <w:sz w:val="22"/>
        </w:rPr>
        <w:t>o</w:t>
      </w:r>
      <w:r w:rsidR="00205A45">
        <w:rPr>
          <w:rFonts w:asciiTheme="minorHAnsi" w:hAnsiTheme="minorHAnsi"/>
          <w:sz w:val="22"/>
        </w:rPr>
        <w:t>kreślającego</w:t>
      </w:r>
      <w:r w:rsidR="00F056AA" w:rsidRPr="00F056AA">
        <w:rPr>
          <w:rFonts w:asciiTheme="minorHAnsi" w:hAnsiTheme="minorHAnsi"/>
          <w:sz w:val="22"/>
        </w:rPr>
        <w:t xml:space="preserve"> zakres </w:t>
      </w:r>
      <w:r w:rsidR="007760FE">
        <w:rPr>
          <w:rFonts w:asciiTheme="minorHAnsi" w:hAnsiTheme="minorHAnsi"/>
          <w:sz w:val="22"/>
        </w:rPr>
        <w:t>inwestycji</w:t>
      </w:r>
      <w:r w:rsidR="00F056AA" w:rsidRPr="00F056AA">
        <w:rPr>
          <w:rFonts w:asciiTheme="minorHAnsi" w:hAnsiTheme="minorHAnsi"/>
          <w:sz w:val="22"/>
        </w:rPr>
        <w:t>, służący do osiągnięcia celu</w:t>
      </w:r>
      <w:r w:rsidR="00400085">
        <w:rPr>
          <w:rFonts w:asciiTheme="minorHAnsi" w:hAnsiTheme="minorHAnsi"/>
          <w:sz w:val="22"/>
        </w:rPr>
        <w:t xml:space="preserve"> programu.</w:t>
      </w:r>
      <w:r w:rsidR="00F2433A">
        <w:rPr>
          <w:rFonts w:asciiTheme="minorHAnsi" w:hAnsiTheme="minorHAnsi"/>
          <w:sz w:val="22"/>
        </w:rPr>
        <w:t xml:space="preserve"> Koszty kwalifikowane muszą wynikać z</w:t>
      </w:r>
      <w:r w:rsidR="003A3A3D">
        <w:rPr>
          <w:rFonts w:asciiTheme="minorHAnsi" w:hAnsiTheme="minorHAnsi"/>
          <w:sz w:val="22"/>
        </w:rPr>
        <w:t> </w:t>
      </w:r>
      <w:r w:rsidR="00F2433A">
        <w:rPr>
          <w:rFonts w:asciiTheme="minorHAnsi" w:hAnsiTheme="minorHAnsi"/>
          <w:sz w:val="22"/>
        </w:rPr>
        <w:t>audytu energetycz</w:t>
      </w:r>
      <w:r w:rsidR="004639B4">
        <w:rPr>
          <w:rFonts w:asciiTheme="minorHAnsi" w:hAnsiTheme="minorHAnsi"/>
          <w:sz w:val="22"/>
        </w:rPr>
        <w:t>nego, za wyjątkiem kosztów opisanych w pkt</w:t>
      </w:r>
      <w:r w:rsidR="003A3A3D">
        <w:rPr>
          <w:rFonts w:asciiTheme="minorHAnsi" w:hAnsiTheme="minorHAnsi"/>
          <w:sz w:val="22"/>
        </w:rPr>
        <w:t xml:space="preserve"> 3-5.</w:t>
      </w:r>
    </w:p>
    <w:p w14:paraId="39DFF479" w14:textId="6EBF2547" w:rsidR="009E746A" w:rsidRPr="00906C64" w:rsidRDefault="00485B66" w:rsidP="00E73F90">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Pr>
          <w:rFonts w:asciiTheme="minorHAnsi" w:hAnsiTheme="minorHAnsi"/>
          <w:sz w:val="22"/>
          <w:szCs w:val="22"/>
        </w:rPr>
        <w:t>K</w:t>
      </w:r>
      <w:r w:rsidR="009E746A" w:rsidRPr="00906C64">
        <w:rPr>
          <w:rFonts w:asciiTheme="minorHAnsi" w:hAnsiTheme="minorHAnsi"/>
          <w:sz w:val="22"/>
          <w:szCs w:val="22"/>
        </w:rPr>
        <w:t>oszty związane z elementami niewynikającymi z audytów energetycznych, jeżeli realizują szersze cele Europejskiego Zielonego Ładu, w tym strategii na rzecz Fali renowacji, np.</w:t>
      </w:r>
      <w:r w:rsidR="00E73F90">
        <w:rPr>
          <w:rFonts w:asciiTheme="minorHAnsi" w:hAnsiTheme="minorHAnsi"/>
          <w:sz w:val="22"/>
          <w:szCs w:val="22"/>
        </w:rPr>
        <w:t> </w:t>
      </w:r>
      <w:r w:rsidR="009E746A" w:rsidRPr="00906C64">
        <w:rPr>
          <w:rFonts w:asciiTheme="minorHAnsi" w:hAnsiTheme="minorHAnsi"/>
          <w:sz w:val="22"/>
          <w:szCs w:val="22"/>
        </w:rPr>
        <w:t xml:space="preserve">zwiększenie powierzchni zielonych (zielone dachy, ściany), rozwój </w:t>
      </w:r>
      <w:proofErr w:type="spellStart"/>
      <w:r w:rsidR="009E746A" w:rsidRPr="00906C64">
        <w:rPr>
          <w:rFonts w:asciiTheme="minorHAnsi" w:hAnsiTheme="minorHAnsi"/>
          <w:sz w:val="22"/>
          <w:szCs w:val="22"/>
        </w:rPr>
        <w:t>elektromobilności</w:t>
      </w:r>
      <w:proofErr w:type="spellEnd"/>
      <w:r w:rsidR="009E746A" w:rsidRPr="00906C64">
        <w:rPr>
          <w:rFonts w:asciiTheme="minorHAnsi" w:hAnsiTheme="minorHAnsi"/>
          <w:sz w:val="22"/>
          <w:szCs w:val="22"/>
        </w:rPr>
        <w:t>, rozwiązania na rzecz gospodarki o obiegu zamkniętym, infrastruktura związana z</w:t>
      </w:r>
      <w:r w:rsidR="00130DB8">
        <w:rPr>
          <w:rFonts w:asciiTheme="minorHAnsi" w:hAnsiTheme="minorHAnsi"/>
          <w:sz w:val="22"/>
          <w:szCs w:val="22"/>
        </w:rPr>
        <w:t> </w:t>
      </w:r>
      <w:r w:rsidR="009E746A" w:rsidRPr="00906C64">
        <w:rPr>
          <w:rFonts w:asciiTheme="minorHAnsi" w:hAnsiTheme="minorHAnsi"/>
          <w:sz w:val="22"/>
          <w:szCs w:val="22"/>
        </w:rPr>
        <w:t>dostępnością, montaż urządzeń do magazynowania energii i służących cyfryzacji budynku kwalifikuje się do wysokości nieprzekraczającej 15% kosztów kwalifikowanych przedsięwzięcia</w:t>
      </w:r>
      <w:r w:rsidR="003A3A3D">
        <w:rPr>
          <w:rFonts w:asciiTheme="minorHAnsi" w:hAnsiTheme="minorHAnsi"/>
          <w:sz w:val="22"/>
          <w:szCs w:val="22"/>
        </w:rPr>
        <w:t>.</w:t>
      </w:r>
    </w:p>
    <w:p w14:paraId="4F5D9B68" w14:textId="6EFB808A" w:rsidR="004916B5" w:rsidRDefault="00115BF0" w:rsidP="00E73F90">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sidRPr="00D905CF">
        <w:rPr>
          <w:rFonts w:asciiTheme="minorHAnsi" w:hAnsiTheme="minorHAnsi"/>
          <w:sz w:val="22"/>
          <w:szCs w:val="22"/>
        </w:rPr>
        <w:t xml:space="preserve">Koszty zarządzania </w:t>
      </w:r>
      <w:r w:rsidR="00704D25">
        <w:rPr>
          <w:rFonts w:asciiTheme="minorHAnsi" w:hAnsiTheme="minorHAnsi"/>
          <w:sz w:val="22"/>
          <w:szCs w:val="22"/>
        </w:rPr>
        <w:t>inwestycją</w:t>
      </w:r>
      <w:r w:rsidRPr="00D905CF">
        <w:rPr>
          <w:rFonts w:asciiTheme="minorHAnsi" w:hAnsiTheme="minorHAnsi"/>
          <w:sz w:val="22"/>
          <w:szCs w:val="22"/>
        </w:rPr>
        <w:t xml:space="preserve"> są niekwalifikowane za wyjątkiem </w:t>
      </w:r>
      <w:r w:rsidR="006652DF" w:rsidRPr="00D905CF">
        <w:rPr>
          <w:rFonts w:asciiTheme="minorHAnsi" w:hAnsiTheme="minorHAnsi"/>
          <w:sz w:val="22"/>
          <w:szCs w:val="22"/>
        </w:rPr>
        <w:t xml:space="preserve">kosztów </w:t>
      </w:r>
      <w:r w:rsidR="000C3485" w:rsidRPr="00D905CF">
        <w:rPr>
          <w:rFonts w:asciiTheme="minorHAnsi" w:hAnsiTheme="minorHAnsi"/>
          <w:sz w:val="22"/>
          <w:szCs w:val="22"/>
        </w:rPr>
        <w:t>wynikających z</w:t>
      </w:r>
      <w:r w:rsidR="00295FF9">
        <w:rPr>
          <w:rFonts w:asciiTheme="minorHAnsi" w:hAnsiTheme="minorHAnsi"/>
          <w:sz w:val="22"/>
          <w:szCs w:val="22"/>
        </w:rPr>
        <w:t> </w:t>
      </w:r>
      <w:r w:rsidR="000C3485" w:rsidRPr="00D905CF">
        <w:rPr>
          <w:rFonts w:asciiTheme="minorHAnsi" w:hAnsiTheme="minorHAnsi"/>
          <w:sz w:val="22"/>
          <w:szCs w:val="22"/>
        </w:rPr>
        <w:t xml:space="preserve">obowiązującego prawa </w:t>
      </w:r>
      <w:r w:rsidR="00D905CF">
        <w:rPr>
          <w:rFonts w:asciiTheme="minorHAnsi" w:hAnsiTheme="minorHAnsi"/>
          <w:sz w:val="22"/>
          <w:szCs w:val="22"/>
        </w:rPr>
        <w:t xml:space="preserve">(w tym w szczególności </w:t>
      </w:r>
      <w:r w:rsidR="007D1A72">
        <w:rPr>
          <w:rFonts w:asciiTheme="minorHAnsi" w:hAnsiTheme="minorHAnsi"/>
          <w:sz w:val="22"/>
          <w:szCs w:val="22"/>
        </w:rPr>
        <w:t>koszt</w:t>
      </w:r>
      <w:r w:rsidR="0001611F">
        <w:rPr>
          <w:rFonts w:asciiTheme="minorHAnsi" w:hAnsiTheme="minorHAnsi"/>
          <w:sz w:val="22"/>
          <w:szCs w:val="22"/>
        </w:rPr>
        <w:t>ów</w:t>
      </w:r>
      <w:r w:rsidR="007D1A72">
        <w:rPr>
          <w:rFonts w:asciiTheme="minorHAnsi" w:hAnsiTheme="minorHAnsi"/>
          <w:sz w:val="22"/>
          <w:szCs w:val="22"/>
        </w:rPr>
        <w:t xml:space="preserve"> inspektora nadzoru) oraz kosztów </w:t>
      </w:r>
      <w:r w:rsidR="0014715F">
        <w:rPr>
          <w:rFonts w:asciiTheme="minorHAnsi" w:hAnsiTheme="minorHAnsi"/>
          <w:sz w:val="22"/>
          <w:szCs w:val="22"/>
        </w:rPr>
        <w:t xml:space="preserve">zarządzania dla </w:t>
      </w:r>
      <w:r w:rsidR="007B227F">
        <w:rPr>
          <w:rFonts w:asciiTheme="minorHAnsi" w:hAnsiTheme="minorHAnsi"/>
          <w:sz w:val="22"/>
          <w:szCs w:val="22"/>
        </w:rPr>
        <w:t>inwestycji</w:t>
      </w:r>
      <w:r w:rsidR="0014715F">
        <w:rPr>
          <w:rFonts w:asciiTheme="minorHAnsi" w:hAnsiTheme="minorHAnsi"/>
          <w:sz w:val="22"/>
          <w:szCs w:val="22"/>
        </w:rPr>
        <w:t xml:space="preserve"> </w:t>
      </w:r>
      <w:r w:rsidR="003C1E3E">
        <w:rPr>
          <w:rFonts w:asciiTheme="minorHAnsi" w:hAnsiTheme="minorHAnsi"/>
          <w:sz w:val="22"/>
          <w:szCs w:val="22"/>
        </w:rPr>
        <w:t>realizowanych w formule ESCO/EPC</w:t>
      </w:r>
      <w:r w:rsidR="00D93C47">
        <w:rPr>
          <w:rFonts w:asciiTheme="minorHAnsi" w:hAnsiTheme="minorHAnsi"/>
          <w:sz w:val="22"/>
          <w:szCs w:val="22"/>
        </w:rPr>
        <w:t>.</w:t>
      </w:r>
      <w:r w:rsidR="009A0F39" w:rsidRPr="00D905CF">
        <w:rPr>
          <w:rFonts w:asciiTheme="minorHAnsi" w:hAnsiTheme="minorHAnsi"/>
          <w:sz w:val="22"/>
          <w:szCs w:val="22"/>
        </w:rPr>
        <w:t xml:space="preserve"> </w:t>
      </w:r>
      <w:r w:rsidR="0057736E">
        <w:rPr>
          <w:rFonts w:asciiTheme="minorHAnsi" w:hAnsiTheme="minorHAnsi"/>
          <w:sz w:val="22"/>
          <w:szCs w:val="22"/>
        </w:rPr>
        <w:t xml:space="preserve">Dla </w:t>
      </w:r>
      <w:r w:rsidR="00882A79">
        <w:rPr>
          <w:rFonts w:asciiTheme="minorHAnsi" w:hAnsiTheme="minorHAnsi"/>
          <w:sz w:val="22"/>
          <w:szCs w:val="22"/>
        </w:rPr>
        <w:t>w</w:t>
      </w:r>
      <w:r w:rsidR="00827686">
        <w:rPr>
          <w:rFonts w:asciiTheme="minorHAnsi" w:hAnsiTheme="minorHAnsi"/>
          <w:sz w:val="22"/>
          <w:szCs w:val="22"/>
        </w:rPr>
        <w:t>yżej opisanych wyjątków</w:t>
      </w:r>
      <w:r w:rsidR="001340CA">
        <w:rPr>
          <w:rFonts w:asciiTheme="minorHAnsi" w:hAnsiTheme="minorHAnsi"/>
          <w:sz w:val="22"/>
          <w:szCs w:val="22"/>
        </w:rPr>
        <w:t xml:space="preserve"> w</w:t>
      </w:r>
      <w:r w:rsidR="005E14DC" w:rsidRPr="00D905CF">
        <w:rPr>
          <w:rFonts w:asciiTheme="minorHAnsi" w:hAnsiTheme="minorHAnsi"/>
          <w:sz w:val="22"/>
          <w:szCs w:val="22"/>
        </w:rPr>
        <w:t xml:space="preserve">ysokość kosztów zarządzania  nie może przekraczać </w:t>
      </w:r>
      <w:r w:rsidR="001340CA">
        <w:rPr>
          <w:rFonts w:asciiTheme="minorHAnsi" w:hAnsiTheme="minorHAnsi"/>
          <w:sz w:val="22"/>
          <w:szCs w:val="22"/>
        </w:rPr>
        <w:t>5</w:t>
      </w:r>
      <w:r w:rsidR="005E14DC" w:rsidRPr="00D905CF">
        <w:rPr>
          <w:rFonts w:asciiTheme="minorHAnsi" w:hAnsiTheme="minorHAnsi"/>
          <w:sz w:val="22"/>
          <w:szCs w:val="22"/>
        </w:rPr>
        <w:t xml:space="preserve">% kosztów kwalifikowanych </w:t>
      </w:r>
      <w:r w:rsidR="004132F7">
        <w:rPr>
          <w:rFonts w:asciiTheme="minorHAnsi" w:hAnsiTheme="minorHAnsi"/>
          <w:sz w:val="22"/>
          <w:szCs w:val="22"/>
        </w:rPr>
        <w:t>inwestycji</w:t>
      </w:r>
      <w:r w:rsidR="001340CA">
        <w:rPr>
          <w:rFonts w:asciiTheme="minorHAnsi" w:hAnsiTheme="minorHAnsi"/>
          <w:sz w:val="22"/>
          <w:szCs w:val="22"/>
        </w:rPr>
        <w:t>.</w:t>
      </w:r>
    </w:p>
    <w:p w14:paraId="6CCFFB88" w14:textId="6368F8CF" w:rsidR="00615A68" w:rsidRDefault="00615A68" w:rsidP="00E73F90">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Pr>
          <w:rFonts w:asciiTheme="minorHAnsi" w:hAnsiTheme="minorHAnsi"/>
          <w:sz w:val="22"/>
          <w:szCs w:val="22"/>
        </w:rPr>
        <w:t xml:space="preserve">Dla </w:t>
      </w:r>
      <w:r w:rsidR="00F400ED">
        <w:rPr>
          <w:rFonts w:asciiTheme="minorHAnsi" w:hAnsiTheme="minorHAnsi"/>
          <w:sz w:val="22"/>
          <w:szCs w:val="22"/>
        </w:rPr>
        <w:t>inwestycji</w:t>
      </w:r>
      <w:r>
        <w:rPr>
          <w:rFonts w:asciiTheme="minorHAnsi" w:hAnsiTheme="minorHAnsi"/>
          <w:sz w:val="22"/>
          <w:szCs w:val="22"/>
        </w:rPr>
        <w:t xml:space="preserve"> realizowanych w formule ESCO/EPC</w:t>
      </w:r>
      <w:r w:rsidR="00254E70">
        <w:rPr>
          <w:rFonts w:asciiTheme="minorHAnsi" w:hAnsiTheme="minorHAnsi"/>
          <w:sz w:val="22"/>
          <w:szCs w:val="22"/>
        </w:rPr>
        <w:t xml:space="preserve"> </w:t>
      </w:r>
      <w:r w:rsidR="00E82507">
        <w:rPr>
          <w:rFonts w:asciiTheme="minorHAnsi" w:hAnsiTheme="minorHAnsi"/>
          <w:sz w:val="22"/>
          <w:szCs w:val="22"/>
        </w:rPr>
        <w:t xml:space="preserve">kwalifikowane są koszty </w:t>
      </w:r>
      <w:r w:rsidR="0071686A">
        <w:rPr>
          <w:rFonts w:asciiTheme="minorHAnsi" w:hAnsiTheme="minorHAnsi"/>
          <w:sz w:val="22"/>
          <w:szCs w:val="22"/>
        </w:rPr>
        <w:t>doradcy technicznego (</w:t>
      </w:r>
      <w:proofErr w:type="spellStart"/>
      <w:r w:rsidR="0071686A">
        <w:rPr>
          <w:rFonts w:asciiTheme="minorHAnsi" w:hAnsiTheme="minorHAnsi"/>
          <w:sz w:val="22"/>
          <w:szCs w:val="22"/>
        </w:rPr>
        <w:t>facylitatora</w:t>
      </w:r>
      <w:proofErr w:type="spellEnd"/>
      <w:r w:rsidR="0071686A">
        <w:rPr>
          <w:rFonts w:asciiTheme="minorHAnsi" w:hAnsiTheme="minorHAnsi"/>
          <w:sz w:val="22"/>
          <w:szCs w:val="22"/>
        </w:rPr>
        <w:t xml:space="preserve"> EPC).</w:t>
      </w:r>
    </w:p>
    <w:p w14:paraId="1B12BB1A" w14:textId="2DC5A38E" w:rsidR="00914E01" w:rsidRDefault="000A0F1D" w:rsidP="00E73F90">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Pr>
          <w:rFonts w:asciiTheme="minorHAnsi" w:hAnsiTheme="minorHAnsi"/>
          <w:sz w:val="22"/>
          <w:szCs w:val="22"/>
        </w:rPr>
        <w:t xml:space="preserve">Nie kwalifikowane są koszty </w:t>
      </w:r>
      <w:r w:rsidR="00CD532F">
        <w:rPr>
          <w:rFonts w:asciiTheme="minorHAnsi" w:hAnsiTheme="minorHAnsi"/>
          <w:sz w:val="22"/>
          <w:szCs w:val="22"/>
        </w:rPr>
        <w:t xml:space="preserve">instalacji lub modernizacji źródeł ciepła </w:t>
      </w:r>
      <w:r w:rsidR="00F8025E">
        <w:rPr>
          <w:rFonts w:asciiTheme="minorHAnsi" w:hAnsiTheme="minorHAnsi"/>
          <w:sz w:val="22"/>
          <w:szCs w:val="22"/>
        </w:rPr>
        <w:t>na paliwa kopalne.</w:t>
      </w:r>
    </w:p>
    <w:p w14:paraId="76B3CF10" w14:textId="56352545" w:rsidR="00D2000A" w:rsidRPr="006A7617" w:rsidRDefault="0032193C" w:rsidP="006A7617">
      <w:pPr>
        <w:pStyle w:val="Akapitzlist"/>
        <w:numPr>
          <w:ilvl w:val="0"/>
          <w:numId w:val="4"/>
        </w:numPr>
        <w:tabs>
          <w:tab w:val="left" w:pos="709"/>
        </w:tabs>
        <w:autoSpaceDE w:val="0"/>
        <w:autoSpaceDN w:val="0"/>
        <w:adjustRightInd w:val="0"/>
        <w:spacing w:before="240" w:after="60" w:line="276" w:lineRule="auto"/>
        <w:ind w:left="709" w:hanging="426"/>
        <w:rPr>
          <w:rFonts w:asciiTheme="minorHAnsi" w:hAnsiTheme="minorHAnsi"/>
          <w:sz w:val="22"/>
          <w:szCs w:val="22"/>
        </w:rPr>
      </w:pPr>
      <w:r w:rsidRPr="00762801">
        <w:rPr>
          <w:rFonts w:asciiTheme="minorHAnsi" w:hAnsiTheme="minorHAnsi"/>
          <w:sz w:val="22"/>
          <w:szCs w:val="22"/>
        </w:rPr>
        <w:lastRenderedPageBreak/>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z dnia 11 marca 2004 r. o podatku od towarów i usług. Oznacza to, że w przypadkach, gdy beneficjent może odliczyć podatek VAT, ale rezygnuje z tej możliwości, podatek VAT nie jest kosztem kwalifikowanym.</w:t>
      </w:r>
      <w:r w:rsidR="00FF05DA" w:rsidRPr="00762801">
        <w:rPr>
          <w:rFonts w:asciiTheme="minorHAnsi" w:hAnsiTheme="minorHAnsi"/>
          <w:sz w:val="22"/>
          <w:szCs w:val="22"/>
        </w:rPr>
        <w:t xml:space="preserve"> </w:t>
      </w:r>
      <w:r w:rsidR="00CF751A">
        <w:rPr>
          <w:rFonts w:asciiTheme="minorHAnsi" w:hAnsiTheme="minorHAnsi"/>
          <w:sz w:val="22"/>
          <w:szCs w:val="22"/>
        </w:rPr>
        <w:t xml:space="preserve">Zasady kwalifikowalności </w:t>
      </w:r>
      <w:r w:rsidR="00D05ABB">
        <w:rPr>
          <w:rFonts w:asciiTheme="minorHAnsi" w:hAnsiTheme="minorHAnsi"/>
          <w:sz w:val="22"/>
          <w:szCs w:val="22"/>
        </w:rPr>
        <w:t>opisane są szczegółowo w „Wytycznych w zakresie kosztów kwalifikowanych”.</w:t>
      </w:r>
    </w:p>
    <w:p w14:paraId="7CAC23BD" w14:textId="77777777" w:rsidR="00E5082D" w:rsidRPr="00E5082D" w:rsidRDefault="00610F15" w:rsidP="006A7617">
      <w:pPr>
        <w:pStyle w:val="Akapitzlist"/>
        <w:numPr>
          <w:ilvl w:val="0"/>
          <w:numId w:val="2"/>
        </w:numPr>
        <w:tabs>
          <w:tab w:val="left" w:pos="284"/>
        </w:tabs>
        <w:autoSpaceDE w:val="0"/>
        <w:autoSpaceDN w:val="0"/>
        <w:adjustRightInd w:val="0"/>
        <w:spacing w:before="240" w:after="120" w:line="276" w:lineRule="auto"/>
        <w:ind w:left="0" w:firstLine="0"/>
        <w:contextualSpacing w:val="0"/>
        <w:rPr>
          <w:rFonts w:asciiTheme="minorHAnsi" w:hAnsiTheme="minorHAnsi"/>
          <w:b/>
          <w:color w:val="000000"/>
          <w:sz w:val="22"/>
          <w:szCs w:val="22"/>
        </w:rPr>
      </w:pPr>
      <w:r w:rsidRPr="00E5082D">
        <w:rPr>
          <w:rFonts w:asciiTheme="minorHAnsi" w:hAnsiTheme="minorHAnsi"/>
          <w:b/>
          <w:color w:val="000000"/>
          <w:sz w:val="22"/>
          <w:szCs w:val="22"/>
        </w:rPr>
        <w:t xml:space="preserve">Formy i warunki </w:t>
      </w:r>
      <w:r w:rsidR="000F2A93" w:rsidRPr="00E5082D">
        <w:rPr>
          <w:rFonts w:asciiTheme="minorHAnsi" w:hAnsiTheme="minorHAnsi"/>
          <w:b/>
          <w:color w:val="000000"/>
          <w:sz w:val="22"/>
          <w:szCs w:val="22"/>
        </w:rPr>
        <w:t xml:space="preserve">udzielania </w:t>
      </w:r>
      <w:r w:rsidR="00FC3057" w:rsidRPr="00E5082D">
        <w:rPr>
          <w:rFonts w:asciiTheme="minorHAnsi" w:hAnsiTheme="minorHAnsi"/>
          <w:b/>
          <w:color w:val="000000"/>
          <w:sz w:val="22"/>
          <w:szCs w:val="22"/>
        </w:rPr>
        <w:t xml:space="preserve">dofinansowania </w:t>
      </w:r>
    </w:p>
    <w:p w14:paraId="72E3FE05" w14:textId="77777777" w:rsidR="00EF2200" w:rsidRPr="00A64524" w:rsidRDefault="00B36E2E" w:rsidP="00E73F90">
      <w:pPr>
        <w:pStyle w:val="Akapitzlist"/>
        <w:numPr>
          <w:ilvl w:val="1"/>
          <w:numId w:val="3"/>
        </w:numPr>
        <w:tabs>
          <w:tab w:val="left" w:pos="426"/>
        </w:tabs>
        <w:autoSpaceDE w:val="0"/>
        <w:autoSpaceDN w:val="0"/>
        <w:adjustRightInd w:val="0"/>
        <w:spacing w:before="120" w:after="120" w:line="276"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Form</w:t>
      </w:r>
      <w:r w:rsidR="000F2A93" w:rsidRPr="00A64524">
        <w:rPr>
          <w:rFonts w:asciiTheme="minorHAnsi" w:hAnsiTheme="minorHAnsi"/>
          <w:b/>
          <w:color w:val="000000"/>
          <w:sz w:val="22"/>
          <w:szCs w:val="22"/>
        </w:rPr>
        <w:t>y</w:t>
      </w:r>
      <w:r w:rsidR="00EF2200" w:rsidRPr="00A64524">
        <w:rPr>
          <w:rFonts w:asciiTheme="minorHAnsi" w:hAnsiTheme="minorHAnsi"/>
          <w:b/>
          <w:color w:val="000000"/>
          <w:sz w:val="22"/>
          <w:szCs w:val="22"/>
        </w:rPr>
        <w:t xml:space="preserve"> dofinansowania</w:t>
      </w:r>
    </w:p>
    <w:p w14:paraId="45FBFF16" w14:textId="14724B97" w:rsidR="00BF5499" w:rsidRPr="009B1E7C" w:rsidRDefault="008D5EFF" w:rsidP="00E73F90">
      <w:pPr>
        <w:pStyle w:val="Akapitzlist"/>
        <w:numPr>
          <w:ilvl w:val="0"/>
          <w:numId w:val="25"/>
        </w:numPr>
        <w:autoSpaceDE w:val="0"/>
        <w:autoSpaceDN w:val="0"/>
        <w:adjustRightInd w:val="0"/>
        <w:spacing w:before="120" w:line="276" w:lineRule="auto"/>
        <w:rPr>
          <w:rFonts w:asciiTheme="minorHAnsi" w:hAnsiTheme="minorHAnsi"/>
          <w:sz w:val="22"/>
          <w:szCs w:val="22"/>
        </w:rPr>
      </w:pPr>
      <w:r>
        <w:rPr>
          <w:rFonts w:asciiTheme="minorHAnsi" w:hAnsiTheme="minorHAnsi"/>
          <w:sz w:val="22"/>
          <w:szCs w:val="22"/>
        </w:rPr>
        <w:t>d</w:t>
      </w:r>
      <w:r w:rsidR="00BF5499" w:rsidRPr="009B1E7C">
        <w:rPr>
          <w:rFonts w:asciiTheme="minorHAnsi" w:hAnsiTheme="minorHAnsi"/>
          <w:sz w:val="22"/>
          <w:szCs w:val="22"/>
        </w:rPr>
        <w:t>otacja</w:t>
      </w:r>
      <w:r>
        <w:rPr>
          <w:rFonts w:asciiTheme="minorHAnsi" w:hAnsiTheme="minorHAnsi"/>
          <w:sz w:val="22"/>
          <w:szCs w:val="22"/>
        </w:rPr>
        <w:t>;</w:t>
      </w:r>
    </w:p>
    <w:p w14:paraId="2F950977" w14:textId="22062E4F" w:rsidR="00E5082D" w:rsidRPr="006A7617" w:rsidRDefault="008D5EFF" w:rsidP="006A7617">
      <w:pPr>
        <w:pStyle w:val="Akapitzlist"/>
        <w:numPr>
          <w:ilvl w:val="0"/>
          <w:numId w:val="25"/>
        </w:numPr>
        <w:autoSpaceDE w:val="0"/>
        <w:autoSpaceDN w:val="0"/>
        <w:adjustRightInd w:val="0"/>
        <w:spacing w:before="120" w:line="276" w:lineRule="auto"/>
        <w:rPr>
          <w:rFonts w:asciiTheme="minorHAnsi" w:hAnsiTheme="minorHAnsi"/>
          <w:sz w:val="22"/>
          <w:szCs w:val="22"/>
        </w:rPr>
      </w:pPr>
      <w:r>
        <w:rPr>
          <w:rFonts w:asciiTheme="minorHAnsi" w:hAnsiTheme="minorHAnsi"/>
          <w:sz w:val="22"/>
          <w:szCs w:val="22"/>
        </w:rPr>
        <w:t>p</w:t>
      </w:r>
      <w:r w:rsidR="00F74A82" w:rsidRPr="009B1E7C">
        <w:rPr>
          <w:rFonts w:asciiTheme="minorHAnsi" w:hAnsiTheme="minorHAnsi"/>
          <w:sz w:val="22"/>
          <w:szCs w:val="22"/>
        </w:rPr>
        <w:t>ożyczka</w:t>
      </w:r>
      <w:r>
        <w:rPr>
          <w:rFonts w:asciiTheme="minorHAnsi" w:hAnsiTheme="minorHAnsi"/>
          <w:sz w:val="22"/>
          <w:szCs w:val="22"/>
        </w:rPr>
        <w:t>.</w:t>
      </w:r>
    </w:p>
    <w:p w14:paraId="1EACDEA5" w14:textId="5D7523D5" w:rsidR="00C23277" w:rsidRPr="000203D7" w:rsidRDefault="00FC3057" w:rsidP="00E73F90">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sz w:val="20"/>
          <w:szCs w:val="20"/>
        </w:rPr>
      </w:pPr>
      <w:r w:rsidRPr="00A64524">
        <w:rPr>
          <w:rFonts w:asciiTheme="minorHAnsi" w:hAnsiTheme="minorHAnsi"/>
          <w:b/>
          <w:color w:val="000000"/>
          <w:sz w:val="22"/>
          <w:szCs w:val="22"/>
        </w:rPr>
        <w:t xml:space="preserve">Intensywność dofinansowania </w:t>
      </w:r>
    </w:p>
    <w:p w14:paraId="2785142B" w14:textId="77777777" w:rsidR="00554EC6" w:rsidRDefault="00554EC6" w:rsidP="00E73F90">
      <w:pPr>
        <w:pStyle w:val="Akapitzlist"/>
        <w:autoSpaceDE w:val="0"/>
        <w:autoSpaceDN w:val="0"/>
        <w:adjustRightInd w:val="0"/>
        <w:spacing w:before="120" w:line="276" w:lineRule="auto"/>
        <w:ind w:left="0"/>
        <w:contextualSpacing w:val="0"/>
        <w:rPr>
          <w:rFonts w:asciiTheme="minorHAnsi" w:hAnsiTheme="minorHAnsi"/>
          <w:sz w:val="22"/>
          <w:szCs w:val="22"/>
        </w:rPr>
      </w:pPr>
      <w:r w:rsidRPr="008A62F7">
        <w:rPr>
          <w:rFonts w:asciiTheme="minorHAnsi" w:hAnsiTheme="minorHAnsi"/>
          <w:sz w:val="22"/>
          <w:szCs w:val="22"/>
        </w:rPr>
        <w:t xml:space="preserve">Dofinansowanie w formie dotacji </w:t>
      </w:r>
      <w:r w:rsidRPr="001C1A4E">
        <w:rPr>
          <w:rFonts w:asciiTheme="minorHAnsi" w:hAnsiTheme="minorHAnsi"/>
          <w:sz w:val="22"/>
          <w:szCs w:val="22"/>
        </w:rPr>
        <w:t>wynos</w:t>
      </w:r>
      <w:r w:rsidRPr="00F97F87">
        <w:rPr>
          <w:rFonts w:asciiTheme="minorHAnsi" w:hAnsiTheme="minorHAnsi"/>
          <w:sz w:val="22"/>
          <w:szCs w:val="22"/>
        </w:rPr>
        <w:t>i do 85%</w:t>
      </w:r>
      <w:r w:rsidRPr="001C1A4E">
        <w:rPr>
          <w:rFonts w:asciiTheme="minorHAnsi" w:hAnsiTheme="minorHAnsi"/>
          <w:sz w:val="22"/>
          <w:szCs w:val="22"/>
        </w:rPr>
        <w:t xml:space="preserve"> kosztów</w:t>
      </w:r>
      <w:r w:rsidRPr="008A62F7">
        <w:rPr>
          <w:rFonts w:asciiTheme="minorHAnsi" w:hAnsiTheme="minorHAnsi"/>
          <w:sz w:val="22"/>
          <w:szCs w:val="22"/>
        </w:rPr>
        <w:t xml:space="preserve"> kwalifikowanych</w:t>
      </w:r>
      <w:r>
        <w:rPr>
          <w:rFonts w:asciiTheme="minorHAnsi" w:hAnsiTheme="minorHAnsi"/>
          <w:sz w:val="22"/>
          <w:szCs w:val="22"/>
        </w:rPr>
        <w:t xml:space="preserve">, z zastrzeżeniem, że: </w:t>
      </w:r>
    </w:p>
    <w:p w14:paraId="37636C78" w14:textId="35F5020C" w:rsidR="00554EC6" w:rsidRDefault="00554EC6" w:rsidP="00E73F90">
      <w:pPr>
        <w:pStyle w:val="Akapitzlist"/>
        <w:numPr>
          <w:ilvl w:val="0"/>
          <w:numId w:val="22"/>
        </w:numPr>
        <w:autoSpaceDE w:val="0"/>
        <w:autoSpaceDN w:val="0"/>
        <w:adjustRightInd w:val="0"/>
        <w:spacing w:before="120" w:line="276" w:lineRule="auto"/>
        <w:ind w:left="426" w:hanging="426"/>
        <w:contextualSpacing w:val="0"/>
        <w:rPr>
          <w:rFonts w:ascii="Calibri" w:hAnsi="Calibri"/>
          <w:spacing w:val="3"/>
          <w:sz w:val="22"/>
          <w:szCs w:val="22"/>
        </w:rPr>
      </w:pPr>
      <w:r>
        <w:rPr>
          <w:rFonts w:asciiTheme="minorHAnsi" w:hAnsiTheme="minorHAnsi"/>
          <w:sz w:val="22"/>
          <w:szCs w:val="22"/>
        </w:rPr>
        <w:t>jednostkowy koszt kwalifikowany</w:t>
      </w:r>
      <w:r>
        <w:rPr>
          <w:rFonts w:ascii="Calibri" w:hAnsi="Calibri"/>
          <w:spacing w:val="3"/>
          <w:sz w:val="22"/>
          <w:szCs w:val="22"/>
        </w:rPr>
        <w:t xml:space="preserve"> wyrażony jako iloraz kosztów kwalifikowanych do powierzchni o regulowanej temperaturze powietrza nie może przekraczać </w:t>
      </w:r>
      <w:r w:rsidRPr="001C1A4E">
        <w:rPr>
          <w:rFonts w:ascii="Calibri" w:hAnsi="Calibri"/>
          <w:spacing w:val="3"/>
          <w:sz w:val="22"/>
          <w:szCs w:val="22"/>
        </w:rPr>
        <w:t xml:space="preserve">wartości </w:t>
      </w:r>
      <w:r>
        <w:rPr>
          <w:rFonts w:ascii="Calibri" w:hAnsi="Calibri"/>
          <w:spacing w:val="3"/>
          <w:sz w:val="22"/>
          <w:szCs w:val="22"/>
        </w:rPr>
        <w:t>2</w:t>
      </w:r>
      <w:r w:rsidRPr="009B1E7C">
        <w:rPr>
          <w:rFonts w:ascii="Calibri" w:hAnsi="Calibri"/>
          <w:spacing w:val="3"/>
          <w:sz w:val="22"/>
          <w:szCs w:val="22"/>
        </w:rPr>
        <w:t xml:space="preserve"> </w:t>
      </w:r>
      <w:r>
        <w:rPr>
          <w:rFonts w:ascii="Calibri" w:hAnsi="Calibri"/>
          <w:spacing w:val="3"/>
          <w:sz w:val="22"/>
          <w:szCs w:val="22"/>
        </w:rPr>
        <w:t>5</w:t>
      </w:r>
      <w:r w:rsidRPr="009B1E7C">
        <w:rPr>
          <w:rFonts w:ascii="Calibri" w:hAnsi="Calibri"/>
          <w:spacing w:val="3"/>
          <w:sz w:val="22"/>
          <w:szCs w:val="22"/>
        </w:rPr>
        <w:t>00 zł za 1 m</w:t>
      </w:r>
      <w:r w:rsidRPr="009B1E7C">
        <w:rPr>
          <w:rFonts w:ascii="Calibri" w:hAnsi="Calibri"/>
          <w:spacing w:val="3"/>
          <w:sz w:val="22"/>
          <w:szCs w:val="22"/>
          <w:vertAlign w:val="superscript"/>
        </w:rPr>
        <w:t>2</w:t>
      </w:r>
      <w:r>
        <w:rPr>
          <w:rFonts w:ascii="Calibri" w:hAnsi="Calibri"/>
          <w:spacing w:val="3"/>
          <w:sz w:val="22"/>
          <w:szCs w:val="22"/>
        </w:rPr>
        <w:t xml:space="preserve"> powierzchni o regulowanej temperaturze powietrza. </w:t>
      </w:r>
      <w:r w:rsidRPr="00F006E4">
        <w:rPr>
          <w:rFonts w:ascii="Calibri" w:hAnsi="Calibri"/>
          <w:spacing w:val="3"/>
          <w:sz w:val="22"/>
          <w:szCs w:val="22"/>
        </w:rPr>
        <w:t>W przypadku szpitali mieszczących się w</w:t>
      </w:r>
      <w:r>
        <w:rPr>
          <w:rFonts w:ascii="Calibri" w:hAnsi="Calibri"/>
          <w:spacing w:val="3"/>
          <w:sz w:val="22"/>
          <w:szCs w:val="22"/>
        </w:rPr>
        <w:t> </w:t>
      </w:r>
      <w:r w:rsidRPr="00F006E4">
        <w:rPr>
          <w:rFonts w:ascii="Calibri" w:hAnsi="Calibri"/>
          <w:spacing w:val="3"/>
          <w:sz w:val="22"/>
          <w:szCs w:val="22"/>
        </w:rPr>
        <w:t xml:space="preserve">budynkach zabytkowych </w:t>
      </w:r>
      <w:r>
        <w:rPr>
          <w:rFonts w:ascii="Calibri" w:hAnsi="Calibri"/>
          <w:spacing w:val="3"/>
          <w:sz w:val="22"/>
          <w:szCs w:val="22"/>
        </w:rPr>
        <w:t>koszt jednostkowy o którym mowa powyżej nie</w:t>
      </w:r>
      <w:r w:rsidR="00E73F90">
        <w:rPr>
          <w:rFonts w:ascii="Calibri" w:hAnsi="Calibri"/>
          <w:spacing w:val="3"/>
          <w:sz w:val="22"/>
          <w:szCs w:val="22"/>
        </w:rPr>
        <w:t> </w:t>
      </w:r>
      <w:r>
        <w:rPr>
          <w:rFonts w:ascii="Calibri" w:hAnsi="Calibri"/>
          <w:spacing w:val="3"/>
          <w:sz w:val="22"/>
          <w:szCs w:val="22"/>
        </w:rPr>
        <w:t xml:space="preserve">może przekroczyć wartości 3 000 zł za </w:t>
      </w:r>
      <w:r w:rsidRPr="009B1E7C">
        <w:rPr>
          <w:rFonts w:ascii="Calibri" w:hAnsi="Calibri"/>
          <w:spacing w:val="3"/>
          <w:sz w:val="22"/>
          <w:szCs w:val="22"/>
        </w:rPr>
        <w:t>1 m</w:t>
      </w:r>
      <w:r w:rsidRPr="009B1E7C">
        <w:rPr>
          <w:rFonts w:ascii="Calibri" w:hAnsi="Calibri"/>
          <w:spacing w:val="3"/>
          <w:sz w:val="22"/>
          <w:szCs w:val="22"/>
          <w:vertAlign w:val="superscript"/>
        </w:rPr>
        <w:t>2</w:t>
      </w:r>
      <w:r>
        <w:rPr>
          <w:rFonts w:ascii="Calibri" w:hAnsi="Calibri"/>
          <w:spacing w:val="3"/>
          <w:sz w:val="22"/>
          <w:szCs w:val="22"/>
        </w:rPr>
        <w:t>,</w:t>
      </w:r>
    </w:p>
    <w:p w14:paraId="7C450FEE" w14:textId="0BFD6B52" w:rsidR="00554EC6" w:rsidRDefault="00554EC6" w:rsidP="00E73F90">
      <w:pPr>
        <w:pStyle w:val="Akapitzlist"/>
        <w:numPr>
          <w:ilvl w:val="0"/>
          <w:numId w:val="22"/>
        </w:numPr>
        <w:autoSpaceDE w:val="0"/>
        <w:autoSpaceDN w:val="0"/>
        <w:adjustRightInd w:val="0"/>
        <w:spacing w:before="120" w:line="276" w:lineRule="auto"/>
        <w:ind w:left="426" w:hanging="426"/>
        <w:contextualSpacing w:val="0"/>
        <w:rPr>
          <w:rFonts w:ascii="Calibri" w:hAnsi="Calibri"/>
          <w:spacing w:val="3"/>
          <w:sz w:val="22"/>
          <w:szCs w:val="22"/>
        </w:rPr>
      </w:pPr>
      <w:r>
        <w:rPr>
          <w:rFonts w:ascii="Calibri" w:hAnsi="Calibri"/>
          <w:spacing w:val="3"/>
          <w:sz w:val="22"/>
          <w:szCs w:val="22"/>
        </w:rPr>
        <w:t>inwestycje uzyskały w ocenie</w:t>
      </w:r>
      <w:r w:rsidRPr="001C1A4E">
        <w:rPr>
          <w:rFonts w:ascii="Calibri" w:hAnsi="Calibri"/>
          <w:spacing w:val="3"/>
          <w:sz w:val="22"/>
          <w:szCs w:val="22"/>
        </w:rPr>
        <w:t xml:space="preserve"> </w:t>
      </w:r>
      <w:r w:rsidRPr="009B1E7C">
        <w:rPr>
          <w:rFonts w:ascii="Calibri" w:hAnsi="Calibri"/>
          <w:spacing w:val="3"/>
          <w:sz w:val="22"/>
          <w:szCs w:val="22"/>
        </w:rPr>
        <w:t xml:space="preserve">min. </w:t>
      </w:r>
      <w:r w:rsidR="00C95358">
        <w:rPr>
          <w:rFonts w:ascii="Calibri" w:hAnsi="Calibri"/>
          <w:spacing w:val="3"/>
          <w:sz w:val="22"/>
          <w:szCs w:val="22"/>
        </w:rPr>
        <w:t>7</w:t>
      </w:r>
      <w:r w:rsidRPr="009B1E7C">
        <w:rPr>
          <w:rFonts w:ascii="Calibri" w:hAnsi="Calibri"/>
          <w:spacing w:val="3"/>
          <w:sz w:val="22"/>
          <w:szCs w:val="22"/>
        </w:rPr>
        <w:t xml:space="preserve"> pkt</w:t>
      </w:r>
      <w:r>
        <w:rPr>
          <w:rFonts w:ascii="Calibri" w:hAnsi="Calibri"/>
          <w:spacing w:val="3"/>
          <w:sz w:val="22"/>
          <w:szCs w:val="22"/>
        </w:rPr>
        <w:t>,</w:t>
      </w:r>
    </w:p>
    <w:p w14:paraId="00812396" w14:textId="028DED67" w:rsidR="00554EC6" w:rsidRPr="0098454D" w:rsidRDefault="00554EC6" w:rsidP="00E73F90">
      <w:pPr>
        <w:pStyle w:val="Akapitzlist"/>
        <w:numPr>
          <w:ilvl w:val="0"/>
          <w:numId w:val="22"/>
        </w:numPr>
        <w:autoSpaceDE w:val="0"/>
        <w:autoSpaceDN w:val="0"/>
        <w:adjustRightInd w:val="0"/>
        <w:spacing w:before="120" w:line="276" w:lineRule="auto"/>
        <w:ind w:left="426" w:hanging="426"/>
        <w:contextualSpacing w:val="0"/>
        <w:rPr>
          <w:rFonts w:ascii="Calibri" w:hAnsi="Calibri"/>
          <w:spacing w:val="3"/>
          <w:sz w:val="22"/>
          <w:szCs w:val="22"/>
        </w:rPr>
      </w:pPr>
      <w:r>
        <w:rPr>
          <w:rFonts w:ascii="Calibri" w:hAnsi="Calibri"/>
          <w:spacing w:val="3"/>
          <w:sz w:val="22"/>
          <w:szCs w:val="22"/>
        </w:rPr>
        <w:t xml:space="preserve">dla inwestycji realizowanych w formule ESCO/EPC i inwestycji które nie uzyskały min. </w:t>
      </w:r>
      <w:r w:rsidR="00C95358">
        <w:rPr>
          <w:rFonts w:ascii="Calibri" w:hAnsi="Calibri"/>
          <w:spacing w:val="3"/>
          <w:sz w:val="22"/>
          <w:szCs w:val="22"/>
        </w:rPr>
        <w:t>7</w:t>
      </w:r>
      <w:r>
        <w:rPr>
          <w:rFonts w:ascii="Calibri" w:hAnsi="Calibri"/>
          <w:spacing w:val="3"/>
          <w:sz w:val="22"/>
          <w:szCs w:val="22"/>
        </w:rPr>
        <w:t xml:space="preserve"> pkt dofinasowanie wynosi do 49%,</w:t>
      </w:r>
    </w:p>
    <w:p w14:paraId="753EEA5C" w14:textId="73B7E032" w:rsidR="00554EC6" w:rsidRPr="00660262" w:rsidRDefault="00554EC6" w:rsidP="00E73F90">
      <w:pPr>
        <w:pStyle w:val="Akapitzlist"/>
        <w:numPr>
          <w:ilvl w:val="0"/>
          <w:numId w:val="22"/>
        </w:numPr>
        <w:autoSpaceDE w:val="0"/>
        <w:autoSpaceDN w:val="0"/>
        <w:adjustRightInd w:val="0"/>
        <w:spacing w:before="120" w:line="276" w:lineRule="auto"/>
        <w:ind w:left="426" w:hanging="426"/>
        <w:contextualSpacing w:val="0"/>
        <w:rPr>
          <w:rFonts w:ascii="Calibri" w:hAnsi="Calibri"/>
          <w:spacing w:val="3"/>
          <w:sz w:val="22"/>
          <w:szCs w:val="22"/>
        </w:rPr>
      </w:pPr>
      <w:r>
        <w:rPr>
          <w:rFonts w:asciiTheme="minorHAnsi" w:hAnsiTheme="minorHAnsi"/>
          <w:sz w:val="22"/>
          <w:szCs w:val="22"/>
        </w:rPr>
        <w:t>jednostkowy koszt kwalifikowany, o którym mowa w pkt a) nie obowiązuje dla inwestycji realizowanych w formule ESCO/EPC. Inwestycje w formule ESCO/EPC nie są oceniane według kryteriów jakościowych punktowych.</w:t>
      </w:r>
    </w:p>
    <w:p w14:paraId="0AB49224" w14:textId="58A164AF" w:rsidR="008E6FD4" w:rsidRDefault="00660262" w:rsidP="00E73F90">
      <w:pPr>
        <w:autoSpaceDE w:val="0"/>
        <w:autoSpaceDN w:val="0"/>
        <w:adjustRightInd w:val="0"/>
        <w:spacing w:before="120" w:line="276" w:lineRule="auto"/>
        <w:rPr>
          <w:rFonts w:asciiTheme="minorHAnsi" w:hAnsiTheme="minorHAnsi"/>
          <w:sz w:val="22"/>
          <w:szCs w:val="22"/>
        </w:rPr>
      </w:pPr>
      <w:r>
        <w:rPr>
          <w:rFonts w:ascii="Calibri" w:hAnsi="Calibri"/>
          <w:spacing w:val="3"/>
          <w:sz w:val="22"/>
          <w:szCs w:val="22"/>
        </w:rPr>
        <w:t xml:space="preserve">Dofinansowanie w formie pożyczki </w:t>
      </w:r>
      <w:r w:rsidR="006209CE">
        <w:rPr>
          <w:rFonts w:ascii="Calibri" w:hAnsi="Calibri"/>
          <w:spacing w:val="3"/>
          <w:sz w:val="22"/>
          <w:szCs w:val="22"/>
        </w:rPr>
        <w:t xml:space="preserve">jest </w:t>
      </w:r>
      <w:r w:rsidR="00591A1B">
        <w:rPr>
          <w:rFonts w:ascii="Calibri" w:hAnsi="Calibri"/>
          <w:spacing w:val="3"/>
          <w:sz w:val="22"/>
          <w:szCs w:val="22"/>
        </w:rPr>
        <w:t xml:space="preserve">finansowaniem uzupełniającym </w:t>
      </w:r>
      <w:r w:rsidR="0034744C">
        <w:rPr>
          <w:rFonts w:ascii="Calibri" w:hAnsi="Calibri"/>
          <w:spacing w:val="3"/>
          <w:sz w:val="22"/>
          <w:szCs w:val="22"/>
        </w:rPr>
        <w:t xml:space="preserve">finansowanie dotacyjne </w:t>
      </w:r>
      <w:r w:rsidR="00591A1B">
        <w:rPr>
          <w:rFonts w:ascii="Calibri" w:hAnsi="Calibri"/>
          <w:spacing w:val="3"/>
          <w:sz w:val="22"/>
          <w:szCs w:val="22"/>
        </w:rPr>
        <w:t>do</w:t>
      </w:r>
      <w:r w:rsidR="00E73F90">
        <w:rPr>
          <w:rFonts w:ascii="Calibri" w:hAnsi="Calibri"/>
          <w:spacing w:val="3"/>
          <w:sz w:val="22"/>
          <w:szCs w:val="22"/>
        </w:rPr>
        <w:t> </w:t>
      </w:r>
      <w:r w:rsidR="00591A1B" w:rsidRPr="009B1E7C">
        <w:rPr>
          <w:rFonts w:ascii="Calibri" w:hAnsi="Calibri"/>
          <w:spacing w:val="3"/>
          <w:sz w:val="22"/>
          <w:szCs w:val="22"/>
        </w:rPr>
        <w:t>85%</w:t>
      </w:r>
      <w:r w:rsidR="00591A1B" w:rsidRPr="002B4A8C">
        <w:rPr>
          <w:rFonts w:ascii="Calibri" w:hAnsi="Calibri"/>
          <w:spacing w:val="3"/>
          <w:sz w:val="22"/>
          <w:szCs w:val="22"/>
        </w:rPr>
        <w:t xml:space="preserve"> kosztów</w:t>
      </w:r>
      <w:r w:rsidR="00591A1B">
        <w:rPr>
          <w:rFonts w:ascii="Calibri" w:hAnsi="Calibri"/>
          <w:spacing w:val="3"/>
          <w:sz w:val="22"/>
          <w:szCs w:val="22"/>
        </w:rPr>
        <w:t xml:space="preserve"> kwalifikowanych</w:t>
      </w:r>
      <w:r w:rsidR="009D73AC" w:rsidRPr="002201FB">
        <w:rPr>
          <w:rFonts w:asciiTheme="minorHAnsi" w:hAnsiTheme="minorHAnsi"/>
          <w:sz w:val="22"/>
          <w:szCs w:val="22"/>
        </w:rPr>
        <w:t xml:space="preserve"> z zastrzeżeniem, że</w:t>
      </w:r>
      <w:r w:rsidR="00E300C4" w:rsidRPr="002201FB">
        <w:rPr>
          <w:rFonts w:asciiTheme="minorHAnsi" w:hAnsiTheme="minorHAnsi"/>
          <w:sz w:val="22"/>
          <w:szCs w:val="22"/>
        </w:rPr>
        <w:t xml:space="preserve"> dla </w:t>
      </w:r>
      <w:r w:rsidR="00724362" w:rsidRPr="002201FB">
        <w:rPr>
          <w:rFonts w:asciiTheme="minorHAnsi" w:hAnsiTheme="minorHAnsi"/>
          <w:sz w:val="22"/>
          <w:szCs w:val="22"/>
        </w:rPr>
        <w:t>inwestycji</w:t>
      </w:r>
      <w:r w:rsidR="00E62D03">
        <w:rPr>
          <w:rFonts w:asciiTheme="minorHAnsi" w:hAnsiTheme="minorHAnsi"/>
          <w:sz w:val="22"/>
          <w:szCs w:val="22"/>
        </w:rPr>
        <w:t xml:space="preserve"> </w:t>
      </w:r>
      <w:r w:rsidR="00F55B22" w:rsidRPr="002201FB">
        <w:rPr>
          <w:rFonts w:asciiTheme="minorHAnsi" w:hAnsiTheme="minorHAnsi"/>
          <w:sz w:val="22"/>
          <w:szCs w:val="22"/>
        </w:rPr>
        <w:t>realizowanych w formule ESCO/EPC</w:t>
      </w:r>
      <w:r w:rsidR="008E6FD4" w:rsidRPr="002201FB">
        <w:rPr>
          <w:rFonts w:asciiTheme="minorHAnsi" w:hAnsiTheme="minorHAnsi"/>
          <w:sz w:val="22"/>
          <w:szCs w:val="22"/>
        </w:rPr>
        <w:t>,</w:t>
      </w:r>
      <w:r w:rsidR="00E62D03">
        <w:rPr>
          <w:rFonts w:asciiTheme="minorHAnsi" w:hAnsiTheme="minorHAnsi"/>
          <w:sz w:val="22"/>
          <w:szCs w:val="22"/>
        </w:rPr>
        <w:t xml:space="preserve"> </w:t>
      </w:r>
      <w:r w:rsidR="002B4A8C">
        <w:rPr>
          <w:rFonts w:asciiTheme="minorHAnsi" w:hAnsiTheme="minorHAnsi"/>
          <w:sz w:val="22"/>
          <w:szCs w:val="22"/>
        </w:rPr>
        <w:t xml:space="preserve">uzupełniające </w:t>
      </w:r>
      <w:r w:rsidR="008E6FD4">
        <w:rPr>
          <w:rFonts w:asciiTheme="minorHAnsi" w:hAnsiTheme="minorHAnsi"/>
          <w:sz w:val="22"/>
          <w:szCs w:val="22"/>
        </w:rPr>
        <w:t xml:space="preserve">finansowanie pożyczkowe </w:t>
      </w:r>
      <w:r w:rsidR="00FC3886">
        <w:rPr>
          <w:rFonts w:asciiTheme="minorHAnsi" w:hAnsiTheme="minorHAnsi"/>
          <w:sz w:val="22"/>
          <w:szCs w:val="22"/>
        </w:rPr>
        <w:t xml:space="preserve">jest podwyższone do </w:t>
      </w:r>
      <w:r w:rsidR="003817D6">
        <w:rPr>
          <w:rFonts w:asciiTheme="minorHAnsi" w:hAnsiTheme="minorHAnsi"/>
          <w:sz w:val="22"/>
          <w:szCs w:val="22"/>
        </w:rPr>
        <w:t>100% kosztów kwalifikowanych.</w:t>
      </w:r>
    </w:p>
    <w:p w14:paraId="5CF340FD" w14:textId="622B5753" w:rsidR="006A6949" w:rsidRPr="008E6FD4" w:rsidRDefault="006A6949" w:rsidP="00E73F90">
      <w:pPr>
        <w:autoSpaceDE w:val="0"/>
        <w:autoSpaceDN w:val="0"/>
        <w:adjustRightInd w:val="0"/>
        <w:spacing w:before="120" w:line="276" w:lineRule="auto"/>
        <w:rPr>
          <w:rFonts w:asciiTheme="minorHAnsi" w:hAnsiTheme="minorHAnsi"/>
          <w:sz w:val="22"/>
          <w:szCs w:val="22"/>
        </w:rPr>
      </w:pPr>
      <w:r>
        <w:rPr>
          <w:rFonts w:asciiTheme="minorHAnsi" w:hAnsiTheme="minorHAnsi"/>
          <w:sz w:val="22"/>
          <w:szCs w:val="22"/>
        </w:rPr>
        <w:t>Nie ma obowiązku łączenia finansowania dotacyjnego z pożyczkowym.</w:t>
      </w:r>
    </w:p>
    <w:p w14:paraId="392C3AAA" w14:textId="060B2DFC" w:rsidR="00543F62" w:rsidRDefault="006C2AC1" w:rsidP="006A7617">
      <w:pPr>
        <w:pStyle w:val="Akapitzlist"/>
        <w:autoSpaceDE w:val="0"/>
        <w:autoSpaceDN w:val="0"/>
        <w:adjustRightInd w:val="0"/>
        <w:spacing w:before="120" w:line="276" w:lineRule="auto"/>
        <w:ind w:left="0"/>
        <w:contextualSpacing w:val="0"/>
        <w:rPr>
          <w:rFonts w:asciiTheme="minorHAnsi" w:hAnsiTheme="minorHAnsi"/>
          <w:sz w:val="22"/>
          <w:szCs w:val="22"/>
        </w:rPr>
      </w:pPr>
      <w:r>
        <w:rPr>
          <w:rFonts w:asciiTheme="minorHAnsi" w:hAnsiTheme="minorHAnsi"/>
          <w:sz w:val="22"/>
          <w:szCs w:val="22"/>
        </w:rPr>
        <w:t>W przypadku</w:t>
      </w:r>
      <w:r w:rsidR="00C43751">
        <w:rPr>
          <w:rFonts w:asciiTheme="minorHAnsi" w:hAnsiTheme="minorHAnsi"/>
          <w:sz w:val="22"/>
          <w:szCs w:val="22"/>
        </w:rPr>
        <w:t>,</w:t>
      </w:r>
      <w:r>
        <w:rPr>
          <w:rFonts w:asciiTheme="minorHAnsi" w:hAnsiTheme="minorHAnsi"/>
          <w:sz w:val="22"/>
          <w:szCs w:val="22"/>
        </w:rPr>
        <w:t xml:space="preserve"> </w:t>
      </w:r>
      <w:r w:rsidR="00AE4A29">
        <w:rPr>
          <w:rFonts w:asciiTheme="minorHAnsi" w:hAnsiTheme="minorHAnsi"/>
          <w:sz w:val="22"/>
          <w:szCs w:val="22"/>
        </w:rPr>
        <w:t>gdy</w:t>
      </w:r>
      <w:r w:rsidR="00D757D4">
        <w:rPr>
          <w:rFonts w:asciiTheme="minorHAnsi" w:hAnsiTheme="minorHAnsi"/>
          <w:sz w:val="22"/>
          <w:szCs w:val="22"/>
        </w:rPr>
        <w:t xml:space="preserve"> powierzchnia o regulowanej temperaturze powietrza wskazana w audycie ex-post </w:t>
      </w:r>
      <w:r w:rsidR="00670F6A">
        <w:rPr>
          <w:rFonts w:asciiTheme="minorHAnsi" w:hAnsiTheme="minorHAnsi"/>
          <w:sz w:val="22"/>
          <w:szCs w:val="22"/>
        </w:rPr>
        <w:t xml:space="preserve">(na podstawie dokumentacji powykonawczej) </w:t>
      </w:r>
      <w:r w:rsidR="00D757D4">
        <w:rPr>
          <w:rFonts w:asciiTheme="minorHAnsi" w:hAnsiTheme="minorHAnsi"/>
          <w:sz w:val="22"/>
          <w:szCs w:val="22"/>
        </w:rPr>
        <w:t xml:space="preserve">różni się nie więcej niż </w:t>
      </w:r>
      <w:r w:rsidR="00C43751">
        <w:rPr>
          <w:rFonts w:asciiTheme="minorHAnsi" w:hAnsiTheme="minorHAnsi"/>
          <w:sz w:val="22"/>
          <w:szCs w:val="22"/>
        </w:rPr>
        <w:t xml:space="preserve">o </w:t>
      </w:r>
      <w:r w:rsidR="00D757D4">
        <w:rPr>
          <w:rFonts w:asciiTheme="minorHAnsi" w:hAnsiTheme="minorHAnsi"/>
          <w:sz w:val="22"/>
          <w:szCs w:val="22"/>
        </w:rPr>
        <w:t xml:space="preserve">5% od wartości ww. powierzchni </w:t>
      </w:r>
      <w:r w:rsidR="00670F6A">
        <w:rPr>
          <w:rFonts w:asciiTheme="minorHAnsi" w:hAnsiTheme="minorHAnsi"/>
          <w:sz w:val="22"/>
          <w:szCs w:val="22"/>
        </w:rPr>
        <w:t xml:space="preserve">wyliczonej </w:t>
      </w:r>
      <w:r w:rsidR="00D757D4">
        <w:rPr>
          <w:rFonts w:asciiTheme="minorHAnsi" w:hAnsiTheme="minorHAnsi"/>
          <w:sz w:val="22"/>
          <w:szCs w:val="22"/>
        </w:rPr>
        <w:t>w audycie ex-</w:t>
      </w:r>
      <w:proofErr w:type="spellStart"/>
      <w:r w:rsidR="00D757D4">
        <w:rPr>
          <w:rFonts w:asciiTheme="minorHAnsi" w:hAnsiTheme="minorHAnsi"/>
          <w:sz w:val="22"/>
          <w:szCs w:val="22"/>
        </w:rPr>
        <w:t>ante</w:t>
      </w:r>
      <w:proofErr w:type="spellEnd"/>
      <w:r w:rsidR="00D757D4">
        <w:rPr>
          <w:rFonts w:asciiTheme="minorHAnsi" w:hAnsiTheme="minorHAnsi"/>
          <w:sz w:val="22"/>
          <w:szCs w:val="22"/>
        </w:rPr>
        <w:t xml:space="preserve"> </w:t>
      </w:r>
      <w:r w:rsidR="00670F6A">
        <w:rPr>
          <w:rFonts w:asciiTheme="minorHAnsi" w:hAnsiTheme="minorHAnsi"/>
          <w:sz w:val="22"/>
          <w:szCs w:val="22"/>
        </w:rPr>
        <w:t xml:space="preserve">to wyliczenie dofinansowania uznaje się za prawidłowe </w:t>
      </w:r>
      <w:r w:rsidR="00E95D83">
        <w:rPr>
          <w:rFonts w:asciiTheme="minorHAnsi" w:hAnsiTheme="minorHAnsi"/>
          <w:sz w:val="22"/>
          <w:szCs w:val="22"/>
        </w:rPr>
        <w:t>i</w:t>
      </w:r>
      <w:r w:rsidR="008126B1">
        <w:rPr>
          <w:rFonts w:asciiTheme="minorHAnsi" w:hAnsiTheme="minorHAnsi"/>
          <w:sz w:val="22"/>
          <w:szCs w:val="22"/>
        </w:rPr>
        <w:t> </w:t>
      </w:r>
      <w:r w:rsidR="00E95D83">
        <w:rPr>
          <w:rFonts w:asciiTheme="minorHAnsi" w:hAnsiTheme="minorHAnsi"/>
          <w:sz w:val="22"/>
          <w:szCs w:val="22"/>
        </w:rPr>
        <w:t xml:space="preserve">zgodne z </w:t>
      </w:r>
      <w:r w:rsidR="00670F6A">
        <w:rPr>
          <w:rFonts w:asciiTheme="minorHAnsi" w:hAnsiTheme="minorHAnsi"/>
          <w:sz w:val="22"/>
          <w:szCs w:val="22"/>
        </w:rPr>
        <w:t>wyliczenie</w:t>
      </w:r>
      <w:r w:rsidR="00E95D83">
        <w:rPr>
          <w:rFonts w:asciiTheme="minorHAnsi" w:hAnsiTheme="minorHAnsi"/>
          <w:sz w:val="22"/>
          <w:szCs w:val="22"/>
        </w:rPr>
        <w:t>m</w:t>
      </w:r>
      <w:r w:rsidR="00670F6A">
        <w:rPr>
          <w:rFonts w:asciiTheme="minorHAnsi" w:hAnsiTheme="minorHAnsi"/>
          <w:sz w:val="22"/>
          <w:szCs w:val="22"/>
        </w:rPr>
        <w:t xml:space="preserve"> na podstawie audytu ex-</w:t>
      </w:r>
      <w:proofErr w:type="spellStart"/>
      <w:r w:rsidR="00670F6A">
        <w:rPr>
          <w:rFonts w:asciiTheme="minorHAnsi" w:hAnsiTheme="minorHAnsi"/>
          <w:sz w:val="22"/>
          <w:szCs w:val="22"/>
        </w:rPr>
        <w:t>ante</w:t>
      </w:r>
      <w:proofErr w:type="spellEnd"/>
      <w:r w:rsidR="00670F6A">
        <w:rPr>
          <w:rFonts w:asciiTheme="minorHAnsi" w:hAnsiTheme="minorHAnsi"/>
          <w:sz w:val="22"/>
          <w:szCs w:val="22"/>
        </w:rPr>
        <w:t xml:space="preserve">. W przypadku przekroczeń </w:t>
      </w:r>
      <w:r w:rsidR="003A315F">
        <w:rPr>
          <w:rFonts w:asciiTheme="minorHAnsi" w:hAnsiTheme="minorHAnsi"/>
          <w:sz w:val="22"/>
          <w:szCs w:val="22"/>
        </w:rPr>
        <w:t xml:space="preserve">5% różnicy, o której mowa w zdaniu poprzedzającym, </w:t>
      </w:r>
      <w:r w:rsidR="00670F6A">
        <w:rPr>
          <w:rFonts w:asciiTheme="minorHAnsi" w:hAnsiTheme="minorHAnsi"/>
          <w:sz w:val="22"/>
          <w:szCs w:val="22"/>
        </w:rPr>
        <w:t xml:space="preserve">NFOŚiGW zachowuje prawo do zmiany </w:t>
      </w:r>
      <w:r w:rsidR="005A532A">
        <w:rPr>
          <w:rFonts w:asciiTheme="minorHAnsi" w:hAnsiTheme="minorHAnsi"/>
          <w:sz w:val="22"/>
          <w:szCs w:val="22"/>
        </w:rPr>
        <w:t>kwoty</w:t>
      </w:r>
      <w:r w:rsidR="00670F6A">
        <w:rPr>
          <w:rFonts w:asciiTheme="minorHAnsi" w:hAnsiTheme="minorHAnsi"/>
          <w:sz w:val="22"/>
          <w:szCs w:val="22"/>
        </w:rPr>
        <w:t xml:space="preserve"> dofinansowania. </w:t>
      </w:r>
    </w:p>
    <w:p w14:paraId="1D4FF1DA" w14:textId="1EFE00F4" w:rsidR="00FF05DA" w:rsidRPr="008A62F7" w:rsidRDefault="00E73F90" w:rsidP="00E73F90">
      <w:pPr>
        <w:rPr>
          <w:rFonts w:asciiTheme="minorHAnsi" w:hAnsiTheme="minorHAnsi"/>
          <w:sz w:val="22"/>
          <w:szCs w:val="22"/>
        </w:rPr>
      </w:pPr>
      <w:r>
        <w:rPr>
          <w:rFonts w:asciiTheme="minorHAnsi" w:hAnsiTheme="minorHAnsi"/>
          <w:sz w:val="22"/>
          <w:szCs w:val="22"/>
        </w:rPr>
        <w:br w:type="page"/>
      </w:r>
    </w:p>
    <w:p w14:paraId="6DE14831" w14:textId="71EC8EA6" w:rsidR="003869A6" w:rsidRPr="000203D7" w:rsidRDefault="000F2A93" w:rsidP="00E73F90">
      <w:pPr>
        <w:pStyle w:val="Akapitzlist"/>
        <w:numPr>
          <w:ilvl w:val="1"/>
          <w:numId w:val="3"/>
        </w:numPr>
        <w:tabs>
          <w:tab w:val="left" w:pos="426"/>
        </w:tabs>
        <w:autoSpaceDE w:val="0"/>
        <w:autoSpaceDN w:val="0"/>
        <w:adjustRightInd w:val="0"/>
        <w:spacing w:before="120" w:after="120" w:line="276"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lastRenderedPageBreak/>
        <w:t>Warunki dofinansowania</w:t>
      </w:r>
    </w:p>
    <w:p w14:paraId="675DC5E1" w14:textId="0AB1EF6B" w:rsidR="00296AD1" w:rsidRPr="009B1E7C" w:rsidRDefault="003869A6" w:rsidP="00E73F90">
      <w:pPr>
        <w:numPr>
          <w:ilvl w:val="0"/>
          <w:numId w:val="5"/>
        </w:numPr>
        <w:spacing w:after="120" w:line="276" w:lineRule="auto"/>
        <w:ind w:left="709" w:hanging="425"/>
        <w:rPr>
          <w:rFonts w:asciiTheme="minorHAnsi" w:hAnsiTheme="minorHAnsi"/>
          <w:sz w:val="22"/>
          <w:szCs w:val="22"/>
        </w:rPr>
      </w:pPr>
      <w:r w:rsidRPr="009B1E7C">
        <w:rPr>
          <w:rFonts w:asciiTheme="minorHAnsi" w:hAnsiTheme="minorHAnsi"/>
          <w:sz w:val="22"/>
          <w:szCs w:val="22"/>
        </w:rPr>
        <w:t xml:space="preserve">dofinansowanie nie będzie udzielone na </w:t>
      </w:r>
      <w:r w:rsidR="00AB223E" w:rsidRPr="009B1E7C">
        <w:rPr>
          <w:rFonts w:asciiTheme="minorHAnsi" w:hAnsiTheme="minorHAnsi"/>
          <w:sz w:val="22"/>
          <w:szCs w:val="22"/>
        </w:rPr>
        <w:t>inwestycję</w:t>
      </w:r>
      <w:r w:rsidRPr="009B1E7C">
        <w:rPr>
          <w:rFonts w:asciiTheme="minorHAnsi" w:hAnsiTheme="minorHAnsi"/>
          <w:sz w:val="22"/>
          <w:szCs w:val="22"/>
        </w:rPr>
        <w:t xml:space="preserve"> zakończon</w:t>
      </w:r>
      <w:r w:rsidR="00AB223E" w:rsidRPr="009B1E7C">
        <w:rPr>
          <w:rFonts w:asciiTheme="minorHAnsi" w:hAnsiTheme="minorHAnsi"/>
          <w:sz w:val="22"/>
          <w:szCs w:val="22"/>
        </w:rPr>
        <w:t>ą</w:t>
      </w:r>
      <w:r w:rsidRPr="009B1E7C">
        <w:rPr>
          <w:rFonts w:asciiTheme="minorHAnsi" w:hAnsiTheme="minorHAnsi"/>
          <w:sz w:val="22"/>
          <w:szCs w:val="22"/>
        </w:rPr>
        <w:t xml:space="preserve"> przed dniem złożenia wniosku,</w:t>
      </w:r>
    </w:p>
    <w:p w14:paraId="2AD285F6" w14:textId="1EC8DDE4" w:rsidR="003869A6" w:rsidRDefault="003869A6" w:rsidP="00E73F90">
      <w:pPr>
        <w:numPr>
          <w:ilvl w:val="0"/>
          <w:numId w:val="5"/>
        </w:numPr>
        <w:spacing w:after="120" w:line="276" w:lineRule="auto"/>
        <w:ind w:left="709" w:hanging="425"/>
        <w:rPr>
          <w:rFonts w:asciiTheme="minorHAnsi" w:hAnsiTheme="minorHAnsi"/>
          <w:sz w:val="22"/>
          <w:szCs w:val="22"/>
        </w:rPr>
      </w:pPr>
      <w:r w:rsidRPr="00401C00">
        <w:rPr>
          <w:rFonts w:asciiTheme="minorHAnsi" w:hAnsiTheme="minorHAnsi"/>
          <w:sz w:val="22"/>
          <w:szCs w:val="22"/>
        </w:rPr>
        <w:t xml:space="preserve">dofinansowanie nie będzie udzielane na </w:t>
      </w:r>
      <w:r>
        <w:rPr>
          <w:rFonts w:asciiTheme="minorHAnsi" w:hAnsiTheme="minorHAnsi"/>
          <w:sz w:val="22"/>
          <w:szCs w:val="22"/>
        </w:rPr>
        <w:t xml:space="preserve">te same </w:t>
      </w:r>
      <w:r w:rsidRPr="00401C00">
        <w:rPr>
          <w:rFonts w:asciiTheme="minorHAnsi" w:hAnsiTheme="minorHAnsi"/>
          <w:sz w:val="22"/>
          <w:szCs w:val="22"/>
        </w:rPr>
        <w:t xml:space="preserve">koszty </w:t>
      </w:r>
      <w:r w:rsidR="00112054">
        <w:rPr>
          <w:rFonts w:asciiTheme="minorHAnsi" w:hAnsiTheme="minorHAnsi"/>
          <w:sz w:val="22"/>
          <w:szCs w:val="22"/>
        </w:rPr>
        <w:t>inwestycji</w:t>
      </w:r>
      <w:r w:rsidRPr="00401C00">
        <w:rPr>
          <w:rFonts w:asciiTheme="minorHAnsi" w:hAnsiTheme="minorHAnsi"/>
          <w:sz w:val="22"/>
          <w:szCs w:val="22"/>
        </w:rPr>
        <w:t xml:space="preserve">, które zostały sfinansowane </w:t>
      </w:r>
      <w:r w:rsidR="00EE7D14" w:rsidRPr="00BB72F4">
        <w:rPr>
          <w:rFonts w:asciiTheme="minorHAnsi" w:hAnsiTheme="minorHAnsi"/>
          <w:sz w:val="22"/>
          <w:szCs w:val="22"/>
        </w:rPr>
        <w:t>w ramach planu rozwojowego lub i</w:t>
      </w:r>
      <w:r w:rsidRPr="00BB72F4">
        <w:rPr>
          <w:rFonts w:asciiTheme="minorHAnsi" w:hAnsiTheme="minorHAnsi"/>
          <w:sz w:val="22"/>
          <w:szCs w:val="22"/>
        </w:rPr>
        <w:t>nnych publicznych środków krajowych lub</w:t>
      </w:r>
      <w:r w:rsidR="00E73F90">
        <w:rPr>
          <w:rFonts w:asciiTheme="minorHAnsi" w:hAnsiTheme="minorHAnsi"/>
          <w:sz w:val="22"/>
          <w:szCs w:val="22"/>
        </w:rPr>
        <w:t> </w:t>
      </w:r>
      <w:r w:rsidRPr="00BB72F4">
        <w:rPr>
          <w:rFonts w:asciiTheme="minorHAnsi" w:hAnsiTheme="minorHAnsi"/>
          <w:sz w:val="22"/>
          <w:szCs w:val="22"/>
        </w:rPr>
        <w:t>zagranicznych, w</w:t>
      </w:r>
      <w:r w:rsidR="00C95358">
        <w:rPr>
          <w:rFonts w:asciiTheme="minorHAnsi" w:hAnsiTheme="minorHAnsi"/>
          <w:sz w:val="22"/>
          <w:szCs w:val="22"/>
        </w:rPr>
        <w:t> </w:t>
      </w:r>
      <w:r w:rsidR="00632A4F" w:rsidRPr="00BB72F4">
        <w:rPr>
          <w:rFonts w:asciiTheme="minorHAnsi" w:hAnsiTheme="minorHAnsi"/>
          <w:sz w:val="22"/>
          <w:szCs w:val="22"/>
        </w:rPr>
        <w:t>tym</w:t>
      </w:r>
      <w:r w:rsidRPr="00BB72F4">
        <w:rPr>
          <w:rFonts w:asciiTheme="minorHAnsi" w:hAnsiTheme="minorHAnsi"/>
          <w:sz w:val="22"/>
          <w:szCs w:val="22"/>
        </w:rPr>
        <w:t xml:space="preserve"> ze środków budżetu Unii Europejskiej</w:t>
      </w:r>
      <w:r w:rsidRPr="00401C00">
        <w:rPr>
          <w:rFonts w:asciiTheme="minorHAnsi" w:hAnsiTheme="minorHAnsi"/>
          <w:sz w:val="22"/>
          <w:szCs w:val="22"/>
        </w:rPr>
        <w:t>,</w:t>
      </w:r>
      <w:r w:rsidR="00330A82">
        <w:rPr>
          <w:rFonts w:asciiTheme="minorHAnsi" w:hAnsiTheme="minorHAnsi"/>
          <w:sz w:val="22"/>
          <w:szCs w:val="22"/>
        </w:rPr>
        <w:t xml:space="preserve"> dotyczy to również przypadków kiedy </w:t>
      </w:r>
      <w:r w:rsidR="00E75CA0">
        <w:rPr>
          <w:rFonts w:asciiTheme="minorHAnsi" w:hAnsiTheme="minorHAnsi"/>
          <w:sz w:val="22"/>
          <w:szCs w:val="22"/>
        </w:rPr>
        <w:t xml:space="preserve">umowa dotycząca sfinansowania została rozwiązana </w:t>
      </w:r>
      <w:r w:rsidR="003E30FA">
        <w:rPr>
          <w:rFonts w:asciiTheme="minorHAnsi" w:hAnsiTheme="minorHAnsi"/>
          <w:sz w:val="22"/>
          <w:szCs w:val="22"/>
        </w:rPr>
        <w:t>na wniosek beneficjenta,</w:t>
      </w:r>
    </w:p>
    <w:p w14:paraId="6BB2E01A" w14:textId="2A61F32A" w:rsidR="00013286" w:rsidRDefault="008713A8" w:rsidP="00E73F90">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oprocentowanie</w:t>
      </w:r>
      <w:r w:rsidR="00723382">
        <w:rPr>
          <w:rFonts w:asciiTheme="minorHAnsi" w:hAnsiTheme="minorHAnsi"/>
          <w:sz w:val="22"/>
          <w:szCs w:val="22"/>
        </w:rPr>
        <w:t xml:space="preserve"> pożyczki</w:t>
      </w:r>
      <w:r w:rsidR="00A9003F">
        <w:rPr>
          <w:rFonts w:asciiTheme="minorHAnsi" w:hAnsiTheme="minorHAnsi"/>
          <w:sz w:val="22"/>
          <w:szCs w:val="22"/>
        </w:rPr>
        <w:t xml:space="preserve"> jest stałe i wynosi 1%</w:t>
      </w:r>
      <w:r w:rsidR="00E0725B">
        <w:rPr>
          <w:rFonts w:asciiTheme="minorHAnsi" w:hAnsiTheme="minorHAnsi"/>
          <w:sz w:val="22"/>
          <w:szCs w:val="22"/>
        </w:rPr>
        <w:t>,</w:t>
      </w:r>
    </w:p>
    <w:p w14:paraId="3B06C157" w14:textId="37616C10" w:rsidR="00EF4191" w:rsidRDefault="00EF4191" w:rsidP="00E73F90">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odsetki z tytułu oprocentowania spł</w:t>
      </w:r>
      <w:r w:rsidR="007A7D43">
        <w:rPr>
          <w:rFonts w:asciiTheme="minorHAnsi" w:hAnsiTheme="minorHAnsi"/>
          <w:sz w:val="22"/>
          <w:szCs w:val="22"/>
        </w:rPr>
        <w:t>a</w:t>
      </w:r>
      <w:r>
        <w:rPr>
          <w:rFonts w:asciiTheme="minorHAnsi" w:hAnsiTheme="minorHAnsi"/>
          <w:sz w:val="22"/>
          <w:szCs w:val="22"/>
        </w:rPr>
        <w:t xml:space="preserve">cane są na bieżąco w okresach kwartalnych. </w:t>
      </w:r>
      <w:r w:rsidR="00931BA7">
        <w:rPr>
          <w:rFonts w:asciiTheme="minorHAnsi" w:hAnsiTheme="minorHAnsi"/>
          <w:sz w:val="22"/>
          <w:szCs w:val="22"/>
        </w:rPr>
        <w:t xml:space="preserve">Pierwsza spłata na koniec kwartału kalendarzowego, następującego po kwartale </w:t>
      </w:r>
      <w:r w:rsidR="004E68D8">
        <w:rPr>
          <w:rFonts w:asciiTheme="minorHAnsi" w:hAnsiTheme="minorHAnsi"/>
          <w:sz w:val="22"/>
          <w:szCs w:val="22"/>
        </w:rPr>
        <w:t>w którym wypłacono pierwszą transzę środków,</w:t>
      </w:r>
    </w:p>
    <w:p w14:paraId="706F8CFB" w14:textId="497332B3" w:rsidR="004E68D8" w:rsidRDefault="004E68D8" w:rsidP="00E73F90">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okres finansowania: pożyczka może być udzielona na okres nie dłuższy niż 15 lat, liczony od</w:t>
      </w:r>
      <w:r w:rsidR="00E73F90">
        <w:rPr>
          <w:rFonts w:asciiTheme="minorHAnsi" w:hAnsiTheme="minorHAnsi"/>
          <w:sz w:val="22"/>
          <w:szCs w:val="22"/>
        </w:rPr>
        <w:t> </w:t>
      </w:r>
      <w:r>
        <w:rPr>
          <w:rFonts w:asciiTheme="minorHAnsi" w:hAnsiTheme="minorHAnsi"/>
          <w:sz w:val="22"/>
          <w:szCs w:val="22"/>
        </w:rPr>
        <w:t xml:space="preserve">daty planowanej wypłaty pierwszej transzy pożyczki do daty </w:t>
      </w:r>
      <w:r w:rsidR="0088519D">
        <w:rPr>
          <w:rFonts w:asciiTheme="minorHAnsi" w:hAnsiTheme="minorHAnsi"/>
          <w:sz w:val="22"/>
          <w:szCs w:val="22"/>
        </w:rPr>
        <w:t>planowanej spłaty ostatniej raty kapitałowej,</w:t>
      </w:r>
    </w:p>
    <w:p w14:paraId="29F36845" w14:textId="35C74B44" w:rsidR="001D61D8" w:rsidRDefault="00522184" w:rsidP="00E73F90">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 xml:space="preserve">okres karencji: przy udzielaniu pożyczki </w:t>
      </w:r>
      <w:r w:rsidR="00583D8D">
        <w:rPr>
          <w:rFonts w:asciiTheme="minorHAnsi" w:hAnsiTheme="minorHAnsi"/>
          <w:sz w:val="22"/>
          <w:szCs w:val="22"/>
        </w:rPr>
        <w:t>może być stosowana karencja w spłacie rat kapitałowych liczona od daty wypłaty ostatniej transzy pożyczki do daty spłaty pierwszej raty kapitałowej</w:t>
      </w:r>
      <w:r w:rsidR="002F5C2D">
        <w:rPr>
          <w:rFonts w:asciiTheme="minorHAnsi" w:hAnsiTheme="minorHAnsi"/>
          <w:sz w:val="22"/>
          <w:szCs w:val="22"/>
        </w:rPr>
        <w:t>, lecz nie dłuższa niż 12 miesięcy od daty zakończenia realizacji inwestycji,</w:t>
      </w:r>
    </w:p>
    <w:p w14:paraId="613866FB" w14:textId="66E30634" w:rsidR="0046101C" w:rsidRDefault="0046101C" w:rsidP="00E73F90">
      <w:pPr>
        <w:numPr>
          <w:ilvl w:val="0"/>
          <w:numId w:val="5"/>
        </w:numPr>
        <w:spacing w:after="120" w:line="276" w:lineRule="auto"/>
        <w:ind w:left="709" w:hanging="425"/>
        <w:rPr>
          <w:rFonts w:asciiTheme="minorHAnsi" w:hAnsiTheme="minorHAnsi"/>
          <w:sz w:val="22"/>
          <w:szCs w:val="22"/>
        </w:rPr>
      </w:pPr>
      <w:r>
        <w:rPr>
          <w:rFonts w:asciiTheme="minorHAnsi" w:hAnsiTheme="minorHAnsi"/>
          <w:sz w:val="22"/>
          <w:szCs w:val="22"/>
        </w:rPr>
        <w:t>pożyczka nie podlega umorzeniu,</w:t>
      </w:r>
    </w:p>
    <w:p w14:paraId="69810C86" w14:textId="2F38F53E" w:rsidR="00706E4E" w:rsidRPr="0027048F" w:rsidRDefault="00706E4E" w:rsidP="00E73F90">
      <w:pPr>
        <w:numPr>
          <w:ilvl w:val="0"/>
          <w:numId w:val="5"/>
        </w:numPr>
        <w:spacing w:after="120" w:line="276" w:lineRule="auto"/>
        <w:ind w:left="709" w:hanging="425"/>
        <w:rPr>
          <w:rFonts w:asciiTheme="minorHAnsi" w:hAnsiTheme="minorHAnsi"/>
          <w:sz w:val="22"/>
          <w:szCs w:val="22"/>
        </w:rPr>
      </w:pPr>
      <w:r w:rsidRPr="00706E4E">
        <w:rPr>
          <w:rFonts w:asciiTheme="minorHAnsi" w:hAnsiTheme="minorHAnsi"/>
          <w:sz w:val="22"/>
          <w:szCs w:val="22"/>
        </w:rPr>
        <w:t xml:space="preserve">wypłata transz dotacji </w:t>
      </w:r>
      <w:r w:rsidR="009433D5">
        <w:rPr>
          <w:rFonts w:asciiTheme="minorHAnsi" w:hAnsiTheme="minorHAnsi"/>
          <w:sz w:val="22"/>
          <w:szCs w:val="22"/>
        </w:rPr>
        <w:t xml:space="preserve">i pożyczki </w:t>
      </w:r>
      <w:r w:rsidRPr="00706E4E">
        <w:rPr>
          <w:rFonts w:asciiTheme="minorHAnsi" w:hAnsiTheme="minorHAnsi"/>
          <w:sz w:val="22"/>
          <w:szCs w:val="22"/>
        </w:rPr>
        <w:t xml:space="preserve">może nastąpić w formie </w:t>
      </w:r>
      <w:r w:rsidRPr="00EB5F45">
        <w:rPr>
          <w:rFonts w:asciiTheme="minorHAnsi" w:hAnsiTheme="minorHAnsi"/>
          <w:sz w:val="22"/>
          <w:szCs w:val="22"/>
        </w:rPr>
        <w:t>refundacji i/lub zaliczki,</w:t>
      </w:r>
    </w:p>
    <w:p w14:paraId="0AC02680" w14:textId="77777777" w:rsidR="003869A6" w:rsidRPr="00A95684" w:rsidRDefault="003869A6" w:rsidP="00E73F90">
      <w:pPr>
        <w:numPr>
          <w:ilvl w:val="0"/>
          <w:numId w:val="5"/>
        </w:numPr>
        <w:spacing w:before="120" w:after="120" w:line="276" w:lineRule="auto"/>
        <w:ind w:left="709" w:hanging="425"/>
        <w:rPr>
          <w:rFonts w:ascii="Calibri" w:hAnsi="Calibri"/>
          <w:sz w:val="22"/>
          <w:szCs w:val="22"/>
        </w:rPr>
      </w:pPr>
      <w:r w:rsidRPr="00A95684">
        <w:rPr>
          <w:rFonts w:ascii="Calibri" w:hAnsi="Calibri"/>
          <w:sz w:val="22"/>
          <w:szCs w:val="22"/>
        </w:rPr>
        <w:t xml:space="preserve">okres trwałości wynosi 5 lat od dnia zakończenia realizacji przedsięwzięcia, </w:t>
      </w:r>
    </w:p>
    <w:p w14:paraId="217CECAB" w14:textId="0776C7C3" w:rsidR="003F3D27" w:rsidRPr="006A7617" w:rsidRDefault="00286CD3" w:rsidP="006A7617">
      <w:pPr>
        <w:numPr>
          <w:ilvl w:val="0"/>
          <w:numId w:val="5"/>
        </w:numPr>
        <w:spacing w:after="120" w:line="276" w:lineRule="auto"/>
        <w:ind w:left="709" w:hanging="425"/>
        <w:contextualSpacing/>
        <w:rPr>
          <w:rFonts w:ascii="Calibri" w:hAnsi="Calibri"/>
          <w:sz w:val="22"/>
          <w:szCs w:val="22"/>
        </w:rPr>
      </w:pPr>
      <w:r>
        <w:rPr>
          <w:rFonts w:ascii="Calibri" w:hAnsi="Calibri"/>
          <w:sz w:val="22"/>
          <w:szCs w:val="22"/>
        </w:rPr>
        <w:t>w</w:t>
      </w:r>
      <w:r w:rsidR="0061092D" w:rsidRPr="004A2A82">
        <w:rPr>
          <w:rFonts w:ascii="Calibri" w:hAnsi="Calibri"/>
          <w:sz w:val="22"/>
          <w:szCs w:val="22"/>
        </w:rPr>
        <w:t xml:space="preserve"> ramach programu nie przewiduje się udzielania pomocy publicznej. </w:t>
      </w:r>
      <w:r w:rsidR="0061092D">
        <w:rPr>
          <w:rFonts w:ascii="Calibri" w:hAnsi="Calibri"/>
          <w:sz w:val="22"/>
          <w:szCs w:val="22"/>
        </w:rPr>
        <w:t>W sytuacji wykorzystywania infrastruktury obiektu w związku z działalnością gospodarczą (w rozumieniu unijnego prawa konkurencji), wydajność przypisana co roku na taką działalność nie może przekroczyć 20% całkowitej rocznej wydajności tej infrastruktury</w:t>
      </w:r>
      <w:r w:rsidR="0061092D">
        <w:rPr>
          <w:rStyle w:val="Odwoanieprzypisudolnego"/>
          <w:rFonts w:ascii="Calibri" w:hAnsi="Calibri"/>
          <w:sz w:val="22"/>
          <w:szCs w:val="22"/>
        </w:rPr>
        <w:footnoteReference w:id="1"/>
      </w:r>
      <w:r w:rsidR="00860414">
        <w:rPr>
          <w:rFonts w:ascii="Calibri" w:hAnsi="Calibri"/>
          <w:sz w:val="22"/>
          <w:szCs w:val="22"/>
        </w:rPr>
        <w:t>.</w:t>
      </w:r>
      <w:r w:rsidR="0061092D">
        <w:rPr>
          <w:rFonts w:ascii="Calibri" w:hAnsi="Calibri"/>
          <w:sz w:val="22"/>
          <w:szCs w:val="22"/>
        </w:rPr>
        <w:t xml:space="preserve"> </w:t>
      </w:r>
    </w:p>
    <w:p w14:paraId="29D4B68B" w14:textId="02AF38B5" w:rsidR="00A70086" w:rsidRPr="00A70086" w:rsidRDefault="00825F71" w:rsidP="00E73F90">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Cs/>
          <w:color w:val="000000"/>
          <w:sz w:val="22"/>
          <w:szCs w:val="22"/>
        </w:rPr>
      </w:pPr>
      <w:r w:rsidRPr="00AF13AC">
        <w:rPr>
          <w:rFonts w:asciiTheme="minorHAnsi" w:hAnsiTheme="minorHAnsi"/>
          <w:b/>
          <w:color w:val="000000"/>
          <w:sz w:val="22"/>
          <w:szCs w:val="22"/>
        </w:rPr>
        <w:t>Beneficjenci</w:t>
      </w:r>
    </w:p>
    <w:p w14:paraId="7812A72F" w14:textId="742FD6AC" w:rsidR="00F122C3" w:rsidRPr="00F122C3" w:rsidRDefault="00F122C3" w:rsidP="00E73F90">
      <w:pPr>
        <w:tabs>
          <w:tab w:val="left" w:pos="426"/>
        </w:tabs>
        <w:autoSpaceDE w:val="0"/>
        <w:autoSpaceDN w:val="0"/>
        <w:adjustRightInd w:val="0"/>
        <w:spacing w:before="120" w:line="276" w:lineRule="auto"/>
        <w:rPr>
          <w:rFonts w:asciiTheme="minorHAnsi" w:hAnsiTheme="minorHAnsi"/>
          <w:bCs/>
          <w:color w:val="000000"/>
          <w:sz w:val="22"/>
          <w:szCs w:val="22"/>
        </w:rPr>
      </w:pPr>
      <w:r w:rsidRPr="00F122C3">
        <w:rPr>
          <w:rFonts w:asciiTheme="minorHAnsi" w:hAnsiTheme="minorHAnsi"/>
          <w:bCs/>
          <w:color w:val="000000"/>
          <w:sz w:val="22"/>
          <w:szCs w:val="22"/>
        </w:rPr>
        <w:t>Jednostk</w:t>
      </w:r>
      <w:r w:rsidR="0089646D">
        <w:rPr>
          <w:rFonts w:asciiTheme="minorHAnsi" w:hAnsiTheme="minorHAnsi"/>
          <w:bCs/>
          <w:color w:val="000000"/>
          <w:sz w:val="22"/>
          <w:szCs w:val="22"/>
        </w:rPr>
        <w:t>a</w:t>
      </w:r>
      <w:r w:rsidRPr="00F122C3">
        <w:rPr>
          <w:rFonts w:asciiTheme="minorHAnsi" w:hAnsiTheme="minorHAnsi"/>
          <w:bCs/>
          <w:color w:val="000000"/>
          <w:sz w:val="22"/>
          <w:szCs w:val="22"/>
        </w:rPr>
        <w:t xml:space="preserve"> samorządu terytorialnego </w:t>
      </w:r>
      <w:r w:rsidR="008713A8">
        <w:rPr>
          <w:rFonts w:asciiTheme="minorHAnsi" w:hAnsiTheme="minorHAnsi"/>
          <w:bCs/>
          <w:color w:val="000000"/>
          <w:sz w:val="22"/>
          <w:szCs w:val="22"/>
        </w:rPr>
        <w:t xml:space="preserve">(lub ich związek) </w:t>
      </w:r>
      <w:r w:rsidRPr="00F122C3">
        <w:rPr>
          <w:rFonts w:asciiTheme="minorHAnsi" w:hAnsiTheme="minorHAnsi"/>
          <w:bCs/>
          <w:color w:val="000000"/>
          <w:sz w:val="22"/>
          <w:szCs w:val="22"/>
        </w:rPr>
        <w:t>będąca:</w:t>
      </w:r>
    </w:p>
    <w:p w14:paraId="7EA4BEF7" w14:textId="70C71CF1" w:rsidR="00F122C3" w:rsidRPr="00F122C3" w:rsidRDefault="000F7C12" w:rsidP="00E73F90">
      <w:pPr>
        <w:pStyle w:val="Akapitzlist"/>
        <w:numPr>
          <w:ilvl w:val="0"/>
          <w:numId w:val="31"/>
        </w:numPr>
        <w:tabs>
          <w:tab w:val="left" w:pos="0"/>
        </w:tabs>
        <w:autoSpaceDE w:val="0"/>
        <w:autoSpaceDN w:val="0"/>
        <w:adjustRightInd w:val="0"/>
        <w:spacing w:before="120" w:line="276" w:lineRule="auto"/>
        <w:ind w:left="426" w:hanging="426"/>
        <w:rPr>
          <w:rFonts w:asciiTheme="minorHAnsi" w:hAnsiTheme="minorHAnsi"/>
          <w:bCs/>
          <w:color w:val="000000"/>
          <w:sz w:val="22"/>
          <w:szCs w:val="22"/>
        </w:rPr>
      </w:pPr>
      <w:r>
        <w:rPr>
          <w:rFonts w:asciiTheme="minorHAnsi" w:hAnsiTheme="minorHAnsi"/>
          <w:bCs/>
          <w:color w:val="000000"/>
          <w:sz w:val="22"/>
          <w:szCs w:val="22"/>
        </w:rPr>
        <w:t>podmiotem tworzącym</w:t>
      </w:r>
      <w:r w:rsidR="00F122C3" w:rsidRPr="00F122C3">
        <w:rPr>
          <w:rFonts w:asciiTheme="minorHAnsi" w:hAnsiTheme="minorHAnsi"/>
          <w:bCs/>
          <w:color w:val="000000"/>
          <w:sz w:val="22"/>
          <w:szCs w:val="22"/>
        </w:rPr>
        <w:t xml:space="preserve"> </w:t>
      </w:r>
      <w:hyperlink r:id="rId8" w:tgtFrame="_blank" w:tooltip="https://www.google.com/search?client=firefox-b-d&amp;hs=nsuu&amp;sca_esv=7db8a341a0b7f2aa&amp;channel=entpr&amp;q=samodzielny+publiczny+zak%c5%82ad+opieki+zdrowotnej&amp;sa=x&amp;ved=2ahukewjd_zluxoisaxxnsvedhdzaljwqxccnegqihrab&amp;mstk=autexfcexcnurria2vkqtipagyhj4x8xy8hq_9cphi2xrsyhiy" w:history="1">
        <w:r w:rsidR="00F122C3" w:rsidRPr="00F122C3">
          <w:rPr>
            <w:rStyle w:val="Hipercze"/>
            <w:rFonts w:asciiTheme="minorHAnsi" w:hAnsiTheme="minorHAnsi"/>
            <w:bCs/>
            <w:sz w:val="22"/>
            <w:szCs w:val="22"/>
          </w:rPr>
          <w:t>Samodzieln</w:t>
        </w:r>
        <w:r>
          <w:rPr>
            <w:rStyle w:val="Hipercze"/>
            <w:rFonts w:asciiTheme="minorHAnsi" w:hAnsiTheme="minorHAnsi"/>
            <w:bCs/>
            <w:sz w:val="22"/>
            <w:szCs w:val="22"/>
          </w:rPr>
          <w:t>y</w:t>
        </w:r>
        <w:r w:rsidR="00F122C3" w:rsidRPr="00F122C3">
          <w:rPr>
            <w:rStyle w:val="Hipercze"/>
            <w:rFonts w:asciiTheme="minorHAnsi" w:hAnsiTheme="minorHAnsi"/>
            <w:bCs/>
            <w:sz w:val="22"/>
            <w:szCs w:val="22"/>
          </w:rPr>
          <w:t xml:space="preserve"> Publiczn</w:t>
        </w:r>
        <w:r>
          <w:rPr>
            <w:rStyle w:val="Hipercze"/>
            <w:rFonts w:asciiTheme="minorHAnsi" w:hAnsiTheme="minorHAnsi"/>
            <w:bCs/>
            <w:sz w:val="22"/>
            <w:szCs w:val="22"/>
          </w:rPr>
          <w:t>y</w:t>
        </w:r>
        <w:r w:rsidR="00F122C3" w:rsidRPr="00F122C3">
          <w:rPr>
            <w:rStyle w:val="Hipercze"/>
            <w:rFonts w:asciiTheme="minorHAnsi" w:hAnsiTheme="minorHAnsi"/>
            <w:bCs/>
            <w:sz w:val="22"/>
            <w:szCs w:val="22"/>
          </w:rPr>
          <w:t xml:space="preserve"> Zakład Opieki Zdrowotnej</w:t>
        </w:r>
      </w:hyperlink>
      <w:r w:rsidR="00F122C3" w:rsidRPr="00F122C3">
        <w:rPr>
          <w:rFonts w:asciiTheme="minorHAnsi" w:hAnsiTheme="minorHAnsi"/>
          <w:bCs/>
          <w:color w:val="000000"/>
          <w:sz w:val="22"/>
          <w:szCs w:val="22"/>
        </w:rPr>
        <w:t>, o którym mowa w</w:t>
      </w:r>
      <w:r w:rsidR="00A601B4">
        <w:rPr>
          <w:rFonts w:asciiTheme="minorHAnsi" w:hAnsiTheme="minorHAnsi"/>
          <w:bCs/>
          <w:color w:val="000000"/>
          <w:sz w:val="22"/>
          <w:szCs w:val="22"/>
        </w:rPr>
        <w:t> </w:t>
      </w:r>
      <w:hyperlink r:id="rId9" w:tgtFrame="_blank" w:tooltip="https://www.google.com/search?q=ustaw%c4%99+z+dnia+15+kwietnia+2011+r.+o+dzia%c5%82alno%c5%9bci+leczniczej&amp;client=firefox-b-d&amp;hs=nsuu&amp;sca_esv=7db8a341a0b7f2aa&amp;channel=entpr&amp;ei=dd9mad3zm82vxc8p1rwx4qk&amp;ved=2ahukewjl3v6ux4isaxutbnsehs_sfxsqgk4qegqiarab&amp;uact=5&amp;oq=" w:history="1">
        <w:r w:rsidR="00F122C3" w:rsidRPr="00F122C3">
          <w:rPr>
            <w:rStyle w:val="Hipercze"/>
            <w:rFonts w:asciiTheme="minorHAnsi" w:hAnsiTheme="minorHAnsi"/>
            <w:bCs/>
            <w:sz w:val="22"/>
            <w:szCs w:val="22"/>
          </w:rPr>
          <w:t>ustawie z dnia 15 kwietnia 2011 r. o działalności leczniczej</w:t>
        </w:r>
      </w:hyperlink>
      <w:r w:rsidR="00F122C3" w:rsidRPr="00F122C3">
        <w:rPr>
          <w:rFonts w:asciiTheme="minorHAnsi" w:hAnsiTheme="minorHAnsi"/>
          <w:bCs/>
          <w:color w:val="000000"/>
          <w:sz w:val="22"/>
          <w:szCs w:val="22"/>
        </w:rPr>
        <w:t>,</w:t>
      </w:r>
    </w:p>
    <w:p w14:paraId="113F048B" w14:textId="77777777" w:rsidR="00F122C3" w:rsidRDefault="00F122C3" w:rsidP="00E73F90">
      <w:pPr>
        <w:pStyle w:val="Akapitzlist"/>
        <w:tabs>
          <w:tab w:val="left" w:pos="0"/>
        </w:tabs>
        <w:autoSpaceDE w:val="0"/>
        <w:autoSpaceDN w:val="0"/>
        <w:adjustRightInd w:val="0"/>
        <w:spacing w:before="120" w:line="276" w:lineRule="auto"/>
        <w:ind w:left="426"/>
        <w:rPr>
          <w:rFonts w:asciiTheme="minorHAnsi" w:hAnsiTheme="minorHAnsi"/>
          <w:bCs/>
          <w:color w:val="000000"/>
          <w:sz w:val="22"/>
          <w:szCs w:val="22"/>
        </w:rPr>
      </w:pPr>
      <w:r w:rsidRPr="00F122C3">
        <w:rPr>
          <w:rFonts w:asciiTheme="minorHAnsi" w:hAnsiTheme="minorHAnsi"/>
          <w:bCs/>
          <w:color w:val="000000"/>
          <w:sz w:val="22"/>
          <w:szCs w:val="22"/>
        </w:rPr>
        <w:t>lub</w:t>
      </w:r>
    </w:p>
    <w:p w14:paraId="399DF0E2" w14:textId="5FD82733" w:rsidR="00F122C3" w:rsidRDefault="00F122C3" w:rsidP="00E73F90">
      <w:pPr>
        <w:pStyle w:val="Akapitzlist"/>
        <w:numPr>
          <w:ilvl w:val="0"/>
          <w:numId w:val="31"/>
        </w:numPr>
        <w:tabs>
          <w:tab w:val="left" w:pos="0"/>
        </w:tabs>
        <w:autoSpaceDE w:val="0"/>
        <w:autoSpaceDN w:val="0"/>
        <w:adjustRightInd w:val="0"/>
        <w:spacing w:before="120" w:line="276" w:lineRule="auto"/>
        <w:ind w:left="426" w:hanging="426"/>
        <w:rPr>
          <w:rFonts w:asciiTheme="minorHAnsi" w:hAnsiTheme="minorHAnsi"/>
          <w:bCs/>
          <w:color w:val="000000"/>
          <w:sz w:val="22"/>
          <w:szCs w:val="22"/>
        </w:rPr>
      </w:pPr>
      <w:r w:rsidRPr="00F122C3">
        <w:rPr>
          <w:rFonts w:asciiTheme="minorHAnsi" w:hAnsiTheme="minorHAnsi"/>
          <w:bCs/>
          <w:color w:val="000000"/>
          <w:sz w:val="22"/>
          <w:szCs w:val="22"/>
        </w:rPr>
        <w:t xml:space="preserve">udziałowcem lub akcjonariuszem podmiotu leczniczego wpisanego do </w:t>
      </w:r>
      <w:hyperlink r:id="rId10" w:tgtFrame="_blank" w:tooltip="https://www.google.com/url?sa=i&amp;source=web&amp;rct=j&amp;url=https://gov.legalis.pl/status-szpitala-dzialajacego-w-formie-spolki-z-o-o/&amp;ved=2ahukewjl15xiy4isaxw4spedhqetangqy_koegqiarab&amp;opi=89978449&amp;cd&amp;psig=aovvaw2ysuagv3uy_0vr4zkzyinl&amp;ust=1768396313906000" w:history="1">
        <w:r w:rsidRPr="00F122C3">
          <w:rPr>
            <w:rStyle w:val="Hipercze"/>
            <w:rFonts w:asciiTheme="minorHAnsi" w:hAnsiTheme="minorHAnsi"/>
            <w:bCs/>
            <w:sz w:val="22"/>
            <w:szCs w:val="22"/>
          </w:rPr>
          <w:t>Rejestru Podmiotów Wykonujących Działalność Lecznicz</w:t>
        </w:r>
      </w:hyperlink>
      <w:r w:rsidRPr="00F122C3">
        <w:rPr>
          <w:rFonts w:asciiTheme="minorHAnsi" w:hAnsiTheme="minorHAnsi"/>
          <w:bCs/>
          <w:color w:val="000000"/>
          <w:sz w:val="22"/>
          <w:szCs w:val="22"/>
        </w:rPr>
        <w:t>ą, zorganizowanego w formie spółki z ograniczoną odpowiedzialnością lub spółki akcyjne</w:t>
      </w:r>
      <w:r>
        <w:rPr>
          <w:rFonts w:asciiTheme="minorHAnsi" w:hAnsiTheme="minorHAnsi"/>
          <w:bCs/>
          <w:color w:val="000000"/>
          <w:sz w:val="22"/>
          <w:szCs w:val="22"/>
        </w:rPr>
        <w:t>,</w:t>
      </w:r>
      <w:r w:rsidR="000F7C12">
        <w:rPr>
          <w:rFonts w:asciiTheme="minorHAnsi" w:hAnsiTheme="minorHAnsi"/>
          <w:bCs/>
          <w:color w:val="000000"/>
          <w:sz w:val="22"/>
          <w:szCs w:val="22"/>
        </w:rPr>
        <w:t xml:space="preserve"> </w:t>
      </w:r>
      <w:r w:rsidR="000F7C12" w:rsidRPr="000F7C12">
        <w:rPr>
          <w:rFonts w:asciiTheme="minorHAnsi" w:hAnsiTheme="minorHAnsi"/>
          <w:bCs/>
          <w:color w:val="000000"/>
          <w:sz w:val="22"/>
          <w:szCs w:val="22"/>
        </w:rPr>
        <w:t>jeżeli wartość nominalna udziałów albo akcji należących do jednostek samorządu terytorialnego nie stanowi mniej niż 51% kapitału zakładowego spółki, a</w:t>
      </w:r>
      <w:r w:rsidR="00A601B4">
        <w:rPr>
          <w:rFonts w:asciiTheme="minorHAnsi" w:hAnsiTheme="minorHAnsi"/>
          <w:bCs/>
          <w:color w:val="000000"/>
          <w:sz w:val="22"/>
          <w:szCs w:val="22"/>
        </w:rPr>
        <w:t> </w:t>
      </w:r>
      <w:r w:rsidR="000F7C12" w:rsidRPr="000F7C12">
        <w:rPr>
          <w:rFonts w:asciiTheme="minorHAnsi" w:hAnsiTheme="minorHAnsi"/>
          <w:bCs/>
          <w:color w:val="000000"/>
          <w:sz w:val="22"/>
          <w:szCs w:val="22"/>
        </w:rPr>
        <w:t>w przypadku prostej spółki akcyjnej liczba akcji należących do jednost</w:t>
      </w:r>
      <w:r w:rsidR="000F7C12">
        <w:rPr>
          <w:rFonts w:asciiTheme="minorHAnsi" w:hAnsiTheme="minorHAnsi"/>
          <w:bCs/>
          <w:color w:val="000000"/>
          <w:sz w:val="22"/>
          <w:szCs w:val="22"/>
        </w:rPr>
        <w:t>ek</w:t>
      </w:r>
      <w:r w:rsidR="000F7C12" w:rsidRPr="000F7C12">
        <w:rPr>
          <w:rFonts w:asciiTheme="minorHAnsi" w:hAnsiTheme="minorHAnsi"/>
          <w:bCs/>
          <w:color w:val="000000"/>
          <w:sz w:val="22"/>
          <w:szCs w:val="22"/>
        </w:rPr>
        <w:t xml:space="preserve"> samorządu terytorialnego nie stanowi mniej niż 51% ogólnej liczby akcji tej spółki, oraz jednostki samorządu </w:t>
      </w:r>
      <w:r w:rsidR="000F7C12" w:rsidRPr="000F7C12">
        <w:rPr>
          <w:rFonts w:asciiTheme="minorHAnsi" w:hAnsiTheme="minorHAnsi"/>
          <w:bCs/>
          <w:color w:val="000000"/>
          <w:sz w:val="22"/>
          <w:szCs w:val="22"/>
        </w:rPr>
        <w:lastRenderedPageBreak/>
        <w:t>terytori</w:t>
      </w:r>
      <w:r w:rsidR="000F7C12">
        <w:rPr>
          <w:rFonts w:asciiTheme="minorHAnsi" w:hAnsiTheme="minorHAnsi"/>
          <w:bCs/>
          <w:color w:val="000000"/>
          <w:sz w:val="22"/>
          <w:szCs w:val="22"/>
        </w:rPr>
        <w:t>a</w:t>
      </w:r>
      <w:r w:rsidR="000F7C12" w:rsidRPr="000F7C12">
        <w:rPr>
          <w:rFonts w:asciiTheme="minorHAnsi" w:hAnsiTheme="minorHAnsi"/>
          <w:bCs/>
          <w:color w:val="000000"/>
          <w:sz w:val="22"/>
          <w:szCs w:val="22"/>
        </w:rPr>
        <w:t>lnego dysponują bezpośrednio większością głosów na zgromadzeniu wspólników albo</w:t>
      </w:r>
      <w:r w:rsidR="00E73F90">
        <w:rPr>
          <w:rFonts w:asciiTheme="minorHAnsi" w:hAnsiTheme="minorHAnsi"/>
          <w:bCs/>
          <w:color w:val="000000"/>
          <w:sz w:val="22"/>
          <w:szCs w:val="22"/>
        </w:rPr>
        <w:t> </w:t>
      </w:r>
      <w:r w:rsidR="000F7C12" w:rsidRPr="000F7C12">
        <w:rPr>
          <w:rFonts w:asciiTheme="minorHAnsi" w:hAnsiTheme="minorHAnsi"/>
          <w:bCs/>
          <w:color w:val="000000"/>
          <w:sz w:val="22"/>
          <w:szCs w:val="22"/>
        </w:rPr>
        <w:t>walnym zgromadzeniu</w:t>
      </w:r>
      <w:r w:rsidR="00A601B4">
        <w:rPr>
          <w:rFonts w:asciiTheme="minorHAnsi" w:hAnsiTheme="minorHAnsi"/>
          <w:bCs/>
          <w:color w:val="000000"/>
          <w:sz w:val="22"/>
          <w:szCs w:val="22"/>
        </w:rPr>
        <w:t>,</w:t>
      </w:r>
    </w:p>
    <w:p w14:paraId="3A0AA33A" w14:textId="2B180A1C" w:rsidR="0089646D" w:rsidRDefault="0089646D" w:rsidP="00E73F90">
      <w:pPr>
        <w:pStyle w:val="Akapitzlist"/>
        <w:tabs>
          <w:tab w:val="left" w:pos="0"/>
        </w:tabs>
        <w:autoSpaceDE w:val="0"/>
        <w:autoSpaceDN w:val="0"/>
        <w:adjustRightInd w:val="0"/>
        <w:spacing w:before="120" w:line="276" w:lineRule="auto"/>
        <w:ind w:left="426"/>
        <w:rPr>
          <w:rFonts w:asciiTheme="minorHAnsi" w:hAnsiTheme="minorHAnsi"/>
          <w:bCs/>
          <w:color w:val="000000"/>
          <w:sz w:val="22"/>
          <w:szCs w:val="22"/>
        </w:rPr>
      </w:pPr>
      <w:r>
        <w:rPr>
          <w:rFonts w:asciiTheme="minorHAnsi" w:hAnsiTheme="minorHAnsi"/>
          <w:bCs/>
          <w:color w:val="000000"/>
          <w:sz w:val="22"/>
          <w:szCs w:val="22"/>
        </w:rPr>
        <w:t>lub</w:t>
      </w:r>
    </w:p>
    <w:p w14:paraId="68FE78BE" w14:textId="47BBF85A" w:rsidR="00BF7449" w:rsidRPr="006A7617" w:rsidRDefault="000F7C12" w:rsidP="00E73F90">
      <w:pPr>
        <w:pStyle w:val="Akapitzlist"/>
        <w:numPr>
          <w:ilvl w:val="0"/>
          <w:numId w:val="31"/>
        </w:numPr>
        <w:tabs>
          <w:tab w:val="left" w:pos="0"/>
        </w:tabs>
        <w:autoSpaceDE w:val="0"/>
        <w:autoSpaceDN w:val="0"/>
        <w:adjustRightInd w:val="0"/>
        <w:spacing w:before="120" w:line="276" w:lineRule="auto"/>
        <w:ind w:left="426" w:hanging="426"/>
        <w:rPr>
          <w:rFonts w:asciiTheme="minorHAnsi" w:hAnsiTheme="minorHAnsi"/>
          <w:bCs/>
          <w:color w:val="000000"/>
          <w:sz w:val="22"/>
          <w:szCs w:val="22"/>
        </w:rPr>
      </w:pPr>
      <w:r>
        <w:rPr>
          <w:rFonts w:asciiTheme="minorHAnsi" w:hAnsiTheme="minorHAnsi"/>
          <w:bCs/>
          <w:color w:val="000000"/>
          <w:sz w:val="22"/>
          <w:szCs w:val="22"/>
        </w:rPr>
        <w:t>podmiotem</w:t>
      </w:r>
      <w:r w:rsidR="0089646D">
        <w:rPr>
          <w:rFonts w:asciiTheme="minorHAnsi" w:hAnsiTheme="minorHAnsi"/>
          <w:bCs/>
          <w:color w:val="000000"/>
          <w:sz w:val="22"/>
          <w:szCs w:val="22"/>
        </w:rPr>
        <w:t xml:space="preserve"> tworzącym szpital w formie </w:t>
      </w:r>
      <w:r w:rsidR="00F122C3">
        <w:rPr>
          <w:rFonts w:asciiTheme="minorHAnsi" w:hAnsiTheme="minorHAnsi"/>
          <w:bCs/>
          <w:color w:val="000000"/>
          <w:sz w:val="22"/>
          <w:szCs w:val="22"/>
        </w:rPr>
        <w:t>samorządowej jednostki budżetowej</w:t>
      </w:r>
      <w:r w:rsidR="0089646D">
        <w:rPr>
          <w:rFonts w:asciiTheme="minorHAnsi" w:hAnsiTheme="minorHAnsi"/>
          <w:bCs/>
          <w:color w:val="000000"/>
          <w:sz w:val="22"/>
          <w:szCs w:val="22"/>
        </w:rPr>
        <w:t>.</w:t>
      </w:r>
    </w:p>
    <w:p w14:paraId="056B0970" w14:textId="68756605" w:rsidR="002431AC" w:rsidRDefault="00825F71" w:rsidP="00E73F90">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A64524">
        <w:rPr>
          <w:rFonts w:asciiTheme="minorHAnsi" w:hAnsiTheme="minorHAnsi"/>
          <w:b/>
          <w:color w:val="000000"/>
          <w:sz w:val="22"/>
          <w:szCs w:val="22"/>
        </w:rPr>
        <w:t xml:space="preserve">Rodzaje </w:t>
      </w:r>
      <w:r w:rsidR="00036F4A">
        <w:rPr>
          <w:rFonts w:asciiTheme="minorHAnsi" w:hAnsiTheme="minorHAnsi"/>
          <w:b/>
          <w:color w:val="000000"/>
          <w:sz w:val="22"/>
          <w:szCs w:val="22"/>
        </w:rPr>
        <w:t>inwestycji</w:t>
      </w:r>
    </w:p>
    <w:p w14:paraId="535BA2A6" w14:textId="5646A6C0" w:rsidR="0019428B" w:rsidRDefault="0089646D" w:rsidP="00E73F90">
      <w:pPr>
        <w:tabs>
          <w:tab w:val="left" w:pos="426"/>
        </w:tabs>
        <w:autoSpaceDE w:val="0"/>
        <w:autoSpaceDN w:val="0"/>
        <w:adjustRightInd w:val="0"/>
        <w:spacing w:before="120" w:line="276" w:lineRule="auto"/>
        <w:rPr>
          <w:rFonts w:asciiTheme="minorHAnsi" w:hAnsiTheme="minorHAnsi"/>
          <w:bCs/>
          <w:color w:val="000000"/>
          <w:sz w:val="22"/>
          <w:szCs w:val="22"/>
        </w:rPr>
      </w:pPr>
      <w:r w:rsidRPr="000861FB">
        <w:rPr>
          <w:rFonts w:asciiTheme="minorHAnsi" w:hAnsiTheme="minorHAnsi"/>
          <w:bCs/>
          <w:color w:val="000000"/>
          <w:sz w:val="22"/>
          <w:szCs w:val="22"/>
        </w:rPr>
        <w:t xml:space="preserve">Inwestycje polegające na wsparciu </w:t>
      </w:r>
      <w:r>
        <w:rPr>
          <w:rFonts w:asciiTheme="minorHAnsi" w:hAnsiTheme="minorHAnsi"/>
          <w:bCs/>
          <w:color w:val="000000"/>
          <w:sz w:val="22"/>
          <w:szCs w:val="22"/>
        </w:rPr>
        <w:t xml:space="preserve">poprawy </w:t>
      </w:r>
      <w:r w:rsidRPr="000861FB">
        <w:rPr>
          <w:rFonts w:asciiTheme="minorHAnsi" w:hAnsiTheme="minorHAnsi"/>
          <w:bCs/>
          <w:color w:val="000000"/>
          <w:sz w:val="22"/>
          <w:szCs w:val="22"/>
        </w:rPr>
        <w:t>efektywności energetycznej</w:t>
      </w:r>
      <w:r>
        <w:rPr>
          <w:rFonts w:asciiTheme="minorHAnsi" w:hAnsiTheme="minorHAnsi"/>
          <w:bCs/>
          <w:color w:val="000000"/>
          <w:sz w:val="22"/>
          <w:szCs w:val="22"/>
        </w:rPr>
        <w:t xml:space="preserve"> wraz z możliwością zastosowania odnawialnych źródeł energii </w:t>
      </w:r>
      <w:r w:rsidRPr="000861FB">
        <w:rPr>
          <w:rFonts w:asciiTheme="minorHAnsi" w:hAnsiTheme="minorHAnsi"/>
          <w:bCs/>
          <w:color w:val="000000"/>
          <w:sz w:val="22"/>
          <w:szCs w:val="22"/>
        </w:rPr>
        <w:t>w</w:t>
      </w:r>
      <w:r>
        <w:rPr>
          <w:rFonts w:asciiTheme="minorHAnsi" w:hAnsiTheme="minorHAnsi"/>
          <w:bCs/>
          <w:color w:val="000000"/>
          <w:sz w:val="22"/>
          <w:szCs w:val="22"/>
        </w:rPr>
        <w:t xml:space="preserve"> budynku/budynkach</w:t>
      </w:r>
      <w:r w:rsidR="00F02496">
        <w:rPr>
          <w:rFonts w:asciiTheme="minorHAnsi" w:hAnsiTheme="minorHAnsi"/>
          <w:bCs/>
          <w:color w:val="000000"/>
          <w:sz w:val="22"/>
          <w:szCs w:val="22"/>
        </w:rPr>
        <w:t>, w którym/których</w:t>
      </w:r>
      <w:r>
        <w:rPr>
          <w:rFonts w:asciiTheme="minorHAnsi" w:hAnsiTheme="minorHAnsi"/>
          <w:bCs/>
          <w:color w:val="000000"/>
          <w:sz w:val="22"/>
          <w:szCs w:val="22"/>
        </w:rPr>
        <w:t xml:space="preserve"> </w:t>
      </w:r>
      <w:r w:rsidR="00E705D9">
        <w:rPr>
          <w:rFonts w:asciiTheme="minorHAnsi" w:hAnsiTheme="minorHAnsi"/>
          <w:bCs/>
          <w:color w:val="000000"/>
          <w:sz w:val="22"/>
          <w:szCs w:val="22"/>
        </w:rPr>
        <w:t xml:space="preserve">podmiot leczniczy </w:t>
      </w:r>
      <w:r w:rsidR="009B478D">
        <w:rPr>
          <w:rFonts w:asciiTheme="minorHAnsi" w:hAnsiTheme="minorHAnsi"/>
          <w:bCs/>
          <w:color w:val="000000"/>
          <w:sz w:val="22"/>
          <w:szCs w:val="22"/>
        </w:rPr>
        <w:t>wykonuje działalność leczniczą w rodzaju świadczenia szpitalne (art. 2 ust. 1 pkt 9 ustawy o działalności leczniczej) na powierzchni nie mniejszej niż 80% powierzchni o regulowanej temperaturze powietrza</w:t>
      </w:r>
      <w:r w:rsidR="00E705D9">
        <w:rPr>
          <w:rFonts w:asciiTheme="minorHAnsi" w:hAnsiTheme="minorHAnsi"/>
          <w:bCs/>
          <w:color w:val="000000"/>
          <w:sz w:val="22"/>
          <w:szCs w:val="22"/>
        </w:rPr>
        <w:t>.</w:t>
      </w:r>
    </w:p>
    <w:p w14:paraId="4A0A8F46" w14:textId="2D2A85CC" w:rsidR="007E6598" w:rsidRDefault="009601D4" w:rsidP="00E73F90">
      <w:pPr>
        <w:tabs>
          <w:tab w:val="left" w:pos="426"/>
        </w:tabs>
        <w:autoSpaceDE w:val="0"/>
        <w:autoSpaceDN w:val="0"/>
        <w:adjustRightInd w:val="0"/>
        <w:spacing w:before="120" w:line="276" w:lineRule="auto"/>
        <w:rPr>
          <w:rFonts w:asciiTheme="minorHAnsi" w:hAnsiTheme="minorHAnsi"/>
          <w:bCs/>
          <w:color w:val="000000"/>
          <w:sz w:val="22"/>
          <w:szCs w:val="22"/>
        </w:rPr>
      </w:pPr>
      <w:r w:rsidRPr="009601D4">
        <w:rPr>
          <w:rFonts w:asciiTheme="minorHAnsi" w:hAnsiTheme="minorHAnsi"/>
          <w:bCs/>
          <w:color w:val="000000"/>
          <w:sz w:val="22"/>
          <w:szCs w:val="22"/>
        </w:rPr>
        <w:t>Podmioty lecznicze w odniesieniu do prowadzonych przez siebie szpitali powyżej I poziomu systemu zabezpieczenia, zgodnie z art. 95l. ustawy z dnia 27 sierpnia 2004 r. o świadczeniach opieki zdrowotnej finansowanych ze środków publicznych, realizują inwestycje tylko i wyłącznie w formule ESCO/EPC.</w:t>
      </w:r>
    </w:p>
    <w:p w14:paraId="6E500743" w14:textId="120A393E" w:rsidR="003869A6" w:rsidRPr="003869A6" w:rsidRDefault="00EC08B8" w:rsidP="00E73F90">
      <w:pPr>
        <w:tabs>
          <w:tab w:val="left" w:pos="426"/>
        </w:tabs>
        <w:autoSpaceDE w:val="0"/>
        <w:autoSpaceDN w:val="0"/>
        <w:adjustRightInd w:val="0"/>
        <w:spacing w:before="120" w:line="276" w:lineRule="auto"/>
        <w:rPr>
          <w:rFonts w:asciiTheme="minorHAnsi" w:hAnsiTheme="minorHAnsi"/>
          <w:bCs/>
          <w:color w:val="000000"/>
          <w:sz w:val="22"/>
          <w:szCs w:val="22"/>
        </w:rPr>
      </w:pPr>
      <w:r>
        <w:rPr>
          <w:rFonts w:asciiTheme="minorHAnsi" w:hAnsiTheme="minorHAnsi"/>
          <w:bCs/>
          <w:color w:val="000000"/>
          <w:sz w:val="22"/>
          <w:szCs w:val="22"/>
        </w:rPr>
        <w:t>Zakres m</w:t>
      </w:r>
      <w:r w:rsidR="003869A6" w:rsidRPr="00A5287E">
        <w:rPr>
          <w:rFonts w:asciiTheme="minorHAnsi" w:hAnsiTheme="minorHAnsi"/>
          <w:bCs/>
          <w:color w:val="000000"/>
          <w:sz w:val="22"/>
          <w:szCs w:val="22"/>
        </w:rPr>
        <w:t>odernizacj</w:t>
      </w:r>
      <w:r>
        <w:rPr>
          <w:rFonts w:asciiTheme="minorHAnsi" w:hAnsiTheme="minorHAnsi"/>
          <w:bCs/>
          <w:color w:val="000000"/>
          <w:sz w:val="22"/>
          <w:szCs w:val="22"/>
        </w:rPr>
        <w:t>i</w:t>
      </w:r>
      <w:r w:rsidR="003869A6" w:rsidRPr="00A5287E">
        <w:rPr>
          <w:rFonts w:asciiTheme="minorHAnsi" w:hAnsiTheme="minorHAnsi"/>
          <w:bCs/>
          <w:color w:val="000000"/>
          <w:sz w:val="22"/>
          <w:szCs w:val="22"/>
        </w:rPr>
        <w:t xml:space="preserve"> energetyczn</w:t>
      </w:r>
      <w:r>
        <w:rPr>
          <w:rFonts w:asciiTheme="minorHAnsi" w:hAnsiTheme="minorHAnsi"/>
          <w:bCs/>
          <w:color w:val="000000"/>
          <w:sz w:val="22"/>
          <w:szCs w:val="22"/>
        </w:rPr>
        <w:t>ej</w:t>
      </w:r>
      <w:r w:rsidR="003869A6" w:rsidRPr="00A5287E">
        <w:rPr>
          <w:rFonts w:asciiTheme="minorHAnsi" w:hAnsiTheme="minorHAnsi"/>
          <w:bCs/>
          <w:color w:val="000000"/>
          <w:sz w:val="22"/>
          <w:szCs w:val="22"/>
        </w:rPr>
        <w:t xml:space="preserve"> </w:t>
      </w:r>
      <w:r w:rsidR="000861FB" w:rsidRPr="00A5287E">
        <w:rPr>
          <w:rFonts w:asciiTheme="minorHAnsi" w:hAnsiTheme="minorHAnsi"/>
          <w:bCs/>
          <w:color w:val="000000"/>
          <w:sz w:val="22"/>
          <w:szCs w:val="22"/>
        </w:rPr>
        <w:t>ww.</w:t>
      </w:r>
      <w:r w:rsidR="003869A6" w:rsidRPr="00A5287E">
        <w:rPr>
          <w:rFonts w:asciiTheme="minorHAnsi" w:hAnsiTheme="minorHAnsi"/>
          <w:bCs/>
          <w:color w:val="000000"/>
          <w:sz w:val="22"/>
          <w:szCs w:val="22"/>
        </w:rPr>
        <w:t xml:space="preserve"> budynków</w:t>
      </w:r>
      <w:r w:rsidR="000861FB" w:rsidRPr="00A5287E">
        <w:rPr>
          <w:rFonts w:asciiTheme="minorHAnsi" w:hAnsiTheme="minorHAnsi"/>
          <w:bCs/>
          <w:color w:val="000000"/>
          <w:sz w:val="22"/>
          <w:szCs w:val="22"/>
        </w:rPr>
        <w:t xml:space="preserve"> </w:t>
      </w:r>
      <w:r w:rsidR="00F15FD4">
        <w:rPr>
          <w:rFonts w:asciiTheme="minorHAnsi" w:hAnsiTheme="minorHAnsi"/>
          <w:bCs/>
          <w:color w:val="000000"/>
          <w:sz w:val="22"/>
          <w:szCs w:val="22"/>
        </w:rPr>
        <w:t>musi wynikać z</w:t>
      </w:r>
      <w:r w:rsidR="000861FB" w:rsidRPr="00A5287E">
        <w:rPr>
          <w:rFonts w:asciiTheme="minorHAnsi" w:hAnsiTheme="minorHAnsi"/>
          <w:bCs/>
          <w:color w:val="000000"/>
          <w:sz w:val="22"/>
          <w:szCs w:val="22"/>
        </w:rPr>
        <w:t xml:space="preserve"> posiadanego audytu energet</w:t>
      </w:r>
      <w:r w:rsidR="00492F3A" w:rsidRPr="00A5287E">
        <w:rPr>
          <w:rFonts w:asciiTheme="minorHAnsi" w:hAnsiTheme="minorHAnsi"/>
          <w:bCs/>
          <w:color w:val="000000"/>
          <w:sz w:val="22"/>
          <w:szCs w:val="22"/>
        </w:rPr>
        <w:t>ycznego</w:t>
      </w:r>
      <w:r w:rsidR="00F15FD4">
        <w:rPr>
          <w:rFonts w:asciiTheme="minorHAnsi" w:hAnsiTheme="minorHAnsi"/>
          <w:bCs/>
          <w:color w:val="000000"/>
          <w:sz w:val="22"/>
          <w:szCs w:val="22"/>
        </w:rPr>
        <w:t>,</w:t>
      </w:r>
      <w:r w:rsidR="00492F3A" w:rsidRPr="00A5287E">
        <w:rPr>
          <w:rFonts w:asciiTheme="minorHAnsi" w:hAnsiTheme="minorHAnsi"/>
          <w:bCs/>
          <w:color w:val="000000"/>
          <w:sz w:val="22"/>
          <w:szCs w:val="22"/>
        </w:rPr>
        <w:t xml:space="preserve"> wykazującego minimalną łączną redukcję </w:t>
      </w:r>
      <w:r w:rsidR="00492F3A" w:rsidRPr="00CA062B">
        <w:rPr>
          <w:rFonts w:asciiTheme="minorHAnsi" w:hAnsiTheme="minorHAnsi"/>
          <w:bCs/>
          <w:color w:val="000000"/>
          <w:sz w:val="22"/>
          <w:szCs w:val="22"/>
        </w:rPr>
        <w:t>zapotrzebowania na energię pierwotną budynków na poziomie 30%</w:t>
      </w:r>
      <w:r w:rsidR="004D6655" w:rsidRPr="00CA062B">
        <w:rPr>
          <w:rFonts w:asciiTheme="minorHAnsi" w:hAnsiTheme="minorHAnsi"/>
          <w:bCs/>
          <w:color w:val="000000"/>
          <w:sz w:val="22"/>
          <w:szCs w:val="22"/>
        </w:rPr>
        <w:t xml:space="preserve"> w stosunku do stanu istniejącego oraz</w:t>
      </w:r>
      <w:r w:rsidR="00492F3A" w:rsidRPr="00CA062B">
        <w:rPr>
          <w:rFonts w:asciiTheme="minorHAnsi" w:hAnsiTheme="minorHAnsi"/>
          <w:bCs/>
          <w:color w:val="000000"/>
          <w:sz w:val="22"/>
          <w:szCs w:val="22"/>
        </w:rPr>
        <w:t xml:space="preserve"> </w:t>
      </w:r>
      <w:r w:rsidR="0020217A" w:rsidRPr="009B1E7C">
        <w:rPr>
          <w:rFonts w:asciiTheme="minorHAnsi" w:hAnsiTheme="minorHAnsi"/>
          <w:bCs/>
          <w:color w:val="000000"/>
          <w:sz w:val="22"/>
          <w:szCs w:val="22"/>
        </w:rPr>
        <w:t>redukcję zapotrzebowania na energię końcową na pozi</w:t>
      </w:r>
      <w:r w:rsidR="004D6655" w:rsidRPr="009B1E7C">
        <w:rPr>
          <w:rFonts w:asciiTheme="minorHAnsi" w:hAnsiTheme="minorHAnsi"/>
          <w:bCs/>
          <w:color w:val="000000"/>
          <w:sz w:val="22"/>
          <w:szCs w:val="22"/>
        </w:rPr>
        <w:t>o</w:t>
      </w:r>
      <w:r w:rsidR="0020217A" w:rsidRPr="009B1E7C">
        <w:rPr>
          <w:rFonts w:asciiTheme="minorHAnsi" w:hAnsiTheme="minorHAnsi"/>
          <w:bCs/>
          <w:color w:val="000000"/>
          <w:sz w:val="22"/>
          <w:szCs w:val="22"/>
        </w:rPr>
        <w:t xml:space="preserve">mie co najmniej </w:t>
      </w:r>
      <w:r w:rsidR="004D6655" w:rsidRPr="009B1E7C">
        <w:rPr>
          <w:rFonts w:asciiTheme="minorHAnsi" w:hAnsiTheme="minorHAnsi"/>
          <w:bCs/>
          <w:color w:val="000000"/>
          <w:sz w:val="22"/>
          <w:szCs w:val="22"/>
        </w:rPr>
        <w:t>25% w stosunku do stanu istniejącego</w:t>
      </w:r>
      <w:r w:rsidR="004D6655" w:rsidRPr="00CA062B">
        <w:rPr>
          <w:rFonts w:asciiTheme="minorHAnsi" w:hAnsiTheme="minorHAnsi"/>
          <w:bCs/>
          <w:color w:val="000000"/>
          <w:sz w:val="22"/>
          <w:szCs w:val="22"/>
        </w:rPr>
        <w:t>.</w:t>
      </w:r>
    </w:p>
    <w:p w14:paraId="03B565F7" w14:textId="3869D3B1" w:rsidR="000861FB" w:rsidRPr="003869A6" w:rsidRDefault="00E73F90" w:rsidP="006A7617">
      <w:pPr>
        <w:rPr>
          <w:rFonts w:asciiTheme="minorHAnsi" w:hAnsiTheme="minorHAnsi"/>
          <w:bCs/>
          <w:color w:val="000000"/>
          <w:sz w:val="22"/>
          <w:szCs w:val="22"/>
        </w:rPr>
      </w:pPr>
      <w:r>
        <w:rPr>
          <w:rFonts w:asciiTheme="minorHAnsi" w:hAnsiTheme="minorHAnsi"/>
          <w:bCs/>
          <w:color w:val="000000"/>
          <w:sz w:val="22"/>
          <w:szCs w:val="22"/>
        </w:rPr>
        <w:br w:type="page"/>
      </w:r>
    </w:p>
    <w:p w14:paraId="755DAB36" w14:textId="22C84037" w:rsidR="002C7747" w:rsidRPr="006A7617" w:rsidRDefault="008E232A" w:rsidP="000E08EE">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A64524">
        <w:rPr>
          <w:rFonts w:asciiTheme="minorHAnsi" w:hAnsiTheme="minorHAnsi"/>
          <w:b/>
          <w:color w:val="000000"/>
          <w:sz w:val="22"/>
          <w:szCs w:val="22"/>
        </w:rPr>
        <w:lastRenderedPageBreak/>
        <w:t xml:space="preserve">Szczegółowe kryteria wyboru </w:t>
      </w:r>
      <w:r w:rsidR="00036F4A">
        <w:rPr>
          <w:rFonts w:asciiTheme="minorHAnsi" w:hAnsiTheme="minorHAnsi"/>
          <w:b/>
          <w:color w:val="000000"/>
          <w:sz w:val="22"/>
          <w:szCs w:val="22"/>
        </w:rPr>
        <w:t>inwestycji</w:t>
      </w:r>
    </w:p>
    <w:p w14:paraId="3CE6D441" w14:textId="3B022DCD" w:rsidR="00ED26FB" w:rsidRPr="00EF4967" w:rsidRDefault="00ED26FB" w:rsidP="000E08EE">
      <w:pPr>
        <w:pStyle w:val="Akapitzlist"/>
        <w:tabs>
          <w:tab w:val="left" w:pos="284"/>
        </w:tabs>
        <w:autoSpaceDE w:val="0"/>
        <w:autoSpaceDN w:val="0"/>
        <w:adjustRightInd w:val="0"/>
        <w:ind w:left="0"/>
        <w:contextualSpacing w:val="0"/>
        <w:jc w:val="both"/>
        <w:rPr>
          <w:rFonts w:asciiTheme="minorHAnsi" w:hAnsiTheme="minorHAnsi"/>
          <w:b/>
          <w:color w:val="000000"/>
        </w:rPr>
      </w:pPr>
      <w:r w:rsidRPr="00EF4967">
        <w:rPr>
          <w:rFonts w:asciiTheme="minorHAnsi" w:hAnsiTheme="minorHAnsi"/>
          <w:b/>
          <w:color w:val="000000"/>
        </w:rPr>
        <w:t>Kryteri</w:t>
      </w:r>
      <w:r w:rsidR="00AD56DE" w:rsidRPr="00EF4967">
        <w:rPr>
          <w:rFonts w:asciiTheme="minorHAnsi" w:hAnsiTheme="minorHAnsi"/>
          <w:b/>
          <w:color w:val="000000"/>
        </w:rPr>
        <w:t>a</w:t>
      </w:r>
      <w:r w:rsidRPr="00EF4967">
        <w:rPr>
          <w:rFonts w:asciiTheme="minorHAnsi" w:hAnsiTheme="minorHAnsi"/>
          <w:b/>
          <w:color w:val="000000"/>
        </w:rPr>
        <w:t xml:space="preserve"> dostępu </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um dostępu"/>
        <w:tblDescription w:val="Tabela składa się z od lewej kolumna numer wiersza, następnie nazwa kryterium,  i ostatnie kolumny w podziale na tak i nie.&#10; &#10; "/>
      </w:tblPr>
      <w:tblGrid>
        <w:gridCol w:w="627"/>
        <w:gridCol w:w="6916"/>
        <w:gridCol w:w="841"/>
        <w:gridCol w:w="616"/>
      </w:tblGrid>
      <w:tr w:rsidR="00893D91" w:rsidRPr="0092699F" w14:paraId="46EF4688" w14:textId="77777777" w:rsidTr="00337431">
        <w:trPr>
          <w:cantSplit/>
          <w:trHeight w:val="344"/>
          <w:jc w:val="center"/>
        </w:trPr>
        <w:tc>
          <w:tcPr>
            <w:tcW w:w="5000" w:type="pct"/>
            <w:gridSpan w:val="4"/>
            <w:tcBorders>
              <w:top w:val="single" w:sz="4" w:space="0" w:color="auto"/>
              <w:left w:val="single" w:sz="4" w:space="0" w:color="auto"/>
            </w:tcBorders>
            <w:shd w:val="clear" w:color="auto" w:fill="BFBFBF"/>
          </w:tcPr>
          <w:p w14:paraId="392476D3"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KRYTERIA DOSTĘPU</w:t>
            </w:r>
          </w:p>
        </w:tc>
      </w:tr>
      <w:tr w:rsidR="00893D91" w:rsidRPr="0092699F" w14:paraId="5704C473" w14:textId="77777777" w:rsidTr="00337431">
        <w:trPr>
          <w:cantSplit/>
          <w:trHeight w:val="344"/>
          <w:jc w:val="center"/>
        </w:trPr>
        <w:tc>
          <w:tcPr>
            <w:tcW w:w="349" w:type="pct"/>
            <w:tcBorders>
              <w:top w:val="single" w:sz="4" w:space="0" w:color="auto"/>
              <w:left w:val="single" w:sz="4" w:space="0" w:color="auto"/>
            </w:tcBorders>
            <w:shd w:val="clear" w:color="auto" w:fill="BFBFBF"/>
          </w:tcPr>
          <w:p w14:paraId="6471ACFD"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Lp.</w:t>
            </w:r>
          </w:p>
        </w:tc>
        <w:tc>
          <w:tcPr>
            <w:tcW w:w="3842" w:type="pct"/>
            <w:tcBorders>
              <w:top w:val="single" w:sz="4" w:space="0" w:color="auto"/>
              <w:left w:val="single" w:sz="4" w:space="0" w:color="auto"/>
            </w:tcBorders>
            <w:shd w:val="clear" w:color="auto" w:fill="BFBFBF"/>
            <w:vAlign w:val="center"/>
          </w:tcPr>
          <w:p w14:paraId="78066117"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Nazwa kryterium</w:t>
            </w:r>
          </w:p>
        </w:tc>
        <w:tc>
          <w:tcPr>
            <w:tcW w:w="467" w:type="pct"/>
            <w:shd w:val="clear" w:color="auto" w:fill="BFBFBF"/>
            <w:vAlign w:val="center"/>
          </w:tcPr>
          <w:p w14:paraId="27C7A0E0"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TAK</w:t>
            </w:r>
          </w:p>
        </w:tc>
        <w:tc>
          <w:tcPr>
            <w:tcW w:w="342" w:type="pct"/>
            <w:shd w:val="clear" w:color="auto" w:fill="BFBFBF"/>
            <w:vAlign w:val="center"/>
          </w:tcPr>
          <w:p w14:paraId="30736C0C" w14:textId="77777777" w:rsidR="00893D91" w:rsidRPr="0092699F" w:rsidRDefault="00893D91" w:rsidP="00337431">
            <w:pPr>
              <w:spacing w:before="60" w:after="60"/>
              <w:jc w:val="center"/>
              <w:rPr>
                <w:rFonts w:asciiTheme="minorHAnsi" w:hAnsiTheme="minorHAnsi" w:cstheme="minorHAnsi"/>
                <w:b/>
                <w:sz w:val="22"/>
                <w:szCs w:val="22"/>
              </w:rPr>
            </w:pPr>
            <w:r w:rsidRPr="0092699F">
              <w:rPr>
                <w:rFonts w:asciiTheme="minorHAnsi" w:hAnsiTheme="minorHAnsi" w:cstheme="minorHAnsi"/>
                <w:b/>
                <w:sz w:val="22"/>
                <w:szCs w:val="22"/>
              </w:rPr>
              <w:t>NIE</w:t>
            </w:r>
          </w:p>
        </w:tc>
      </w:tr>
      <w:tr w:rsidR="00893D91" w:rsidRPr="0092699F" w14:paraId="6E13105C" w14:textId="77777777" w:rsidTr="00337431">
        <w:trPr>
          <w:cantSplit/>
          <w:trHeight w:val="344"/>
          <w:jc w:val="center"/>
        </w:trPr>
        <w:tc>
          <w:tcPr>
            <w:tcW w:w="349" w:type="pct"/>
            <w:tcBorders>
              <w:top w:val="single" w:sz="4" w:space="0" w:color="auto"/>
              <w:left w:val="single" w:sz="4" w:space="0" w:color="auto"/>
            </w:tcBorders>
            <w:vAlign w:val="center"/>
          </w:tcPr>
          <w:p w14:paraId="6CF1638A" w14:textId="77777777" w:rsidR="00893D91" w:rsidRPr="0092699F" w:rsidRDefault="00893D91" w:rsidP="00337431">
            <w:pPr>
              <w:tabs>
                <w:tab w:val="left" w:pos="318"/>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1.</w:t>
            </w:r>
          </w:p>
        </w:tc>
        <w:tc>
          <w:tcPr>
            <w:tcW w:w="3842" w:type="pct"/>
            <w:tcBorders>
              <w:top w:val="single" w:sz="4" w:space="0" w:color="auto"/>
              <w:left w:val="single" w:sz="4" w:space="0" w:color="auto"/>
            </w:tcBorders>
            <w:vAlign w:val="center"/>
          </w:tcPr>
          <w:p w14:paraId="03849754" w14:textId="24416FE2"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Wniosek jest złożony w terminie określonym w regulaminie naboru</w:t>
            </w:r>
            <w:r w:rsidR="0049455D">
              <w:rPr>
                <w:rFonts w:asciiTheme="minorHAnsi" w:hAnsiTheme="minorHAnsi" w:cstheme="minorHAnsi"/>
                <w:sz w:val="22"/>
                <w:szCs w:val="22"/>
              </w:rPr>
              <w:t xml:space="preserve"> (</w:t>
            </w:r>
            <w:r w:rsidR="00642D0D" w:rsidRPr="007F7434">
              <w:rPr>
                <w:rFonts w:asciiTheme="minorHAnsi" w:hAnsiTheme="minorHAnsi"/>
                <w:bCs/>
                <w:color w:val="000000"/>
                <w:sz w:val="22"/>
                <w:szCs w:val="22"/>
              </w:rPr>
              <w:t>brak możliwości uzupełnienia – niespełnienie kryterium powoduje odrzucenie wniosku i brak dalszej oceny)</w:t>
            </w:r>
          </w:p>
        </w:tc>
        <w:tc>
          <w:tcPr>
            <w:tcW w:w="467" w:type="pct"/>
            <w:vAlign w:val="center"/>
          </w:tcPr>
          <w:p w14:paraId="10AE1E1A" w14:textId="77777777" w:rsidR="00893D91" w:rsidRPr="0092699F" w:rsidRDefault="00893D91" w:rsidP="00337431">
            <w:pPr>
              <w:spacing w:before="60" w:after="60"/>
              <w:jc w:val="center"/>
              <w:rPr>
                <w:rFonts w:asciiTheme="minorHAnsi" w:hAnsiTheme="minorHAnsi" w:cstheme="minorHAnsi"/>
                <w:b/>
                <w:sz w:val="22"/>
                <w:szCs w:val="22"/>
              </w:rPr>
            </w:pPr>
          </w:p>
        </w:tc>
        <w:tc>
          <w:tcPr>
            <w:tcW w:w="342" w:type="pct"/>
            <w:vAlign w:val="center"/>
          </w:tcPr>
          <w:p w14:paraId="02C581D9" w14:textId="77777777" w:rsidR="00893D91" w:rsidRPr="0092699F" w:rsidRDefault="00893D91" w:rsidP="00337431">
            <w:pPr>
              <w:spacing w:before="60" w:after="60"/>
              <w:jc w:val="center"/>
              <w:rPr>
                <w:rFonts w:asciiTheme="minorHAnsi" w:hAnsiTheme="minorHAnsi" w:cstheme="minorHAnsi"/>
                <w:b/>
                <w:sz w:val="22"/>
                <w:szCs w:val="22"/>
              </w:rPr>
            </w:pPr>
          </w:p>
        </w:tc>
      </w:tr>
      <w:tr w:rsidR="00893D91" w:rsidRPr="0092699F" w14:paraId="0F185BAA" w14:textId="77777777" w:rsidTr="00337431">
        <w:trPr>
          <w:cantSplit/>
          <w:trHeight w:val="344"/>
          <w:jc w:val="center"/>
        </w:trPr>
        <w:tc>
          <w:tcPr>
            <w:tcW w:w="349" w:type="pct"/>
            <w:tcBorders>
              <w:top w:val="single" w:sz="4" w:space="0" w:color="auto"/>
              <w:left w:val="single" w:sz="4" w:space="0" w:color="auto"/>
            </w:tcBorders>
            <w:vAlign w:val="center"/>
          </w:tcPr>
          <w:p w14:paraId="6C6791E8"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2.</w:t>
            </w:r>
          </w:p>
        </w:tc>
        <w:tc>
          <w:tcPr>
            <w:tcW w:w="3842" w:type="pct"/>
            <w:tcBorders>
              <w:top w:val="single" w:sz="4" w:space="0" w:color="auto"/>
              <w:left w:val="single" w:sz="4" w:space="0" w:color="auto"/>
            </w:tcBorders>
            <w:vAlign w:val="center"/>
          </w:tcPr>
          <w:p w14:paraId="5C556532" w14:textId="77777777"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Wniosek jest złożony na obowiązującym formularzu i w wymaganej formie</w:t>
            </w:r>
          </w:p>
        </w:tc>
        <w:tc>
          <w:tcPr>
            <w:tcW w:w="467" w:type="pct"/>
            <w:vAlign w:val="center"/>
          </w:tcPr>
          <w:p w14:paraId="53180901" w14:textId="77777777" w:rsidR="00893D91" w:rsidRPr="0092699F" w:rsidRDefault="00893D91" w:rsidP="00337431">
            <w:pPr>
              <w:spacing w:before="60" w:after="60"/>
              <w:jc w:val="center"/>
              <w:rPr>
                <w:rFonts w:asciiTheme="minorHAnsi" w:hAnsiTheme="minorHAnsi" w:cstheme="minorHAnsi"/>
                <w:b/>
                <w:sz w:val="22"/>
                <w:szCs w:val="22"/>
              </w:rPr>
            </w:pPr>
          </w:p>
        </w:tc>
        <w:tc>
          <w:tcPr>
            <w:tcW w:w="342" w:type="pct"/>
            <w:vAlign w:val="center"/>
          </w:tcPr>
          <w:p w14:paraId="5C1E3D09" w14:textId="77777777" w:rsidR="00893D91" w:rsidRPr="0092699F" w:rsidRDefault="00893D91" w:rsidP="00337431">
            <w:pPr>
              <w:spacing w:before="60" w:after="60"/>
              <w:jc w:val="center"/>
              <w:rPr>
                <w:rFonts w:asciiTheme="minorHAnsi" w:hAnsiTheme="minorHAnsi" w:cstheme="minorHAnsi"/>
                <w:b/>
                <w:sz w:val="22"/>
                <w:szCs w:val="22"/>
              </w:rPr>
            </w:pPr>
          </w:p>
        </w:tc>
      </w:tr>
      <w:tr w:rsidR="00893D91" w:rsidRPr="0092699F" w14:paraId="3F30397D" w14:textId="77777777" w:rsidTr="00337431">
        <w:trPr>
          <w:cantSplit/>
          <w:trHeight w:val="344"/>
          <w:jc w:val="center"/>
        </w:trPr>
        <w:tc>
          <w:tcPr>
            <w:tcW w:w="349" w:type="pct"/>
            <w:tcBorders>
              <w:top w:val="single" w:sz="4" w:space="0" w:color="auto"/>
              <w:left w:val="single" w:sz="4" w:space="0" w:color="auto"/>
            </w:tcBorders>
            <w:vAlign w:val="center"/>
          </w:tcPr>
          <w:p w14:paraId="3481309F"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3.</w:t>
            </w:r>
          </w:p>
        </w:tc>
        <w:tc>
          <w:tcPr>
            <w:tcW w:w="3842" w:type="pct"/>
            <w:tcBorders>
              <w:top w:val="single" w:sz="4" w:space="0" w:color="auto"/>
              <w:left w:val="single" w:sz="4" w:space="0" w:color="auto"/>
            </w:tcBorders>
            <w:vAlign w:val="center"/>
          </w:tcPr>
          <w:p w14:paraId="5B330F83" w14:textId="77777777" w:rsidR="00893D91" w:rsidRPr="0092699F" w:rsidRDefault="00893D91" w:rsidP="00337431">
            <w:pPr>
              <w:spacing w:before="60" w:after="60"/>
              <w:jc w:val="both"/>
              <w:rPr>
                <w:rFonts w:asciiTheme="minorHAnsi" w:hAnsiTheme="minorHAnsi" w:cstheme="minorHAnsi"/>
                <w:strike/>
                <w:sz w:val="22"/>
                <w:szCs w:val="22"/>
              </w:rPr>
            </w:pPr>
            <w:r w:rsidRPr="0092699F">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7" w:type="pct"/>
            <w:vAlign w:val="center"/>
          </w:tcPr>
          <w:p w14:paraId="50E706EE"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4A01B958"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767B9048" w14:textId="77777777" w:rsidTr="00337431">
        <w:trPr>
          <w:cantSplit/>
          <w:trHeight w:val="344"/>
          <w:jc w:val="center"/>
        </w:trPr>
        <w:tc>
          <w:tcPr>
            <w:tcW w:w="349" w:type="pct"/>
            <w:tcBorders>
              <w:top w:val="single" w:sz="4" w:space="0" w:color="auto"/>
              <w:left w:val="single" w:sz="4" w:space="0" w:color="auto"/>
              <w:bottom w:val="single" w:sz="4" w:space="0" w:color="auto"/>
              <w:right w:val="single" w:sz="4" w:space="0" w:color="auto"/>
            </w:tcBorders>
            <w:vAlign w:val="center"/>
          </w:tcPr>
          <w:p w14:paraId="381A460E"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4.</w:t>
            </w:r>
          </w:p>
        </w:tc>
        <w:tc>
          <w:tcPr>
            <w:tcW w:w="3842" w:type="pct"/>
            <w:tcBorders>
              <w:top w:val="single" w:sz="4" w:space="0" w:color="auto"/>
              <w:left w:val="single" w:sz="4" w:space="0" w:color="auto"/>
              <w:bottom w:val="single" w:sz="4" w:space="0" w:color="auto"/>
              <w:right w:val="single" w:sz="4" w:space="0" w:color="auto"/>
            </w:tcBorders>
            <w:vAlign w:val="center"/>
          </w:tcPr>
          <w:p w14:paraId="62FE522A" w14:textId="6D5AF602"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Wnioskodawca mieści się w katalogu Beneficjentów, określonym w</w:t>
            </w:r>
            <w:r w:rsidR="00554EC6">
              <w:rPr>
                <w:rFonts w:asciiTheme="minorHAnsi" w:hAnsiTheme="minorHAnsi" w:cstheme="minorHAnsi"/>
                <w:sz w:val="22"/>
                <w:szCs w:val="22"/>
              </w:rPr>
              <w:t> </w:t>
            </w:r>
            <w:r w:rsidRPr="0092699F">
              <w:rPr>
                <w:rFonts w:asciiTheme="minorHAnsi" w:hAnsiTheme="minorHAnsi" w:cstheme="minorHAnsi"/>
                <w:sz w:val="22"/>
                <w:szCs w:val="22"/>
              </w:rPr>
              <w:t>programie priorytetowym</w:t>
            </w:r>
          </w:p>
        </w:tc>
        <w:tc>
          <w:tcPr>
            <w:tcW w:w="467" w:type="pct"/>
            <w:tcBorders>
              <w:top w:val="single" w:sz="4" w:space="0" w:color="auto"/>
              <w:left w:val="single" w:sz="4" w:space="0" w:color="auto"/>
              <w:bottom w:val="single" w:sz="4" w:space="0" w:color="auto"/>
              <w:right w:val="single" w:sz="4" w:space="0" w:color="auto"/>
            </w:tcBorders>
          </w:tcPr>
          <w:p w14:paraId="51A2EF3F" w14:textId="77777777" w:rsidR="00893D91" w:rsidRPr="0092699F" w:rsidRDefault="00893D91" w:rsidP="00337431">
            <w:pPr>
              <w:spacing w:before="60" w:after="60"/>
              <w:jc w:val="both"/>
              <w:rPr>
                <w:rFonts w:asciiTheme="minorHAnsi" w:hAnsiTheme="minorHAnsi" w:cstheme="minorHAnsi"/>
                <w:b/>
                <w:sz w:val="22"/>
                <w:szCs w:val="22"/>
              </w:rPr>
            </w:pPr>
          </w:p>
        </w:tc>
        <w:tc>
          <w:tcPr>
            <w:tcW w:w="342" w:type="pct"/>
            <w:tcBorders>
              <w:top w:val="single" w:sz="4" w:space="0" w:color="auto"/>
              <w:left w:val="single" w:sz="4" w:space="0" w:color="auto"/>
              <w:bottom w:val="single" w:sz="4" w:space="0" w:color="auto"/>
              <w:right w:val="single" w:sz="4" w:space="0" w:color="auto"/>
            </w:tcBorders>
          </w:tcPr>
          <w:p w14:paraId="72C1237E" w14:textId="77777777" w:rsidR="00893D91" w:rsidRPr="0092699F" w:rsidRDefault="00893D91" w:rsidP="00337431">
            <w:pPr>
              <w:spacing w:before="60" w:after="60"/>
              <w:jc w:val="both"/>
              <w:rPr>
                <w:rFonts w:asciiTheme="minorHAnsi" w:hAnsiTheme="minorHAnsi" w:cstheme="minorHAnsi"/>
                <w:b/>
                <w:sz w:val="22"/>
                <w:szCs w:val="22"/>
              </w:rPr>
            </w:pPr>
          </w:p>
        </w:tc>
      </w:tr>
      <w:tr w:rsidR="00893D91" w:rsidRPr="0092699F" w14:paraId="6FE96CEA" w14:textId="77777777" w:rsidTr="00337431">
        <w:trPr>
          <w:cantSplit/>
          <w:trHeight w:val="344"/>
          <w:jc w:val="center"/>
        </w:trPr>
        <w:tc>
          <w:tcPr>
            <w:tcW w:w="349" w:type="pct"/>
            <w:tcBorders>
              <w:top w:val="single" w:sz="4" w:space="0" w:color="auto"/>
              <w:left w:val="single" w:sz="4" w:space="0" w:color="auto"/>
            </w:tcBorders>
            <w:vAlign w:val="center"/>
          </w:tcPr>
          <w:p w14:paraId="7D5B0F91"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5.</w:t>
            </w:r>
          </w:p>
        </w:tc>
        <w:tc>
          <w:tcPr>
            <w:tcW w:w="3842" w:type="pct"/>
            <w:tcBorders>
              <w:top w:val="single" w:sz="4" w:space="0" w:color="auto"/>
              <w:left w:val="single" w:sz="4" w:space="0" w:color="auto"/>
            </w:tcBorders>
            <w:vAlign w:val="center"/>
          </w:tcPr>
          <w:p w14:paraId="29711FCB" w14:textId="77777777"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 z przyczyn leżących po stronie Wnioskodawcy</w:t>
            </w:r>
          </w:p>
        </w:tc>
        <w:tc>
          <w:tcPr>
            <w:tcW w:w="467" w:type="pct"/>
            <w:vAlign w:val="center"/>
          </w:tcPr>
          <w:p w14:paraId="73DD7ACC"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12BCCBF7"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2D638814" w14:textId="77777777" w:rsidTr="00337431">
        <w:trPr>
          <w:cantSplit/>
          <w:trHeight w:val="344"/>
          <w:jc w:val="center"/>
        </w:trPr>
        <w:tc>
          <w:tcPr>
            <w:tcW w:w="349" w:type="pct"/>
            <w:tcBorders>
              <w:top w:val="single" w:sz="4" w:space="0" w:color="auto"/>
              <w:left w:val="single" w:sz="4" w:space="0" w:color="auto"/>
            </w:tcBorders>
            <w:vAlign w:val="center"/>
          </w:tcPr>
          <w:p w14:paraId="690430F6"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6.</w:t>
            </w:r>
          </w:p>
        </w:tc>
        <w:tc>
          <w:tcPr>
            <w:tcW w:w="3842" w:type="pct"/>
            <w:tcBorders>
              <w:top w:val="single" w:sz="4" w:space="0" w:color="auto"/>
              <w:left w:val="single" w:sz="4" w:space="0" w:color="auto"/>
            </w:tcBorders>
            <w:vAlign w:val="center"/>
          </w:tcPr>
          <w:p w14:paraId="60D73331" w14:textId="77777777"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Wnioskodawca wywiązuje się z zobowiązań publicznoprawnych na rzecz NFOŚiGW, właściwych organów, czy też podmiotów</w:t>
            </w:r>
          </w:p>
        </w:tc>
        <w:tc>
          <w:tcPr>
            <w:tcW w:w="467" w:type="pct"/>
            <w:vAlign w:val="center"/>
          </w:tcPr>
          <w:p w14:paraId="3AD3D93C"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6C41A4FE"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24EBC469" w14:textId="77777777" w:rsidTr="00337431">
        <w:trPr>
          <w:cantSplit/>
          <w:trHeight w:val="344"/>
          <w:jc w:val="center"/>
        </w:trPr>
        <w:tc>
          <w:tcPr>
            <w:tcW w:w="349" w:type="pct"/>
            <w:tcBorders>
              <w:top w:val="single" w:sz="4" w:space="0" w:color="auto"/>
              <w:left w:val="single" w:sz="4" w:space="0" w:color="auto"/>
            </w:tcBorders>
            <w:vAlign w:val="center"/>
          </w:tcPr>
          <w:p w14:paraId="5E683F01"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7.</w:t>
            </w:r>
          </w:p>
        </w:tc>
        <w:tc>
          <w:tcPr>
            <w:tcW w:w="3842" w:type="pct"/>
            <w:tcBorders>
              <w:top w:val="single" w:sz="4" w:space="0" w:color="auto"/>
              <w:left w:val="single" w:sz="4" w:space="0" w:color="auto"/>
            </w:tcBorders>
            <w:vAlign w:val="center"/>
          </w:tcPr>
          <w:p w14:paraId="6045FE1A" w14:textId="77777777"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Wnioskodawca wywiązuje się z zobowiązań cywilnoprawnych na rzecz NFOŚiGW</w:t>
            </w:r>
          </w:p>
        </w:tc>
        <w:tc>
          <w:tcPr>
            <w:tcW w:w="467" w:type="pct"/>
            <w:vAlign w:val="center"/>
          </w:tcPr>
          <w:p w14:paraId="78320522"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31FBD374"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650CC99F" w14:textId="77777777" w:rsidTr="00337431">
        <w:trPr>
          <w:cantSplit/>
          <w:trHeight w:val="344"/>
          <w:jc w:val="center"/>
        </w:trPr>
        <w:tc>
          <w:tcPr>
            <w:tcW w:w="349" w:type="pct"/>
            <w:tcBorders>
              <w:top w:val="single" w:sz="4" w:space="0" w:color="auto"/>
              <w:left w:val="single" w:sz="4" w:space="0" w:color="auto"/>
            </w:tcBorders>
            <w:vAlign w:val="center"/>
          </w:tcPr>
          <w:p w14:paraId="03DABDA0"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8.</w:t>
            </w:r>
          </w:p>
        </w:tc>
        <w:tc>
          <w:tcPr>
            <w:tcW w:w="3842" w:type="pct"/>
            <w:tcBorders>
              <w:top w:val="single" w:sz="4" w:space="0" w:color="auto"/>
              <w:left w:val="single" w:sz="4" w:space="0" w:color="auto"/>
            </w:tcBorders>
            <w:vAlign w:val="center"/>
          </w:tcPr>
          <w:p w14:paraId="79A94F8E" w14:textId="5F3042FC" w:rsidR="00893D91" w:rsidRPr="0092699F" w:rsidRDefault="00893D91" w:rsidP="00337431">
            <w:pPr>
              <w:tabs>
                <w:tab w:val="num" w:pos="2340"/>
              </w:tabs>
              <w:spacing w:before="60" w:after="60"/>
              <w:jc w:val="both"/>
              <w:rPr>
                <w:rFonts w:asciiTheme="minorHAnsi" w:hAnsiTheme="minorHAnsi" w:cstheme="minorHAnsi"/>
                <w:sz w:val="22"/>
                <w:szCs w:val="22"/>
              </w:rPr>
            </w:pPr>
            <w:r w:rsidRPr="00AC5A61">
              <w:rPr>
                <w:rFonts w:asciiTheme="minorHAnsi" w:hAnsiTheme="minorHAnsi" w:cstheme="minorHAnsi"/>
                <w:sz w:val="22"/>
                <w:szCs w:val="22"/>
              </w:rPr>
              <w:t xml:space="preserve">Cel </w:t>
            </w:r>
            <w:r w:rsidR="00CA062B" w:rsidRPr="009B1E7C">
              <w:rPr>
                <w:rFonts w:asciiTheme="minorHAnsi" w:hAnsiTheme="minorHAnsi" w:cstheme="minorHAnsi"/>
                <w:sz w:val="22"/>
                <w:szCs w:val="22"/>
              </w:rPr>
              <w:t>inwestycji</w:t>
            </w:r>
            <w:r w:rsidRPr="00AC5A61">
              <w:rPr>
                <w:rFonts w:asciiTheme="minorHAnsi" w:hAnsiTheme="minorHAnsi" w:cstheme="minorHAnsi"/>
                <w:sz w:val="22"/>
                <w:szCs w:val="22"/>
              </w:rPr>
              <w:t xml:space="preserve"> jest</w:t>
            </w:r>
            <w:r w:rsidRPr="0092699F">
              <w:rPr>
                <w:rFonts w:asciiTheme="minorHAnsi" w:hAnsiTheme="minorHAnsi" w:cstheme="minorHAnsi"/>
                <w:sz w:val="22"/>
                <w:szCs w:val="22"/>
              </w:rPr>
              <w:t xml:space="preserve"> zgodny z programem priorytetowym</w:t>
            </w:r>
          </w:p>
        </w:tc>
        <w:tc>
          <w:tcPr>
            <w:tcW w:w="467" w:type="pct"/>
          </w:tcPr>
          <w:p w14:paraId="6F5DEFC5" w14:textId="77777777" w:rsidR="00893D91" w:rsidRPr="0092699F" w:rsidRDefault="00893D91" w:rsidP="00337431">
            <w:pPr>
              <w:tabs>
                <w:tab w:val="num" w:pos="2340"/>
              </w:tabs>
              <w:spacing w:before="60" w:after="60"/>
              <w:ind w:left="35"/>
              <w:jc w:val="both"/>
              <w:rPr>
                <w:rFonts w:asciiTheme="minorHAnsi" w:hAnsiTheme="minorHAnsi" w:cstheme="minorHAnsi"/>
                <w:sz w:val="22"/>
                <w:szCs w:val="22"/>
              </w:rPr>
            </w:pPr>
          </w:p>
        </w:tc>
        <w:tc>
          <w:tcPr>
            <w:tcW w:w="342" w:type="pct"/>
            <w:vAlign w:val="center"/>
          </w:tcPr>
          <w:p w14:paraId="01C45C12"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5EF43B6F" w14:textId="77777777" w:rsidTr="00337431">
        <w:trPr>
          <w:cantSplit/>
          <w:trHeight w:val="344"/>
          <w:jc w:val="center"/>
        </w:trPr>
        <w:tc>
          <w:tcPr>
            <w:tcW w:w="349" w:type="pct"/>
            <w:tcBorders>
              <w:top w:val="single" w:sz="4" w:space="0" w:color="auto"/>
              <w:left w:val="single" w:sz="4" w:space="0" w:color="auto"/>
            </w:tcBorders>
            <w:vAlign w:val="center"/>
          </w:tcPr>
          <w:p w14:paraId="369FC39D"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9.</w:t>
            </w:r>
          </w:p>
        </w:tc>
        <w:tc>
          <w:tcPr>
            <w:tcW w:w="3842" w:type="pct"/>
            <w:tcBorders>
              <w:top w:val="single" w:sz="4" w:space="0" w:color="auto"/>
              <w:left w:val="single" w:sz="4" w:space="0" w:color="auto"/>
            </w:tcBorders>
            <w:vAlign w:val="center"/>
          </w:tcPr>
          <w:p w14:paraId="2A202944" w14:textId="5986B342"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 xml:space="preserve">Realizacja </w:t>
            </w:r>
            <w:r w:rsidR="00CA062B">
              <w:rPr>
                <w:rFonts w:asciiTheme="minorHAnsi" w:hAnsiTheme="minorHAnsi" w:cstheme="minorHAnsi"/>
                <w:sz w:val="22"/>
                <w:szCs w:val="22"/>
              </w:rPr>
              <w:t>inwestycji</w:t>
            </w:r>
            <w:r w:rsidRPr="0092699F">
              <w:rPr>
                <w:rFonts w:asciiTheme="minorHAnsi" w:hAnsiTheme="minorHAnsi" w:cstheme="minorHAnsi"/>
                <w:sz w:val="22"/>
                <w:szCs w:val="22"/>
              </w:rPr>
              <w:t xml:space="preserve"> nie została zakończona przed dniem złożenia wniosku</w:t>
            </w:r>
          </w:p>
        </w:tc>
        <w:tc>
          <w:tcPr>
            <w:tcW w:w="467" w:type="pct"/>
            <w:vAlign w:val="center"/>
          </w:tcPr>
          <w:p w14:paraId="2EDBD744"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42DE2312"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198FDDBA" w14:textId="77777777" w:rsidTr="00337431">
        <w:trPr>
          <w:cantSplit/>
          <w:trHeight w:val="344"/>
          <w:jc w:val="center"/>
        </w:trPr>
        <w:tc>
          <w:tcPr>
            <w:tcW w:w="349" w:type="pct"/>
            <w:tcBorders>
              <w:top w:val="single" w:sz="4" w:space="0" w:color="auto"/>
              <w:left w:val="single" w:sz="4" w:space="0" w:color="auto"/>
            </w:tcBorders>
            <w:vAlign w:val="center"/>
          </w:tcPr>
          <w:p w14:paraId="5A98FF9E"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10.</w:t>
            </w:r>
          </w:p>
        </w:tc>
        <w:tc>
          <w:tcPr>
            <w:tcW w:w="3842" w:type="pct"/>
            <w:tcBorders>
              <w:top w:val="single" w:sz="4" w:space="0" w:color="auto"/>
              <w:left w:val="single" w:sz="4" w:space="0" w:color="auto"/>
            </w:tcBorders>
            <w:vAlign w:val="center"/>
          </w:tcPr>
          <w:p w14:paraId="3A9338A0" w14:textId="1F97D288" w:rsidR="00893D91" w:rsidRPr="0092699F" w:rsidRDefault="00893D91" w:rsidP="00337431">
            <w:pPr>
              <w:spacing w:before="60" w:after="60"/>
              <w:jc w:val="both"/>
              <w:rPr>
                <w:rFonts w:asciiTheme="minorHAnsi" w:hAnsiTheme="minorHAnsi" w:cstheme="minorHAnsi"/>
                <w:sz w:val="22"/>
                <w:szCs w:val="22"/>
              </w:rPr>
            </w:pPr>
            <w:r w:rsidRPr="0092699F">
              <w:rPr>
                <w:rFonts w:asciiTheme="minorHAnsi" w:hAnsiTheme="minorHAnsi" w:cstheme="minorHAnsi"/>
                <w:sz w:val="22"/>
                <w:szCs w:val="22"/>
              </w:rPr>
              <w:t xml:space="preserve">Okres realizacji </w:t>
            </w:r>
            <w:r w:rsidR="007C7B60">
              <w:rPr>
                <w:rFonts w:asciiTheme="minorHAnsi" w:hAnsiTheme="minorHAnsi" w:cstheme="minorHAnsi"/>
                <w:sz w:val="22"/>
                <w:szCs w:val="22"/>
              </w:rPr>
              <w:t>inwestycji</w:t>
            </w:r>
            <w:r w:rsidRPr="0092699F">
              <w:rPr>
                <w:rFonts w:asciiTheme="minorHAnsi" w:hAnsiTheme="minorHAnsi" w:cstheme="minorHAnsi"/>
                <w:sz w:val="22"/>
                <w:szCs w:val="22"/>
              </w:rPr>
              <w:t xml:space="preserve"> i wypłaty dofinansowania są zgodne z programem priorytetowym</w:t>
            </w:r>
          </w:p>
        </w:tc>
        <w:tc>
          <w:tcPr>
            <w:tcW w:w="467" w:type="pct"/>
            <w:vAlign w:val="center"/>
          </w:tcPr>
          <w:p w14:paraId="3CF01F00" w14:textId="77777777" w:rsidR="00893D91" w:rsidRPr="0092699F" w:rsidRDefault="00893D91" w:rsidP="00337431">
            <w:pPr>
              <w:spacing w:before="60" w:after="60"/>
              <w:jc w:val="center"/>
              <w:rPr>
                <w:rFonts w:asciiTheme="minorHAnsi" w:hAnsiTheme="minorHAnsi" w:cstheme="minorHAnsi"/>
                <w:sz w:val="22"/>
                <w:szCs w:val="22"/>
              </w:rPr>
            </w:pPr>
          </w:p>
        </w:tc>
        <w:tc>
          <w:tcPr>
            <w:tcW w:w="342" w:type="pct"/>
            <w:vAlign w:val="center"/>
          </w:tcPr>
          <w:p w14:paraId="62E22AC6" w14:textId="77777777" w:rsidR="00893D91" w:rsidRPr="0092699F" w:rsidRDefault="00893D91" w:rsidP="00337431">
            <w:pPr>
              <w:spacing w:before="60" w:after="60"/>
              <w:jc w:val="center"/>
              <w:rPr>
                <w:rFonts w:asciiTheme="minorHAnsi" w:hAnsiTheme="minorHAnsi" w:cstheme="minorHAnsi"/>
                <w:sz w:val="22"/>
                <w:szCs w:val="22"/>
              </w:rPr>
            </w:pPr>
          </w:p>
        </w:tc>
      </w:tr>
      <w:tr w:rsidR="00893D91" w:rsidRPr="0092699F" w14:paraId="481D25F8" w14:textId="77777777" w:rsidTr="00337431">
        <w:trPr>
          <w:cantSplit/>
          <w:trHeight w:val="344"/>
          <w:jc w:val="center"/>
        </w:trPr>
        <w:tc>
          <w:tcPr>
            <w:tcW w:w="349" w:type="pct"/>
            <w:tcBorders>
              <w:top w:val="single" w:sz="4" w:space="0" w:color="auto"/>
              <w:left w:val="single" w:sz="4" w:space="0" w:color="auto"/>
              <w:bottom w:val="single" w:sz="4" w:space="0" w:color="auto"/>
              <w:right w:val="single" w:sz="4" w:space="0" w:color="auto"/>
            </w:tcBorders>
            <w:vAlign w:val="center"/>
          </w:tcPr>
          <w:p w14:paraId="3F39DC59" w14:textId="77777777" w:rsidR="00893D91" w:rsidRPr="0092699F" w:rsidRDefault="00893D91" w:rsidP="00337431">
            <w:pPr>
              <w:tabs>
                <w:tab w:val="left" w:pos="176"/>
              </w:tabs>
              <w:spacing w:before="60" w:after="60"/>
              <w:jc w:val="center"/>
              <w:rPr>
                <w:rFonts w:asciiTheme="minorHAnsi" w:hAnsiTheme="minorHAnsi" w:cstheme="minorHAnsi"/>
                <w:sz w:val="22"/>
                <w:szCs w:val="22"/>
              </w:rPr>
            </w:pPr>
            <w:r w:rsidRPr="0092699F">
              <w:rPr>
                <w:rFonts w:asciiTheme="minorHAnsi" w:hAnsiTheme="minorHAnsi" w:cstheme="minorHAnsi"/>
                <w:sz w:val="22"/>
                <w:szCs w:val="22"/>
              </w:rPr>
              <w:t>11.</w:t>
            </w:r>
          </w:p>
        </w:tc>
        <w:tc>
          <w:tcPr>
            <w:tcW w:w="3842" w:type="pct"/>
            <w:tcBorders>
              <w:top w:val="single" w:sz="4" w:space="0" w:color="auto"/>
              <w:left w:val="single" w:sz="4" w:space="0" w:color="auto"/>
              <w:bottom w:val="single" w:sz="4" w:space="0" w:color="auto"/>
              <w:right w:val="single" w:sz="4" w:space="0" w:color="auto"/>
            </w:tcBorders>
            <w:vAlign w:val="center"/>
          </w:tcPr>
          <w:p w14:paraId="29C70984" w14:textId="77714FFC" w:rsidR="00893D91" w:rsidRPr="0092699F" w:rsidRDefault="00893D91" w:rsidP="00337431">
            <w:pPr>
              <w:tabs>
                <w:tab w:val="num" w:pos="2340"/>
              </w:tabs>
              <w:spacing w:before="60" w:after="60"/>
              <w:ind w:left="35"/>
              <w:jc w:val="both"/>
              <w:rPr>
                <w:rFonts w:asciiTheme="minorHAnsi" w:hAnsiTheme="minorHAnsi" w:cstheme="minorHAnsi"/>
                <w:sz w:val="22"/>
                <w:szCs w:val="22"/>
              </w:rPr>
            </w:pPr>
            <w:r w:rsidRPr="0092699F">
              <w:rPr>
                <w:rFonts w:asciiTheme="minorHAnsi" w:hAnsiTheme="minorHAnsi" w:cstheme="minorHAnsi"/>
                <w:sz w:val="22"/>
                <w:szCs w:val="22"/>
              </w:rPr>
              <w:t xml:space="preserve">Forma i intensywność wnioskowanego dofinansowania jest zgodna </w:t>
            </w:r>
            <w:r w:rsidRPr="0092699F">
              <w:rPr>
                <w:rFonts w:asciiTheme="minorHAnsi" w:hAnsiTheme="minorHAnsi" w:cstheme="minorHAnsi"/>
                <w:sz w:val="22"/>
                <w:szCs w:val="22"/>
              </w:rPr>
              <w:br/>
              <w:t>z programem priorytetowym</w:t>
            </w:r>
          </w:p>
        </w:tc>
        <w:tc>
          <w:tcPr>
            <w:tcW w:w="467" w:type="pct"/>
            <w:tcBorders>
              <w:top w:val="single" w:sz="4" w:space="0" w:color="auto"/>
              <w:left w:val="single" w:sz="4" w:space="0" w:color="auto"/>
              <w:bottom w:val="single" w:sz="4" w:space="0" w:color="auto"/>
              <w:right w:val="single" w:sz="4" w:space="0" w:color="auto"/>
            </w:tcBorders>
          </w:tcPr>
          <w:p w14:paraId="53C4D5DC" w14:textId="77777777" w:rsidR="00893D91" w:rsidRPr="0092699F" w:rsidRDefault="00893D91" w:rsidP="00337431">
            <w:pPr>
              <w:tabs>
                <w:tab w:val="num" w:pos="2340"/>
              </w:tabs>
              <w:spacing w:before="60" w:after="60"/>
              <w:ind w:left="35"/>
              <w:jc w:val="both"/>
              <w:rPr>
                <w:rFonts w:asciiTheme="minorHAnsi" w:hAnsiTheme="minorHAnsi" w:cstheme="minorHAnsi"/>
                <w:sz w:val="22"/>
                <w:szCs w:val="22"/>
              </w:rPr>
            </w:pPr>
          </w:p>
        </w:tc>
        <w:tc>
          <w:tcPr>
            <w:tcW w:w="342" w:type="pct"/>
            <w:tcBorders>
              <w:top w:val="single" w:sz="4" w:space="0" w:color="auto"/>
              <w:left w:val="single" w:sz="4" w:space="0" w:color="auto"/>
              <w:bottom w:val="single" w:sz="4" w:space="0" w:color="auto"/>
              <w:right w:val="single" w:sz="4" w:space="0" w:color="auto"/>
            </w:tcBorders>
          </w:tcPr>
          <w:p w14:paraId="414D28A5" w14:textId="77777777" w:rsidR="00893D91" w:rsidRPr="0092699F" w:rsidRDefault="00893D91" w:rsidP="00337431">
            <w:pPr>
              <w:tabs>
                <w:tab w:val="num" w:pos="2340"/>
              </w:tabs>
              <w:spacing w:before="60" w:after="60"/>
              <w:ind w:left="35"/>
              <w:jc w:val="both"/>
              <w:rPr>
                <w:rFonts w:asciiTheme="minorHAnsi" w:hAnsiTheme="minorHAnsi" w:cstheme="minorHAnsi"/>
                <w:sz w:val="22"/>
                <w:szCs w:val="22"/>
              </w:rPr>
            </w:pPr>
          </w:p>
        </w:tc>
      </w:tr>
    </w:tbl>
    <w:p w14:paraId="214687BE" w14:textId="18A5C2BB" w:rsidR="00893D91" w:rsidRPr="0092699F" w:rsidRDefault="00893D91" w:rsidP="00893D91">
      <w:pPr>
        <w:tabs>
          <w:tab w:val="left" w:pos="284"/>
        </w:tabs>
        <w:ind w:left="284" w:hanging="284"/>
        <w:jc w:val="both"/>
        <w:rPr>
          <w:rFonts w:asciiTheme="minorHAnsi" w:hAnsiTheme="minorHAnsi" w:cstheme="minorHAnsi"/>
          <w:sz w:val="22"/>
          <w:szCs w:val="22"/>
        </w:rPr>
      </w:pPr>
    </w:p>
    <w:p w14:paraId="2D332DF6" w14:textId="61156A01" w:rsidR="00E73F90" w:rsidRDefault="00E73F90">
      <w:r>
        <w:br w:type="page"/>
      </w:r>
    </w:p>
    <w:p w14:paraId="1C091245" w14:textId="7B6E27AC" w:rsidR="000918EC" w:rsidRPr="006A7617" w:rsidRDefault="000918EC" w:rsidP="006A7617">
      <w:pPr>
        <w:pStyle w:val="Akapitzlist"/>
        <w:tabs>
          <w:tab w:val="left" w:pos="284"/>
        </w:tabs>
        <w:autoSpaceDE w:val="0"/>
        <w:autoSpaceDN w:val="0"/>
        <w:adjustRightInd w:val="0"/>
        <w:ind w:left="0"/>
        <w:contextualSpacing w:val="0"/>
        <w:jc w:val="both"/>
        <w:rPr>
          <w:rFonts w:asciiTheme="minorHAnsi" w:hAnsiTheme="minorHAnsi"/>
          <w:b/>
          <w:color w:val="000000"/>
        </w:rPr>
      </w:pPr>
      <w:r w:rsidRPr="006A7617">
        <w:rPr>
          <w:rFonts w:asciiTheme="minorHAnsi" w:hAnsiTheme="minorHAnsi"/>
          <w:b/>
          <w:color w:val="000000"/>
        </w:rPr>
        <w:lastRenderedPageBreak/>
        <w:t xml:space="preserve">Kryteria </w:t>
      </w:r>
      <w:r w:rsidR="00BA4587" w:rsidRPr="006A7617">
        <w:rPr>
          <w:rFonts w:asciiTheme="minorHAnsi" w:hAnsiTheme="minorHAnsi"/>
          <w:b/>
          <w:color w:val="000000"/>
        </w:rPr>
        <w:t>jakościowe dopuszczające</w:t>
      </w:r>
    </w:p>
    <w:p w14:paraId="230EAB79" w14:textId="77777777" w:rsidR="000918EC" w:rsidRDefault="000918EC" w:rsidP="00ED26FB">
      <w:pPr>
        <w:spacing w:before="6"/>
        <w:rPr>
          <w:rFonts w:ascii="Calibri" w:eastAsia="Calibri" w:hAnsi="Calibri" w:cs="Calibri"/>
          <w:b/>
          <w:bCs/>
          <w:sz w:val="8"/>
          <w:szCs w:val="8"/>
        </w:rPr>
      </w:pPr>
    </w:p>
    <w:tbl>
      <w:tblPr>
        <w:tblStyle w:val="TableNormal"/>
        <w:tblW w:w="9660" w:type="dxa"/>
        <w:tblInd w:w="96" w:type="dxa"/>
        <w:tblLayout w:type="fixed"/>
        <w:tblLook w:val="01E0" w:firstRow="1" w:lastRow="1" w:firstColumn="1" w:lastColumn="1" w:noHBand="0" w:noVBand="0"/>
        <w:tblCaption w:val="Kryterium jakościowe dopuszczające"/>
        <w:tblDescription w:val="&#10;Tabela składa się z od lewej kolumna numer wiersza, następnie nazwa kryterium, następnie opis kryterium i iststnia kolumna sposób weryfikacji.&#10; "/>
      </w:tblPr>
      <w:tblGrid>
        <w:gridCol w:w="681"/>
        <w:gridCol w:w="2004"/>
        <w:gridCol w:w="5394"/>
        <w:gridCol w:w="1581"/>
      </w:tblGrid>
      <w:tr w:rsidR="000918EC" w:rsidRPr="001344C4" w14:paraId="52AD46CD" w14:textId="77777777" w:rsidTr="000E08EE">
        <w:trPr>
          <w:trHeight w:hRule="exact" w:val="547"/>
        </w:trPr>
        <w:tc>
          <w:tcPr>
            <w:tcW w:w="681" w:type="dxa"/>
            <w:tcBorders>
              <w:top w:val="single" w:sz="4" w:space="0" w:color="000000"/>
              <w:left w:val="single" w:sz="4" w:space="0" w:color="000000"/>
              <w:bottom w:val="single" w:sz="4" w:space="0" w:color="000000"/>
              <w:right w:val="single" w:sz="4" w:space="0" w:color="000000"/>
            </w:tcBorders>
          </w:tcPr>
          <w:p w14:paraId="04D50299" w14:textId="0BC6C398" w:rsidR="000918EC" w:rsidRPr="0043654F" w:rsidRDefault="000918EC" w:rsidP="000E08EE">
            <w:pPr>
              <w:pStyle w:val="TableParagraph"/>
              <w:ind w:left="103"/>
              <w:jc w:val="center"/>
              <w:rPr>
                <w:rFonts w:ascii="Calibri" w:eastAsia="Calibri" w:hAnsi="Calibri" w:cs="Calibri"/>
                <w:b/>
                <w:bCs/>
                <w:lang w:val="pl-PL"/>
              </w:rPr>
            </w:pPr>
            <w:r w:rsidRPr="0043654F">
              <w:rPr>
                <w:rFonts w:ascii="Calibri"/>
                <w:b/>
                <w:bCs/>
                <w:spacing w:val="-1"/>
                <w:lang w:val="pl-PL"/>
              </w:rPr>
              <w:t>Nr</w:t>
            </w:r>
          </w:p>
        </w:tc>
        <w:tc>
          <w:tcPr>
            <w:tcW w:w="2004" w:type="dxa"/>
            <w:tcBorders>
              <w:top w:val="single" w:sz="4" w:space="0" w:color="000000"/>
              <w:left w:val="single" w:sz="4" w:space="0" w:color="000000"/>
              <w:bottom w:val="single" w:sz="4" w:space="0" w:color="000000"/>
              <w:right w:val="single" w:sz="4" w:space="0" w:color="000000"/>
            </w:tcBorders>
          </w:tcPr>
          <w:p w14:paraId="7AD15F8D" w14:textId="77777777" w:rsidR="000918EC" w:rsidRPr="0043654F" w:rsidRDefault="000918EC" w:rsidP="000E08EE">
            <w:pPr>
              <w:pStyle w:val="TableParagraph"/>
              <w:ind w:left="103"/>
              <w:jc w:val="center"/>
              <w:rPr>
                <w:rFonts w:ascii="Calibri" w:eastAsia="Calibri" w:hAnsi="Calibri" w:cs="Calibri"/>
                <w:b/>
                <w:bCs/>
                <w:lang w:val="pl-PL"/>
              </w:rPr>
            </w:pPr>
            <w:r w:rsidRPr="0043654F">
              <w:rPr>
                <w:rFonts w:ascii="Calibri"/>
                <w:b/>
                <w:bCs/>
                <w:spacing w:val="-1"/>
                <w:lang w:val="pl-PL"/>
              </w:rPr>
              <w:t>Nazwa</w:t>
            </w:r>
            <w:r w:rsidRPr="0043654F">
              <w:rPr>
                <w:rFonts w:ascii="Calibri"/>
                <w:b/>
                <w:bCs/>
                <w:spacing w:val="-15"/>
                <w:lang w:val="pl-PL"/>
              </w:rPr>
              <w:t xml:space="preserve"> </w:t>
            </w:r>
            <w:r w:rsidRPr="0043654F">
              <w:rPr>
                <w:rFonts w:ascii="Calibri"/>
                <w:b/>
                <w:bCs/>
                <w:spacing w:val="-1"/>
                <w:lang w:val="pl-PL"/>
              </w:rPr>
              <w:t>kryterium</w:t>
            </w:r>
          </w:p>
        </w:tc>
        <w:tc>
          <w:tcPr>
            <w:tcW w:w="5394" w:type="dxa"/>
            <w:tcBorders>
              <w:top w:val="single" w:sz="4" w:space="0" w:color="000000"/>
              <w:left w:val="single" w:sz="4" w:space="0" w:color="000000"/>
              <w:bottom w:val="single" w:sz="4" w:space="0" w:color="000000"/>
              <w:right w:val="single" w:sz="4" w:space="0" w:color="000000"/>
            </w:tcBorders>
          </w:tcPr>
          <w:p w14:paraId="4D4B985C" w14:textId="77777777" w:rsidR="000918EC" w:rsidRPr="0043654F" w:rsidRDefault="000918EC" w:rsidP="000E08EE">
            <w:pPr>
              <w:pStyle w:val="TableParagraph"/>
              <w:ind w:left="103"/>
              <w:jc w:val="center"/>
              <w:rPr>
                <w:rFonts w:ascii="Calibri" w:eastAsia="Calibri" w:hAnsi="Calibri" w:cs="Calibri"/>
                <w:b/>
                <w:bCs/>
                <w:lang w:val="pl-PL"/>
              </w:rPr>
            </w:pPr>
            <w:r w:rsidRPr="0043654F">
              <w:rPr>
                <w:rFonts w:ascii="Calibri"/>
                <w:b/>
                <w:bCs/>
                <w:spacing w:val="-1"/>
                <w:lang w:val="pl-PL"/>
              </w:rPr>
              <w:t>Opis</w:t>
            </w:r>
            <w:r w:rsidRPr="0043654F">
              <w:rPr>
                <w:rFonts w:ascii="Calibri"/>
                <w:b/>
                <w:bCs/>
                <w:spacing w:val="-9"/>
                <w:lang w:val="pl-PL"/>
              </w:rPr>
              <w:t xml:space="preserve"> </w:t>
            </w:r>
            <w:r w:rsidRPr="0043654F">
              <w:rPr>
                <w:rFonts w:ascii="Calibri"/>
                <w:b/>
                <w:bCs/>
                <w:spacing w:val="-1"/>
                <w:lang w:val="pl-PL"/>
              </w:rPr>
              <w:t>kryterium</w:t>
            </w:r>
          </w:p>
        </w:tc>
        <w:tc>
          <w:tcPr>
            <w:tcW w:w="1581" w:type="dxa"/>
            <w:tcBorders>
              <w:top w:val="single" w:sz="4" w:space="0" w:color="000000"/>
              <w:left w:val="single" w:sz="4" w:space="0" w:color="000000"/>
              <w:bottom w:val="single" w:sz="4" w:space="0" w:color="000000"/>
              <w:right w:val="single" w:sz="4" w:space="0" w:color="000000"/>
            </w:tcBorders>
          </w:tcPr>
          <w:p w14:paraId="6820F03D" w14:textId="1E3737D8" w:rsidR="000918EC" w:rsidRPr="0043654F" w:rsidRDefault="000918EC" w:rsidP="000E08EE">
            <w:pPr>
              <w:pStyle w:val="TableParagraph"/>
              <w:ind w:left="103" w:right="398"/>
              <w:jc w:val="center"/>
              <w:rPr>
                <w:rFonts w:ascii="Calibri" w:eastAsia="Calibri" w:hAnsi="Calibri" w:cs="Calibri"/>
                <w:b/>
                <w:bCs/>
                <w:lang w:val="pl-PL"/>
              </w:rPr>
            </w:pPr>
            <w:r w:rsidRPr="0043654F">
              <w:rPr>
                <w:rFonts w:ascii="Calibri" w:hAnsi="Calibri"/>
                <w:b/>
                <w:bCs/>
                <w:spacing w:val="-1"/>
                <w:lang w:val="pl-PL"/>
              </w:rPr>
              <w:t>Sposób</w:t>
            </w:r>
            <w:r w:rsidRPr="0043654F">
              <w:rPr>
                <w:rFonts w:ascii="Calibri" w:hAnsi="Calibri"/>
                <w:b/>
                <w:bCs/>
                <w:spacing w:val="20"/>
                <w:lang w:val="pl-PL"/>
              </w:rPr>
              <w:t xml:space="preserve"> </w:t>
            </w:r>
            <w:r w:rsidR="002C7747" w:rsidRPr="0043654F">
              <w:rPr>
                <w:rFonts w:ascii="Calibri" w:hAnsi="Calibri"/>
                <w:b/>
                <w:bCs/>
                <w:spacing w:val="-1"/>
                <w:lang w:val="pl-PL"/>
              </w:rPr>
              <w:t>weryfikacji</w:t>
            </w:r>
          </w:p>
        </w:tc>
      </w:tr>
      <w:tr w:rsidR="000918EC" w14:paraId="674A1472" w14:textId="77777777" w:rsidTr="00C977EB">
        <w:trPr>
          <w:trHeight w:hRule="exact" w:val="3139"/>
        </w:trPr>
        <w:tc>
          <w:tcPr>
            <w:tcW w:w="681" w:type="dxa"/>
            <w:tcBorders>
              <w:top w:val="single" w:sz="4" w:space="0" w:color="000000"/>
              <w:left w:val="single" w:sz="4" w:space="0" w:color="000000"/>
              <w:bottom w:val="single" w:sz="4" w:space="0" w:color="000000"/>
              <w:right w:val="single" w:sz="4" w:space="0" w:color="000000"/>
            </w:tcBorders>
          </w:tcPr>
          <w:p w14:paraId="6D46ABA3" w14:textId="2096AABD" w:rsidR="000918EC" w:rsidRPr="00C2504B" w:rsidRDefault="007F1C39" w:rsidP="009B1E7C">
            <w:pPr>
              <w:tabs>
                <w:tab w:val="left" w:pos="426"/>
              </w:tabs>
              <w:autoSpaceDE w:val="0"/>
              <w:autoSpaceDN w:val="0"/>
              <w:adjustRightInd w:val="0"/>
              <w:spacing w:before="120"/>
              <w:jc w:val="center"/>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1</w:t>
            </w:r>
            <w:r w:rsidR="000918EC" w:rsidRPr="00C2504B">
              <w:rPr>
                <w:rFonts w:eastAsia="Times New Roman" w:cs="Times New Roman"/>
                <w:bCs/>
                <w:color w:val="000000"/>
                <w:sz w:val="22"/>
                <w:szCs w:val="22"/>
                <w:lang w:val="pl-PL" w:eastAsia="pl-PL"/>
              </w:rPr>
              <w:t>.</w:t>
            </w:r>
          </w:p>
        </w:tc>
        <w:tc>
          <w:tcPr>
            <w:tcW w:w="2004" w:type="dxa"/>
            <w:tcBorders>
              <w:top w:val="single" w:sz="4" w:space="0" w:color="000000"/>
              <w:left w:val="single" w:sz="4" w:space="0" w:color="000000"/>
              <w:bottom w:val="single" w:sz="4" w:space="0" w:color="000000"/>
              <w:right w:val="single" w:sz="4" w:space="0" w:color="000000"/>
            </w:tcBorders>
          </w:tcPr>
          <w:p w14:paraId="4B3379FC" w14:textId="176E104B" w:rsidR="000918EC" w:rsidRPr="00C2504B" w:rsidRDefault="000918EC" w:rsidP="009B1E7C">
            <w:pPr>
              <w:tabs>
                <w:tab w:val="left" w:pos="426"/>
              </w:tabs>
              <w:autoSpaceDE w:val="0"/>
              <w:autoSpaceDN w:val="0"/>
              <w:adjustRightInd w:val="0"/>
              <w:spacing w:before="120"/>
              <w:ind w:left="74"/>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Brak</w:t>
            </w:r>
            <w:r w:rsidR="004E3369"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podwójnego finansowania</w:t>
            </w:r>
          </w:p>
        </w:tc>
        <w:tc>
          <w:tcPr>
            <w:tcW w:w="5394" w:type="dxa"/>
            <w:tcBorders>
              <w:top w:val="single" w:sz="4" w:space="0" w:color="000000"/>
              <w:left w:val="single" w:sz="4" w:space="0" w:color="000000"/>
              <w:bottom w:val="single" w:sz="4" w:space="0" w:color="000000"/>
              <w:right w:val="single" w:sz="4" w:space="0" w:color="000000"/>
            </w:tcBorders>
          </w:tcPr>
          <w:p w14:paraId="1054540D" w14:textId="688F39F2" w:rsidR="00CE0714" w:rsidRPr="00CE0714" w:rsidRDefault="000918EC"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C2504B">
              <w:rPr>
                <w:rFonts w:eastAsia="Times New Roman" w:cs="Times New Roman"/>
                <w:bCs/>
                <w:color w:val="000000"/>
                <w:sz w:val="22"/>
                <w:szCs w:val="22"/>
                <w:lang w:val="pl-PL" w:eastAsia="pl-PL"/>
              </w:rPr>
              <w:t xml:space="preserve">Analizowane jest czy </w:t>
            </w:r>
            <w:r w:rsidR="00196082">
              <w:rPr>
                <w:rFonts w:eastAsia="Times New Roman" w:cs="Times New Roman"/>
                <w:bCs/>
                <w:color w:val="000000"/>
                <w:sz w:val="22"/>
                <w:szCs w:val="22"/>
                <w:lang w:val="pl-PL" w:eastAsia="pl-PL"/>
              </w:rPr>
              <w:t>Wnioskodawca</w:t>
            </w:r>
            <w:r w:rsidRPr="00C2504B">
              <w:rPr>
                <w:rFonts w:eastAsia="Times New Roman" w:cs="Times New Roman"/>
                <w:bCs/>
                <w:color w:val="000000"/>
                <w:sz w:val="22"/>
                <w:szCs w:val="22"/>
                <w:lang w:val="pl-PL" w:eastAsia="pl-PL"/>
              </w:rPr>
              <w:t xml:space="preserve"> nie otrzymał już finansowania </w:t>
            </w:r>
            <w:r w:rsidR="0035011D" w:rsidRPr="00C2504B">
              <w:rPr>
                <w:rFonts w:eastAsia="Times New Roman" w:cs="Times New Roman"/>
                <w:bCs/>
                <w:color w:val="000000"/>
                <w:sz w:val="22"/>
                <w:szCs w:val="22"/>
                <w:lang w:val="pl-PL" w:eastAsia="pl-PL"/>
              </w:rPr>
              <w:t xml:space="preserve">na te same koszty </w:t>
            </w:r>
            <w:r w:rsidR="00C40068">
              <w:rPr>
                <w:rFonts w:eastAsia="Times New Roman" w:cs="Times New Roman"/>
                <w:bCs/>
                <w:color w:val="000000"/>
                <w:sz w:val="22"/>
                <w:szCs w:val="22"/>
                <w:lang w:val="pl-PL" w:eastAsia="pl-PL"/>
              </w:rPr>
              <w:t>inwestycji</w:t>
            </w:r>
            <w:r w:rsidR="00F148C2" w:rsidRPr="00C2504B">
              <w:rPr>
                <w:rFonts w:eastAsia="Times New Roman" w:cs="Times New Roman"/>
                <w:bCs/>
                <w:color w:val="000000"/>
                <w:sz w:val="22"/>
                <w:szCs w:val="22"/>
                <w:lang w:val="pl-PL" w:eastAsia="pl-PL"/>
              </w:rPr>
              <w:t xml:space="preserve"> </w:t>
            </w:r>
            <w:r w:rsidRPr="00C2504B">
              <w:rPr>
                <w:rFonts w:eastAsia="Times New Roman" w:cs="Times New Roman"/>
                <w:bCs/>
                <w:color w:val="000000"/>
                <w:sz w:val="22"/>
                <w:szCs w:val="22"/>
                <w:lang w:val="pl-PL" w:eastAsia="pl-PL"/>
              </w:rPr>
              <w:t xml:space="preserve">w ramach planu rozwojowego lub innych </w:t>
            </w:r>
            <w:r w:rsidR="00436981">
              <w:rPr>
                <w:rFonts w:eastAsia="Times New Roman" w:cs="Times New Roman"/>
                <w:bCs/>
                <w:color w:val="000000"/>
                <w:sz w:val="22"/>
                <w:szCs w:val="22"/>
                <w:lang w:val="pl-PL" w:eastAsia="pl-PL"/>
              </w:rPr>
              <w:t xml:space="preserve">publicznych </w:t>
            </w:r>
            <w:r w:rsidR="001B2AF0">
              <w:rPr>
                <w:rFonts w:eastAsia="Times New Roman" w:cs="Times New Roman"/>
                <w:bCs/>
                <w:color w:val="000000"/>
                <w:sz w:val="22"/>
                <w:szCs w:val="22"/>
                <w:lang w:val="pl-PL" w:eastAsia="pl-PL"/>
              </w:rPr>
              <w:t>środków krajowych lub zagranicznych, w tym środkó</w:t>
            </w:r>
            <w:r w:rsidR="001F3B7D">
              <w:rPr>
                <w:rFonts w:eastAsia="Times New Roman" w:cs="Times New Roman"/>
                <w:bCs/>
                <w:color w:val="000000"/>
                <w:sz w:val="22"/>
                <w:szCs w:val="22"/>
                <w:lang w:val="pl-PL" w:eastAsia="pl-PL"/>
              </w:rPr>
              <w:t>w</w:t>
            </w:r>
            <w:r w:rsidR="001B2AF0">
              <w:rPr>
                <w:rFonts w:eastAsia="Times New Roman" w:cs="Times New Roman"/>
                <w:bCs/>
                <w:color w:val="000000"/>
                <w:sz w:val="22"/>
                <w:szCs w:val="22"/>
                <w:lang w:val="pl-PL" w:eastAsia="pl-PL"/>
              </w:rPr>
              <w:t xml:space="preserve"> budżetu Unii Europejskiej</w:t>
            </w:r>
            <w:r w:rsidR="00263638">
              <w:rPr>
                <w:rFonts w:eastAsia="Times New Roman" w:cs="Times New Roman"/>
                <w:bCs/>
                <w:color w:val="000000"/>
                <w:sz w:val="22"/>
                <w:szCs w:val="22"/>
                <w:lang w:val="pl-PL" w:eastAsia="pl-PL"/>
              </w:rPr>
              <w:t>.</w:t>
            </w:r>
            <w:r w:rsidR="00245B1F">
              <w:rPr>
                <w:rFonts w:eastAsia="Times New Roman" w:cs="Times New Roman"/>
                <w:bCs/>
                <w:color w:val="000000"/>
                <w:sz w:val="22"/>
                <w:szCs w:val="22"/>
                <w:lang w:val="pl-PL" w:eastAsia="pl-PL"/>
              </w:rPr>
              <w:t xml:space="preserve"> </w:t>
            </w:r>
          </w:p>
          <w:p w14:paraId="1704E9B4" w14:textId="16916FDA" w:rsidR="000918EC" w:rsidRPr="00C2504B" w:rsidRDefault="008F212C"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Ocena na podstawie co najmniej</w:t>
            </w:r>
            <w:r w:rsidR="000918EC" w:rsidRPr="00C2504B">
              <w:rPr>
                <w:rFonts w:eastAsia="Times New Roman" w:cs="Times New Roman"/>
                <w:bCs/>
                <w:color w:val="000000"/>
                <w:sz w:val="22"/>
                <w:szCs w:val="22"/>
                <w:lang w:val="pl-PL" w:eastAsia="pl-PL"/>
              </w:rPr>
              <w:t xml:space="preserve"> oświadczeni</w:t>
            </w:r>
            <w:r>
              <w:rPr>
                <w:rFonts w:eastAsia="Times New Roman" w:cs="Times New Roman"/>
                <w:bCs/>
                <w:color w:val="000000"/>
                <w:sz w:val="22"/>
                <w:szCs w:val="22"/>
                <w:lang w:val="pl-PL" w:eastAsia="pl-PL"/>
              </w:rPr>
              <w:t>a</w:t>
            </w:r>
            <w:r w:rsidR="000918EC" w:rsidRPr="00C2504B">
              <w:rPr>
                <w:rFonts w:eastAsia="Times New Roman" w:cs="Times New Roman"/>
                <w:bCs/>
                <w:color w:val="000000"/>
                <w:sz w:val="22"/>
                <w:szCs w:val="22"/>
                <w:lang w:val="pl-PL" w:eastAsia="pl-PL"/>
              </w:rPr>
              <w:t xml:space="preserve"> o braku podwójnego finansowania </w:t>
            </w:r>
            <w:r w:rsidR="004E6782">
              <w:rPr>
                <w:rFonts w:eastAsia="Times New Roman" w:cs="Times New Roman"/>
                <w:bCs/>
                <w:color w:val="000000"/>
                <w:sz w:val="22"/>
                <w:szCs w:val="22"/>
                <w:lang w:val="pl-PL" w:eastAsia="pl-PL"/>
              </w:rPr>
              <w:t>inwestycji</w:t>
            </w:r>
            <w:r w:rsidR="000918EC" w:rsidRPr="00C2504B">
              <w:rPr>
                <w:rFonts w:eastAsia="Times New Roman" w:cs="Times New Roman"/>
                <w:bCs/>
                <w:color w:val="000000"/>
                <w:sz w:val="22"/>
                <w:szCs w:val="22"/>
                <w:lang w:val="pl-PL" w:eastAsia="pl-PL"/>
              </w:rPr>
              <w:t xml:space="preserve"> złożone przez </w:t>
            </w:r>
            <w:r w:rsidR="007A1C8F">
              <w:rPr>
                <w:rFonts w:eastAsia="Times New Roman" w:cs="Times New Roman"/>
                <w:bCs/>
                <w:color w:val="000000"/>
                <w:sz w:val="22"/>
                <w:szCs w:val="22"/>
                <w:lang w:val="pl-PL" w:eastAsia="pl-PL"/>
              </w:rPr>
              <w:t>Wnioskodawcę</w:t>
            </w:r>
            <w:r w:rsidR="000918EC" w:rsidRPr="00C2504B">
              <w:rPr>
                <w:rFonts w:eastAsia="Times New Roman" w:cs="Times New Roman"/>
                <w:bCs/>
                <w:color w:val="000000"/>
                <w:sz w:val="22"/>
                <w:szCs w:val="22"/>
                <w:lang w:val="pl-PL" w:eastAsia="pl-PL"/>
              </w:rPr>
              <w:t>.</w:t>
            </w:r>
          </w:p>
        </w:tc>
        <w:tc>
          <w:tcPr>
            <w:tcW w:w="1581" w:type="dxa"/>
            <w:tcBorders>
              <w:top w:val="single" w:sz="4" w:space="0" w:color="000000"/>
              <w:left w:val="single" w:sz="4" w:space="0" w:color="000000"/>
              <w:bottom w:val="single" w:sz="4" w:space="0" w:color="000000"/>
              <w:right w:val="single" w:sz="4" w:space="0" w:color="000000"/>
            </w:tcBorders>
          </w:tcPr>
          <w:p w14:paraId="32865A7C" w14:textId="0EFD485F" w:rsidR="000918EC" w:rsidRPr="00C2504B" w:rsidRDefault="00BA4587" w:rsidP="009B1E7C">
            <w:pPr>
              <w:tabs>
                <w:tab w:val="left" w:pos="426"/>
              </w:tabs>
              <w:autoSpaceDE w:val="0"/>
              <w:autoSpaceDN w:val="0"/>
              <w:adjustRightInd w:val="0"/>
              <w:spacing w:before="120"/>
              <w:jc w:val="center"/>
              <w:rPr>
                <w:rFonts w:eastAsia="Times New Roman" w:cs="Times New Roman"/>
                <w:bCs/>
                <w:color w:val="000000"/>
                <w:sz w:val="22"/>
                <w:szCs w:val="22"/>
                <w:lang w:val="pl-PL" w:eastAsia="pl-PL"/>
              </w:rPr>
            </w:pPr>
            <w:r>
              <w:rPr>
                <w:rFonts w:eastAsia="Times New Roman" w:cs="Times New Roman"/>
                <w:bCs/>
                <w:color w:val="000000"/>
                <w:sz w:val="22"/>
                <w:szCs w:val="22"/>
                <w:lang w:val="pl-PL" w:eastAsia="pl-PL"/>
              </w:rPr>
              <w:t>T/N</w:t>
            </w:r>
          </w:p>
        </w:tc>
      </w:tr>
      <w:tr w:rsidR="00C977EB" w14:paraId="4A928441" w14:textId="77777777" w:rsidTr="009B1E7C">
        <w:trPr>
          <w:trHeight w:hRule="exact" w:val="2659"/>
        </w:trPr>
        <w:tc>
          <w:tcPr>
            <w:tcW w:w="681" w:type="dxa"/>
            <w:tcBorders>
              <w:top w:val="single" w:sz="4" w:space="0" w:color="000000"/>
              <w:left w:val="single" w:sz="4" w:space="0" w:color="000000"/>
              <w:bottom w:val="single" w:sz="4" w:space="0" w:color="000000"/>
              <w:right w:val="single" w:sz="4" w:space="0" w:color="000000"/>
            </w:tcBorders>
          </w:tcPr>
          <w:p w14:paraId="381CFF73" w14:textId="3F975E06" w:rsidR="00C977EB" w:rsidRDefault="00C977EB" w:rsidP="009B1E7C">
            <w:pPr>
              <w:tabs>
                <w:tab w:val="left" w:pos="426"/>
              </w:tabs>
              <w:autoSpaceDE w:val="0"/>
              <w:autoSpaceDN w:val="0"/>
              <w:adjustRightInd w:val="0"/>
              <w:spacing w:before="120"/>
              <w:jc w:val="center"/>
              <w:rPr>
                <w:bCs/>
                <w:color w:val="000000"/>
                <w:sz w:val="22"/>
                <w:szCs w:val="22"/>
              </w:rPr>
            </w:pPr>
            <w:r>
              <w:rPr>
                <w:bCs/>
                <w:color w:val="000000"/>
                <w:sz w:val="22"/>
                <w:szCs w:val="22"/>
              </w:rPr>
              <w:t>2</w:t>
            </w:r>
            <w:r w:rsidR="00BE57E2">
              <w:rPr>
                <w:bCs/>
                <w:color w:val="000000"/>
                <w:sz w:val="22"/>
                <w:szCs w:val="22"/>
              </w:rPr>
              <w:t>.</w:t>
            </w:r>
          </w:p>
        </w:tc>
        <w:tc>
          <w:tcPr>
            <w:tcW w:w="2004" w:type="dxa"/>
            <w:tcBorders>
              <w:top w:val="single" w:sz="4" w:space="0" w:color="000000"/>
              <w:left w:val="single" w:sz="4" w:space="0" w:color="000000"/>
              <w:bottom w:val="single" w:sz="4" w:space="0" w:color="000000"/>
              <w:right w:val="single" w:sz="4" w:space="0" w:color="000000"/>
            </w:tcBorders>
          </w:tcPr>
          <w:p w14:paraId="4B80B7B8" w14:textId="5CC1B91B" w:rsidR="00C977EB" w:rsidRPr="00C977EB" w:rsidRDefault="00C977EB" w:rsidP="009B1E7C">
            <w:pPr>
              <w:tabs>
                <w:tab w:val="left" w:pos="426"/>
              </w:tabs>
              <w:autoSpaceDE w:val="0"/>
              <w:autoSpaceDN w:val="0"/>
              <w:adjustRightInd w:val="0"/>
              <w:spacing w:before="120"/>
              <w:rPr>
                <w:bCs/>
                <w:color w:val="000000"/>
                <w:sz w:val="22"/>
                <w:szCs w:val="22"/>
                <w:lang w:val="pl-PL"/>
              </w:rPr>
            </w:pPr>
            <w:r w:rsidRPr="00693627">
              <w:rPr>
                <w:bCs/>
                <w:color w:val="000000"/>
                <w:sz w:val="22"/>
                <w:szCs w:val="22"/>
                <w:lang w:val="pl-PL"/>
              </w:rPr>
              <w:t>Zachowanie zgodności z zasadą równości szans i niedyskryminacji</w:t>
            </w:r>
          </w:p>
        </w:tc>
        <w:tc>
          <w:tcPr>
            <w:tcW w:w="5394" w:type="dxa"/>
            <w:tcBorders>
              <w:top w:val="single" w:sz="4" w:space="0" w:color="000000"/>
              <w:left w:val="single" w:sz="4" w:space="0" w:color="000000"/>
              <w:bottom w:val="single" w:sz="4" w:space="0" w:color="000000"/>
              <w:right w:val="single" w:sz="4" w:space="0" w:color="000000"/>
            </w:tcBorders>
          </w:tcPr>
          <w:p w14:paraId="3E99133A" w14:textId="647CC2AE" w:rsidR="00C977EB" w:rsidRPr="009B1E7C" w:rsidRDefault="00C977EB"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 xml:space="preserve">Badane będzie czy na terenie </w:t>
            </w:r>
            <w:r w:rsidR="007A1C8F">
              <w:rPr>
                <w:rFonts w:eastAsia="Times New Roman" w:cs="Times New Roman"/>
                <w:bCs/>
                <w:color w:val="000000"/>
                <w:sz w:val="22"/>
                <w:szCs w:val="22"/>
                <w:lang w:val="pl-PL" w:eastAsia="pl-PL"/>
              </w:rPr>
              <w:t>Wnioskodawcy (</w:t>
            </w:r>
            <w:proofErr w:type="spellStart"/>
            <w:r w:rsidRPr="009B1E7C">
              <w:rPr>
                <w:rFonts w:eastAsia="Times New Roman" w:cs="Times New Roman"/>
                <w:bCs/>
                <w:color w:val="000000"/>
                <w:sz w:val="22"/>
                <w:szCs w:val="22"/>
                <w:lang w:val="pl-PL" w:eastAsia="pl-PL"/>
              </w:rPr>
              <w:t>jst</w:t>
            </w:r>
            <w:proofErr w:type="spellEnd"/>
            <w:r w:rsidR="007A1C8F">
              <w:rPr>
                <w:rFonts w:eastAsia="Times New Roman" w:cs="Times New Roman"/>
                <w:bCs/>
                <w:color w:val="000000"/>
                <w:sz w:val="22"/>
                <w:szCs w:val="22"/>
                <w:lang w:val="pl-PL" w:eastAsia="pl-PL"/>
              </w:rPr>
              <w:t>)</w:t>
            </w:r>
            <w:r w:rsidRPr="009B1E7C">
              <w:rPr>
                <w:rFonts w:eastAsia="Times New Roman" w:cs="Times New Roman"/>
                <w:bCs/>
                <w:color w:val="000000"/>
                <w:sz w:val="22"/>
                <w:szCs w:val="22"/>
                <w:lang w:val="pl-PL" w:eastAsia="pl-PL"/>
              </w:rPr>
              <w:t xml:space="preserve"> nie obowiązują żadne ustanowione przez jego organy dyskryminujące akty prawa miejscowego lub inne podjęte dyskryminujące uchwały oraz nie podjęto jakichkolwiek działań dyskryminujących, sprzecznych z zasadami, o</w:t>
            </w:r>
            <w:r w:rsidR="00E85318">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których mowa w art. 9 ust. 3 rozporządzenia 2021/1060.</w:t>
            </w:r>
          </w:p>
          <w:p w14:paraId="2414D8A0" w14:textId="18DEF4E0" w:rsidR="00C977EB" w:rsidRPr="00C977EB" w:rsidRDefault="00E85318" w:rsidP="009B1E7C">
            <w:pPr>
              <w:tabs>
                <w:tab w:val="left" w:pos="426"/>
              </w:tabs>
              <w:autoSpaceDE w:val="0"/>
              <w:autoSpaceDN w:val="0"/>
              <w:adjustRightInd w:val="0"/>
              <w:spacing w:before="120" w:after="240"/>
              <w:ind w:left="57" w:right="96"/>
              <w:jc w:val="both"/>
              <w:rPr>
                <w:bCs/>
                <w:color w:val="000000"/>
                <w:sz w:val="22"/>
                <w:szCs w:val="22"/>
                <w:lang w:val="pl-PL"/>
              </w:rPr>
            </w:pPr>
            <w:r>
              <w:rPr>
                <w:rFonts w:eastAsia="Times New Roman" w:cs="Times New Roman"/>
                <w:bCs/>
                <w:color w:val="000000"/>
                <w:sz w:val="22"/>
                <w:szCs w:val="22"/>
                <w:lang w:val="pl-PL" w:eastAsia="pl-PL"/>
              </w:rPr>
              <w:t>Ocena na podstawie co najmniej</w:t>
            </w:r>
            <w:r w:rsidRPr="00C2504B">
              <w:rPr>
                <w:rFonts w:eastAsia="Times New Roman" w:cs="Times New Roman"/>
                <w:bCs/>
                <w:color w:val="000000"/>
                <w:sz w:val="22"/>
                <w:szCs w:val="22"/>
                <w:lang w:val="pl-PL" w:eastAsia="pl-PL"/>
              </w:rPr>
              <w:t xml:space="preserve"> oświadczeni</w:t>
            </w:r>
            <w:r>
              <w:rPr>
                <w:rFonts w:eastAsia="Times New Roman" w:cs="Times New Roman"/>
                <w:bCs/>
                <w:color w:val="000000"/>
                <w:sz w:val="22"/>
                <w:szCs w:val="22"/>
                <w:lang w:val="pl-PL" w:eastAsia="pl-PL"/>
              </w:rPr>
              <w:t>a</w:t>
            </w:r>
            <w:r w:rsidRPr="00C2504B">
              <w:rPr>
                <w:rFonts w:eastAsia="Times New Roman" w:cs="Times New Roman"/>
                <w:bCs/>
                <w:color w:val="000000"/>
                <w:sz w:val="22"/>
                <w:szCs w:val="22"/>
                <w:lang w:val="pl-PL" w:eastAsia="pl-PL"/>
              </w:rPr>
              <w:t xml:space="preserve"> złożone</w:t>
            </w:r>
            <w:r w:rsidR="00C20208">
              <w:rPr>
                <w:rFonts w:eastAsia="Times New Roman" w:cs="Times New Roman"/>
                <w:bCs/>
                <w:color w:val="000000"/>
                <w:sz w:val="22"/>
                <w:szCs w:val="22"/>
                <w:lang w:val="pl-PL" w:eastAsia="pl-PL"/>
              </w:rPr>
              <w:t>go</w:t>
            </w:r>
            <w:r w:rsidRPr="00C2504B">
              <w:rPr>
                <w:rFonts w:eastAsia="Times New Roman" w:cs="Times New Roman"/>
                <w:bCs/>
                <w:color w:val="000000"/>
                <w:sz w:val="22"/>
                <w:szCs w:val="22"/>
                <w:lang w:val="pl-PL" w:eastAsia="pl-PL"/>
              </w:rPr>
              <w:t xml:space="preserve"> przez </w:t>
            </w:r>
            <w:r>
              <w:rPr>
                <w:rFonts w:eastAsia="Times New Roman" w:cs="Times New Roman"/>
                <w:bCs/>
                <w:color w:val="000000"/>
                <w:sz w:val="22"/>
                <w:szCs w:val="22"/>
                <w:lang w:val="pl-PL" w:eastAsia="pl-PL"/>
              </w:rPr>
              <w:t>Wnioskodawcę</w:t>
            </w:r>
            <w:r w:rsidRPr="00C2504B">
              <w:rPr>
                <w:rFonts w:eastAsia="Times New Roman" w:cs="Times New Roman"/>
                <w:bCs/>
                <w:color w:val="000000"/>
                <w:sz w:val="22"/>
                <w:szCs w:val="22"/>
                <w:lang w:val="pl-PL" w:eastAsia="pl-PL"/>
              </w:rPr>
              <w:t>.</w:t>
            </w:r>
          </w:p>
        </w:tc>
        <w:tc>
          <w:tcPr>
            <w:tcW w:w="1581" w:type="dxa"/>
            <w:tcBorders>
              <w:top w:val="single" w:sz="4" w:space="0" w:color="000000"/>
              <w:left w:val="single" w:sz="4" w:space="0" w:color="000000"/>
              <w:bottom w:val="single" w:sz="4" w:space="0" w:color="000000"/>
              <w:right w:val="single" w:sz="4" w:space="0" w:color="000000"/>
            </w:tcBorders>
          </w:tcPr>
          <w:p w14:paraId="4EC7303D" w14:textId="7A3C6DF6" w:rsidR="00C977EB" w:rsidRPr="00C977EB" w:rsidRDefault="00C977EB" w:rsidP="009B1E7C">
            <w:pPr>
              <w:tabs>
                <w:tab w:val="left" w:pos="426"/>
              </w:tabs>
              <w:autoSpaceDE w:val="0"/>
              <w:autoSpaceDN w:val="0"/>
              <w:adjustRightInd w:val="0"/>
              <w:spacing w:before="120"/>
              <w:jc w:val="center"/>
              <w:rPr>
                <w:bCs/>
                <w:color w:val="000000"/>
                <w:sz w:val="22"/>
                <w:szCs w:val="22"/>
                <w:lang w:val="pl-PL"/>
              </w:rPr>
            </w:pPr>
            <w:r>
              <w:rPr>
                <w:bCs/>
                <w:color w:val="000000"/>
                <w:sz w:val="22"/>
                <w:szCs w:val="22"/>
                <w:lang w:val="pl-PL"/>
              </w:rPr>
              <w:t>T/N</w:t>
            </w:r>
          </w:p>
        </w:tc>
      </w:tr>
      <w:tr w:rsidR="000918EC" w14:paraId="2F3A9A16" w14:textId="77777777" w:rsidTr="00501D61">
        <w:trPr>
          <w:trHeight w:val="2248"/>
        </w:trPr>
        <w:tc>
          <w:tcPr>
            <w:tcW w:w="681" w:type="dxa"/>
            <w:tcBorders>
              <w:top w:val="single" w:sz="4" w:space="0" w:color="auto"/>
              <w:left w:val="single" w:sz="4" w:space="0" w:color="000000"/>
              <w:bottom w:val="single" w:sz="4" w:space="0" w:color="auto"/>
              <w:right w:val="single" w:sz="4" w:space="0" w:color="000000"/>
            </w:tcBorders>
          </w:tcPr>
          <w:p w14:paraId="5C8FA6CA" w14:textId="28952E33" w:rsidR="000918EC" w:rsidRPr="009B1E7C" w:rsidRDefault="00E962DC" w:rsidP="009B1E7C">
            <w:pPr>
              <w:tabs>
                <w:tab w:val="left" w:pos="426"/>
              </w:tabs>
              <w:autoSpaceDE w:val="0"/>
              <w:autoSpaceDN w:val="0"/>
              <w:adjustRightInd w:val="0"/>
              <w:spacing w:before="120"/>
              <w:jc w:val="center"/>
              <w:rPr>
                <w:rFonts w:eastAsia="Calibri" w:cstheme="minorHAnsi"/>
                <w:sz w:val="22"/>
                <w:szCs w:val="22"/>
              </w:rPr>
            </w:pPr>
            <w:r w:rsidRPr="009B1E7C">
              <w:rPr>
                <w:rFonts w:cstheme="minorHAnsi"/>
                <w:spacing w:val="-1"/>
                <w:sz w:val="22"/>
                <w:szCs w:val="22"/>
              </w:rPr>
              <w:t>3</w:t>
            </w:r>
            <w:r w:rsidR="000918EC" w:rsidRPr="009B1E7C">
              <w:rPr>
                <w:rFonts w:cstheme="minorHAnsi"/>
                <w:spacing w:val="-1"/>
                <w:sz w:val="22"/>
                <w:szCs w:val="22"/>
              </w:rPr>
              <w:t>.</w:t>
            </w:r>
          </w:p>
        </w:tc>
        <w:tc>
          <w:tcPr>
            <w:tcW w:w="2004" w:type="dxa"/>
            <w:tcBorders>
              <w:top w:val="single" w:sz="4" w:space="0" w:color="auto"/>
              <w:left w:val="single" w:sz="4" w:space="0" w:color="000000"/>
              <w:bottom w:val="single" w:sz="4" w:space="0" w:color="auto"/>
              <w:right w:val="single" w:sz="4" w:space="0" w:color="000000"/>
            </w:tcBorders>
          </w:tcPr>
          <w:p w14:paraId="0DFE8C52" w14:textId="1175D425" w:rsidR="000918EC" w:rsidRPr="0043654F" w:rsidRDefault="000918EC" w:rsidP="009B1E7C">
            <w:pPr>
              <w:pStyle w:val="TableParagraph"/>
              <w:spacing w:before="120"/>
              <w:ind w:left="102" w:right="102"/>
              <w:rPr>
                <w:rFonts w:eastAsia="Calibri" w:cstheme="minorHAnsi"/>
                <w:lang w:val="pl-PL"/>
              </w:rPr>
            </w:pPr>
            <w:r w:rsidRPr="0043654F">
              <w:rPr>
                <w:rFonts w:cstheme="minorHAnsi"/>
                <w:lang w:val="pl-PL"/>
              </w:rPr>
              <w:t>Właściwie</w:t>
            </w:r>
            <w:r w:rsidRPr="0043654F">
              <w:rPr>
                <w:rFonts w:cstheme="minorHAnsi"/>
                <w:w w:val="99"/>
                <w:lang w:val="pl-PL"/>
              </w:rPr>
              <w:t xml:space="preserve"> </w:t>
            </w:r>
            <w:r w:rsidRPr="0043654F">
              <w:rPr>
                <w:rFonts w:cstheme="minorHAnsi"/>
                <w:lang w:val="pl-PL"/>
              </w:rPr>
              <w:t xml:space="preserve">określone </w:t>
            </w:r>
            <w:r w:rsidR="00CA0706" w:rsidRPr="0043654F">
              <w:rPr>
                <w:rFonts w:cstheme="minorHAnsi"/>
                <w:lang w:val="pl-PL"/>
              </w:rPr>
              <w:t>koszty</w:t>
            </w:r>
            <w:r w:rsidRPr="0043654F">
              <w:rPr>
                <w:rFonts w:cstheme="minorHAnsi"/>
                <w:spacing w:val="20"/>
                <w:w w:val="99"/>
                <w:lang w:val="pl-PL"/>
              </w:rPr>
              <w:t xml:space="preserve"> </w:t>
            </w:r>
            <w:r w:rsidRPr="0043654F">
              <w:rPr>
                <w:rFonts w:cstheme="minorHAnsi"/>
                <w:spacing w:val="-1"/>
                <w:lang w:val="pl-PL"/>
              </w:rPr>
              <w:t>kwalifikow</w:t>
            </w:r>
            <w:r w:rsidR="00CA0706" w:rsidRPr="0043654F">
              <w:rPr>
                <w:rFonts w:cstheme="minorHAnsi"/>
                <w:spacing w:val="-1"/>
                <w:lang w:val="pl-PL"/>
              </w:rPr>
              <w:t>ane</w:t>
            </w:r>
          </w:p>
        </w:tc>
        <w:tc>
          <w:tcPr>
            <w:tcW w:w="5394" w:type="dxa"/>
            <w:tcBorders>
              <w:top w:val="single" w:sz="4" w:space="0" w:color="auto"/>
              <w:left w:val="single" w:sz="4" w:space="0" w:color="000000"/>
              <w:bottom w:val="single" w:sz="4" w:space="0" w:color="auto"/>
              <w:right w:val="single" w:sz="4" w:space="0" w:color="000000"/>
            </w:tcBorders>
          </w:tcPr>
          <w:p w14:paraId="7959EB2B" w14:textId="3C64EEFF" w:rsidR="000918EC" w:rsidRPr="009B1E7C" w:rsidRDefault="00152B60"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Ocena polega na s</w:t>
            </w:r>
            <w:r w:rsidR="000918EC" w:rsidRPr="009B1E7C">
              <w:rPr>
                <w:rFonts w:eastAsia="Times New Roman" w:cs="Times New Roman"/>
                <w:bCs/>
                <w:color w:val="000000"/>
                <w:sz w:val="22"/>
                <w:szCs w:val="22"/>
                <w:lang w:val="pl-PL" w:eastAsia="pl-PL"/>
              </w:rPr>
              <w:t>prawdz</w:t>
            </w:r>
            <w:r w:rsidRPr="009B1E7C">
              <w:rPr>
                <w:rFonts w:eastAsia="Times New Roman" w:cs="Times New Roman"/>
                <w:bCs/>
                <w:color w:val="000000"/>
                <w:sz w:val="22"/>
                <w:szCs w:val="22"/>
                <w:lang w:val="pl-PL" w:eastAsia="pl-PL"/>
              </w:rPr>
              <w:t>eniu</w:t>
            </w:r>
            <w:r w:rsidR="000918EC" w:rsidRPr="009B1E7C">
              <w:rPr>
                <w:rFonts w:eastAsia="Times New Roman" w:cs="Times New Roman"/>
                <w:bCs/>
                <w:color w:val="000000"/>
                <w:sz w:val="22"/>
                <w:szCs w:val="22"/>
                <w:lang w:val="pl-PL" w:eastAsia="pl-PL"/>
              </w:rPr>
              <w:t xml:space="preserve"> kwalifikowalnoś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adekwatnoś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xml:space="preserve"> i racjonalnoś</w:t>
            </w:r>
            <w:r w:rsidRPr="009B1E7C">
              <w:rPr>
                <w:rFonts w:eastAsia="Times New Roman" w:cs="Times New Roman"/>
                <w:bCs/>
                <w:color w:val="000000"/>
                <w:sz w:val="22"/>
                <w:szCs w:val="22"/>
                <w:lang w:val="pl-PL" w:eastAsia="pl-PL"/>
              </w:rPr>
              <w:t>ci</w:t>
            </w:r>
            <w:r w:rsidR="000918EC" w:rsidRPr="009B1E7C">
              <w:rPr>
                <w:rFonts w:eastAsia="Times New Roman" w:cs="Times New Roman"/>
                <w:bCs/>
                <w:color w:val="000000"/>
                <w:sz w:val="22"/>
                <w:szCs w:val="22"/>
                <w:lang w:val="pl-PL" w:eastAsia="pl-PL"/>
              </w:rPr>
              <w:t xml:space="preserve"> </w:t>
            </w:r>
            <w:r w:rsidR="00BB176F" w:rsidRPr="009B1E7C">
              <w:rPr>
                <w:rFonts w:eastAsia="Times New Roman" w:cs="Times New Roman"/>
                <w:bCs/>
                <w:color w:val="000000"/>
                <w:sz w:val="22"/>
                <w:szCs w:val="22"/>
                <w:lang w:val="pl-PL" w:eastAsia="pl-PL"/>
              </w:rPr>
              <w:t>kosztów</w:t>
            </w:r>
            <w:r w:rsidR="000918EC" w:rsidRPr="009B1E7C">
              <w:rPr>
                <w:rFonts w:eastAsia="Times New Roman" w:cs="Times New Roman"/>
                <w:bCs/>
                <w:color w:val="000000"/>
                <w:sz w:val="22"/>
                <w:szCs w:val="22"/>
                <w:lang w:val="pl-PL" w:eastAsia="pl-PL"/>
              </w:rPr>
              <w:t xml:space="preserve"> planowanych  do poniesienia w ramach </w:t>
            </w:r>
            <w:r w:rsidR="0006295D">
              <w:rPr>
                <w:rFonts w:eastAsia="Times New Roman" w:cs="Times New Roman"/>
                <w:bCs/>
                <w:color w:val="000000"/>
                <w:sz w:val="22"/>
                <w:szCs w:val="22"/>
                <w:lang w:val="pl-PL" w:eastAsia="pl-PL"/>
              </w:rPr>
              <w:t>inwestycji</w:t>
            </w:r>
            <w:r w:rsidR="000918EC" w:rsidRPr="009B1E7C">
              <w:rPr>
                <w:rFonts w:eastAsia="Times New Roman" w:cs="Times New Roman"/>
                <w:bCs/>
                <w:color w:val="000000"/>
                <w:sz w:val="22"/>
                <w:szCs w:val="22"/>
                <w:lang w:val="pl-PL" w:eastAsia="pl-PL"/>
              </w:rPr>
              <w:t>.</w:t>
            </w:r>
            <w:r w:rsidR="00BD75CB" w:rsidRPr="009B1E7C">
              <w:rPr>
                <w:rFonts w:eastAsia="Times New Roman" w:cs="Times New Roman"/>
                <w:bCs/>
                <w:color w:val="000000"/>
                <w:sz w:val="22"/>
                <w:szCs w:val="22"/>
                <w:lang w:val="pl-PL" w:eastAsia="pl-PL"/>
              </w:rPr>
              <w:t xml:space="preserve"> </w:t>
            </w:r>
          </w:p>
          <w:p w14:paraId="238F250B" w14:textId="2CC67234" w:rsidR="00E61B74" w:rsidRDefault="00FB50E0" w:rsidP="00BE33F5">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 xml:space="preserve">Wydatki możliwe do kwalifikowania w ramach </w:t>
            </w:r>
            <w:r w:rsidR="00685496">
              <w:rPr>
                <w:rFonts w:eastAsia="Times New Roman" w:cs="Times New Roman"/>
                <w:bCs/>
                <w:color w:val="000000"/>
                <w:sz w:val="22"/>
                <w:szCs w:val="22"/>
                <w:lang w:val="pl-PL" w:eastAsia="pl-PL"/>
              </w:rPr>
              <w:t>inwestycji</w:t>
            </w:r>
            <w:r w:rsidRPr="009B1E7C">
              <w:rPr>
                <w:rFonts w:eastAsia="Times New Roman" w:cs="Times New Roman"/>
                <w:bCs/>
                <w:color w:val="000000"/>
                <w:sz w:val="22"/>
                <w:szCs w:val="22"/>
                <w:lang w:val="pl-PL" w:eastAsia="pl-PL"/>
              </w:rPr>
              <w:t xml:space="preserve"> określone są na zasadach opisanych w</w:t>
            </w:r>
            <w:r w:rsidR="003200D4">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RKKK</w:t>
            </w:r>
            <w:r w:rsidR="000F0040" w:rsidRPr="009B1E7C">
              <w:rPr>
                <w:rFonts w:eastAsia="Times New Roman" w:cs="Times New Roman"/>
                <w:bCs/>
                <w:color w:val="000000"/>
                <w:sz w:val="22"/>
                <w:szCs w:val="22"/>
                <w:lang w:val="pl-PL" w:eastAsia="pl-PL"/>
              </w:rPr>
              <w:t xml:space="preserve"> (Ramowy Katalog Kosztów Kwalifikowanych)</w:t>
            </w:r>
            <w:r w:rsidR="00316ABC" w:rsidRPr="009B1E7C">
              <w:rPr>
                <w:rFonts w:eastAsia="Times New Roman" w:cs="Times New Roman"/>
                <w:bCs/>
                <w:color w:val="000000"/>
                <w:sz w:val="22"/>
                <w:szCs w:val="22"/>
                <w:lang w:val="pl-PL" w:eastAsia="pl-PL"/>
              </w:rPr>
              <w:t>, Wytycznych w zakresie kosztów kwalifikowanych</w:t>
            </w:r>
            <w:r w:rsidR="003B496A" w:rsidRPr="009B1E7C">
              <w:rPr>
                <w:rFonts w:eastAsia="Times New Roman" w:cs="Times New Roman"/>
                <w:bCs/>
                <w:color w:val="000000"/>
                <w:sz w:val="22"/>
                <w:szCs w:val="22"/>
                <w:lang w:val="pl-PL" w:eastAsia="pl-PL"/>
              </w:rPr>
              <w:t xml:space="preserve"> z</w:t>
            </w:r>
            <w:r w:rsidR="003200D4">
              <w:rPr>
                <w:rFonts w:eastAsia="Times New Roman" w:cs="Times New Roman"/>
                <w:bCs/>
                <w:color w:val="000000"/>
                <w:sz w:val="22"/>
                <w:szCs w:val="22"/>
                <w:lang w:val="pl-PL" w:eastAsia="pl-PL"/>
              </w:rPr>
              <w:t> </w:t>
            </w:r>
            <w:r w:rsidR="003B496A" w:rsidRPr="009B1E7C">
              <w:rPr>
                <w:rFonts w:eastAsia="Times New Roman" w:cs="Times New Roman"/>
                <w:bCs/>
                <w:color w:val="000000"/>
                <w:sz w:val="22"/>
                <w:szCs w:val="22"/>
                <w:lang w:val="pl-PL" w:eastAsia="pl-PL"/>
              </w:rPr>
              <w:t xml:space="preserve">uwzględnieniem </w:t>
            </w:r>
            <w:r w:rsidR="000F0040" w:rsidRPr="009B1E7C">
              <w:rPr>
                <w:rFonts w:eastAsia="Times New Roman" w:cs="Times New Roman"/>
                <w:bCs/>
                <w:color w:val="000000"/>
                <w:sz w:val="22"/>
                <w:szCs w:val="22"/>
                <w:lang w:val="pl-PL" w:eastAsia="pl-PL"/>
              </w:rPr>
              <w:t>ust.</w:t>
            </w:r>
            <w:r w:rsidR="009A2F9B" w:rsidRPr="009B1E7C">
              <w:rPr>
                <w:rFonts w:eastAsia="Times New Roman" w:cs="Times New Roman"/>
                <w:bCs/>
                <w:color w:val="000000"/>
                <w:sz w:val="22"/>
                <w:szCs w:val="22"/>
                <w:lang w:val="pl-PL" w:eastAsia="pl-PL"/>
              </w:rPr>
              <w:t xml:space="preserve"> </w:t>
            </w:r>
            <w:r w:rsidR="0085050D" w:rsidRPr="009B1E7C">
              <w:rPr>
                <w:rFonts w:eastAsia="Times New Roman" w:cs="Times New Roman"/>
                <w:bCs/>
                <w:color w:val="000000"/>
                <w:sz w:val="22"/>
                <w:szCs w:val="22"/>
                <w:lang w:val="pl-PL" w:eastAsia="pl-PL"/>
              </w:rPr>
              <w:t>6</w:t>
            </w:r>
            <w:r w:rsidR="005910F6" w:rsidRPr="009B1E7C">
              <w:rPr>
                <w:rFonts w:eastAsia="Times New Roman" w:cs="Times New Roman"/>
                <w:bCs/>
                <w:color w:val="000000"/>
                <w:sz w:val="22"/>
                <w:szCs w:val="22"/>
                <w:lang w:val="pl-PL" w:eastAsia="pl-PL"/>
              </w:rPr>
              <w:t xml:space="preserve"> „Koszty kwalifikowane”</w:t>
            </w:r>
            <w:r w:rsidR="003200D4">
              <w:rPr>
                <w:rFonts w:eastAsia="Times New Roman" w:cs="Times New Roman"/>
                <w:bCs/>
                <w:color w:val="000000"/>
                <w:sz w:val="22"/>
                <w:szCs w:val="22"/>
                <w:lang w:val="pl-PL" w:eastAsia="pl-PL"/>
              </w:rPr>
              <w:t>.</w:t>
            </w:r>
          </w:p>
          <w:p w14:paraId="25E1736F" w14:textId="06FEDAD0" w:rsidR="003200D4" w:rsidRPr="009B1E7C" w:rsidRDefault="003200D4" w:rsidP="009B1E7C">
            <w:pPr>
              <w:tabs>
                <w:tab w:val="left" w:pos="426"/>
              </w:tabs>
              <w:autoSpaceDE w:val="0"/>
              <w:autoSpaceDN w:val="0"/>
              <w:adjustRightInd w:val="0"/>
              <w:spacing w:before="120" w:after="240"/>
              <w:ind w:left="57" w:right="96"/>
              <w:jc w:val="both"/>
              <w:rPr>
                <w:rFonts w:eastAsia="Times New Roman" w:cs="Times New Roman"/>
                <w:bCs/>
                <w:color w:val="000000"/>
                <w:sz w:val="22"/>
                <w:szCs w:val="22"/>
                <w:lang w:val="pl-PL" w:eastAsia="pl-PL"/>
              </w:rPr>
            </w:pPr>
            <w:r w:rsidRPr="009B1E7C">
              <w:rPr>
                <w:rFonts w:eastAsia="Times New Roman" w:cs="Times New Roman"/>
                <w:bCs/>
                <w:color w:val="000000"/>
                <w:sz w:val="22"/>
                <w:szCs w:val="22"/>
                <w:lang w:val="pl-PL" w:eastAsia="pl-PL"/>
              </w:rPr>
              <w:t>Ocena na podstawie informacji zawartych we wniosku i</w:t>
            </w:r>
            <w:r w:rsidR="00674E67">
              <w:rPr>
                <w:rFonts w:eastAsia="Times New Roman" w:cs="Times New Roman"/>
                <w:bCs/>
                <w:color w:val="000000"/>
                <w:sz w:val="22"/>
                <w:szCs w:val="22"/>
                <w:lang w:val="pl-PL" w:eastAsia="pl-PL"/>
              </w:rPr>
              <w:t> </w:t>
            </w:r>
            <w:r w:rsidRPr="009B1E7C">
              <w:rPr>
                <w:rFonts w:eastAsia="Times New Roman" w:cs="Times New Roman"/>
                <w:bCs/>
                <w:color w:val="000000"/>
                <w:sz w:val="22"/>
                <w:szCs w:val="22"/>
                <w:lang w:val="pl-PL" w:eastAsia="pl-PL"/>
              </w:rPr>
              <w:t>załącznikach.</w:t>
            </w:r>
          </w:p>
          <w:p w14:paraId="3965F1FE" w14:textId="07A24521" w:rsidR="0076097F" w:rsidRPr="008A2943" w:rsidRDefault="0076097F" w:rsidP="00B570E4">
            <w:pPr>
              <w:pStyle w:val="TableParagraph"/>
              <w:spacing w:before="120"/>
              <w:ind w:right="102"/>
              <w:jc w:val="both"/>
              <w:rPr>
                <w:rFonts w:ascii="Calibri" w:hAnsi="Calibri"/>
                <w:spacing w:val="-1"/>
                <w:lang w:val="pl-PL"/>
              </w:rPr>
            </w:pPr>
          </w:p>
        </w:tc>
        <w:tc>
          <w:tcPr>
            <w:tcW w:w="1581" w:type="dxa"/>
            <w:tcBorders>
              <w:top w:val="single" w:sz="4" w:space="0" w:color="auto"/>
              <w:left w:val="single" w:sz="4" w:space="0" w:color="000000"/>
              <w:bottom w:val="single" w:sz="4" w:space="0" w:color="auto"/>
              <w:right w:val="single" w:sz="4" w:space="0" w:color="000000"/>
            </w:tcBorders>
          </w:tcPr>
          <w:p w14:paraId="17017D8F" w14:textId="516AE446" w:rsidR="000918EC" w:rsidRPr="009B1E7C" w:rsidRDefault="00BB176F" w:rsidP="009B1E7C">
            <w:pPr>
              <w:tabs>
                <w:tab w:val="left" w:pos="426"/>
              </w:tabs>
              <w:autoSpaceDE w:val="0"/>
              <w:autoSpaceDN w:val="0"/>
              <w:adjustRightInd w:val="0"/>
              <w:spacing w:before="120"/>
              <w:jc w:val="center"/>
              <w:rPr>
                <w:bCs/>
                <w:color w:val="000000"/>
                <w:sz w:val="22"/>
                <w:szCs w:val="22"/>
                <w:lang w:val="pl-PL"/>
              </w:rPr>
            </w:pPr>
            <w:r w:rsidRPr="009B1E7C">
              <w:rPr>
                <w:bCs/>
                <w:color w:val="000000"/>
                <w:sz w:val="22"/>
                <w:szCs w:val="22"/>
                <w:lang w:val="pl-PL"/>
              </w:rPr>
              <w:t>T/N</w:t>
            </w:r>
          </w:p>
        </w:tc>
      </w:tr>
      <w:tr w:rsidR="00917F13" w14:paraId="7AB5BFE9" w14:textId="77777777" w:rsidTr="008A2943">
        <w:trPr>
          <w:trHeight w:val="3532"/>
        </w:trPr>
        <w:tc>
          <w:tcPr>
            <w:tcW w:w="681" w:type="dxa"/>
            <w:tcBorders>
              <w:top w:val="single" w:sz="4" w:space="0" w:color="auto"/>
              <w:left w:val="single" w:sz="4" w:space="0" w:color="000000"/>
              <w:bottom w:val="single" w:sz="4" w:space="0" w:color="auto"/>
              <w:right w:val="single" w:sz="4" w:space="0" w:color="000000"/>
            </w:tcBorders>
          </w:tcPr>
          <w:p w14:paraId="47240EC2" w14:textId="6D1C7136" w:rsidR="00C3308F" w:rsidRDefault="00FE0098" w:rsidP="009B1E7C">
            <w:pPr>
              <w:pStyle w:val="TableParagraph"/>
              <w:spacing w:before="120"/>
              <w:ind w:right="11"/>
              <w:jc w:val="center"/>
              <w:rPr>
                <w:rFonts w:ascii="Calibri"/>
                <w:spacing w:val="-1"/>
              </w:rPr>
            </w:pPr>
            <w:r>
              <w:rPr>
                <w:spacing w:val="-5"/>
              </w:rPr>
              <w:t>4</w:t>
            </w:r>
            <w:r w:rsidR="00C3308F">
              <w:rPr>
                <w:spacing w:val="-5"/>
              </w:rPr>
              <w:t>.</w:t>
            </w:r>
          </w:p>
        </w:tc>
        <w:tc>
          <w:tcPr>
            <w:tcW w:w="2004" w:type="dxa"/>
            <w:tcBorders>
              <w:top w:val="single" w:sz="4" w:space="0" w:color="auto"/>
              <w:left w:val="single" w:sz="4" w:space="0" w:color="000000"/>
              <w:bottom w:val="single" w:sz="4" w:space="0" w:color="auto"/>
              <w:right w:val="single" w:sz="4" w:space="0" w:color="000000"/>
            </w:tcBorders>
          </w:tcPr>
          <w:p w14:paraId="0BBC50B9" w14:textId="5417F0FB" w:rsidR="00C3308F" w:rsidRPr="008A2943" w:rsidRDefault="00C3308F" w:rsidP="009B1E7C">
            <w:pPr>
              <w:pStyle w:val="TableParagraph"/>
              <w:spacing w:before="120"/>
              <w:ind w:left="113"/>
              <w:rPr>
                <w:lang w:val="pl-PL"/>
              </w:rPr>
            </w:pPr>
            <w:r w:rsidRPr="00920D2A">
              <w:rPr>
                <w:lang w:val="pl-PL"/>
              </w:rPr>
              <w:t>Sytuacja</w:t>
            </w:r>
            <w:r w:rsidRPr="00920D2A">
              <w:rPr>
                <w:spacing w:val="-7"/>
                <w:lang w:val="pl-PL"/>
              </w:rPr>
              <w:t xml:space="preserve"> </w:t>
            </w:r>
            <w:r w:rsidRPr="00920D2A">
              <w:rPr>
                <w:lang w:val="pl-PL"/>
              </w:rPr>
              <w:t xml:space="preserve">finansowa </w:t>
            </w:r>
            <w:r w:rsidR="000108D5">
              <w:rPr>
                <w:spacing w:val="-2"/>
                <w:lang w:val="pl-PL"/>
              </w:rPr>
              <w:t>Wnioskodawcy</w:t>
            </w:r>
          </w:p>
          <w:p w14:paraId="4D570264" w14:textId="3584C0F3" w:rsidR="00C3308F" w:rsidRPr="008A2943" w:rsidRDefault="00C3308F" w:rsidP="00C3308F">
            <w:pPr>
              <w:pStyle w:val="TableParagraph"/>
              <w:ind w:left="103" w:right="102"/>
              <w:rPr>
                <w:rFonts w:ascii="Calibri" w:hAnsi="Calibri"/>
                <w:lang w:val="pl-PL"/>
              </w:rPr>
            </w:pPr>
            <w:r w:rsidRPr="008A2943">
              <w:rPr>
                <w:lang w:val="pl-PL"/>
              </w:rPr>
              <w:t xml:space="preserve">i wykonalność </w:t>
            </w:r>
            <w:r w:rsidRPr="008A2943">
              <w:rPr>
                <w:spacing w:val="-2"/>
                <w:lang w:val="pl-PL"/>
              </w:rPr>
              <w:t xml:space="preserve">finansowa </w:t>
            </w:r>
            <w:r w:rsidR="00685496">
              <w:rPr>
                <w:spacing w:val="-4"/>
                <w:lang w:val="pl-PL"/>
              </w:rPr>
              <w:t>inwestycji</w:t>
            </w:r>
          </w:p>
        </w:tc>
        <w:tc>
          <w:tcPr>
            <w:tcW w:w="5394" w:type="dxa"/>
            <w:tcBorders>
              <w:top w:val="single" w:sz="4" w:space="0" w:color="auto"/>
              <w:left w:val="single" w:sz="4" w:space="0" w:color="000000"/>
              <w:bottom w:val="single" w:sz="4" w:space="0" w:color="auto"/>
              <w:right w:val="single" w:sz="4" w:space="0" w:color="000000"/>
            </w:tcBorders>
          </w:tcPr>
          <w:p w14:paraId="66C21670" w14:textId="6B5794DF" w:rsidR="001926CA" w:rsidRPr="005555C3" w:rsidRDefault="001926CA" w:rsidP="009B1E7C">
            <w:pPr>
              <w:pStyle w:val="TableParagraph"/>
              <w:spacing w:before="120" w:after="240"/>
              <w:ind w:left="113" w:right="89"/>
              <w:jc w:val="both"/>
              <w:rPr>
                <w:lang w:val="pl-PL"/>
              </w:rPr>
            </w:pPr>
            <w:r w:rsidRPr="005555C3">
              <w:rPr>
                <w:lang w:val="pl-PL"/>
              </w:rPr>
              <w:t xml:space="preserve">Weryfikowane jest czy sytuacja finansowa </w:t>
            </w:r>
            <w:r w:rsidR="000108D5">
              <w:rPr>
                <w:lang w:val="pl-PL"/>
              </w:rPr>
              <w:t>Wnioskodawcy</w:t>
            </w:r>
            <w:r w:rsidR="00917F13">
              <w:rPr>
                <w:lang w:val="pl-PL"/>
              </w:rPr>
              <w:t xml:space="preserve"> </w:t>
            </w:r>
            <w:r w:rsidRPr="005555C3">
              <w:rPr>
                <w:lang w:val="pl-PL"/>
              </w:rPr>
              <w:t xml:space="preserve">nie zagraża realizacji i utrzymaniu rezultatów </w:t>
            </w:r>
            <w:r w:rsidR="00373105">
              <w:rPr>
                <w:lang w:val="pl-PL"/>
              </w:rPr>
              <w:t>inwestycji</w:t>
            </w:r>
            <w:r w:rsidRPr="005555C3">
              <w:rPr>
                <w:lang w:val="pl-PL"/>
              </w:rPr>
              <w:t xml:space="preserve"> oraz czy przedstawione zostały wiarygodne źródła współfinansowania </w:t>
            </w:r>
            <w:r w:rsidR="00373105">
              <w:rPr>
                <w:lang w:val="pl-PL"/>
              </w:rPr>
              <w:t>inwestycji</w:t>
            </w:r>
            <w:r w:rsidRPr="005555C3">
              <w:rPr>
                <w:lang w:val="pl-PL"/>
              </w:rPr>
              <w:t xml:space="preserve"> (o ile takie jest wymagane dla jego realizacji).</w:t>
            </w:r>
          </w:p>
          <w:p w14:paraId="3E3EA4F5" w14:textId="326CC1CB" w:rsidR="001926CA" w:rsidRPr="005555C3" w:rsidRDefault="00AA24CC" w:rsidP="009B1E7C">
            <w:pPr>
              <w:pStyle w:val="TableParagraph"/>
              <w:spacing w:before="120" w:after="240" w:line="235" w:lineRule="auto"/>
              <w:ind w:left="113" w:right="140"/>
              <w:jc w:val="both"/>
              <w:rPr>
                <w:lang w:val="pl-PL"/>
              </w:rPr>
            </w:pPr>
            <w:r>
              <w:rPr>
                <w:spacing w:val="-2"/>
                <w:lang w:val="pl-PL"/>
              </w:rPr>
              <w:t xml:space="preserve">Ocena przeprowadzana jest zgodnie z Metodyką oceny finansowej </w:t>
            </w:r>
            <w:r w:rsidR="0068298F">
              <w:rPr>
                <w:spacing w:val="-2"/>
                <w:lang w:val="pl-PL"/>
              </w:rPr>
              <w:t>wniosku o dofinansowanie</w:t>
            </w:r>
            <w:r w:rsidR="001926CA" w:rsidRPr="005555C3">
              <w:rPr>
                <w:spacing w:val="-2"/>
                <w:lang w:val="pl-PL"/>
              </w:rPr>
              <w:t>.</w:t>
            </w:r>
            <w:r w:rsidR="00362A5B">
              <w:rPr>
                <w:spacing w:val="-2"/>
                <w:lang w:val="pl-PL"/>
              </w:rPr>
              <w:t xml:space="preserve"> W przypadku ubiegania się o dofinansowanie wyłącznie w formie bezzwrotnej</w:t>
            </w:r>
            <w:r w:rsidR="001372DC">
              <w:rPr>
                <w:spacing w:val="-2"/>
                <w:lang w:val="pl-PL"/>
              </w:rPr>
              <w:t xml:space="preserve"> przez jednost</w:t>
            </w:r>
            <w:r w:rsidR="001A43BB">
              <w:rPr>
                <w:spacing w:val="-2"/>
                <w:lang w:val="pl-PL"/>
              </w:rPr>
              <w:t>k</w:t>
            </w:r>
            <w:r w:rsidR="001372DC">
              <w:rPr>
                <w:spacing w:val="-2"/>
                <w:lang w:val="pl-PL"/>
              </w:rPr>
              <w:t>ę samorządu terytorialnego</w:t>
            </w:r>
            <w:r w:rsidR="00DF7658">
              <w:rPr>
                <w:spacing w:val="-2"/>
                <w:lang w:val="pl-PL"/>
              </w:rPr>
              <w:t xml:space="preserve">, ocena będzie uproszczona </w:t>
            </w:r>
            <w:r w:rsidR="007A38C6">
              <w:rPr>
                <w:spacing w:val="-2"/>
                <w:lang w:val="pl-PL"/>
              </w:rPr>
              <w:t>z zastosowaniem oświadczenia</w:t>
            </w:r>
            <w:r w:rsidR="00D60D45">
              <w:rPr>
                <w:spacing w:val="-2"/>
                <w:lang w:val="pl-PL"/>
              </w:rPr>
              <w:t xml:space="preserve">. </w:t>
            </w:r>
          </w:p>
          <w:p w14:paraId="1E038EF8" w14:textId="4E533126" w:rsidR="00C3308F" w:rsidRPr="008A2943" w:rsidRDefault="00C3587B" w:rsidP="009B1E7C">
            <w:pPr>
              <w:pStyle w:val="TableParagraph"/>
              <w:spacing w:before="120" w:after="240"/>
              <w:ind w:left="102" w:right="102"/>
              <w:jc w:val="both"/>
              <w:rPr>
                <w:spacing w:val="-2"/>
                <w:lang w:val="pl-PL"/>
              </w:rPr>
            </w:pPr>
            <w:r>
              <w:rPr>
                <w:spacing w:val="-2"/>
                <w:lang w:val="pl-PL"/>
              </w:rPr>
              <w:t xml:space="preserve">Ocena na podstawie informacji zawartych we wniosku </w:t>
            </w:r>
            <w:r>
              <w:rPr>
                <w:spacing w:val="-2"/>
                <w:lang w:val="pl-PL"/>
              </w:rPr>
              <w:lastRenderedPageBreak/>
              <w:t>i</w:t>
            </w:r>
            <w:r w:rsidR="000C0D80">
              <w:rPr>
                <w:spacing w:val="-2"/>
                <w:lang w:val="pl-PL"/>
              </w:rPr>
              <w:t> </w:t>
            </w:r>
            <w:r>
              <w:rPr>
                <w:spacing w:val="-2"/>
                <w:lang w:val="pl-PL"/>
              </w:rPr>
              <w:t>załącznikach</w:t>
            </w:r>
            <w:r w:rsidR="001926CA" w:rsidRPr="005555C3">
              <w:rPr>
                <w:spacing w:val="-2"/>
                <w:lang w:val="pl-PL"/>
              </w:rPr>
              <w:t>.</w:t>
            </w:r>
          </w:p>
        </w:tc>
        <w:tc>
          <w:tcPr>
            <w:tcW w:w="1581" w:type="dxa"/>
            <w:tcBorders>
              <w:top w:val="single" w:sz="4" w:space="0" w:color="auto"/>
              <w:left w:val="single" w:sz="4" w:space="0" w:color="000000"/>
              <w:bottom w:val="single" w:sz="4" w:space="0" w:color="auto"/>
              <w:right w:val="single" w:sz="4" w:space="0" w:color="000000"/>
            </w:tcBorders>
          </w:tcPr>
          <w:p w14:paraId="0990955E" w14:textId="291B9619" w:rsidR="00C3308F" w:rsidRPr="009B1E7C" w:rsidRDefault="005D727A" w:rsidP="009B1E7C">
            <w:pPr>
              <w:tabs>
                <w:tab w:val="left" w:pos="426"/>
              </w:tabs>
              <w:autoSpaceDE w:val="0"/>
              <w:autoSpaceDN w:val="0"/>
              <w:adjustRightInd w:val="0"/>
              <w:spacing w:before="120"/>
              <w:jc w:val="center"/>
              <w:rPr>
                <w:bCs/>
                <w:color w:val="000000"/>
                <w:sz w:val="22"/>
                <w:szCs w:val="22"/>
                <w:lang w:val="pl-PL"/>
              </w:rPr>
            </w:pPr>
            <w:r w:rsidRPr="009B1E7C">
              <w:rPr>
                <w:bCs/>
                <w:color w:val="000000"/>
                <w:sz w:val="22"/>
                <w:szCs w:val="22"/>
                <w:lang w:val="pl-PL"/>
              </w:rPr>
              <w:lastRenderedPageBreak/>
              <w:t>T/N</w:t>
            </w:r>
          </w:p>
        </w:tc>
      </w:tr>
      <w:tr w:rsidR="00C3308F" w14:paraId="041BCCA6" w14:textId="77777777" w:rsidTr="000048E4">
        <w:trPr>
          <w:trHeight w:val="264"/>
        </w:trPr>
        <w:tc>
          <w:tcPr>
            <w:tcW w:w="681" w:type="dxa"/>
            <w:tcBorders>
              <w:top w:val="single" w:sz="4" w:space="0" w:color="auto"/>
              <w:left w:val="single" w:sz="4" w:space="0" w:color="000000"/>
              <w:bottom w:val="single" w:sz="4" w:space="0" w:color="auto"/>
              <w:right w:val="single" w:sz="4" w:space="0" w:color="000000"/>
            </w:tcBorders>
          </w:tcPr>
          <w:p w14:paraId="3F02F376" w14:textId="0C82E3BB" w:rsidR="00C3308F" w:rsidRDefault="00FE0098" w:rsidP="009B1E7C">
            <w:pPr>
              <w:pStyle w:val="TableParagraph"/>
              <w:spacing w:before="120"/>
              <w:ind w:right="11"/>
              <w:jc w:val="center"/>
              <w:rPr>
                <w:rFonts w:ascii="Calibri"/>
                <w:spacing w:val="-1"/>
              </w:rPr>
            </w:pPr>
            <w:r>
              <w:rPr>
                <w:rFonts w:ascii="Calibri"/>
                <w:spacing w:val="-1"/>
              </w:rPr>
              <w:t>5</w:t>
            </w:r>
            <w:r w:rsidR="00C3308F" w:rsidRPr="00E2335B">
              <w:rPr>
                <w:rFonts w:ascii="Calibri"/>
                <w:spacing w:val="-1"/>
              </w:rPr>
              <w:t>.</w:t>
            </w:r>
          </w:p>
        </w:tc>
        <w:tc>
          <w:tcPr>
            <w:tcW w:w="2004" w:type="dxa"/>
            <w:tcBorders>
              <w:top w:val="single" w:sz="4" w:space="0" w:color="auto"/>
              <w:left w:val="single" w:sz="4" w:space="0" w:color="000000"/>
              <w:bottom w:val="single" w:sz="4" w:space="0" w:color="auto"/>
              <w:right w:val="single" w:sz="4" w:space="0" w:color="000000"/>
            </w:tcBorders>
          </w:tcPr>
          <w:p w14:paraId="5C263129" w14:textId="4FD72A86" w:rsidR="00C3308F" w:rsidRPr="00E2335B" w:rsidRDefault="00C3308F" w:rsidP="009B1E7C">
            <w:pPr>
              <w:pStyle w:val="TableParagraph"/>
              <w:spacing w:before="120"/>
              <w:ind w:left="102" w:right="102"/>
              <w:jc w:val="both"/>
              <w:rPr>
                <w:rFonts w:ascii="Calibri"/>
                <w:spacing w:val="-1"/>
                <w:lang w:val="pl-PL"/>
              </w:rPr>
            </w:pPr>
            <w:r w:rsidRPr="00E2335B">
              <w:rPr>
                <w:rFonts w:ascii="Calibri"/>
                <w:spacing w:val="-1"/>
                <w:lang w:val="pl-PL"/>
              </w:rPr>
              <w:t>Pomoc</w:t>
            </w:r>
            <w:r w:rsidRPr="00E2335B">
              <w:rPr>
                <w:rFonts w:ascii="Calibri"/>
                <w:spacing w:val="1"/>
                <w:lang w:val="pl-PL"/>
              </w:rPr>
              <w:t xml:space="preserve"> </w:t>
            </w:r>
            <w:r w:rsidRPr="00E2335B">
              <w:rPr>
                <w:rFonts w:ascii="Calibri"/>
                <w:spacing w:val="-1"/>
                <w:lang w:val="pl-PL"/>
              </w:rPr>
              <w:t>publiczna</w:t>
            </w:r>
          </w:p>
          <w:p w14:paraId="4038E0B7" w14:textId="77777777" w:rsidR="00C3308F" w:rsidRDefault="00C3308F" w:rsidP="00C3308F">
            <w:pPr>
              <w:pStyle w:val="TableParagraph"/>
              <w:ind w:left="103" w:right="101"/>
              <w:jc w:val="both"/>
              <w:rPr>
                <w:rFonts w:ascii="Calibri"/>
                <w:strike/>
                <w:spacing w:val="-1"/>
                <w:lang w:val="pl-PL"/>
              </w:rPr>
            </w:pPr>
          </w:p>
          <w:p w14:paraId="6F42C1EB" w14:textId="77777777" w:rsidR="00C3308F" w:rsidRPr="000E08EE" w:rsidRDefault="00C3308F" w:rsidP="00C3308F">
            <w:pPr>
              <w:pStyle w:val="TableParagraph"/>
              <w:ind w:left="103" w:right="102"/>
              <w:rPr>
                <w:rFonts w:ascii="Calibri" w:hAnsi="Calibri"/>
                <w:lang w:val="pl-PL"/>
              </w:rPr>
            </w:pPr>
          </w:p>
        </w:tc>
        <w:tc>
          <w:tcPr>
            <w:tcW w:w="5394" w:type="dxa"/>
            <w:tcBorders>
              <w:top w:val="single" w:sz="4" w:space="0" w:color="auto"/>
              <w:left w:val="single" w:sz="4" w:space="0" w:color="000000"/>
              <w:bottom w:val="single" w:sz="4" w:space="0" w:color="auto"/>
              <w:right w:val="single" w:sz="4" w:space="0" w:color="000000"/>
            </w:tcBorders>
          </w:tcPr>
          <w:p w14:paraId="497BF2C4" w14:textId="409401C5" w:rsidR="00C3308F" w:rsidRDefault="00C3308F" w:rsidP="009B1E7C">
            <w:pPr>
              <w:pStyle w:val="TableParagraph"/>
              <w:spacing w:before="120" w:after="240"/>
              <w:ind w:left="102" w:right="102"/>
              <w:jc w:val="both"/>
              <w:rPr>
                <w:spacing w:val="-4"/>
                <w:lang w:val="pl-PL"/>
              </w:rPr>
            </w:pPr>
            <w:r w:rsidRPr="000203D7">
              <w:rPr>
                <w:spacing w:val="-4"/>
                <w:lang w:val="pl-PL"/>
              </w:rPr>
              <w:t xml:space="preserve">Nie przewiduje się udzielania pomocy publicznej. </w:t>
            </w:r>
            <w:r w:rsidR="004D352C" w:rsidRPr="000203D7">
              <w:rPr>
                <w:spacing w:val="-4"/>
                <w:lang w:val="pl-PL"/>
              </w:rPr>
              <w:t xml:space="preserve">Weryfikowane jest spełnienie warunku </w:t>
            </w:r>
            <w:r w:rsidR="004D352C">
              <w:rPr>
                <w:spacing w:val="-4"/>
                <w:lang w:val="pl-PL"/>
              </w:rPr>
              <w:t xml:space="preserve">wykorzystania </w:t>
            </w:r>
            <w:r w:rsidR="004D352C" w:rsidRPr="000203D7">
              <w:rPr>
                <w:spacing w:val="-4"/>
                <w:lang w:val="pl-PL"/>
              </w:rPr>
              <w:t>wydajności infrastruktury</w:t>
            </w:r>
            <w:r w:rsidR="004D352C">
              <w:rPr>
                <w:spacing w:val="-4"/>
                <w:lang w:val="pl-PL"/>
              </w:rPr>
              <w:t xml:space="preserve"> do działalności gospodarczej</w:t>
            </w:r>
            <w:r w:rsidR="004D352C" w:rsidRPr="000203D7">
              <w:rPr>
                <w:spacing w:val="-4"/>
                <w:lang w:val="pl-PL"/>
              </w:rPr>
              <w:t xml:space="preserve"> – nieprzekraczającej 20% całkowitej rocznej wydajności infrastruktury. </w:t>
            </w:r>
          </w:p>
          <w:p w14:paraId="6F163C38" w14:textId="4381E7DB" w:rsidR="002155F4" w:rsidRPr="000203D7" w:rsidRDefault="002155F4" w:rsidP="009B1E7C">
            <w:pPr>
              <w:pStyle w:val="TableParagraph"/>
              <w:spacing w:before="120" w:after="240"/>
              <w:ind w:left="102" w:right="102"/>
              <w:jc w:val="both"/>
              <w:rPr>
                <w:spacing w:val="-1"/>
                <w:lang w:val="pl-PL"/>
              </w:rPr>
            </w:pPr>
            <w:r>
              <w:rPr>
                <w:spacing w:val="-2"/>
                <w:lang w:val="pl-PL"/>
              </w:rPr>
              <w:t>Ocena na podstawie informacji zawartych we wniosku i załącznikach</w:t>
            </w:r>
            <w:r w:rsidRPr="005555C3">
              <w:rPr>
                <w:spacing w:val="-2"/>
                <w:lang w:val="pl-PL"/>
              </w:rPr>
              <w:t>.</w:t>
            </w:r>
          </w:p>
        </w:tc>
        <w:tc>
          <w:tcPr>
            <w:tcW w:w="1581" w:type="dxa"/>
            <w:tcBorders>
              <w:top w:val="single" w:sz="4" w:space="0" w:color="auto"/>
              <w:left w:val="single" w:sz="4" w:space="0" w:color="000000"/>
              <w:bottom w:val="single" w:sz="4" w:space="0" w:color="auto"/>
              <w:right w:val="single" w:sz="4" w:space="0" w:color="000000"/>
            </w:tcBorders>
          </w:tcPr>
          <w:p w14:paraId="43112741" w14:textId="1A18B3FD" w:rsidR="00C3308F" w:rsidRPr="009B1E7C" w:rsidRDefault="005D727A" w:rsidP="009B1E7C">
            <w:pPr>
              <w:tabs>
                <w:tab w:val="left" w:pos="426"/>
              </w:tabs>
              <w:autoSpaceDE w:val="0"/>
              <w:autoSpaceDN w:val="0"/>
              <w:adjustRightInd w:val="0"/>
              <w:spacing w:before="120"/>
              <w:jc w:val="center"/>
              <w:rPr>
                <w:bCs/>
                <w:color w:val="000000"/>
                <w:sz w:val="22"/>
                <w:szCs w:val="22"/>
                <w:lang w:val="pl-PL"/>
              </w:rPr>
            </w:pPr>
            <w:r w:rsidRPr="009B1E7C">
              <w:rPr>
                <w:bCs/>
                <w:color w:val="000000"/>
                <w:sz w:val="22"/>
                <w:szCs w:val="22"/>
                <w:lang w:val="pl-PL"/>
              </w:rPr>
              <w:t>T/N</w:t>
            </w:r>
          </w:p>
        </w:tc>
      </w:tr>
      <w:tr w:rsidR="00C3308F" w14:paraId="1B0F089D" w14:textId="77777777" w:rsidTr="00137552">
        <w:trPr>
          <w:trHeight w:hRule="exact" w:val="8809"/>
        </w:trPr>
        <w:tc>
          <w:tcPr>
            <w:tcW w:w="681" w:type="dxa"/>
            <w:tcBorders>
              <w:top w:val="single" w:sz="4" w:space="0" w:color="000000"/>
              <w:left w:val="single" w:sz="4" w:space="0" w:color="000000"/>
              <w:bottom w:val="single" w:sz="4" w:space="0" w:color="000000"/>
              <w:right w:val="single" w:sz="4" w:space="0" w:color="000000"/>
            </w:tcBorders>
          </w:tcPr>
          <w:p w14:paraId="229593F7" w14:textId="1C51AB91" w:rsidR="00C3308F" w:rsidRPr="000E08EE" w:rsidRDefault="00501D61" w:rsidP="009B1E7C">
            <w:pPr>
              <w:pStyle w:val="TableParagraph"/>
              <w:spacing w:before="120"/>
              <w:ind w:right="11"/>
              <w:jc w:val="center"/>
              <w:rPr>
                <w:rFonts w:ascii="Calibri" w:eastAsia="Calibri" w:hAnsi="Calibri" w:cs="Calibri"/>
                <w:lang w:val="pl-PL"/>
              </w:rPr>
            </w:pPr>
            <w:r>
              <w:rPr>
                <w:rFonts w:ascii="Calibri"/>
                <w:spacing w:val="-1"/>
                <w:lang w:val="pl-PL"/>
              </w:rPr>
              <w:lastRenderedPageBreak/>
              <w:t>6</w:t>
            </w:r>
            <w:r w:rsidR="00C3308F" w:rsidRPr="000E08EE">
              <w:rPr>
                <w:rFonts w:ascii="Calibri"/>
                <w:spacing w:val="-1"/>
                <w:lang w:val="pl-PL"/>
              </w:rPr>
              <w:t>.</w:t>
            </w:r>
          </w:p>
        </w:tc>
        <w:tc>
          <w:tcPr>
            <w:tcW w:w="2004" w:type="dxa"/>
            <w:tcBorders>
              <w:top w:val="single" w:sz="4" w:space="0" w:color="000000"/>
              <w:left w:val="single" w:sz="4" w:space="0" w:color="000000"/>
              <w:bottom w:val="single" w:sz="4" w:space="0" w:color="000000"/>
              <w:right w:val="single" w:sz="4" w:space="0" w:color="000000"/>
            </w:tcBorders>
          </w:tcPr>
          <w:p w14:paraId="5F5A41DF" w14:textId="29A20BDF" w:rsidR="00C3308F" w:rsidRPr="00AF5FD6" w:rsidRDefault="00C3308F" w:rsidP="009B1E7C">
            <w:pPr>
              <w:pStyle w:val="TableParagraph"/>
              <w:spacing w:before="120"/>
              <w:ind w:left="102"/>
              <w:rPr>
                <w:rFonts w:ascii="Calibri" w:eastAsia="Calibri" w:hAnsi="Calibri" w:cs="Calibri"/>
                <w:lang w:val="pl-PL"/>
              </w:rPr>
            </w:pPr>
            <w:r w:rsidRPr="00AF5FD6">
              <w:rPr>
                <w:rFonts w:ascii="Calibri" w:hAnsi="Calibri"/>
                <w:lang w:val="pl-PL"/>
              </w:rPr>
              <w:t>Zgodność z zasadą</w:t>
            </w:r>
          </w:p>
          <w:p w14:paraId="249DEB5E" w14:textId="5A5DA3F4" w:rsidR="00C3308F" w:rsidRPr="00AF5FD6" w:rsidRDefault="00C3308F" w:rsidP="00C3308F">
            <w:pPr>
              <w:pStyle w:val="TableParagraph"/>
              <w:tabs>
                <w:tab w:val="left" w:pos="1266"/>
              </w:tabs>
              <w:ind w:left="103" w:right="101"/>
              <w:rPr>
                <w:rFonts w:ascii="Calibri" w:eastAsia="Calibri" w:hAnsi="Calibri" w:cs="Calibri"/>
                <w:lang w:val="pl-PL"/>
              </w:rPr>
            </w:pPr>
            <w:r w:rsidRPr="00AF5FD6">
              <w:rPr>
                <w:rFonts w:ascii="Calibri" w:eastAsia="Calibri" w:hAnsi="Calibri" w:cs="Calibri"/>
                <w:lang w:val="pl-PL"/>
              </w:rPr>
              <w:t>„niewyrządzania</w:t>
            </w:r>
            <w:r w:rsidRPr="00AF5FD6">
              <w:rPr>
                <w:rFonts w:ascii="Calibri" w:eastAsia="Calibri" w:hAnsi="Calibri" w:cs="Calibri"/>
                <w:w w:val="99"/>
                <w:lang w:val="pl-PL"/>
              </w:rPr>
              <w:t xml:space="preserve"> </w:t>
            </w:r>
            <w:r w:rsidRPr="00AF5FD6">
              <w:rPr>
                <w:rFonts w:ascii="Calibri" w:eastAsia="Calibri" w:hAnsi="Calibri" w:cs="Calibri"/>
                <w:w w:val="95"/>
                <w:lang w:val="pl-PL"/>
              </w:rPr>
              <w:t>znaczącej</w:t>
            </w:r>
            <w:r>
              <w:rPr>
                <w:rFonts w:ascii="Calibri" w:eastAsia="Calibri" w:hAnsi="Calibri" w:cs="Calibri"/>
                <w:w w:val="95"/>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0"/>
                <w:lang w:val="pl-PL"/>
              </w:rPr>
              <w:t xml:space="preserve"> </w:t>
            </w:r>
            <w:r w:rsidRPr="00AF5FD6">
              <w:rPr>
                <w:rFonts w:ascii="Calibri" w:eastAsia="Calibri" w:hAnsi="Calibri" w:cs="Calibri"/>
                <w:lang w:val="pl-PL"/>
              </w:rPr>
              <w:t>środowisku”</w:t>
            </w:r>
            <w:r w:rsidRPr="00AF5FD6">
              <w:rPr>
                <w:rFonts w:ascii="Calibri" w:eastAsia="Calibri" w:hAnsi="Calibri" w:cs="Calibri"/>
                <w:spacing w:val="13"/>
                <w:lang w:val="pl-PL"/>
              </w:rPr>
              <w:t xml:space="preserve"> </w:t>
            </w:r>
            <w:r w:rsidRPr="00AF5FD6">
              <w:rPr>
                <w:rFonts w:ascii="Calibri" w:eastAsia="Calibri" w:hAnsi="Calibri" w:cs="Calibri"/>
                <w:spacing w:val="-1"/>
                <w:lang w:val="pl-PL"/>
              </w:rPr>
              <w:t>(DNSH</w:t>
            </w:r>
          </w:p>
          <w:p w14:paraId="595B4971" w14:textId="77777777" w:rsidR="00C3308F" w:rsidRPr="000E08EE" w:rsidRDefault="00C3308F" w:rsidP="00C3308F">
            <w:pPr>
              <w:pStyle w:val="TableParagraph"/>
              <w:ind w:left="103" w:right="101"/>
              <w:rPr>
                <w:rFonts w:ascii="Calibri" w:eastAsia="Calibri" w:hAnsi="Calibri" w:cs="Calibri"/>
                <w:lang w:val="pl-PL"/>
              </w:rPr>
            </w:pPr>
            <w:r w:rsidRPr="000E08EE">
              <w:rPr>
                <w:rFonts w:ascii="Calibri" w:eastAsia="Calibri" w:hAnsi="Calibri" w:cs="Calibri"/>
                <w:lang w:val="pl-PL"/>
              </w:rPr>
              <w:t>–</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„do</w:t>
            </w:r>
            <w:r w:rsidRPr="000E08EE">
              <w:rPr>
                <w:rFonts w:ascii="Calibri" w:eastAsia="Calibri" w:hAnsi="Calibri" w:cs="Calibri"/>
                <w:spacing w:val="14"/>
                <w:lang w:val="pl-PL"/>
              </w:rPr>
              <w:t xml:space="preserve"> </w:t>
            </w:r>
            <w:r w:rsidRPr="000E08EE">
              <w:rPr>
                <w:rFonts w:ascii="Calibri" w:eastAsia="Calibri" w:hAnsi="Calibri" w:cs="Calibri"/>
                <w:spacing w:val="-1"/>
                <w:lang w:val="pl-PL"/>
              </w:rPr>
              <w:t>no</w:t>
            </w:r>
            <w:r w:rsidRPr="000E08EE">
              <w:rPr>
                <w:rFonts w:ascii="Calibri" w:eastAsia="Calibri" w:hAnsi="Calibri" w:cs="Calibri"/>
                <w:spacing w:val="14"/>
                <w:lang w:val="pl-PL"/>
              </w:rPr>
              <w:t xml:space="preserve"> </w:t>
            </w:r>
            <w:proofErr w:type="spellStart"/>
            <w:r w:rsidRPr="000E08EE">
              <w:rPr>
                <w:rFonts w:ascii="Calibri" w:eastAsia="Calibri" w:hAnsi="Calibri" w:cs="Calibri"/>
                <w:spacing w:val="-1"/>
                <w:lang w:val="pl-PL"/>
              </w:rPr>
              <w:t>significant</w:t>
            </w:r>
            <w:proofErr w:type="spellEnd"/>
            <w:r w:rsidRPr="000E08EE">
              <w:rPr>
                <w:rFonts w:ascii="Calibri" w:eastAsia="Calibri" w:hAnsi="Calibri" w:cs="Calibri"/>
                <w:spacing w:val="22"/>
                <w:lang w:val="pl-PL"/>
              </w:rPr>
              <w:t xml:space="preserve"> </w:t>
            </w:r>
            <w:proofErr w:type="spellStart"/>
            <w:r w:rsidRPr="000E08EE">
              <w:rPr>
                <w:rFonts w:ascii="Calibri" w:eastAsia="Calibri" w:hAnsi="Calibri" w:cs="Calibri"/>
                <w:spacing w:val="-1"/>
                <w:lang w:val="pl-PL"/>
              </w:rPr>
              <w:t>harm</w:t>
            </w:r>
            <w:proofErr w:type="spellEnd"/>
            <w:r w:rsidRPr="000E08EE">
              <w:rPr>
                <w:rFonts w:ascii="Calibri" w:eastAsia="Calibri" w:hAnsi="Calibri" w:cs="Calibri"/>
                <w:spacing w:val="-1"/>
                <w:lang w:val="pl-PL"/>
              </w:rPr>
              <w:t>”)</w:t>
            </w:r>
          </w:p>
        </w:tc>
        <w:tc>
          <w:tcPr>
            <w:tcW w:w="5394" w:type="dxa"/>
            <w:tcBorders>
              <w:top w:val="single" w:sz="4" w:space="0" w:color="000000"/>
              <w:left w:val="single" w:sz="4" w:space="0" w:color="000000"/>
              <w:bottom w:val="single" w:sz="4" w:space="0" w:color="000000"/>
              <w:right w:val="single" w:sz="4" w:space="0" w:color="000000"/>
            </w:tcBorders>
          </w:tcPr>
          <w:p w14:paraId="6D233F89" w14:textId="5FFB640A" w:rsidR="00C3308F" w:rsidRPr="00AF5FD6" w:rsidRDefault="00C3308F" w:rsidP="009B1E7C">
            <w:pPr>
              <w:pStyle w:val="TableParagraph"/>
              <w:spacing w:before="120" w:after="240"/>
              <w:ind w:left="102" w:right="97"/>
              <w:jc w:val="both"/>
              <w:rPr>
                <w:rFonts w:ascii="Calibri" w:eastAsia="Calibri" w:hAnsi="Calibri" w:cs="Calibri"/>
                <w:lang w:val="pl-PL"/>
              </w:rPr>
            </w:pPr>
            <w:r w:rsidRPr="00AF5FD6">
              <w:rPr>
                <w:rFonts w:ascii="Calibri" w:hAnsi="Calibri"/>
                <w:spacing w:val="-1"/>
                <w:lang w:val="pl-PL"/>
              </w:rPr>
              <w:t>Weryfikowane</w:t>
            </w:r>
            <w:r w:rsidRPr="00AF5FD6">
              <w:rPr>
                <w:rFonts w:ascii="Calibri" w:hAnsi="Calibri"/>
                <w:lang w:val="pl-PL"/>
              </w:rPr>
              <w:t xml:space="preserve"> </w:t>
            </w:r>
            <w:r w:rsidRPr="00AF5FD6">
              <w:rPr>
                <w:rFonts w:ascii="Calibri" w:hAnsi="Calibri"/>
                <w:spacing w:val="-1"/>
                <w:lang w:val="pl-PL"/>
              </w:rPr>
              <w:t>jest</w:t>
            </w:r>
            <w:r w:rsidRPr="00AF5FD6">
              <w:rPr>
                <w:rFonts w:ascii="Calibri" w:hAnsi="Calibri"/>
                <w:lang w:val="pl-PL"/>
              </w:rPr>
              <w:t xml:space="preserve"> zachowanie zgodności z zasadą</w:t>
            </w:r>
            <w:r>
              <w:rPr>
                <w:rFonts w:ascii="Calibri" w:eastAsia="Calibri" w:hAnsi="Calibri" w:cs="Calibri"/>
                <w:lang w:val="pl-PL"/>
              </w:rPr>
              <w:t xml:space="preserve"> </w:t>
            </w:r>
            <w:r w:rsidRPr="00AF5FD6">
              <w:rPr>
                <w:rFonts w:ascii="Calibri" w:eastAsia="Calibri" w:hAnsi="Calibri" w:cs="Calibri"/>
                <w:lang w:val="pl-PL"/>
              </w:rPr>
              <w:t>„niewyrządzania</w:t>
            </w:r>
            <w:r w:rsidRPr="00AF5FD6">
              <w:rPr>
                <w:rFonts w:ascii="Calibri" w:eastAsia="Calibri" w:hAnsi="Calibri" w:cs="Calibri"/>
                <w:spacing w:val="23"/>
                <w:lang w:val="pl-PL"/>
              </w:rPr>
              <w:t xml:space="preserve"> </w:t>
            </w:r>
            <w:r w:rsidRPr="00AF5FD6">
              <w:rPr>
                <w:rFonts w:ascii="Calibri" w:eastAsia="Calibri" w:hAnsi="Calibri" w:cs="Calibri"/>
                <w:lang w:val="pl-PL"/>
              </w:rPr>
              <w:t>znaczącej</w:t>
            </w:r>
            <w:r w:rsidRPr="00AF5FD6">
              <w:rPr>
                <w:rFonts w:ascii="Calibri" w:eastAsia="Calibri" w:hAnsi="Calibri" w:cs="Calibri"/>
                <w:spacing w:val="24"/>
                <w:lang w:val="pl-PL"/>
              </w:rPr>
              <w:t xml:space="preserve"> </w:t>
            </w:r>
            <w:r w:rsidRPr="00AF5FD6">
              <w:rPr>
                <w:rFonts w:ascii="Calibri" w:eastAsia="Calibri" w:hAnsi="Calibri" w:cs="Calibri"/>
                <w:spacing w:val="-1"/>
                <w:lang w:val="pl-PL"/>
              </w:rPr>
              <w:t>szkody</w:t>
            </w:r>
            <w:r w:rsidRPr="00AF5FD6">
              <w:rPr>
                <w:rFonts w:ascii="Calibri" w:eastAsia="Calibri" w:hAnsi="Calibri" w:cs="Calibri"/>
                <w:spacing w:val="22"/>
                <w:lang w:val="pl-PL"/>
              </w:rPr>
              <w:t xml:space="preserve"> </w:t>
            </w:r>
            <w:r w:rsidRPr="00AF5FD6">
              <w:rPr>
                <w:rFonts w:ascii="Calibri" w:eastAsia="Calibri" w:hAnsi="Calibri" w:cs="Calibri"/>
                <w:lang w:val="pl-PL"/>
              </w:rPr>
              <w:t>środowisku</w:t>
            </w:r>
            <w:r w:rsidR="005D72C9">
              <w:rPr>
                <w:rFonts w:ascii="Calibri" w:eastAsia="Calibri" w:hAnsi="Calibri" w:cs="Calibri"/>
                <w:lang w:val="pl-PL"/>
              </w:rPr>
              <w:t>”</w:t>
            </w:r>
            <w:r w:rsidRPr="00AF5FD6">
              <w:rPr>
                <w:rFonts w:ascii="Calibri" w:eastAsia="Calibri" w:hAnsi="Calibri" w:cs="Calibri"/>
                <w:lang w:val="pl-PL"/>
              </w:rPr>
              <w:t>.</w:t>
            </w:r>
          </w:p>
          <w:p w14:paraId="244C8A3A" w14:textId="71D871EF" w:rsidR="00C3308F" w:rsidRPr="00AF5FD6" w:rsidRDefault="00C3308F" w:rsidP="009B1E7C">
            <w:pPr>
              <w:pStyle w:val="TableParagraph"/>
              <w:spacing w:before="120" w:after="240"/>
              <w:ind w:left="102" w:right="101"/>
              <w:jc w:val="both"/>
              <w:rPr>
                <w:rFonts w:ascii="Calibri" w:eastAsia="Calibri" w:hAnsi="Calibri" w:cs="Calibri"/>
                <w:lang w:val="pl-PL"/>
              </w:rPr>
            </w:pPr>
            <w:r w:rsidRPr="00E410EE">
              <w:rPr>
                <w:rFonts w:cstheme="minorHAnsi"/>
                <w:lang w:val="pl-PL"/>
              </w:rPr>
              <w:t>Ocena na podstawie informacji zawartych we wniosku i</w:t>
            </w:r>
            <w:r w:rsidR="00E63C33">
              <w:rPr>
                <w:rFonts w:cstheme="minorHAnsi"/>
                <w:lang w:val="pl-PL"/>
              </w:rPr>
              <w:t> </w:t>
            </w:r>
            <w:r w:rsidRPr="00E410EE">
              <w:rPr>
                <w:rFonts w:cstheme="minorHAnsi"/>
                <w:lang w:val="pl-PL"/>
              </w:rPr>
              <w:t>załącznikach</w:t>
            </w:r>
            <w:r>
              <w:rPr>
                <w:rFonts w:cstheme="minorHAnsi"/>
                <w:lang w:val="pl-PL"/>
              </w:rPr>
              <w:t xml:space="preserve">, w </w:t>
            </w:r>
            <w:r w:rsidR="005D72C9">
              <w:rPr>
                <w:rFonts w:cstheme="minorHAnsi"/>
                <w:lang w:val="pl-PL"/>
              </w:rPr>
              <w:t>szczególności</w:t>
            </w:r>
            <w:r>
              <w:rPr>
                <w:rFonts w:cstheme="minorHAnsi"/>
                <w:lang w:val="pl-PL"/>
              </w:rPr>
              <w:t xml:space="preserve"> na podstawie oświadczenia </w:t>
            </w:r>
            <w:r w:rsidRPr="000B39A0">
              <w:rPr>
                <w:rFonts w:cstheme="minorHAnsi"/>
                <w:lang w:val="pl-PL"/>
              </w:rPr>
              <w:t xml:space="preserve">że na wszystkich etapach realizacji </w:t>
            </w:r>
            <w:r w:rsidR="00766B24">
              <w:rPr>
                <w:rFonts w:cstheme="minorHAnsi"/>
                <w:lang w:val="pl-PL"/>
              </w:rPr>
              <w:t>inwestycji</w:t>
            </w:r>
            <w:r w:rsidRPr="000B39A0">
              <w:rPr>
                <w:rFonts w:cstheme="minorHAnsi"/>
                <w:lang w:val="pl-PL"/>
              </w:rPr>
              <w:t xml:space="preserve">, od etapu przygotowania, poprzez etap realizacji, eksploatacji do etapu  zamknięcia, zobowiązuję się do przestrzegania zasady DNSH wynikającej z rozporządzenia Parlamentu Europejskiego i Rady (UE) 2020/852 z dnia 18 czerwca 2020 r. w sprawie ustanowienia ram ułatwiających zrównoważone inwestycje, zmieniające rozporządzenie (UE) 2019/2088 </w:t>
            </w:r>
            <w:r>
              <w:rPr>
                <w:rFonts w:cstheme="minorHAnsi"/>
                <w:lang w:val="pl-PL"/>
              </w:rPr>
              <w:t xml:space="preserve">oraz </w:t>
            </w:r>
            <w:r w:rsidRPr="000B42B2">
              <w:rPr>
                <w:rFonts w:cstheme="minorHAnsi"/>
                <w:lang w:val="pl-PL"/>
              </w:rPr>
              <w:t>zobowiązuję się do zawarcia w</w:t>
            </w:r>
            <w:r w:rsidR="00554EC6">
              <w:rPr>
                <w:rFonts w:cstheme="minorHAnsi"/>
                <w:lang w:val="pl-PL"/>
              </w:rPr>
              <w:t> </w:t>
            </w:r>
            <w:r w:rsidRPr="000B42B2">
              <w:rPr>
                <w:rFonts w:cstheme="minorHAnsi"/>
                <w:lang w:val="pl-PL"/>
              </w:rPr>
              <w:t>dokumentacji przetargowej wymogu dla Wykonawcy robót, aby dokumentacja techniczno-budowlana oraz realizacja prac modernizacyjnych były spójne z zasadą DNSH, w</w:t>
            </w:r>
            <w:r w:rsidR="00993D9C">
              <w:rPr>
                <w:rFonts w:cstheme="minorHAnsi"/>
                <w:lang w:val="pl-PL"/>
              </w:rPr>
              <w:t> </w:t>
            </w:r>
            <w:r w:rsidRPr="000B42B2">
              <w:rPr>
                <w:rFonts w:cstheme="minorHAnsi"/>
                <w:lang w:val="pl-PL"/>
              </w:rPr>
              <w:t>szczególności aby były realizowane działania na rzecz maksymalizacji wskaźnika (wagowo) odpadów budowlanych i rozbiórkowych innych niż niebezpieczne wytworzonych na placu budowy, możliwych do ponownego użycia, recyklingu i innego odzysku materiałów, uwzględniając lokalne możliwości w tym zakresie jak również rodzaj i charakter danego projektu oraz aby odpowiednio dobrano technologie, materiały i</w:t>
            </w:r>
            <w:r w:rsidR="00E63C33">
              <w:rPr>
                <w:rFonts w:cstheme="minorHAnsi"/>
                <w:lang w:val="pl-PL"/>
              </w:rPr>
              <w:t> </w:t>
            </w:r>
            <w:r w:rsidRPr="000B42B2">
              <w:rPr>
                <w:rFonts w:cstheme="minorHAnsi"/>
                <w:lang w:val="pl-PL"/>
              </w:rPr>
              <w:t>urządzenia mając na celu zachowanie zasady DNSH</w:t>
            </w:r>
            <w:r>
              <w:rPr>
                <w:rFonts w:cstheme="minorHAnsi"/>
                <w:lang w:val="pl-PL"/>
              </w:rPr>
              <w:t xml:space="preserve"> i </w:t>
            </w:r>
            <w:r w:rsidRPr="000B42B2">
              <w:rPr>
                <w:rFonts w:cstheme="minorHAnsi"/>
                <w:lang w:val="pl-PL"/>
              </w:rPr>
              <w:t xml:space="preserve">do monitorowania i dokumentowania realizacji </w:t>
            </w:r>
            <w:r w:rsidR="003A2F28">
              <w:rPr>
                <w:rFonts w:cstheme="minorHAnsi"/>
                <w:lang w:val="pl-PL"/>
              </w:rPr>
              <w:t>inwestycji</w:t>
            </w:r>
            <w:r w:rsidRPr="000B42B2">
              <w:rPr>
                <w:rFonts w:cstheme="minorHAnsi"/>
                <w:lang w:val="pl-PL"/>
              </w:rPr>
              <w:t xml:space="preserve"> zgodnie z zasadą DNSH oraz przedstawienia na każde wezwanie NFOŚiGW zgromadzonej dokumentacji (np. instrukcje wewnętrzne, decyzje, sprawozdania, fotografia, zaświadczenia/oświadczenia itp.) potwierdzającej stosowanie zasady DNSH w trakcie przygotowania i</w:t>
            </w:r>
            <w:r w:rsidR="00E63C33">
              <w:rPr>
                <w:rFonts w:cstheme="minorHAnsi"/>
                <w:lang w:val="pl-PL"/>
              </w:rPr>
              <w:t> </w:t>
            </w:r>
            <w:r w:rsidRPr="000B42B2">
              <w:rPr>
                <w:rFonts w:cstheme="minorHAnsi"/>
                <w:lang w:val="pl-PL"/>
              </w:rPr>
              <w:t xml:space="preserve">realizacji </w:t>
            </w:r>
            <w:r w:rsidR="00900D76">
              <w:rPr>
                <w:rFonts w:cstheme="minorHAnsi"/>
                <w:lang w:val="pl-PL"/>
              </w:rPr>
              <w:t>inwestycji</w:t>
            </w:r>
            <w:r w:rsidRPr="000B42B2">
              <w:rPr>
                <w:rFonts w:cstheme="minorHAnsi"/>
                <w:lang w:val="pl-PL"/>
              </w:rPr>
              <w:t>.</w:t>
            </w:r>
          </w:p>
        </w:tc>
        <w:tc>
          <w:tcPr>
            <w:tcW w:w="1581" w:type="dxa"/>
            <w:tcBorders>
              <w:top w:val="single" w:sz="4" w:space="0" w:color="000000"/>
              <w:left w:val="single" w:sz="4" w:space="0" w:color="000000"/>
              <w:bottom w:val="single" w:sz="4" w:space="0" w:color="000000"/>
              <w:right w:val="single" w:sz="4" w:space="0" w:color="000000"/>
            </w:tcBorders>
          </w:tcPr>
          <w:p w14:paraId="275FA378" w14:textId="26E207A9" w:rsidR="00C3308F" w:rsidRPr="009B1E7C" w:rsidRDefault="00C43083" w:rsidP="009B1E7C">
            <w:pPr>
              <w:tabs>
                <w:tab w:val="left" w:pos="426"/>
              </w:tabs>
              <w:autoSpaceDE w:val="0"/>
              <w:autoSpaceDN w:val="0"/>
              <w:adjustRightInd w:val="0"/>
              <w:spacing w:before="120"/>
              <w:jc w:val="center"/>
              <w:rPr>
                <w:bCs/>
                <w:color w:val="000000"/>
                <w:sz w:val="22"/>
                <w:szCs w:val="22"/>
                <w:lang w:val="pl-PL"/>
              </w:rPr>
            </w:pPr>
            <w:r w:rsidRPr="009B1E7C">
              <w:rPr>
                <w:bCs/>
                <w:color w:val="000000"/>
                <w:sz w:val="22"/>
                <w:szCs w:val="22"/>
                <w:lang w:val="pl-PL"/>
              </w:rPr>
              <w:t>T/N</w:t>
            </w:r>
          </w:p>
        </w:tc>
      </w:tr>
      <w:tr w:rsidR="00923108" w14:paraId="25980E62" w14:textId="77777777" w:rsidTr="002E1C33">
        <w:trPr>
          <w:trHeight w:hRule="exact" w:val="3706"/>
        </w:trPr>
        <w:tc>
          <w:tcPr>
            <w:tcW w:w="681" w:type="dxa"/>
            <w:tcBorders>
              <w:top w:val="single" w:sz="4" w:space="0" w:color="000000"/>
              <w:left w:val="single" w:sz="4" w:space="0" w:color="000000"/>
              <w:bottom w:val="single" w:sz="4" w:space="0" w:color="000000"/>
              <w:right w:val="single" w:sz="4" w:space="0" w:color="000000"/>
            </w:tcBorders>
          </w:tcPr>
          <w:p w14:paraId="69C565BD" w14:textId="302718C1" w:rsidR="00923108" w:rsidRDefault="00501D61" w:rsidP="009B1E7C">
            <w:pPr>
              <w:pStyle w:val="TableParagraph"/>
              <w:spacing w:before="120"/>
              <w:ind w:right="11"/>
              <w:jc w:val="center"/>
              <w:rPr>
                <w:rFonts w:ascii="Calibri"/>
                <w:spacing w:val="-1"/>
                <w:lang w:val="pl-PL"/>
              </w:rPr>
            </w:pPr>
            <w:r>
              <w:rPr>
                <w:rFonts w:ascii="Calibri"/>
                <w:spacing w:val="-1"/>
                <w:lang w:val="pl-PL"/>
              </w:rPr>
              <w:t>7.</w:t>
            </w:r>
          </w:p>
        </w:tc>
        <w:tc>
          <w:tcPr>
            <w:tcW w:w="2004" w:type="dxa"/>
            <w:tcBorders>
              <w:top w:val="single" w:sz="4" w:space="0" w:color="000000"/>
              <w:left w:val="single" w:sz="4" w:space="0" w:color="000000"/>
              <w:bottom w:val="single" w:sz="4" w:space="0" w:color="000000"/>
              <w:right w:val="single" w:sz="4" w:space="0" w:color="000000"/>
            </w:tcBorders>
          </w:tcPr>
          <w:p w14:paraId="54DCFACC" w14:textId="67119FEA" w:rsidR="00923108" w:rsidRPr="001344C4" w:rsidRDefault="00923108" w:rsidP="009B1E7C">
            <w:pPr>
              <w:pStyle w:val="TableParagraph"/>
              <w:spacing w:before="120"/>
              <w:ind w:left="102"/>
              <w:rPr>
                <w:rFonts w:ascii="Calibri" w:hAnsi="Calibri"/>
                <w:lang w:val="pl-PL"/>
              </w:rPr>
            </w:pPr>
            <w:r w:rsidRPr="0043654F">
              <w:rPr>
                <w:rFonts w:cstheme="minorHAnsi"/>
                <w:lang w:val="pl-PL"/>
              </w:rPr>
              <w:t>Zwiększenie efektywności energetycznej</w:t>
            </w:r>
          </w:p>
        </w:tc>
        <w:tc>
          <w:tcPr>
            <w:tcW w:w="5394" w:type="dxa"/>
            <w:tcBorders>
              <w:top w:val="single" w:sz="4" w:space="0" w:color="000000"/>
              <w:left w:val="single" w:sz="4" w:space="0" w:color="000000"/>
              <w:bottom w:val="single" w:sz="4" w:space="0" w:color="000000"/>
              <w:right w:val="single" w:sz="4" w:space="0" w:color="000000"/>
            </w:tcBorders>
          </w:tcPr>
          <w:p w14:paraId="691760FE" w14:textId="13D1AD49" w:rsidR="00923108" w:rsidRPr="009B1E7C" w:rsidRDefault="001976FC" w:rsidP="00137552">
            <w:pPr>
              <w:pStyle w:val="TableParagraph"/>
              <w:spacing w:before="120" w:after="120"/>
              <w:ind w:left="102" w:right="96"/>
              <w:jc w:val="both"/>
              <w:rPr>
                <w:rFonts w:cstheme="minorHAnsi"/>
                <w:spacing w:val="-1"/>
                <w:lang w:val="pl-PL"/>
              </w:rPr>
            </w:pPr>
            <w:r w:rsidRPr="009B1E7C">
              <w:rPr>
                <w:rFonts w:cstheme="minorHAnsi"/>
                <w:spacing w:val="-1"/>
                <w:lang w:val="pl-PL"/>
              </w:rPr>
              <w:t>Inwestycja</w:t>
            </w:r>
            <w:r w:rsidR="00923108" w:rsidRPr="009B1E7C">
              <w:rPr>
                <w:rFonts w:cstheme="minorHAnsi"/>
                <w:spacing w:val="-1"/>
                <w:lang w:val="pl-PL"/>
              </w:rPr>
              <w:t xml:space="preserve"> przyczyni się do zwiększenia łącznej efektywności energetycznej wszystkich </w:t>
            </w:r>
            <w:proofErr w:type="spellStart"/>
            <w:r w:rsidR="00923108" w:rsidRPr="009B1E7C">
              <w:rPr>
                <w:rFonts w:cstheme="minorHAnsi"/>
                <w:spacing w:val="-1"/>
                <w:lang w:val="pl-PL"/>
              </w:rPr>
              <w:t>termomodernizowanych</w:t>
            </w:r>
            <w:proofErr w:type="spellEnd"/>
            <w:r w:rsidR="00923108" w:rsidRPr="009B1E7C">
              <w:rPr>
                <w:rFonts w:cstheme="minorHAnsi"/>
                <w:spacing w:val="-1"/>
                <w:lang w:val="pl-PL"/>
              </w:rPr>
              <w:t xml:space="preserve"> budynków o min. 30% w zakresie energii pierwotnej w stosunku do stanu istniejącego oraz o</w:t>
            </w:r>
            <w:r w:rsidR="00D21102">
              <w:rPr>
                <w:rFonts w:cstheme="minorHAnsi"/>
                <w:spacing w:val="-1"/>
                <w:lang w:val="pl-PL"/>
              </w:rPr>
              <w:t> </w:t>
            </w:r>
            <w:r w:rsidR="00923108" w:rsidRPr="009B1E7C">
              <w:rPr>
                <w:rFonts w:cstheme="minorHAnsi"/>
                <w:spacing w:val="-1"/>
                <w:lang w:val="pl-PL"/>
              </w:rPr>
              <w:t>min. 25% w zakresie energii końcowej w stosunku do stanu istniejącego.</w:t>
            </w:r>
          </w:p>
          <w:p w14:paraId="40F0CFF5" w14:textId="77777777" w:rsidR="00923108" w:rsidRPr="009B1E7C" w:rsidRDefault="00923108" w:rsidP="00137552">
            <w:pPr>
              <w:pStyle w:val="TableParagraph"/>
              <w:spacing w:before="120" w:after="120"/>
              <w:ind w:left="102" w:right="96"/>
              <w:jc w:val="both"/>
              <w:rPr>
                <w:rFonts w:cstheme="minorHAnsi"/>
                <w:spacing w:val="-1"/>
                <w:lang w:val="pl-PL"/>
              </w:rPr>
            </w:pPr>
            <w:r w:rsidRPr="009B1E7C">
              <w:rPr>
                <w:rFonts w:cstheme="minorHAnsi"/>
                <w:spacing w:val="-1"/>
                <w:lang w:val="pl-PL"/>
              </w:rPr>
              <w:t xml:space="preserve">Powyższa wartość wynika z dokumentacji technicznej (audyt energetyczny – ex </w:t>
            </w:r>
            <w:proofErr w:type="spellStart"/>
            <w:r w:rsidRPr="009B1E7C">
              <w:rPr>
                <w:rFonts w:cstheme="minorHAnsi"/>
                <w:spacing w:val="-1"/>
                <w:lang w:val="pl-PL"/>
              </w:rPr>
              <w:t>ante</w:t>
            </w:r>
            <w:proofErr w:type="spellEnd"/>
            <w:r w:rsidRPr="009B1E7C">
              <w:rPr>
                <w:rFonts w:cstheme="minorHAnsi"/>
                <w:spacing w:val="-1"/>
                <w:lang w:val="pl-PL"/>
              </w:rPr>
              <w:t>), z której wynikają również rekomendowane rozwiązania pod względem ekonomiczno-technicznym.</w:t>
            </w:r>
          </w:p>
          <w:p w14:paraId="3C8E369B" w14:textId="4EEF7CD8" w:rsidR="00923108" w:rsidRPr="00AF5FD6" w:rsidRDefault="00923108" w:rsidP="00137552">
            <w:pPr>
              <w:pStyle w:val="TableParagraph"/>
              <w:spacing w:before="120" w:after="120"/>
              <w:ind w:left="102" w:right="96"/>
              <w:jc w:val="both"/>
              <w:rPr>
                <w:rFonts w:ascii="Calibri" w:hAnsi="Calibri"/>
                <w:spacing w:val="-1"/>
                <w:lang w:val="pl-PL"/>
              </w:rPr>
            </w:pPr>
            <w:r w:rsidRPr="009B1E7C">
              <w:rPr>
                <w:rFonts w:cstheme="minorHAnsi"/>
                <w:spacing w:val="-1"/>
                <w:lang w:val="pl-PL"/>
              </w:rPr>
              <w:t>Ocena na podstawie informacji zawartych we wniosku i</w:t>
            </w:r>
            <w:r w:rsidR="00077471">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36D1B1A0" w14:textId="670E06C9" w:rsidR="00923108" w:rsidRPr="00077471" w:rsidRDefault="00923108" w:rsidP="009B1E7C">
            <w:pPr>
              <w:tabs>
                <w:tab w:val="left" w:pos="426"/>
              </w:tabs>
              <w:autoSpaceDE w:val="0"/>
              <w:autoSpaceDN w:val="0"/>
              <w:adjustRightInd w:val="0"/>
              <w:spacing w:before="120"/>
              <w:jc w:val="center"/>
              <w:rPr>
                <w:bCs/>
                <w:color w:val="000000"/>
                <w:sz w:val="22"/>
                <w:szCs w:val="22"/>
                <w:lang w:val="pl-PL"/>
              </w:rPr>
            </w:pPr>
            <w:r w:rsidRPr="00077471">
              <w:rPr>
                <w:bCs/>
                <w:color w:val="000000"/>
                <w:sz w:val="22"/>
                <w:szCs w:val="22"/>
                <w:lang w:val="pl-PL"/>
              </w:rPr>
              <w:t>T/N</w:t>
            </w:r>
          </w:p>
        </w:tc>
      </w:tr>
      <w:tr w:rsidR="00501D61" w14:paraId="58ED534F" w14:textId="77777777" w:rsidTr="009B1E7C">
        <w:trPr>
          <w:trHeight w:hRule="exact" w:val="3423"/>
        </w:trPr>
        <w:tc>
          <w:tcPr>
            <w:tcW w:w="681" w:type="dxa"/>
            <w:tcBorders>
              <w:top w:val="single" w:sz="4" w:space="0" w:color="000000"/>
              <w:left w:val="single" w:sz="4" w:space="0" w:color="000000"/>
              <w:bottom w:val="single" w:sz="4" w:space="0" w:color="000000"/>
              <w:right w:val="single" w:sz="4" w:space="0" w:color="000000"/>
            </w:tcBorders>
          </w:tcPr>
          <w:p w14:paraId="20BD0D1B" w14:textId="2227E0FE" w:rsidR="00501D61" w:rsidRDefault="008A6D89" w:rsidP="009B1E7C">
            <w:pPr>
              <w:pStyle w:val="TableParagraph"/>
              <w:spacing w:before="120"/>
              <w:ind w:right="11"/>
              <w:jc w:val="center"/>
              <w:rPr>
                <w:rFonts w:ascii="Calibri"/>
                <w:spacing w:val="-1"/>
                <w:lang w:val="pl-PL"/>
              </w:rPr>
            </w:pPr>
            <w:r>
              <w:rPr>
                <w:rFonts w:ascii="Calibri"/>
                <w:spacing w:val="-1"/>
                <w:lang w:val="pl-PL"/>
              </w:rPr>
              <w:lastRenderedPageBreak/>
              <w:t>8.</w:t>
            </w:r>
          </w:p>
        </w:tc>
        <w:tc>
          <w:tcPr>
            <w:tcW w:w="2004" w:type="dxa"/>
            <w:tcBorders>
              <w:top w:val="single" w:sz="4" w:space="0" w:color="000000"/>
              <w:left w:val="single" w:sz="4" w:space="0" w:color="000000"/>
              <w:bottom w:val="single" w:sz="4" w:space="0" w:color="000000"/>
              <w:right w:val="single" w:sz="4" w:space="0" w:color="000000"/>
            </w:tcBorders>
          </w:tcPr>
          <w:p w14:paraId="0FAC7A9C" w14:textId="2A30BA49" w:rsidR="00501D61" w:rsidRPr="007C4C55" w:rsidRDefault="007C4C55" w:rsidP="009B1E7C">
            <w:pPr>
              <w:pStyle w:val="TableParagraph"/>
              <w:spacing w:before="120"/>
              <w:ind w:left="102"/>
              <w:rPr>
                <w:rFonts w:cstheme="minorHAnsi"/>
                <w:lang w:val="pl-PL"/>
              </w:rPr>
            </w:pPr>
            <w:r w:rsidRPr="007C4C55">
              <w:rPr>
                <w:rFonts w:cstheme="minorHAnsi"/>
                <w:lang w:val="pl-PL"/>
              </w:rPr>
              <w:t xml:space="preserve">Obowiązkowy audyt energetyczny – ex </w:t>
            </w:r>
            <w:proofErr w:type="spellStart"/>
            <w:r w:rsidRPr="007C4C55">
              <w:rPr>
                <w:rFonts w:cstheme="minorHAnsi"/>
                <w:lang w:val="pl-PL"/>
              </w:rPr>
              <w:t>ante</w:t>
            </w:r>
            <w:proofErr w:type="spellEnd"/>
            <w:r w:rsidRPr="007C4C55">
              <w:rPr>
                <w:rFonts w:cstheme="minorHAnsi"/>
                <w:lang w:val="pl-PL"/>
              </w:rPr>
              <w:t xml:space="preserve"> i audyt energetyczny – ex post</w:t>
            </w:r>
          </w:p>
        </w:tc>
        <w:tc>
          <w:tcPr>
            <w:tcW w:w="5394" w:type="dxa"/>
            <w:tcBorders>
              <w:top w:val="single" w:sz="4" w:space="0" w:color="000000"/>
              <w:left w:val="single" w:sz="4" w:space="0" w:color="000000"/>
              <w:bottom w:val="single" w:sz="4" w:space="0" w:color="000000"/>
              <w:right w:val="single" w:sz="4" w:space="0" w:color="000000"/>
            </w:tcBorders>
          </w:tcPr>
          <w:p w14:paraId="1CED2F37" w14:textId="38F99B2F" w:rsidR="004926FA" w:rsidRPr="009B1E7C" w:rsidRDefault="004926FA" w:rsidP="009B1E7C">
            <w:pPr>
              <w:pStyle w:val="TableParagraph"/>
              <w:spacing w:before="120" w:after="240"/>
              <w:ind w:left="102" w:right="97"/>
              <w:jc w:val="both"/>
              <w:rPr>
                <w:rFonts w:cstheme="minorHAnsi"/>
                <w:spacing w:val="-1"/>
                <w:lang w:val="pl-PL"/>
              </w:rPr>
            </w:pPr>
            <w:r w:rsidRPr="009B1E7C">
              <w:rPr>
                <w:rFonts w:cstheme="minorHAnsi"/>
                <w:spacing w:val="-1"/>
                <w:lang w:val="pl-PL"/>
              </w:rPr>
              <w:t>Przedłożono obowiązkowy audyt ex-</w:t>
            </w:r>
            <w:proofErr w:type="spellStart"/>
            <w:r w:rsidRPr="009B1E7C">
              <w:rPr>
                <w:rFonts w:cstheme="minorHAnsi"/>
                <w:spacing w:val="-1"/>
                <w:lang w:val="pl-PL"/>
              </w:rPr>
              <w:t>ante</w:t>
            </w:r>
            <w:proofErr w:type="spellEnd"/>
            <w:r w:rsidRPr="009B1E7C">
              <w:rPr>
                <w:rFonts w:cstheme="minorHAnsi"/>
                <w:spacing w:val="-1"/>
                <w:lang w:val="pl-PL"/>
              </w:rPr>
              <w:t>, określający zakres inwestycji. Zgodność wnioskowanego przedsięwzięcia z treścią audytu, wynikającego z</w:t>
            </w:r>
            <w:r w:rsidR="00554EC6">
              <w:rPr>
                <w:rFonts w:cstheme="minorHAnsi"/>
                <w:spacing w:val="-1"/>
                <w:lang w:val="pl-PL"/>
              </w:rPr>
              <w:t> </w:t>
            </w:r>
            <w:r w:rsidRPr="009B1E7C">
              <w:rPr>
                <w:rFonts w:cstheme="minorHAnsi"/>
                <w:spacing w:val="-1"/>
                <w:lang w:val="pl-PL"/>
              </w:rPr>
              <w:t>wytycznych dotyczących przygotowania audytu energetycznego. Dokument ten stanowi załącznik do regulaminu naboru. Wnioskodawca złożył również deklarację o przeprowadzeniu audytu energetycznego ex-post. Termin przekazania audytu ex-post będzie określony w umowie o dofinansowanie.</w:t>
            </w:r>
          </w:p>
          <w:p w14:paraId="66E8762E" w14:textId="463A2C7E" w:rsidR="00501D61" w:rsidRPr="007C4C55" w:rsidRDefault="00FC4C96" w:rsidP="009B1E7C">
            <w:pPr>
              <w:pStyle w:val="TableParagraph"/>
              <w:spacing w:before="120" w:after="240"/>
              <w:ind w:left="102" w:right="97"/>
              <w:jc w:val="both"/>
              <w:rPr>
                <w:rFonts w:cstheme="minorHAnsi"/>
                <w:lang w:val="pl-PL"/>
              </w:rPr>
            </w:pPr>
            <w:r w:rsidRPr="009B1E7C">
              <w:rPr>
                <w:rFonts w:cstheme="minorHAnsi"/>
                <w:spacing w:val="-1"/>
                <w:lang w:val="pl-PL"/>
              </w:rPr>
              <w:t>Ocena na podstawie informacji zawartych we wniosku i</w:t>
            </w:r>
            <w:r w:rsidR="004F74F0" w:rsidRPr="009B1E7C">
              <w:rPr>
                <w:rFonts w:cstheme="minorHAnsi"/>
                <w:spacing w:val="-1"/>
                <w:lang w:val="pl-PL"/>
              </w:rPr>
              <w:t> </w:t>
            </w:r>
            <w:r w:rsidR="004B2933"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F0AB5CC" w14:textId="7EEDDC20" w:rsidR="00501D61" w:rsidRPr="007C4C55" w:rsidRDefault="004926FA" w:rsidP="009B1E7C">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T/N</w:t>
            </w:r>
          </w:p>
        </w:tc>
      </w:tr>
      <w:tr w:rsidR="004926FA" w14:paraId="7FB6AD1D" w14:textId="77777777" w:rsidTr="00C3603B">
        <w:trPr>
          <w:trHeight w:hRule="exact" w:val="1843"/>
        </w:trPr>
        <w:tc>
          <w:tcPr>
            <w:tcW w:w="681" w:type="dxa"/>
            <w:tcBorders>
              <w:top w:val="single" w:sz="4" w:space="0" w:color="000000"/>
              <w:left w:val="single" w:sz="4" w:space="0" w:color="000000"/>
              <w:bottom w:val="single" w:sz="4" w:space="0" w:color="000000"/>
              <w:right w:val="single" w:sz="4" w:space="0" w:color="000000"/>
            </w:tcBorders>
          </w:tcPr>
          <w:p w14:paraId="4C7AA358" w14:textId="6885EB0C" w:rsidR="004926FA" w:rsidRDefault="008A6D89" w:rsidP="009B1E7C">
            <w:pPr>
              <w:pStyle w:val="TableParagraph"/>
              <w:spacing w:before="120"/>
              <w:ind w:right="11"/>
              <w:jc w:val="center"/>
              <w:rPr>
                <w:rFonts w:ascii="Calibri"/>
                <w:spacing w:val="-1"/>
                <w:lang w:val="pl-PL"/>
              </w:rPr>
            </w:pPr>
            <w:r>
              <w:rPr>
                <w:rFonts w:ascii="Calibri"/>
                <w:spacing w:val="-1"/>
                <w:lang w:val="pl-PL"/>
              </w:rPr>
              <w:t>9.</w:t>
            </w:r>
          </w:p>
        </w:tc>
        <w:tc>
          <w:tcPr>
            <w:tcW w:w="2004" w:type="dxa"/>
            <w:tcBorders>
              <w:top w:val="single" w:sz="4" w:space="0" w:color="000000"/>
              <w:left w:val="single" w:sz="4" w:space="0" w:color="000000"/>
              <w:bottom w:val="single" w:sz="4" w:space="0" w:color="000000"/>
              <w:right w:val="single" w:sz="4" w:space="0" w:color="000000"/>
            </w:tcBorders>
          </w:tcPr>
          <w:p w14:paraId="17D942D5" w14:textId="792C7CDC" w:rsidR="004926FA" w:rsidRPr="007C4C55" w:rsidRDefault="001A47AC" w:rsidP="009B1E7C">
            <w:pPr>
              <w:pStyle w:val="TableParagraph"/>
              <w:spacing w:before="120"/>
              <w:ind w:left="102"/>
              <w:rPr>
                <w:rFonts w:cstheme="minorHAnsi"/>
                <w:lang w:val="pl-PL"/>
              </w:rPr>
            </w:pPr>
            <w:r>
              <w:rPr>
                <w:rFonts w:cstheme="minorHAnsi"/>
                <w:lang w:val="pl-PL"/>
              </w:rPr>
              <w:t>Wymiana lub modernizacja źródła ciepła</w:t>
            </w:r>
          </w:p>
        </w:tc>
        <w:tc>
          <w:tcPr>
            <w:tcW w:w="5394" w:type="dxa"/>
            <w:tcBorders>
              <w:top w:val="single" w:sz="4" w:space="0" w:color="000000"/>
              <w:left w:val="single" w:sz="4" w:space="0" w:color="000000"/>
              <w:bottom w:val="single" w:sz="4" w:space="0" w:color="000000"/>
              <w:right w:val="single" w:sz="4" w:space="0" w:color="000000"/>
            </w:tcBorders>
          </w:tcPr>
          <w:p w14:paraId="6ED6A0F8" w14:textId="35B74B41" w:rsidR="005966E5" w:rsidRPr="009B1E7C" w:rsidRDefault="006C2478" w:rsidP="009B1E7C">
            <w:pPr>
              <w:pStyle w:val="TableParagraph"/>
              <w:spacing w:before="120" w:after="240"/>
              <w:ind w:left="102" w:right="97"/>
              <w:jc w:val="both"/>
              <w:rPr>
                <w:rFonts w:ascii="Calibri" w:hAnsi="Calibri"/>
                <w:spacing w:val="-1"/>
                <w:lang w:val="pl-PL"/>
              </w:rPr>
            </w:pPr>
            <w:r w:rsidRPr="009B1E7C">
              <w:rPr>
                <w:rFonts w:ascii="Calibri" w:hAnsi="Calibri"/>
                <w:spacing w:val="-1"/>
                <w:lang w:val="pl-PL"/>
              </w:rPr>
              <w:t xml:space="preserve">Weryfikacja zgodności wymiany lub modernizacji źródła ciepła </w:t>
            </w:r>
            <w:r w:rsidR="00C3603B" w:rsidRPr="009B1E7C">
              <w:rPr>
                <w:rFonts w:ascii="Calibri" w:hAnsi="Calibri"/>
                <w:spacing w:val="-1"/>
                <w:lang w:val="pl-PL"/>
              </w:rPr>
              <w:t xml:space="preserve">z RKKK. </w:t>
            </w:r>
            <w:r w:rsidR="005966E5" w:rsidRPr="009B1E7C">
              <w:rPr>
                <w:rFonts w:ascii="Calibri" w:hAnsi="Calibri"/>
                <w:spacing w:val="-1"/>
                <w:lang w:val="pl-PL"/>
              </w:rPr>
              <w:t xml:space="preserve">Źródła wykorzystujące paliwo kopalne są wykluczone w ramach realizacji przedsięwzięcia. </w:t>
            </w:r>
          </w:p>
          <w:p w14:paraId="04E5B362" w14:textId="40D7F3E2" w:rsidR="004926FA" w:rsidRPr="005966E5" w:rsidRDefault="005966E5" w:rsidP="009B1E7C">
            <w:pPr>
              <w:pStyle w:val="TableParagraph"/>
              <w:spacing w:before="120" w:after="240"/>
              <w:ind w:left="102" w:right="97"/>
              <w:jc w:val="both"/>
              <w:rPr>
                <w:rFonts w:cstheme="minorHAnsi"/>
                <w:color w:val="000000"/>
                <w:lang w:val="pl-PL"/>
              </w:rPr>
            </w:pPr>
            <w:r w:rsidRPr="009B1E7C">
              <w:rPr>
                <w:rFonts w:ascii="Calibri" w:hAnsi="Calibri"/>
                <w:spacing w:val="-1"/>
                <w:lang w:val="pl-PL"/>
              </w:rPr>
              <w:t>Ocena na podstawie informacji zawartych we wniosku i</w:t>
            </w:r>
            <w:r w:rsidR="004B5325">
              <w:rPr>
                <w:rFonts w:ascii="Calibri" w:hAnsi="Calibri"/>
                <w:spacing w:val="-1"/>
                <w:lang w:val="pl-PL"/>
              </w:rPr>
              <w:t> </w:t>
            </w:r>
            <w:r w:rsidRPr="009B1E7C">
              <w:rPr>
                <w:rFonts w:ascii="Calibri" w:hAnsi="Calibr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B1F6D72" w14:textId="6C53F7E6" w:rsidR="004926FA" w:rsidRPr="001A47AC" w:rsidRDefault="00715B7F" w:rsidP="009B1E7C">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T/N/nie dotyczy</w:t>
            </w:r>
          </w:p>
        </w:tc>
      </w:tr>
      <w:tr w:rsidR="00C3603B" w14:paraId="0859D2DC" w14:textId="77777777" w:rsidTr="009B1E7C">
        <w:trPr>
          <w:trHeight w:hRule="exact" w:val="2122"/>
        </w:trPr>
        <w:tc>
          <w:tcPr>
            <w:tcW w:w="681" w:type="dxa"/>
            <w:tcBorders>
              <w:top w:val="single" w:sz="4" w:space="0" w:color="000000"/>
              <w:left w:val="single" w:sz="4" w:space="0" w:color="000000"/>
              <w:bottom w:val="single" w:sz="4" w:space="0" w:color="000000"/>
              <w:right w:val="single" w:sz="4" w:space="0" w:color="000000"/>
            </w:tcBorders>
          </w:tcPr>
          <w:p w14:paraId="1CD83FA9" w14:textId="1ADF33D8" w:rsidR="00C3603B" w:rsidRDefault="008A6D89" w:rsidP="009B1E7C">
            <w:pPr>
              <w:pStyle w:val="TableParagraph"/>
              <w:spacing w:before="120"/>
              <w:ind w:right="11"/>
              <w:jc w:val="center"/>
              <w:rPr>
                <w:rFonts w:ascii="Calibri"/>
                <w:spacing w:val="-1"/>
                <w:lang w:val="pl-PL"/>
              </w:rPr>
            </w:pPr>
            <w:r>
              <w:rPr>
                <w:rFonts w:ascii="Calibri"/>
                <w:spacing w:val="-1"/>
                <w:lang w:val="pl-PL"/>
              </w:rPr>
              <w:t>10.</w:t>
            </w:r>
          </w:p>
        </w:tc>
        <w:tc>
          <w:tcPr>
            <w:tcW w:w="2004" w:type="dxa"/>
            <w:tcBorders>
              <w:top w:val="single" w:sz="4" w:space="0" w:color="000000"/>
              <w:left w:val="single" w:sz="4" w:space="0" w:color="000000"/>
              <w:bottom w:val="single" w:sz="4" w:space="0" w:color="000000"/>
              <w:right w:val="single" w:sz="4" w:space="0" w:color="000000"/>
            </w:tcBorders>
          </w:tcPr>
          <w:p w14:paraId="288D0903" w14:textId="77777777" w:rsidR="007B013F" w:rsidRPr="009B1E7C" w:rsidRDefault="00E01B40" w:rsidP="009B1E7C">
            <w:pPr>
              <w:pStyle w:val="TableParagraph"/>
              <w:spacing w:before="120"/>
              <w:ind w:left="102"/>
              <w:rPr>
                <w:rFonts w:cstheme="minorHAnsi"/>
                <w:lang w:val="pl-PL"/>
              </w:rPr>
            </w:pPr>
            <w:r w:rsidRPr="009B1E7C">
              <w:rPr>
                <w:rFonts w:cstheme="minorHAnsi"/>
                <w:lang w:val="pl-PL"/>
              </w:rPr>
              <w:t>Obowiązkowa ekspertyza ornitologiczna/</w:t>
            </w:r>
          </w:p>
          <w:p w14:paraId="2F0EFACE" w14:textId="37B3F3B4" w:rsidR="00C3603B" w:rsidRDefault="00E01B40" w:rsidP="009B1E7C">
            <w:pPr>
              <w:pStyle w:val="TableParagraph"/>
              <w:spacing w:before="120"/>
              <w:ind w:left="102"/>
              <w:contextualSpacing/>
              <w:rPr>
                <w:rFonts w:cstheme="minorHAnsi"/>
                <w:lang w:val="pl-PL"/>
              </w:rPr>
            </w:pPr>
            <w:proofErr w:type="spellStart"/>
            <w:r w:rsidRPr="009B1E7C">
              <w:rPr>
                <w:rFonts w:cstheme="minorHAnsi"/>
                <w:lang w:val="pl-PL"/>
              </w:rPr>
              <w:t>chiropterologiczna</w:t>
            </w:r>
            <w:proofErr w:type="spellEnd"/>
          </w:p>
        </w:tc>
        <w:tc>
          <w:tcPr>
            <w:tcW w:w="5394" w:type="dxa"/>
            <w:tcBorders>
              <w:top w:val="single" w:sz="4" w:space="0" w:color="000000"/>
              <w:left w:val="single" w:sz="4" w:space="0" w:color="000000"/>
              <w:bottom w:val="single" w:sz="4" w:space="0" w:color="000000"/>
              <w:right w:val="single" w:sz="4" w:space="0" w:color="000000"/>
            </w:tcBorders>
          </w:tcPr>
          <w:p w14:paraId="4522274C" w14:textId="0D9908A0" w:rsidR="007B013F" w:rsidRPr="009B1E7C" w:rsidRDefault="007B013F" w:rsidP="009B1E7C">
            <w:pPr>
              <w:pStyle w:val="TableParagraph"/>
              <w:spacing w:before="120" w:after="240"/>
              <w:ind w:left="102" w:right="97"/>
              <w:jc w:val="both"/>
              <w:rPr>
                <w:rFonts w:cstheme="minorHAnsi"/>
                <w:spacing w:val="-1"/>
                <w:lang w:val="pl-PL"/>
              </w:rPr>
            </w:pPr>
            <w:r w:rsidRPr="009B1E7C">
              <w:rPr>
                <w:rFonts w:cstheme="minorHAnsi"/>
                <w:spacing w:val="-1"/>
                <w:lang w:val="pl-PL"/>
              </w:rPr>
              <w:t>Przedłożono obowiązkową ekspertyzę ornitologiczną/</w:t>
            </w:r>
            <w:proofErr w:type="spellStart"/>
            <w:r w:rsidRPr="009B1E7C">
              <w:rPr>
                <w:rFonts w:cstheme="minorHAnsi"/>
                <w:spacing w:val="-1"/>
                <w:lang w:val="pl-PL"/>
              </w:rPr>
              <w:t>chiropterologiczną</w:t>
            </w:r>
            <w:proofErr w:type="spellEnd"/>
            <w:r w:rsidRPr="009B1E7C">
              <w:rPr>
                <w:rFonts w:cstheme="minorHAnsi"/>
                <w:spacing w:val="-1"/>
                <w:lang w:val="pl-PL"/>
              </w:rPr>
              <w:t xml:space="preserve"> lub oświadczenie o</w:t>
            </w:r>
            <w:r w:rsidR="008106C9">
              <w:rPr>
                <w:rFonts w:cstheme="minorHAnsi"/>
                <w:spacing w:val="-1"/>
                <w:lang w:val="pl-PL"/>
              </w:rPr>
              <w:t> </w:t>
            </w:r>
            <w:r w:rsidRPr="009B1E7C">
              <w:rPr>
                <w:rFonts w:cstheme="minorHAnsi"/>
                <w:spacing w:val="-1"/>
                <w:lang w:val="pl-PL"/>
              </w:rPr>
              <w:t>dostarczeniu ww. ekspertyzy przed rozpoczęciem prac termomodernizacyjnych.</w:t>
            </w:r>
          </w:p>
          <w:p w14:paraId="6CB88474" w14:textId="123C371B" w:rsidR="00C3603B" w:rsidRPr="007B013F" w:rsidRDefault="007B013F" w:rsidP="009B1E7C">
            <w:pPr>
              <w:pStyle w:val="TableParagraph"/>
              <w:spacing w:before="120" w:after="240"/>
              <w:ind w:left="102" w:right="97"/>
              <w:jc w:val="both"/>
              <w:rPr>
                <w:rFonts w:cstheme="minorHAnsi"/>
                <w:color w:val="000000"/>
                <w:lang w:val="pl-PL"/>
              </w:rPr>
            </w:pPr>
            <w:r w:rsidRPr="009B1E7C">
              <w:rPr>
                <w:rFonts w:cstheme="minorHAnsi"/>
                <w:spacing w:val="-1"/>
                <w:lang w:val="pl-PL"/>
              </w:rPr>
              <w:t>Ocena na podstawie informacji zawartych we wniosku i</w:t>
            </w:r>
            <w:r w:rsidR="008106C9">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7DBE4B40" w14:textId="3FBD2BE8" w:rsidR="00C3603B" w:rsidRPr="007B013F" w:rsidRDefault="00715B7F" w:rsidP="00137552">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T/N</w:t>
            </w:r>
          </w:p>
        </w:tc>
      </w:tr>
      <w:tr w:rsidR="00F64509" w14:paraId="2103BE2A" w14:textId="77777777" w:rsidTr="007B013F">
        <w:trPr>
          <w:trHeight w:hRule="exact" w:val="1982"/>
        </w:trPr>
        <w:tc>
          <w:tcPr>
            <w:tcW w:w="681" w:type="dxa"/>
            <w:tcBorders>
              <w:top w:val="single" w:sz="4" w:space="0" w:color="000000"/>
              <w:left w:val="single" w:sz="4" w:space="0" w:color="000000"/>
              <w:bottom w:val="single" w:sz="4" w:space="0" w:color="000000"/>
              <w:right w:val="single" w:sz="4" w:space="0" w:color="000000"/>
            </w:tcBorders>
          </w:tcPr>
          <w:p w14:paraId="7A19B6D0" w14:textId="512BA675" w:rsidR="00F64509" w:rsidRDefault="008A6D89" w:rsidP="009B1E7C">
            <w:pPr>
              <w:pStyle w:val="TableParagraph"/>
              <w:spacing w:before="120"/>
              <w:ind w:right="11"/>
              <w:jc w:val="center"/>
              <w:rPr>
                <w:rFonts w:ascii="Calibri"/>
                <w:spacing w:val="-1"/>
                <w:lang w:val="pl-PL"/>
              </w:rPr>
            </w:pPr>
            <w:r>
              <w:rPr>
                <w:rFonts w:ascii="Calibri"/>
                <w:spacing w:val="-1"/>
                <w:lang w:val="pl-PL"/>
              </w:rPr>
              <w:t>11.</w:t>
            </w:r>
          </w:p>
        </w:tc>
        <w:tc>
          <w:tcPr>
            <w:tcW w:w="2004" w:type="dxa"/>
            <w:tcBorders>
              <w:top w:val="single" w:sz="4" w:space="0" w:color="000000"/>
              <w:left w:val="single" w:sz="4" w:space="0" w:color="000000"/>
              <w:bottom w:val="single" w:sz="4" w:space="0" w:color="000000"/>
              <w:right w:val="single" w:sz="4" w:space="0" w:color="000000"/>
            </w:tcBorders>
          </w:tcPr>
          <w:p w14:paraId="47874319" w14:textId="2B1AC227" w:rsidR="00F64509" w:rsidRPr="00F64509" w:rsidRDefault="00F64509" w:rsidP="009B1E7C">
            <w:pPr>
              <w:spacing w:before="120"/>
              <w:rPr>
                <w:rFonts w:cstheme="minorHAnsi"/>
                <w:sz w:val="22"/>
                <w:szCs w:val="22"/>
                <w:lang w:val="pl-PL"/>
              </w:rPr>
            </w:pPr>
            <w:r w:rsidRPr="00F64509">
              <w:rPr>
                <w:rFonts w:cstheme="minorHAnsi"/>
                <w:sz w:val="22"/>
                <w:szCs w:val="22"/>
                <w:lang w:val="pl-PL"/>
              </w:rPr>
              <w:t>Udokumentowane prawo do dysponowania gruntami lub obiektami na cele inwestycji</w:t>
            </w:r>
          </w:p>
        </w:tc>
        <w:tc>
          <w:tcPr>
            <w:tcW w:w="5394" w:type="dxa"/>
            <w:tcBorders>
              <w:top w:val="single" w:sz="4" w:space="0" w:color="000000"/>
              <w:left w:val="single" w:sz="4" w:space="0" w:color="000000"/>
              <w:bottom w:val="single" w:sz="4" w:space="0" w:color="000000"/>
              <w:right w:val="single" w:sz="4" w:space="0" w:color="000000"/>
            </w:tcBorders>
          </w:tcPr>
          <w:p w14:paraId="538CF574" w14:textId="5FB3CC51" w:rsidR="00F64509" w:rsidRPr="009B1E7C" w:rsidRDefault="00381CDA" w:rsidP="009B1E7C">
            <w:pPr>
              <w:pStyle w:val="TableParagraph"/>
              <w:spacing w:before="120" w:after="240"/>
              <w:ind w:left="102" w:right="97"/>
              <w:jc w:val="both"/>
              <w:rPr>
                <w:rFonts w:cstheme="minorHAnsi"/>
                <w:spacing w:val="-1"/>
                <w:lang w:val="pl-PL"/>
              </w:rPr>
            </w:pPr>
            <w:r w:rsidRPr="009B1E7C">
              <w:rPr>
                <w:rFonts w:cstheme="minorHAnsi"/>
                <w:spacing w:val="-1"/>
                <w:lang w:val="pl-PL"/>
              </w:rPr>
              <w:t>Wnioskodawca</w:t>
            </w:r>
            <w:r w:rsidR="00F64509" w:rsidRPr="009B1E7C">
              <w:rPr>
                <w:rFonts w:cstheme="minorHAnsi"/>
                <w:spacing w:val="-1"/>
                <w:lang w:val="pl-PL"/>
              </w:rPr>
              <w:t xml:space="preserve"> posiada udokumentowane prawo do dysponowania gruntami lub obiektami na cele inwestycji  dla 100% zakresu rzeczowego </w:t>
            </w:r>
            <w:r w:rsidRPr="009B1E7C">
              <w:rPr>
                <w:rFonts w:cstheme="minorHAnsi"/>
                <w:spacing w:val="-1"/>
                <w:lang w:val="pl-PL"/>
              </w:rPr>
              <w:t>inwestycji</w:t>
            </w:r>
            <w:r w:rsidR="00F64509" w:rsidRPr="009B1E7C">
              <w:rPr>
                <w:rFonts w:cstheme="minorHAnsi"/>
                <w:spacing w:val="-1"/>
                <w:lang w:val="pl-PL"/>
              </w:rPr>
              <w:t>.</w:t>
            </w:r>
          </w:p>
          <w:p w14:paraId="2B25E189" w14:textId="083A5999" w:rsidR="00F64509" w:rsidRPr="00F64509" w:rsidRDefault="00F64509" w:rsidP="009B1E7C">
            <w:pPr>
              <w:pStyle w:val="TableParagraph"/>
              <w:spacing w:before="120" w:after="240"/>
              <w:ind w:left="102" w:right="97"/>
              <w:jc w:val="both"/>
              <w:rPr>
                <w:rFonts w:cstheme="minorHAnsi"/>
                <w:color w:val="000000"/>
                <w:lang w:val="pl-PL"/>
              </w:rPr>
            </w:pPr>
            <w:r w:rsidRPr="009B1E7C">
              <w:rPr>
                <w:rFonts w:cstheme="minorHAnsi"/>
                <w:spacing w:val="-1"/>
                <w:lang w:val="pl-PL"/>
              </w:rPr>
              <w:t>Ocena na podstawie informacji zawartych we wniosku i</w:t>
            </w:r>
            <w:r w:rsidR="00381CDA">
              <w:rPr>
                <w:rFonts w:cstheme="minorHAnsi"/>
                <w:spacing w:val="-1"/>
                <w:lang w:val="pl-PL"/>
              </w:rPr>
              <w:t> </w:t>
            </w:r>
            <w:r w:rsidRPr="009B1E7C">
              <w:rPr>
                <w:rFonts w:cstheme="minorHAnsi"/>
                <w:spacing w:val="-1"/>
                <w:lang w:val="pl-PL"/>
              </w:rPr>
              <w:t>załącznikach.</w:t>
            </w:r>
          </w:p>
        </w:tc>
        <w:tc>
          <w:tcPr>
            <w:tcW w:w="1581" w:type="dxa"/>
            <w:tcBorders>
              <w:top w:val="single" w:sz="4" w:space="0" w:color="000000"/>
              <w:left w:val="single" w:sz="4" w:space="0" w:color="000000"/>
              <w:bottom w:val="single" w:sz="4" w:space="0" w:color="000000"/>
              <w:right w:val="single" w:sz="4" w:space="0" w:color="000000"/>
            </w:tcBorders>
          </w:tcPr>
          <w:p w14:paraId="674A1B3C" w14:textId="0B0AC49B" w:rsidR="00F64509" w:rsidRPr="00F64509" w:rsidRDefault="00F64509" w:rsidP="009B1E7C">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w:t>
            </w:r>
            <w:r w:rsidR="00715B7F">
              <w:rPr>
                <w:rFonts w:cstheme="minorHAnsi"/>
                <w:bCs/>
                <w:color w:val="000000"/>
                <w:sz w:val="22"/>
                <w:szCs w:val="22"/>
                <w:lang w:val="pl-PL"/>
              </w:rPr>
              <w:t>/N</w:t>
            </w:r>
          </w:p>
        </w:tc>
      </w:tr>
      <w:tr w:rsidR="009035B8" w14:paraId="2D89203E" w14:textId="77777777" w:rsidTr="009B1E7C">
        <w:trPr>
          <w:trHeight w:hRule="exact" w:val="3116"/>
        </w:trPr>
        <w:tc>
          <w:tcPr>
            <w:tcW w:w="681" w:type="dxa"/>
            <w:tcBorders>
              <w:top w:val="single" w:sz="4" w:space="0" w:color="000000"/>
              <w:left w:val="single" w:sz="4" w:space="0" w:color="000000"/>
              <w:bottom w:val="single" w:sz="4" w:space="0" w:color="000000"/>
              <w:right w:val="single" w:sz="4" w:space="0" w:color="000000"/>
            </w:tcBorders>
          </w:tcPr>
          <w:p w14:paraId="543955EB" w14:textId="1EF6A283" w:rsidR="009035B8" w:rsidRDefault="009035B8" w:rsidP="009B1E7C">
            <w:pPr>
              <w:pStyle w:val="TableParagraph"/>
              <w:spacing w:before="120"/>
              <w:ind w:right="11"/>
              <w:jc w:val="center"/>
              <w:rPr>
                <w:rFonts w:ascii="Calibri"/>
                <w:spacing w:val="-1"/>
                <w:lang w:val="pl-PL"/>
              </w:rPr>
            </w:pPr>
            <w:r>
              <w:rPr>
                <w:rFonts w:ascii="Calibri"/>
                <w:spacing w:val="-1"/>
                <w:lang w:val="pl-PL"/>
              </w:rPr>
              <w:t>12</w:t>
            </w:r>
            <w:r w:rsidR="00BE57E2">
              <w:rPr>
                <w:rFonts w:ascii="Calibri"/>
                <w:spacing w:val="-1"/>
                <w:lang w:val="pl-PL"/>
              </w:rPr>
              <w:t>.</w:t>
            </w:r>
          </w:p>
        </w:tc>
        <w:tc>
          <w:tcPr>
            <w:tcW w:w="2004" w:type="dxa"/>
            <w:tcBorders>
              <w:top w:val="single" w:sz="4" w:space="0" w:color="000000"/>
              <w:left w:val="single" w:sz="4" w:space="0" w:color="000000"/>
              <w:bottom w:val="single" w:sz="4" w:space="0" w:color="000000"/>
              <w:right w:val="single" w:sz="4" w:space="0" w:color="000000"/>
            </w:tcBorders>
          </w:tcPr>
          <w:p w14:paraId="36A1EFD0" w14:textId="418BE952" w:rsidR="009035B8" w:rsidRPr="009035B8" w:rsidRDefault="009035B8" w:rsidP="009B1E7C">
            <w:pPr>
              <w:spacing w:before="120"/>
              <w:rPr>
                <w:rFonts w:cstheme="minorHAnsi"/>
                <w:sz w:val="22"/>
                <w:szCs w:val="22"/>
                <w:lang w:val="pl-PL"/>
              </w:rPr>
            </w:pPr>
            <w:r w:rsidRPr="009035B8">
              <w:rPr>
                <w:rFonts w:cstheme="minorHAnsi"/>
                <w:sz w:val="22"/>
                <w:szCs w:val="22"/>
                <w:lang w:val="pl-PL"/>
              </w:rPr>
              <w:t>Koszt kwalifikowany na jednostkową powierzchnię o regulowanej temperaturze powietrza</w:t>
            </w:r>
          </w:p>
        </w:tc>
        <w:tc>
          <w:tcPr>
            <w:tcW w:w="5394" w:type="dxa"/>
            <w:tcBorders>
              <w:top w:val="single" w:sz="4" w:space="0" w:color="000000"/>
              <w:left w:val="single" w:sz="4" w:space="0" w:color="000000"/>
              <w:bottom w:val="single" w:sz="4" w:space="0" w:color="000000"/>
              <w:right w:val="single" w:sz="4" w:space="0" w:color="000000"/>
            </w:tcBorders>
          </w:tcPr>
          <w:p w14:paraId="27602A59" w14:textId="0914B31E" w:rsidR="00627349" w:rsidRPr="00C22144" w:rsidRDefault="00627349" w:rsidP="009B1E7C">
            <w:pPr>
              <w:autoSpaceDE w:val="0"/>
              <w:autoSpaceDN w:val="0"/>
              <w:adjustRightInd w:val="0"/>
              <w:spacing w:before="120" w:after="240"/>
              <w:rPr>
                <w:rFonts w:cstheme="minorHAnsi"/>
                <w:sz w:val="22"/>
                <w:szCs w:val="22"/>
                <w:lang w:val="pl-PL"/>
              </w:rPr>
            </w:pPr>
            <w:r w:rsidRPr="00C22144">
              <w:rPr>
                <w:rFonts w:cstheme="minorHAnsi"/>
                <w:sz w:val="22"/>
                <w:szCs w:val="22"/>
                <w:lang w:val="pl-PL"/>
              </w:rPr>
              <w:t xml:space="preserve">Koszt kwalifikowany odniesiony do jednostkowej powierzchni o regulowanej temperaturze nie przekracza </w:t>
            </w:r>
            <w:r w:rsidR="00C22144" w:rsidRPr="00C22144">
              <w:rPr>
                <w:rFonts w:cstheme="minorHAnsi"/>
                <w:sz w:val="22"/>
                <w:szCs w:val="22"/>
                <w:lang w:val="pl-PL"/>
              </w:rPr>
              <w:t>2</w:t>
            </w:r>
            <w:r w:rsidRPr="00C22144">
              <w:rPr>
                <w:rFonts w:cstheme="minorHAnsi"/>
                <w:sz w:val="22"/>
                <w:szCs w:val="22"/>
                <w:lang w:val="pl-PL"/>
              </w:rPr>
              <w:t> </w:t>
            </w:r>
            <w:r w:rsidR="009E1A5C">
              <w:rPr>
                <w:rFonts w:cstheme="minorHAnsi"/>
                <w:sz w:val="22"/>
                <w:szCs w:val="22"/>
                <w:lang w:val="pl-PL"/>
              </w:rPr>
              <w:t>5</w:t>
            </w:r>
            <w:r w:rsidRPr="00C22144">
              <w:rPr>
                <w:rFonts w:cstheme="minorHAnsi"/>
                <w:sz w:val="22"/>
                <w:szCs w:val="22"/>
                <w:lang w:val="pl-PL"/>
              </w:rPr>
              <w:t>00 zł za m</w:t>
            </w:r>
            <w:r w:rsidRPr="00C22144">
              <w:rPr>
                <w:rFonts w:cstheme="minorHAnsi"/>
                <w:sz w:val="22"/>
                <w:szCs w:val="22"/>
                <w:vertAlign w:val="superscript"/>
                <w:lang w:val="pl-PL"/>
              </w:rPr>
              <w:t>2</w:t>
            </w:r>
            <w:r w:rsidRPr="00C22144">
              <w:rPr>
                <w:rFonts w:cstheme="minorHAnsi"/>
                <w:sz w:val="22"/>
                <w:szCs w:val="22"/>
                <w:lang w:val="pl-PL"/>
              </w:rPr>
              <w:t xml:space="preserve"> powierzchni o regulowanej temperaturze powietrza</w:t>
            </w:r>
            <w:r w:rsidR="00A57A6D">
              <w:rPr>
                <w:rFonts w:cstheme="minorHAnsi"/>
                <w:sz w:val="22"/>
                <w:szCs w:val="22"/>
                <w:lang w:val="pl-PL"/>
              </w:rPr>
              <w:t xml:space="preserve">, w przypadku zabytków 3 000 zł na </w:t>
            </w:r>
            <w:r w:rsidR="00A57A6D" w:rsidRPr="00C22144">
              <w:rPr>
                <w:rFonts w:cstheme="minorHAnsi"/>
                <w:sz w:val="22"/>
                <w:szCs w:val="22"/>
                <w:lang w:val="pl-PL"/>
              </w:rPr>
              <w:t>m</w:t>
            </w:r>
            <w:r w:rsidR="00A57A6D" w:rsidRPr="00C22144">
              <w:rPr>
                <w:rFonts w:cstheme="minorHAnsi"/>
                <w:sz w:val="22"/>
                <w:szCs w:val="22"/>
                <w:vertAlign w:val="superscript"/>
                <w:lang w:val="pl-PL"/>
              </w:rPr>
              <w:t>2</w:t>
            </w:r>
            <w:r w:rsidR="00A57A6D">
              <w:rPr>
                <w:rFonts w:cstheme="minorHAnsi"/>
                <w:sz w:val="22"/>
                <w:szCs w:val="22"/>
                <w:lang w:val="pl-PL"/>
              </w:rPr>
              <w:t>.</w:t>
            </w:r>
          </w:p>
          <w:p w14:paraId="2F4550E7" w14:textId="305004CD" w:rsidR="00627349" w:rsidRPr="00C22144" w:rsidRDefault="00D87FD4" w:rsidP="009B1E7C">
            <w:pPr>
              <w:autoSpaceDE w:val="0"/>
              <w:autoSpaceDN w:val="0"/>
              <w:adjustRightInd w:val="0"/>
              <w:spacing w:before="120" w:after="240"/>
              <w:rPr>
                <w:rFonts w:cstheme="minorHAnsi"/>
                <w:sz w:val="22"/>
                <w:szCs w:val="22"/>
                <w:lang w:val="pl-PL"/>
              </w:rPr>
            </w:pPr>
            <w:r>
              <w:rPr>
                <w:rFonts w:cstheme="minorHAnsi"/>
                <w:sz w:val="22"/>
                <w:szCs w:val="22"/>
                <w:lang w:val="pl-PL"/>
              </w:rPr>
              <w:t xml:space="preserve">Nie dotyczy </w:t>
            </w:r>
            <w:r w:rsidR="00311E2C">
              <w:rPr>
                <w:rFonts w:cstheme="minorHAnsi"/>
                <w:sz w:val="22"/>
                <w:szCs w:val="22"/>
                <w:lang w:val="pl-PL"/>
              </w:rPr>
              <w:t>inwestycji</w:t>
            </w:r>
            <w:r>
              <w:rPr>
                <w:rFonts w:cstheme="minorHAnsi"/>
                <w:sz w:val="22"/>
                <w:szCs w:val="22"/>
                <w:lang w:val="pl-PL"/>
              </w:rPr>
              <w:t xml:space="preserve"> </w:t>
            </w:r>
            <w:r w:rsidR="000E50A5">
              <w:rPr>
                <w:rFonts w:cstheme="minorHAnsi"/>
                <w:sz w:val="22"/>
                <w:szCs w:val="22"/>
                <w:lang w:val="pl-PL"/>
              </w:rPr>
              <w:t>realizowanych w formule ESCO/EPC</w:t>
            </w:r>
            <w:r w:rsidR="009E1A5C">
              <w:rPr>
                <w:rFonts w:cstheme="minorHAnsi"/>
                <w:sz w:val="22"/>
                <w:szCs w:val="22"/>
                <w:lang w:val="pl-PL"/>
              </w:rPr>
              <w:t>.</w:t>
            </w:r>
          </w:p>
          <w:p w14:paraId="7D79D76D" w14:textId="3E293537" w:rsidR="009035B8" w:rsidRPr="009035B8" w:rsidRDefault="00627349" w:rsidP="009B1E7C">
            <w:pPr>
              <w:autoSpaceDE w:val="0"/>
              <w:autoSpaceDN w:val="0"/>
              <w:adjustRightInd w:val="0"/>
              <w:spacing w:before="120" w:after="240"/>
              <w:rPr>
                <w:rFonts w:cstheme="minorHAnsi"/>
                <w:sz w:val="22"/>
                <w:szCs w:val="22"/>
                <w:lang w:val="pl-PL"/>
              </w:rPr>
            </w:pPr>
            <w:r w:rsidRPr="00D87FD4">
              <w:rPr>
                <w:rFonts w:cstheme="minorHAnsi"/>
                <w:sz w:val="22"/>
                <w:szCs w:val="22"/>
                <w:lang w:val="pl-PL"/>
              </w:rPr>
              <w:t>Ocena na podstawie informacji zawartych we wniosku i załącznikach.</w:t>
            </w:r>
          </w:p>
        </w:tc>
        <w:tc>
          <w:tcPr>
            <w:tcW w:w="1581" w:type="dxa"/>
            <w:tcBorders>
              <w:top w:val="single" w:sz="4" w:space="0" w:color="000000"/>
              <w:left w:val="single" w:sz="4" w:space="0" w:color="000000"/>
              <w:bottom w:val="single" w:sz="4" w:space="0" w:color="000000"/>
              <w:right w:val="single" w:sz="4" w:space="0" w:color="000000"/>
            </w:tcBorders>
          </w:tcPr>
          <w:p w14:paraId="464A5AC5" w14:textId="5AB16AAD" w:rsidR="009035B8" w:rsidRPr="009035B8" w:rsidRDefault="00627349" w:rsidP="009B1E7C">
            <w:pPr>
              <w:tabs>
                <w:tab w:val="left" w:pos="426"/>
              </w:tabs>
              <w:autoSpaceDE w:val="0"/>
              <w:autoSpaceDN w:val="0"/>
              <w:adjustRightInd w:val="0"/>
              <w:spacing w:before="120"/>
              <w:jc w:val="center"/>
              <w:rPr>
                <w:rFonts w:cstheme="minorHAnsi"/>
                <w:bCs/>
                <w:color w:val="000000"/>
                <w:sz w:val="22"/>
                <w:szCs w:val="22"/>
                <w:lang w:val="pl-PL"/>
              </w:rPr>
            </w:pPr>
            <w:r>
              <w:rPr>
                <w:rFonts w:cstheme="minorHAnsi"/>
                <w:bCs/>
                <w:color w:val="000000"/>
                <w:sz w:val="22"/>
                <w:szCs w:val="22"/>
                <w:lang w:val="pl-PL"/>
              </w:rPr>
              <w:t>T/N/nie dotyczy</w:t>
            </w:r>
          </w:p>
        </w:tc>
      </w:tr>
    </w:tbl>
    <w:p w14:paraId="7A7CFA06" w14:textId="77777777" w:rsidR="001F31F9" w:rsidRDefault="001F31F9" w:rsidP="00A5287E">
      <w:pPr>
        <w:tabs>
          <w:tab w:val="left" w:pos="284"/>
        </w:tabs>
        <w:autoSpaceDE w:val="0"/>
        <w:autoSpaceDN w:val="0"/>
        <w:adjustRightInd w:val="0"/>
        <w:spacing w:before="120"/>
        <w:jc w:val="both"/>
        <w:rPr>
          <w:rFonts w:asciiTheme="minorHAnsi" w:hAnsiTheme="minorHAnsi"/>
          <w:b/>
          <w:color w:val="000000"/>
          <w:sz w:val="22"/>
          <w:szCs w:val="22"/>
        </w:rPr>
      </w:pPr>
    </w:p>
    <w:p w14:paraId="7335796B" w14:textId="4DEB56CC" w:rsidR="001F31F9" w:rsidRDefault="001F31F9">
      <w:pPr>
        <w:rPr>
          <w:rFonts w:asciiTheme="minorHAnsi" w:hAnsiTheme="minorHAnsi"/>
          <w:b/>
          <w:color w:val="000000"/>
          <w:sz w:val="22"/>
          <w:szCs w:val="22"/>
        </w:rPr>
      </w:pPr>
    </w:p>
    <w:p w14:paraId="23F3E16C" w14:textId="77777777" w:rsidR="00D21102" w:rsidRDefault="00D21102">
      <w:pPr>
        <w:rPr>
          <w:rFonts w:asciiTheme="minorHAnsi" w:hAnsiTheme="minorHAnsi"/>
          <w:b/>
          <w:color w:val="000000"/>
        </w:rPr>
      </w:pPr>
      <w:r>
        <w:rPr>
          <w:rFonts w:asciiTheme="minorHAnsi" w:hAnsiTheme="minorHAnsi"/>
          <w:b/>
          <w:color w:val="000000"/>
        </w:rPr>
        <w:br w:type="page"/>
      </w:r>
    </w:p>
    <w:p w14:paraId="71DCFC90" w14:textId="185F8812" w:rsidR="00A5287E" w:rsidRPr="00137552" w:rsidRDefault="00346629" w:rsidP="00A5287E">
      <w:pPr>
        <w:tabs>
          <w:tab w:val="left" w:pos="284"/>
        </w:tabs>
        <w:autoSpaceDE w:val="0"/>
        <w:autoSpaceDN w:val="0"/>
        <w:adjustRightInd w:val="0"/>
        <w:spacing w:before="120"/>
        <w:jc w:val="both"/>
        <w:rPr>
          <w:rFonts w:asciiTheme="minorHAnsi" w:hAnsiTheme="minorHAnsi"/>
          <w:b/>
          <w:color w:val="000000"/>
        </w:rPr>
      </w:pPr>
      <w:r w:rsidRPr="00137552">
        <w:rPr>
          <w:rFonts w:asciiTheme="minorHAnsi" w:hAnsiTheme="minorHAnsi"/>
          <w:b/>
          <w:color w:val="000000"/>
        </w:rPr>
        <w:lastRenderedPageBreak/>
        <w:t xml:space="preserve">Kryteria </w:t>
      </w:r>
      <w:r w:rsidR="00332A0D" w:rsidRPr="00137552">
        <w:rPr>
          <w:rFonts w:asciiTheme="minorHAnsi" w:hAnsiTheme="minorHAnsi"/>
          <w:b/>
          <w:color w:val="000000"/>
        </w:rPr>
        <w:t>jakościowe punktowe</w:t>
      </w:r>
    </w:p>
    <w:p w14:paraId="4D37556E" w14:textId="64E9BEC4" w:rsidR="00540994" w:rsidRDefault="00B8364B" w:rsidP="00A5287E">
      <w:pPr>
        <w:tabs>
          <w:tab w:val="left" w:pos="284"/>
        </w:tabs>
        <w:autoSpaceDE w:val="0"/>
        <w:autoSpaceDN w:val="0"/>
        <w:adjustRightInd w:val="0"/>
        <w:spacing w:before="120"/>
        <w:jc w:val="both"/>
        <w:rPr>
          <w:rFonts w:asciiTheme="minorHAnsi" w:hAnsiTheme="minorHAnsi"/>
          <w:b/>
          <w:color w:val="000000"/>
          <w:sz w:val="22"/>
          <w:szCs w:val="22"/>
        </w:rPr>
      </w:pPr>
      <w:r>
        <w:rPr>
          <w:rFonts w:asciiTheme="minorHAnsi" w:hAnsiTheme="minorHAnsi"/>
          <w:b/>
          <w:color w:val="000000"/>
          <w:sz w:val="22"/>
          <w:szCs w:val="22"/>
        </w:rPr>
        <w:t xml:space="preserve">Kryteria jakościowe punktowe mają zastosowanie wyłącznie dla naborów </w:t>
      </w:r>
      <w:r w:rsidR="0011545B">
        <w:rPr>
          <w:rFonts w:asciiTheme="minorHAnsi" w:hAnsiTheme="minorHAnsi"/>
          <w:b/>
          <w:color w:val="000000"/>
          <w:sz w:val="22"/>
          <w:szCs w:val="22"/>
        </w:rPr>
        <w:t>ciągłych konkurencyjnych.</w:t>
      </w:r>
    </w:p>
    <w:p w14:paraId="4D4E132B" w14:textId="1C30FD1B" w:rsidR="0011545B" w:rsidRDefault="003B270A" w:rsidP="00A5287E">
      <w:pPr>
        <w:tabs>
          <w:tab w:val="left" w:pos="284"/>
        </w:tabs>
        <w:autoSpaceDE w:val="0"/>
        <w:autoSpaceDN w:val="0"/>
        <w:adjustRightInd w:val="0"/>
        <w:spacing w:before="120"/>
        <w:jc w:val="both"/>
        <w:rPr>
          <w:rFonts w:asciiTheme="minorHAnsi" w:hAnsiTheme="minorHAnsi"/>
          <w:b/>
          <w:color w:val="000000"/>
          <w:sz w:val="22"/>
          <w:szCs w:val="22"/>
        </w:rPr>
      </w:pPr>
      <w:r>
        <w:rPr>
          <w:rFonts w:asciiTheme="minorHAnsi" w:hAnsiTheme="minorHAnsi"/>
          <w:b/>
          <w:color w:val="000000"/>
          <w:sz w:val="22"/>
          <w:szCs w:val="22"/>
        </w:rPr>
        <w:t xml:space="preserve">Wnioski, które uzyskają mniej niż </w:t>
      </w:r>
      <w:r w:rsidR="001F31F9">
        <w:rPr>
          <w:rFonts w:asciiTheme="minorHAnsi" w:hAnsiTheme="minorHAnsi"/>
          <w:b/>
          <w:color w:val="000000"/>
          <w:sz w:val="22"/>
          <w:szCs w:val="22"/>
        </w:rPr>
        <w:t>5 pkt podlegają odrzuceniu i nie kwalifikują się do dofinansowania.</w:t>
      </w:r>
    </w:p>
    <w:tbl>
      <w:tblPr>
        <w:tblStyle w:val="Tabela-Siatka"/>
        <w:tblW w:w="9776" w:type="dxa"/>
        <w:tblLayout w:type="fixed"/>
        <w:tblLook w:val="04A0" w:firstRow="1" w:lastRow="0" w:firstColumn="1" w:lastColumn="0" w:noHBand="0" w:noVBand="1"/>
        <w:tblCaption w:val="Kryteria jakościowe punktowe"/>
        <w:tblDescription w:val="Tabela składa się z od lewej kolumna numer wiersza, następnie nazwa kryterium, następnie opis kryterium i iststnia kolumna sposób weryfikacji."/>
      </w:tblPr>
      <w:tblGrid>
        <w:gridCol w:w="819"/>
        <w:gridCol w:w="2011"/>
        <w:gridCol w:w="4678"/>
        <w:gridCol w:w="2268"/>
      </w:tblGrid>
      <w:tr w:rsidR="00036009" w:rsidRPr="00DC48A6" w14:paraId="4A2D10CC" w14:textId="77777777" w:rsidTr="009962EE">
        <w:trPr>
          <w:trHeight w:val="545"/>
        </w:trPr>
        <w:tc>
          <w:tcPr>
            <w:tcW w:w="819" w:type="dxa"/>
            <w:tcBorders>
              <w:bottom w:val="single" w:sz="4" w:space="0" w:color="auto"/>
            </w:tcBorders>
            <w:vAlign w:val="center"/>
          </w:tcPr>
          <w:p w14:paraId="7F579FB2" w14:textId="77777777" w:rsidR="00036009" w:rsidRPr="0042719C" w:rsidRDefault="00036009" w:rsidP="00337431">
            <w:pPr>
              <w:jc w:val="center"/>
              <w:rPr>
                <w:rFonts w:asciiTheme="minorHAnsi" w:hAnsiTheme="minorHAnsi" w:cstheme="minorHAnsi"/>
                <w:b/>
                <w:bCs/>
                <w:sz w:val="22"/>
                <w:szCs w:val="22"/>
              </w:rPr>
            </w:pPr>
            <w:r w:rsidRPr="0042719C">
              <w:rPr>
                <w:rFonts w:asciiTheme="minorHAnsi" w:hAnsiTheme="minorHAnsi" w:cstheme="minorHAnsi"/>
                <w:b/>
                <w:bCs/>
                <w:sz w:val="22"/>
                <w:szCs w:val="22"/>
              </w:rPr>
              <w:t>LP</w:t>
            </w:r>
          </w:p>
        </w:tc>
        <w:tc>
          <w:tcPr>
            <w:tcW w:w="2011" w:type="dxa"/>
            <w:tcBorders>
              <w:bottom w:val="single" w:sz="4" w:space="0" w:color="auto"/>
            </w:tcBorders>
            <w:vAlign w:val="center"/>
          </w:tcPr>
          <w:p w14:paraId="5F9669DF" w14:textId="146D3819" w:rsidR="00036009" w:rsidRPr="0042719C" w:rsidRDefault="00C0729B" w:rsidP="009B584B">
            <w:pPr>
              <w:rPr>
                <w:rFonts w:asciiTheme="minorHAnsi" w:hAnsiTheme="minorHAnsi" w:cstheme="minorHAnsi"/>
                <w:b/>
                <w:bCs/>
                <w:sz w:val="22"/>
                <w:szCs w:val="22"/>
              </w:rPr>
            </w:pPr>
            <w:r w:rsidRPr="0042719C">
              <w:rPr>
                <w:rFonts w:asciiTheme="minorHAnsi" w:hAnsiTheme="minorHAnsi" w:cstheme="minorHAnsi"/>
                <w:b/>
                <w:bCs/>
                <w:sz w:val="22"/>
                <w:szCs w:val="22"/>
              </w:rPr>
              <w:t>Nazwa kryterium</w:t>
            </w:r>
          </w:p>
        </w:tc>
        <w:tc>
          <w:tcPr>
            <w:tcW w:w="4678" w:type="dxa"/>
          </w:tcPr>
          <w:p w14:paraId="6AD0F7BC" w14:textId="72CA523C" w:rsidR="00036009" w:rsidRPr="0042719C" w:rsidRDefault="00124885" w:rsidP="009B1E7C">
            <w:pPr>
              <w:spacing w:before="120"/>
              <w:jc w:val="center"/>
              <w:rPr>
                <w:rFonts w:asciiTheme="minorHAnsi" w:hAnsiTheme="minorHAnsi" w:cstheme="minorHAnsi"/>
                <w:b/>
                <w:bCs/>
                <w:sz w:val="22"/>
                <w:szCs w:val="22"/>
              </w:rPr>
            </w:pPr>
            <w:r w:rsidRPr="0042719C">
              <w:rPr>
                <w:rFonts w:asciiTheme="minorHAnsi" w:hAnsiTheme="minorHAnsi" w:cstheme="minorHAnsi"/>
                <w:b/>
                <w:bCs/>
                <w:sz w:val="22"/>
                <w:szCs w:val="22"/>
              </w:rPr>
              <w:t>Opis kryterium</w:t>
            </w:r>
          </w:p>
        </w:tc>
        <w:tc>
          <w:tcPr>
            <w:tcW w:w="2268" w:type="dxa"/>
            <w:tcBorders>
              <w:bottom w:val="single" w:sz="4" w:space="0" w:color="auto"/>
            </w:tcBorders>
            <w:vAlign w:val="center"/>
          </w:tcPr>
          <w:p w14:paraId="286873BE" w14:textId="6F74B1AC" w:rsidR="00036009" w:rsidRPr="00DC48A6" w:rsidRDefault="00036009" w:rsidP="00337431">
            <w:pPr>
              <w:jc w:val="center"/>
              <w:rPr>
                <w:rFonts w:asciiTheme="minorHAnsi" w:hAnsiTheme="minorHAnsi" w:cstheme="minorHAnsi"/>
                <w:b/>
                <w:bCs/>
                <w:sz w:val="22"/>
                <w:szCs w:val="22"/>
              </w:rPr>
            </w:pPr>
            <w:r w:rsidRPr="0042719C">
              <w:rPr>
                <w:rFonts w:asciiTheme="minorHAnsi" w:hAnsiTheme="minorHAnsi" w:cstheme="minorHAnsi"/>
                <w:b/>
                <w:bCs/>
                <w:sz w:val="22"/>
                <w:szCs w:val="22"/>
              </w:rPr>
              <w:t>Pkt</w:t>
            </w:r>
          </w:p>
        </w:tc>
      </w:tr>
      <w:tr w:rsidR="00A43395" w:rsidRPr="00DC48A6" w14:paraId="14A88B7A" w14:textId="77777777" w:rsidTr="009962EE">
        <w:tc>
          <w:tcPr>
            <w:tcW w:w="819" w:type="dxa"/>
            <w:vAlign w:val="center"/>
          </w:tcPr>
          <w:p w14:paraId="3DEA349B" w14:textId="4662A57D" w:rsidR="00A43395" w:rsidRPr="00DC48A6" w:rsidRDefault="00A43395" w:rsidP="009B1E7C">
            <w:pPr>
              <w:pStyle w:val="TableParagraph"/>
              <w:spacing w:before="120"/>
              <w:ind w:right="11"/>
              <w:jc w:val="center"/>
              <w:rPr>
                <w:rFonts w:cstheme="minorHAnsi"/>
              </w:rPr>
            </w:pPr>
            <w:r w:rsidRPr="00DC48A6">
              <w:rPr>
                <w:rFonts w:cstheme="minorHAnsi"/>
              </w:rPr>
              <w:t>1</w:t>
            </w:r>
            <w:r w:rsidR="00BE57E2">
              <w:rPr>
                <w:rFonts w:cstheme="minorHAnsi"/>
              </w:rPr>
              <w:t>.</w:t>
            </w:r>
          </w:p>
        </w:tc>
        <w:tc>
          <w:tcPr>
            <w:tcW w:w="2011" w:type="dxa"/>
            <w:vAlign w:val="center"/>
          </w:tcPr>
          <w:p w14:paraId="5CF0F79F" w14:textId="03AA0DA8" w:rsidR="00A43395" w:rsidRPr="007F224C" w:rsidRDefault="00A43395" w:rsidP="00A43395">
            <w:pPr>
              <w:jc w:val="both"/>
              <w:rPr>
                <w:rFonts w:asciiTheme="minorHAnsi" w:hAnsiTheme="minorHAnsi" w:cstheme="minorHAnsi"/>
                <w:sz w:val="22"/>
                <w:szCs w:val="22"/>
              </w:rPr>
            </w:pPr>
            <w:r w:rsidRPr="007F224C">
              <w:rPr>
                <w:rFonts w:asciiTheme="minorHAnsi" w:hAnsiTheme="minorHAnsi" w:cstheme="minorHAnsi"/>
                <w:sz w:val="22"/>
                <w:szCs w:val="22"/>
              </w:rPr>
              <w:t xml:space="preserve">Redukcja </w:t>
            </w:r>
            <w:r w:rsidR="007F224C" w:rsidRPr="007F224C">
              <w:rPr>
                <w:rFonts w:asciiTheme="minorHAnsi" w:hAnsiTheme="minorHAnsi" w:cstheme="minorHAnsi"/>
                <w:sz w:val="22"/>
                <w:szCs w:val="22"/>
              </w:rPr>
              <w:t>energii pierwotnej (</w:t>
            </w:r>
            <w:proofErr w:type="spellStart"/>
            <w:r w:rsidR="007F224C" w:rsidRPr="007F224C">
              <w:rPr>
                <w:rFonts w:asciiTheme="minorHAnsi" w:hAnsiTheme="minorHAnsi" w:cstheme="minorHAnsi"/>
                <w:sz w:val="22"/>
                <w:szCs w:val="22"/>
              </w:rPr>
              <w:t>Ep</w:t>
            </w:r>
            <w:proofErr w:type="spellEnd"/>
            <w:r w:rsidR="007F224C" w:rsidRPr="007F224C">
              <w:rPr>
                <w:rFonts w:asciiTheme="minorHAnsi" w:hAnsiTheme="minorHAnsi" w:cstheme="minorHAnsi"/>
                <w:sz w:val="22"/>
                <w:szCs w:val="22"/>
              </w:rPr>
              <w:t>)</w:t>
            </w:r>
          </w:p>
        </w:tc>
        <w:tc>
          <w:tcPr>
            <w:tcW w:w="4678" w:type="dxa"/>
            <w:vAlign w:val="center"/>
          </w:tcPr>
          <w:p w14:paraId="31CB23D9" w14:textId="63F30307" w:rsidR="00A43395" w:rsidRDefault="00A43395"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BB1B00">
              <w:rPr>
                <w:rFonts w:asciiTheme="minorHAnsi" w:hAnsiTheme="minorHAnsi" w:cstheme="minorHAnsi"/>
                <w:sz w:val="22"/>
                <w:szCs w:val="22"/>
              </w:rPr>
              <w:t>j</w:t>
            </w:r>
            <w:r w:rsidRPr="00DC48A6">
              <w:rPr>
                <w:rFonts w:asciiTheme="minorHAnsi" w:hAnsiTheme="minorHAnsi" w:cstheme="minorHAnsi"/>
                <w:sz w:val="22"/>
                <w:szCs w:val="22"/>
              </w:rPr>
              <w:t xml:space="preserve"> </w:t>
            </w:r>
            <w:r w:rsidR="00BB1B00">
              <w:rPr>
                <w:rFonts w:asciiTheme="minorHAnsi" w:hAnsiTheme="minorHAnsi" w:cstheme="minorHAnsi"/>
                <w:sz w:val="22"/>
                <w:szCs w:val="22"/>
              </w:rPr>
              <w:t>inwestycji</w:t>
            </w:r>
            <w:r w:rsidRPr="00DC48A6">
              <w:rPr>
                <w:rFonts w:asciiTheme="minorHAnsi" w:hAnsiTheme="minorHAnsi" w:cstheme="minorHAnsi"/>
                <w:sz w:val="22"/>
                <w:szCs w:val="22"/>
              </w:rPr>
              <w:t xml:space="preserve"> planowana jest redukcja zapotrzebowania na energię pierwotną w celu pokrycia potrzeb eksploatacyjnych (np. ogrzewanie, chłodzenie (jeśli dotyczy), wentylacja, oświetlenie, przygotowanie ciepłej wody).</w:t>
            </w:r>
          </w:p>
          <w:p w14:paraId="0E794EEC" w14:textId="7F8EBAF6" w:rsidR="00DD593D" w:rsidRPr="00DC48A6" w:rsidRDefault="00DD593D" w:rsidP="009B1E7C">
            <w:pPr>
              <w:spacing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sidR="00247D99">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2268" w:type="dxa"/>
            <w:vAlign w:val="center"/>
          </w:tcPr>
          <w:p w14:paraId="622FBF30" w14:textId="77777777" w:rsidR="003C588B" w:rsidRPr="004603E7" w:rsidRDefault="003C588B" w:rsidP="003C588B">
            <w:pPr>
              <w:jc w:val="center"/>
              <w:rPr>
                <w:rFonts w:asciiTheme="minorHAnsi" w:hAnsiTheme="minorHAnsi" w:cstheme="minorHAnsi"/>
                <w:sz w:val="22"/>
                <w:szCs w:val="22"/>
              </w:rPr>
            </w:pPr>
            <w:r w:rsidRPr="004603E7">
              <w:rPr>
                <w:rFonts w:asciiTheme="minorHAnsi" w:hAnsiTheme="minorHAnsi" w:cstheme="minorHAnsi"/>
                <w:sz w:val="22"/>
                <w:szCs w:val="22"/>
              </w:rPr>
              <w:t>30%&lt;=X&lt;45% - 0 pkt</w:t>
            </w:r>
          </w:p>
          <w:p w14:paraId="5CC68CD9" w14:textId="77777777" w:rsidR="003C588B" w:rsidRPr="004603E7" w:rsidRDefault="003C588B" w:rsidP="003C588B">
            <w:pPr>
              <w:jc w:val="center"/>
              <w:rPr>
                <w:rFonts w:asciiTheme="minorHAnsi" w:hAnsiTheme="minorHAnsi" w:cstheme="minorHAnsi"/>
                <w:sz w:val="22"/>
                <w:szCs w:val="22"/>
              </w:rPr>
            </w:pPr>
            <w:r w:rsidRPr="004603E7">
              <w:rPr>
                <w:rFonts w:asciiTheme="minorHAnsi" w:hAnsiTheme="minorHAnsi" w:cstheme="minorHAnsi"/>
                <w:sz w:val="22"/>
                <w:szCs w:val="22"/>
              </w:rPr>
              <w:t>45%&lt;=X&lt;60% - 1 pkt</w:t>
            </w:r>
          </w:p>
          <w:p w14:paraId="23587C62" w14:textId="73B351CD" w:rsidR="00A43395" w:rsidRPr="00DC48A6" w:rsidRDefault="003C588B" w:rsidP="003C588B">
            <w:pPr>
              <w:spacing w:after="240"/>
              <w:jc w:val="center"/>
              <w:rPr>
                <w:rFonts w:asciiTheme="minorHAnsi" w:hAnsiTheme="minorHAnsi" w:cstheme="minorHAnsi"/>
                <w:sz w:val="22"/>
                <w:szCs w:val="22"/>
              </w:rPr>
            </w:pPr>
            <w:r w:rsidRPr="004603E7">
              <w:rPr>
                <w:rFonts w:asciiTheme="minorHAnsi" w:hAnsiTheme="minorHAnsi" w:cstheme="minorHAnsi"/>
                <w:sz w:val="22"/>
                <w:szCs w:val="22"/>
              </w:rPr>
              <w:t>X&gt;=60% - 2 pkt</w:t>
            </w:r>
          </w:p>
        </w:tc>
      </w:tr>
      <w:tr w:rsidR="00A43395" w:rsidRPr="00DC48A6" w14:paraId="5F26E2F3" w14:textId="77777777" w:rsidTr="009962EE">
        <w:tc>
          <w:tcPr>
            <w:tcW w:w="819" w:type="dxa"/>
            <w:vAlign w:val="center"/>
          </w:tcPr>
          <w:p w14:paraId="20FB92ED" w14:textId="5C7E6714"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2</w:t>
            </w:r>
            <w:r w:rsidR="00BE57E2">
              <w:rPr>
                <w:rFonts w:asciiTheme="minorHAnsi" w:hAnsiTheme="minorHAnsi" w:cstheme="minorHAnsi"/>
                <w:sz w:val="22"/>
                <w:szCs w:val="22"/>
              </w:rPr>
              <w:t>.</w:t>
            </w:r>
          </w:p>
        </w:tc>
        <w:tc>
          <w:tcPr>
            <w:tcW w:w="2011" w:type="dxa"/>
            <w:vAlign w:val="center"/>
          </w:tcPr>
          <w:p w14:paraId="6E404C23" w14:textId="2FF8D6B4" w:rsidR="00A43395" w:rsidRPr="00207909" w:rsidRDefault="00A43395" w:rsidP="00A43395">
            <w:pPr>
              <w:jc w:val="both"/>
              <w:rPr>
                <w:rFonts w:asciiTheme="minorHAnsi" w:hAnsiTheme="minorHAnsi" w:cstheme="minorHAnsi"/>
                <w:sz w:val="22"/>
                <w:szCs w:val="22"/>
              </w:rPr>
            </w:pPr>
            <w:r w:rsidRPr="00207909">
              <w:rPr>
                <w:rFonts w:asciiTheme="minorHAnsi" w:hAnsiTheme="minorHAnsi" w:cstheme="minorHAnsi"/>
                <w:sz w:val="22"/>
                <w:szCs w:val="22"/>
              </w:rPr>
              <w:t>Standard EK</w:t>
            </w:r>
            <w:r w:rsidRPr="00207909">
              <w:rPr>
                <w:rFonts w:asciiTheme="minorHAnsi" w:hAnsiTheme="minorHAnsi" w:cstheme="minorHAnsi"/>
                <w:sz w:val="22"/>
                <w:szCs w:val="22"/>
                <w:vertAlign w:val="subscript"/>
              </w:rPr>
              <w:t>H+W</w:t>
            </w:r>
            <w:r w:rsidR="00C5387E" w:rsidRPr="00207909">
              <w:rPr>
                <w:rFonts w:asciiTheme="minorHAnsi" w:hAnsiTheme="minorHAnsi" w:cstheme="minorHAnsi"/>
                <w:sz w:val="22"/>
                <w:szCs w:val="22"/>
              </w:rPr>
              <w:t xml:space="preserve"> (zapotrzebowania budynku na energię</w:t>
            </w:r>
            <w:r w:rsidR="00207909" w:rsidRPr="00207909">
              <w:rPr>
                <w:rFonts w:asciiTheme="minorHAnsi" w:hAnsiTheme="minorHAnsi" w:cstheme="minorHAnsi"/>
                <w:sz w:val="22"/>
                <w:szCs w:val="22"/>
              </w:rPr>
              <w:t xml:space="preserve"> końcową na potrzeby ogrzewania, wentylacji i ciepłej wody użytkowej</w:t>
            </w:r>
            <w:r w:rsidR="00E866A2">
              <w:rPr>
                <w:rFonts w:asciiTheme="minorHAnsi" w:hAnsiTheme="minorHAnsi" w:cstheme="minorHAnsi"/>
                <w:sz w:val="22"/>
                <w:szCs w:val="22"/>
              </w:rPr>
              <w:t>)</w:t>
            </w:r>
          </w:p>
        </w:tc>
        <w:tc>
          <w:tcPr>
            <w:tcW w:w="4678" w:type="dxa"/>
          </w:tcPr>
          <w:p w14:paraId="089997C7" w14:textId="47875090" w:rsidR="00A43395" w:rsidRDefault="0080364F" w:rsidP="00036FA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4C6D48">
              <w:rPr>
                <w:rFonts w:asciiTheme="minorHAnsi" w:hAnsiTheme="minorHAnsi" w:cstheme="minorHAnsi"/>
                <w:sz w:val="22"/>
                <w:szCs w:val="22"/>
              </w:rPr>
              <w:t>j</w:t>
            </w:r>
            <w:r w:rsidRPr="00DC48A6">
              <w:rPr>
                <w:rFonts w:asciiTheme="minorHAnsi" w:hAnsiTheme="minorHAnsi" w:cstheme="minorHAnsi"/>
                <w:sz w:val="22"/>
                <w:szCs w:val="22"/>
              </w:rPr>
              <w:t xml:space="preserve"> </w:t>
            </w:r>
            <w:r w:rsidR="004C6D48">
              <w:rPr>
                <w:rFonts w:asciiTheme="minorHAnsi" w:hAnsiTheme="minorHAnsi" w:cstheme="minorHAnsi"/>
                <w:sz w:val="22"/>
                <w:szCs w:val="22"/>
              </w:rPr>
              <w:t>inwestycji</w:t>
            </w:r>
            <w:r w:rsidRPr="00DC48A6">
              <w:rPr>
                <w:rFonts w:asciiTheme="minorHAnsi" w:hAnsiTheme="minorHAnsi" w:cstheme="minorHAnsi"/>
                <w:sz w:val="22"/>
                <w:szCs w:val="22"/>
              </w:rPr>
              <w:t xml:space="preserve"> planowane jest osiągnięcie standardu energetycznego budynku (tj. poziom zapotrzebowania na energię końcową na potrzeby ogrzewania, wentylacji i ciepłej wody użytkowej</w:t>
            </w:r>
            <w:r w:rsidR="007036C0">
              <w:rPr>
                <w:rFonts w:asciiTheme="minorHAnsi" w:hAnsiTheme="minorHAnsi" w:cstheme="minorHAnsi"/>
                <w:sz w:val="22"/>
                <w:szCs w:val="22"/>
              </w:rPr>
              <w:t>)</w:t>
            </w:r>
            <w:r w:rsidRPr="00DC48A6">
              <w:rPr>
                <w:rFonts w:asciiTheme="minorHAnsi" w:hAnsiTheme="minorHAnsi" w:cstheme="minorHAnsi"/>
                <w:sz w:val="22"/>
                <w:szCs w:val="22"/>
              </w:rPr>
              <w:t xml:space="preserve"> spełnia</w:t>
            </w:r>
            <w:r w:rsidR="007036C0">
              <w:rPr>
                <w:rFonts w:asciiTheme="minorHAnsi" w:hAnsiTheme="minorHAnsi" w:cstheme="minorHAnsi"/>
                <w:sz w:val="22"/>
                <w:szCs w:val="22"/>
              </w:rPr>
              <w:t>jącego</w:t>
            </w:r>
            <w:r w:rsidRPr="00DC48A6">
              <w:rPr>
                <w:rFonts w:asciiTheme="minorHAnsi" w:hAnsiTheme="minorHAnsi" w:cstheme="minorHAnsi"/>
                <w:sz w:val="22"/>
                <w:szCs w:val="22"/>
              </w:rPr>
              <w:t xml:space="preserve"> warunek: EK</w:t>
            </w:r>
            <w:r w:rsidRPr="009962EE">
              <w:rPr>
                <w:rFonts w:asciiTheme="minorHAnsi" w:hAnsiTheme="minorHAnsi" w:cstheme="minorHAnsi"/>
                <w:sz w:val="22"/>
                <w:szCs w:val="22"/>
                <w:vertAlign w:val="subscript"/>
              </w:rPr>
              <w:t>H+W</w:t>
            </w:r>
            <w:r w:rsidRPr="00DC48A6">
              <w:rPr>
                <w:rFonts w:asciiTheme="minorHAnsi" w:hAnsiTheme="minorHAnsi" w:cstheme="minorHAnsi"/>
                <w:sz w:val="22"/>
                <w:szCs w:val="22"/>
              </w:rPr>
              <w:t>&lt;=</w:t>
            </w:r>
            <w:r w:rsidR="00EF7CB2">
              <w:rPr>
                <w:rFonts w:asciiTheme="minorHAnsi" w:hAnsiTheme="minorHAnsi" w:cstheme="minorHAnsi"/>
                <w:sz w:val="22"/>
                <w:szCs w:val="22"/>
              </w:rPr>
              <w:t xml:space="preserve"> X</w:t>
            </w:r>
            <w:r w:rsidR="00EF7CB2" w:rsidRPr="00DC48A6">
              <w:rPr>
                <w:rFonts w:asciiTheme="minorHAnsi" w:hAnsiTheme="minorHAnsi" w:cstheme="minorHAnsi"/>
                <w:sz w:val="22"/>
                <w:szCs w:val="22"/>
              </w:rPr>
              <w:t xml:space="preserve"> </w:t>
            </w:r>
            <w:r w:rsidRPr="00DC48A6">
              <w:rPr>
                <w:rFonts w:asciiTheme="minorHAnsi" w:hAnsiTheme="minorHAnsi" w:cstheme="minorHAnsi"/>
                <w:sz w:val="22"/>
                <w:szCs w:val="22"/>
              </w:rPr>
              <w:t>kWh/m</w:t>
            </w:r>
            <w:r w:rsidRPr="009962EE">
              <w:rPr>
                <w:rFonts w:asciiTheme="minorHAnsi" w:hAnsiTheme="minorHAnsi" w:cstheme="minorHAnsi"/>
                <w:sz w:val="22"/>
                <w:szCs w:val="22"/>
                <w:vertAlign w:val="superscript"/>
              </w:rPr>
              <w:t>2</w:t>
            </w:r>
            <w:r w:rsidRPr="00DC48A6">
              <w:rPr>
                <w:rFonts w:asciiTheme="minorHAnsi" w:hAnsiTheme="minorHAnsi" w:cstheme="minorHAnsi"/>
                <w:sz w:val="22"/>
                <w:szCs w:val="22"/>
              </w:rPr>
              <w:t>*rok</w:t>
            </w:r>
            <w:r w:rsidR="00F006E4">
              <w:rPr>
                <w:rFonts w:asciiTheme="minorHAnsi" w:hAnsiTheme="minorHAnsi" w:cstheme="minorHAnsi"/>
                <w:sz w:val="22"/>
                <w:szCs w:val="22"/>
              </w:rPr>
              <w:t>.</w:t>
            </w:r>
          </w:p>
          <w:p w14:paraId="3D895C93" w14:textId="1BB4296E" w:rsidR="00CE1F10" w:rsidRDefault="00CE1F10" w:rsidP="00CE1F10">
            <w:pPr>
              <w:jc w:val="both"/>
              <w:rPr>
                <w:rFonts w:asciiTheme="minorHAnsi" w:hAnsiTheme="minorHAnsi" w:cstheme="minorHAnsi"/>
                <w:sz w:val="22"/>
                <w:szCs w:val="22"/>
              </w:rPr>
            </w:pPr>
            <w:r w:rsidRPr="0052563E">
              <w:rPr>
                <w:rFonts w:asciiTheme="minorHAnsi" w:hAnsiTheme="minorHAnsi" w:cstheme="minorHAnsi"/>
                <w:sz w:val="22"/>
                <w:szCs w:val="22"/>
              </w:rPr>
              <w:t>W przypadku</w:t>
            </w:r>
            <w:r w:rsidR="001E5433">
              <w:rPr>
                <w:rFonts w:asciiTheme="minorHAnsi" w:hAnsiTheme="minorHAnsi" w:cstheme="minorHAnsi"/>
                <w:sz w:val="22"/>
                <w:szCs w:val="22"/>
              </w:rPr>
              <w:t>,</w:t>
            </w:r>
            <w:r w:rsidRPr="0052563E">
              <w:rPr>
                <w:rFonts w:asciiTheme="minorHAnsi" w:hAnsiTheme="minorHAnsi" w:cstheme="minorHAnsi"/>
                <w:sz w:val="22"/>
                <w:szCs w:val="22"/>
              </w:rPr>
              <w:t xml:space="preserve"> gdy na inwestycję składa się termomodernizacja kilku budynków – punktacja jest przyznawana </w:t>
            </w:r>
            <w:r w:rsidR="00C01B9F">
              <w:rPr>
                <w:rFonts w:asciiTheme="minorHAnsi" w:hAnsiTheme="minorHAnsi" w:cstheme="minorHAnsi"/>
                <w:sz w:val="22"/>
                <w:szCs w:val="22"/>
              </w:rPr>
              <w:t>w zależności od standardu osiągniętego przez budynek o największej powierzchni o regulowanej temperaturze.</w:t>
            </w:r>
            <w:r w:rsidRPr="0052563E">
              <w:rPr>
                <w:rFonts w:asciiTheme="minorHAnsi" w:hAnsiTheme="minorHAnsi" w:cstheme="minorHAnsi"/>
                <w:sz w:val="22"/>
                <w:szCs w:val="22"/>
              </w:rPr>
              <w:t>.</w:t>
            </w:r>
          </w:p>
          <w:p w14:paraId="7B185EAD" w14:textId="1A1E3257" w:rsidR="00E866A2" w:rsidRPr="00DC48A6" w:rsidRDefault="009E55E6"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Ocena n</w:t>
            </w:r>
            <w:r w:rsidR="00E866A2">
              <w:rPr>
                <w:rFonts w:asciiTheme="minorHAnsi" w:hAnsiTheme="minorHAnsi" w:cstheme="minorHAnsi"/>
                <w:sz w:val="22"/>
                <w:szCs w:val="22"/>
              </w:rPr>
              <w:t xml:space="preserve">a podstawie audytu ex </w:t>
            </w:r>
            <w:proofErr w:type="spellStart"/>
            <w:r w:rsidR="00E866A2">
              <w:rPr>
                <w:rFonts w:asciiTheme="minorHAnsi" w:hAnsiTheme="minorHAnsi" w:cstheme="minorHAnsi"/>
                <w:sz w:val="22"/>
                <w:szCs w:val="22"/>
              </w:rPr>
              <w:t>ante</w:t>
            </w:r>
            <w:proofErr w:type="spellEnd"/>
            <w:r w:rsidR="00247D99">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2268" w:type="dxa"/>
            <w:vAlign w:val="center"/>
          </w:tcPr>
          <w:p w14:paraId="76574E9A" w14:textId="77777777" w:rsidR="008339F8" w:rsidRPr="004603E7" w:rsidRDefault="008339F8" w:rsidP="008339F8">
            <w:pPr>
              <w:jc w:val="center"/>
              <w:rPr>
                <w:rFonts w:asciiTheme="minorHAnsi" w:hAnsiTheme="minorHAnsi" w:cstheme="minorHAnsi"/>
                <w:sz w:val="22"/>
                <w:szCs w:val="22"/>
              </w:rPr>
            </w:pPr>
            <w:r w:rsidRPr="004603E7">
              <w:rPr>
                <w:rFonts w:asciiTheme="minorHAnsi" w:hAnsiTheme="minorHAnsi" w:cstheme="minorHAnsi"/>
                <w:sz w:val="22"/>
                <w:szCs w:val="22"/>
              </w:rPr>
              <w:t>Dla kategorii budynku: budynki użyteczności publicznej – opieki zdrowotnej:</w:t>
            </w:r>
          </w:p>
          <w:p w14:paraId="0E6F6641" w14:textId="77777777" w:rsidR="008339F8" w:rsidRPr="004603E7" w:rsidRDefault="008339F8" w:rsidP="008339F8">
            <w:pPr>
              <w:jc w:val="center"/>
              <w:rPr>
                <w:rFonts w:asciiTheme="minorHAnsi" w:hAnsiTheme="minorHAnsi" w:cstheme="minorHAnsi"/>
                <w:sz w:val="22"/>
                <w:szCs w:val="22"/>
              </w:rPr>
            </w:pPr>
            <w:r w:rsidRPr="004603E7">
              <w:rPr>
                <w:rFonts w:asciiTheme="minorHAnsi" w:hAnsiTheme="minorHAnsi" w:cstheme="minorHAnsi"/>
                <w:sz w:val="22"/>
                <w:szCs w:val="22"/>
              </w:rPr>
              <w:t>X&gt;250 - 0 pkt</w:t>
            </w:r>
          </w:p>
          <w:p w14:paraId="62B28C46" w14:textId="77777777" w:rsidR="008339F8" w:rsidRPr="004603E7" w:rsidRDefault="008339F8" w:rsidP="008339F8">
            <w:pPr>
              <w:jc w:val="center"/>
              <w:rPr>
                <w:rFonts w:asciiTheme="minorHAnsi" w:hAnsiTheme="minorHAnsi" w:cstheme="minorHAnsi"/>
                <w:sz w:val="22"/>
                <w:szCs w:val="22"/>
              </w:rPr>
            </w:pPr>
            <w:r w:rsidRPr="004603E7">
              <w:rPr>
                <w:rFonts w:asciiTheme="minorHAnsi" w:hAnsiTheme="minorHAnsi" w:cstheme="minorHAnsi"/>
                <w:sz w:val="22"/>
                <w:szCs w:val="22"/>
              </w:rPr>
              <w:t>250&gt;=X&gt;210 - 1 pkt</w:t>
            </w:r>
          </w:p>
          <w:p w14:paraId="76BC5043" w14:textId="77777777" w:rsidR="008339F8" w:rsidRPr="004603E7" w:rsidRDefault="008339F8" w:rsidP="008339F8">
            <w:pPr>
              <w:jc w:val="center"/>
              <w:rPr>
                <w:rFonts w:asciiTheme="minorHAnsi" w:hAnsiTheme="minorHAnsi" w:cstheme="minorHAnsi"/>
                <w:sz w:val="22"/>
                <w:szCs w:val="22"/>
              </w:rPr>
            </w:pPr>
            <w:r w:rsidRPr="004603E7">
              <w:rPr>
                <w:rFonts w:asciiTheme="minorHAnsi" w:hAnsiTheme="minorHAnsi" w:cstheme="minorHAnsi"/>
                <w:sz w:val="22"/>
                <w:szCs w:val="22"/>
              </w:rPr>
              <w:t>210&gt;=X</w:t>
            </w:r>
            <w:r w:rsidRPr="004603E7">
              <w:rPr>
                <w:rFonts w:asciiTheme="minorHAnsi" w:hAnsiTheme="minorHAnsi" w:cstheme="minorHAnsi"/>
                <w:sz w:val="22"/>
                <w:szCs w:val="22"/>
                <w:vertAlign w:val="subscript"/>
              </w:rPr>
              <w:t xml:space="preserve"> </w:t>
            </w:r>
            <w:r w:rsidRPr="004603E7">
              <w:rPr>
                <w:rFonts w:asciiTheme="minorHAnsi" w:hAnsiTheme="minorHAnsi" w:cstheme="minorHAnsi"/>
                <w:sz w:val="22"/>
                <w:szCs w:val="22"/>
              </w:rPr>
              <w:t xml:space="preserve"> - 2 pkt</w:t>
            </w:r>
          </w:p>
          <w:p w14:paraId="31601DB1" w14:textId="77777777" w:rsidR="008339F8" w:rsidRPr="004603E7" w:rsidRDefault="008339F8" w:rsidP="008339F8">
            <w:pPr>
              <w:jc w:val="center"/>
              <w:rPr>
                <w:rFonts w:asciiTheme="minorHAnsi" w:hAnsiTheme="minorHAnsi" w:cstheme="minorHAnsi"/>
                <w:sz w:val="22"/>
                <w:szCs w:val="22"/>
              </w:rPr>
            </w:pPr>
          </w:p>
          <w:p w14:paraId="4F5FD2D0" w14:textId="77777777" w:rsidR="008339F8" w:rsidRPr="004603E7" w:rsidRDefault="008339F8" w:rsidP="008339F8">
            <w:pPr>
              <w:jc w:val="center"/>
              <w:rPr>
                <w:rFonts w:asciiTheme="minorHAnsi" w:hAnsiTheme="minorHAnsi" w:cstheme="minorHAnsi"/>
                <w:sz w:val="22"/>
                <w:szCs w:val="22"/>
              </w:rPr>
            </w:pPr>
            <w:r w:rsidRPr="004603E7">
              <w:rPr>
                <w:rFonts w:asciiTheme="minorHAnsi" w:hAnsiTheme="minorHAnsi" w:cstheme="minorHAnsi"/>
                <w:sz w:val="22"/>
                <w:szCs w:val="22"/>
              </w:rPr>
              <w:t>Dla kategorii budynku: budynki użyteczności publicznej – pozostałe:</w:t>
            </w:r>
          </w:p>
          <w:p w14:paraId="2A27424A" w14:textId="77777777" w:rsidR="008339F8" w:rsidRPr="004603E7" w:rsidRDefault="008339F8" w:rsidP="008339F8">
            <w:pPr>
              <w:jc w:val="center"/>
              <w:rPr>
                <w:rFonts w:asciiTheme="minorHAnsi" w:hAnsiTheme="minorHAnsi" w:cstheme="minorHAnsi"/>
                <w:sz w:val="22"/>
                <w:szCs w:val="22"/>
              </w:rPr>
            </w:pPr>
            <w:r w:rsidRPr="004603E7">
              <w:rPr>
                <w:rFonts w:asciiTheme="minorHAnsi" w:hAnsiTheme="minorHAnsi" w:cstheme="minorHAnsi"/>
                <w:sz w:val="22"/>
                <w:szCs w:val="22"/>
              </w:rPr>
              <w:t>X&gt;85 - 0 pkt</w:t>
            </w:r>
          </w:p>
          <w:p w14:paraId="3F26EAB9" w14:textId="77777777" w:rsidR="008339F8" w:rsidRPr="004603E7" w:rsidRDefault="008339F8" w:rsidP="008339F8">
            <w:pPr>
              <w:jc w:val="center"/>
              <w:rPr>
                <w:rFonts w:asciiTheme="minorHAnsi" w:hAnsiTheme="minorHAnsi" w:cstheme="minorHAnsi"/>
                <w:sz w:val="22"/>
                <w:szCs w:val="22"/>
              </w:rPr>
            </w:pPr>
            <w:r w:rsidRPr="004603E7">
              <w:rPr>
                <w:rFonts w:asciiTheme="minorHAnsi" w:hAnsiTheme="minorHAnsi" w:cstheme="minorHAnsi"/>
                <w:sz w:val="22"/>
                <w:szCs w:val="22"/>
              </w:rPr>
              <w:t>85&gt;=X&gt;65 - 1 pkt</w:t>
            </w:r>
          </w:p>
          <w:p w14:paraId="33B5C3D7" w14:textId="41560DFF" w:rsidR="00A43395" w:rsidRPr="00DC48A6" w:rsidRDefault="008339F8" w:rsidP="008339F8">
            <w:pPr>
              <w:jc w:val="center"/>
              <w:rPr>
                <w:rFonts w:asciiTheme="minorHAnsi" w:hAnsiTheme="minorHAnsi" w:cstheme="minorHAnsi"/>
                <w:sz w:val="22"/>
                <w:szCs w:val="22"/>
              </w:rPr>
            </w:pPr>
            <w:r w:rsidRPr="004603E7">
              <w:rPr>
                <w:rFonts w:asciiTheme="minorHAnsi" w:hAnsiTheme="minorHAnsi" w:cstheme="minorHAnsi"/>
                <w:sz w:val="22"/>
                <w:szCs w:val="22"/>
              </w:rPr>
              <w:t>65&gt;=X</w:t>
            </w:r>
            <w:r w:rsidRPr="004603E7">
              <w:rPr>
                <w:rFonts w:asciiTheme="minorHAnsi" w:hAnsiTheme="minorHAnsi" w:cstheme="minorHAnsi"/>
                <w:sz w:val="22"/>
                <w:szCs w:val="22"/>
                <w:vertAlign w:val="subscript"/>
              </w:rPr>
              <w:t xml:space="preserve"> </w:t>
            </w:r>
            <w:r w:rsidRPr="004603E7">
              <w:rPr>
                <w:rFonts w:asciiTheme="minorHAnsi" w:hAnsiTheme="minorHAnsi" w:cstheme="minorHAnsi"/>
                <w:sz w:val="22"/>
                <w:szCs w:val="22"/>
              </w:rPr>
              <w:t xml:space="preserve"> - 2 pk</w:t>
            </w:r>
            <w:r w:rsidR="003B46A8">
              <w:rPr>
                <w:rFonts w:asciiTheme="minorHAnsi" w:hAnsiTheme="minorHAnsi" w:cstheme="minorHAnsi"/>
                <w:sz w:val="22"/>
                <w:szCs w:val="22"/>
              </w:rPr>
              <w:t>t</w:t>
            </w:r>
          </w:p>
        </w:tc>
      </w:tr>
      <w:tr w:rsidR="00A43395" w:rsidRPr="00DC48A6" w14:paraId="2BD16C9F" w14:textId="77777777" w:rsidTr="009962EE">
        <w:tc>
          <w:tcPr>
            <w:tcW w:w="819" w:type="dxa"/>
            <w:vAlign w:val="center"/>
          </w:tcPr>
          <w:p w14:paraId="71DD67EE" w14:textId="3D67A010"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3</w:t>
            </w:r>
            <w:r w:rsidR="00BE57E2">
              <w:rPr>
                <w:rFonts w:asciiTheme="minorHAnsi" w:hAnsiTheme="minorHAnsi" w:cstheme="minorHAnsi"/>
                <w:sz w:val="22"/>
                <w:szCs w:val="22"/>
              </w:rPr>
              <w:t>.</w:t>
            </w:r>
          </w:p>
        </w:tc>
        <w:tc>
          <w:tcPr>
            <w:tcW w:w="2011" w:type="dxa"/>
            <w:vAlign w:val="center"/>
          </w:tcPr>
          <w:p w14:paraId="55E905A1" w14:textId="084AF3F7" w:rsidR="00A43395" w:rsidRPr="00DC48A6"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OZE współpracujące</w:t>
            </w:r>
          </w:p>
        </w:tc>
        <w:tc>
          <w:tcPr>
            <w:tcW w:w="4678" w:type="dxa"/>
          </w:tcPr>
          <w:p w14:paraId="0856EDA5" w14:textId="01AAF326" w:rsidR="00A43395" w:rsidRDefault="00E866A2"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8F22CF">
              <w:rPr>
                <w:rFonts w:asciiTheme="minorHAnsi" w:hAnsiTheme="minorHAnsi" w:cstheme="minorHAnsi"/>
                <w:sz w:val="22"/>
                <w:szCs w:val="22"/>
              </w:rPr>
              <w:t>j</w:t>
            </w:r>
            <w:r w:rsidRPr="00DC48A6">
              <w:rPr>
                <w:rFonts w:asciiTheme="minorHAnsi" w:hAnsiTheme="minorHAnsi" w:cstheme="minorHAnsi"/>
                <w:sz w:val="22"/>
                <w:szCs w:val="22"/>
              </w:rPr>
              <w:t xml:space="preserve"> </w:t>
            </w:r>
            <w:r w:rsidR="008F22CF">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odnawialne źródła energii (OZE) produkujące energię elektryczną, takie jak instalacja fotowoltaiczna, turbiny wiatrowe itp.</w:t>
            </w:r>
          </w:p>
          <w:p w14:paraId="19AC87F2" w14:textId="0FDCC60D" w:rsidR="009E55E6" w:rsidRPr="00DC48A6" w:rsidRDefault="009E55E6"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2268" w:type="dxa"/>
            <w:vAlign w:val="center"/>
          </w:tcPr>
          <w:p w14:paraId="6789C82E" w14:textId="08FAD43B"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0F8FE7C7" w14:textId="77777777" w:rsidTr="009962EE">
        <w:tc>
          <w:tcPr>
            <w:tcW w:w="819" w:type="dxa"/>
            <w:vAlign w:val="center"/>
          </w:tcPr>
          <w:p w14:paraId="1C40D66C" w14:textId="528E0E8D"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4</w:t>
            </w:r>
            <w:r w:rsidR="00BE57E2">
              <w:rPr>
                <w:rFonts w:asciiTheme="minorHAnsi" w:hAnsiTheme="minorHAnsi" w:cstheme="minorHAnsi"/>
                <w:sz w:val="22"/>
                <w:szCs w:val="22"/>
              </w:rPr>
              <w:t>.</w:t>
            </w:r>
          </w:p>
        </w:tc>
        <w:tc>
          <w:tcPr>
            <w:tcW w:w="2011" w:type="dxa"/>
            <w:vAlign w:val="center"/>
          </w:tcPr>
          <w:p w14:paraId="7E6EABB9" w14:textId="163E9821" w:rsidR="00A43395" w:rsidRPr="00036F4A"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Magazyny energii</w:t>
            </w:r>
          </w:p>
        </w:tc>
        <w:tc>
          <w:tcPr>
            <w:tcW w:w="4678" w:type="dxa"/>
          </w:tcPr>
          <w:p w14:paraId="4CB8B48B" w14:textId="23F5CBD2" w:rsidR="00A43395" w:rsidRDefault="00A10B87"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8F22CF">
              <w:rPr>
                <w:rFonts w:asciiTheme="minorHAnsi" w:hAnsiTheme="minorHAnsi" w:cstheme="minorHAnsi"/>
                <w:sz w:val="22"/>
                <w:szCs w:val="22"/>
              </w:rPr>
              <w:t>j</w:t>
            </w:r>
            <w:r w:rsidRPr="00DC48A6">
              <w:rPr>
                <w:rFonts w:asciiTheme="minorHAnsi" w:hAnsiTheme="minorHAnsi" w:cstheme="minorHAnsi"/>
                <w:sz w:val="22"/>
                <w:szCs w:val="22"/>
              </w:rPr>
              <w:t xml:space="preserve"> </w:t>
            </w:r>
            <w:r w:rsidR="008F22CF">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z instalacjami OZE - produkującymi energię elektryczną - magazyny energii.</w:t>
            </w:r>
          </w:p>
          <w:p w14:paraId="76C9EE10" w14:textId="1D3BD405" w:rsidR="00A10B87" w:rsidRPr="00DC48A6" w:rsidRDefault="00A10B87"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BE57E2">
              <w:rPr>
                <w:rFonts w:asciiTheme="minorHAnsi" w:hAnsiTheme="minorHAnsi" w:cstheme="minorHAnsi"/>
                <w:sz w:val="22"/>
                <w:szCs w:val="22"/>
              </w:rPr>
              <w:t>.</w:t>
            </w:r>
          </w:p>
        </w:tc>
        <w:tc>
          <w:tcPr>
            <w:tcW w:w="2268" w:type="dxa"/>
            <w:vAlign w:val="center"/>
          </w:tcPr>
          <w:p w14:paraId="76BEC4C6" w14:textId="5A2C7679"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C95358" w:rsidRPr="00DC48A6" w14:paraId="5E7D811C" w14:textId="77777777" w:rsidTr="00C95358">
        <w:tc>
          <w:tcPr>
            <w:tcW w:w="819" w:type="dxa"/>
            <w:vAlign w:val="center"/>
          </w:tcPr>
          <w:p w14:paraId="00881C51" w14:textId="77777777" w:rsidR="00C95358" w:rsidRPr="00DC48A6" w:rsidRDefault="00C95358" w:rsidP="00E375E9">
            <w:pPr>
              <w:jc w:val="center"/>
              <w:rPr>
                <w:rFonts w:asciiTheme="minorHAnsi" w:hAnsiTheme="minorHAnsi" w:cstheme="minorHAnsi"/>
                <w:sz w:val="22"/>
                <w:szCs w:val="22"/>
              </w:rPr>
            </w:pPr>
            <w:r>
              <w:rPr>
                <w:rFonts w:asciiTheme="minorHAnsi" w:hAnsiTheme="minorHAnsi" w:cstheme="minorHAnsi"/>
                <w:sz w:val="22"/>
                <w:szCs w:val="22"/>
              </w:rPr>
              <w:t>5.</w:t>
            </w:r>
          </w:p>
        </w:tc>
        <w:tc>
          <w:tcPr>
            <w:tcW w:w="2011" w:type="dxa"/>
            <w:vAlign w:val="center"/>
          </w:tcPr>
          <w:p w14:paraId="00B2ED67" w14:textId="77777777" w:rsidR="00C95358" w:rsidRPr="009B1E7C" w:rsidRDefault="00C95358" w:rsidP="00E375E9">
            <w:pPr>
              <w:jc w:val="both"/>
              <w:rPr>
                <w:rFonts w:asciiTheme="minorHAnsi" w:hAnsiTheme="minorHAnsi" w:cstheme="minorHAnsi"/>
                <w:sz w:val="22"/>
                <w:szCs w:val="22"/>
              </w:rPr>
            </w:pPr>
            <w:r>
              <w:rPr>
                <w:rFonts w:asciiTheme="minorHAnsi" w:hAnsiTheme="minorHAnsi" w:cstheme="minorHAnsi"/>
                <w:sz w:val="22"/>
                <w:szCs w:val="22"/>
              </w:rPr>
              <w:t>Sezonowe magazyny energii</w:t>
            </w:r>
          </w:p>
        </w:tc>
        <w:tc>
          <w:tcPr>
            <w:tcW w:w="4678" w:type="dxa"/>
          </w:tcPr>
          <w:p w14:paraId="6B4A2EB5" w14:textId="02EFAF83" w:rsidR="00C95358" w:rsidRDefault="00C95358" w:rsidP="00E375E9">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Pr>
                <w:rFonts w:asciiTheme="minorHAnsi" w:hAnsiTheme="minorHAnsi" w:cstheme="minorHAnsi"/>
                <w:sz w:val="22"/>
                <w:szCs w:val="22"/>
              </w:rPr>
              <w:t>j</w:t>
            </w:r>
            <w:r w:rsidRPr="00DC48A6">
              <w:rPr>
                <w:rFonts w:asciiTheme="minorHAnsi" w:hAnsiTheme="minorHAnsi" w:cstheme="minorHAnsi"/>
                <w:sz w:val="22"/>
                <w:szCs w:val="22"/>
              </w:rPr>
              <w:t xml:space="preserve"> </w:t>
            </w:r>
            <w:r>
              <w:rPr>
                <w:rFonts w:asciiTheme="minorHAnsi" w:hAnsiTheme="minorHAnsi" w:cstheme="minorHAnsi"/>
                <w:sz w:val="22"/>
                <w:szCs w:val="22"/>
              </w:rPr>
              <w:t>inwestycji</w:t>
            </w:r>
            <w:r w:rsidRPr="00DC48A6">
              <w:rPr>
                <w:rFonts w:asciiTheme="minorHAnsi" w:hAnsiTheme="minorHAnsi" w:cstheme="minorHAnsi"/>
                <w:sz w:val="22"/>
                <w:szCs w:val="22"/>
              </w:rPr>
              <w:t xml:space="preserve"> planowane są, współpracujące z instalacjami OZE </w:t>
            </w:r>
            <w:r>
              <w:rPr>
                <w:rFonts w:asciiTheme="minorHAnsi" w:hAnsiTheme="minorHAnsi" w:cstheme="minorHAnsi"/>
                <w:sz w:val="22"/>
                <w:szCs w:val="22"/>
              </w:rPr>
              <w:t>–</w:t>
            </w:r>
            <w:r w:rsidRPr="00DC48A6">
              <w:rPr>
                <w:rFonts w:asciiTheme="minorHAnsi" w:hAnsiTheme="minorHAnsi" w:cstheme="minorHAnsi"/>
                <w:sz w:val="22"/>
                <w:szCs w:val="22"/>
              </w:rPr>
              <w:t xml:space="preserve"> </w:t>
            </w:r>
            <w:r>
              <w:rPr>
                <w:rFonts w:asciiTheme="minorHAnsi" w:hAnsiTheme="minorHAnsi" w:cstheme="minorHAnsi"/>
                <w:sz w:val="22"/>
                <w:szCs w:val="22"/>
              </w:rPr>
              <w:t xml:space="preserve">sezonowe </w:t>
            </w:r>
            <w:r w:rsidRPr="00DC48A6">
              <w:rPr>
                <w:rFonts w:asciiTheme="minorHAnsi" w:hAnsiTheme="minorHAnsi" w:cstheme="minorHAnsi"/>
                <w:sz w:val="22"/>
                <w:szCs w:val="22"/>
              </w:rPr>
              <w:lastRenderedPageBreak/>
              <w:t>magazyny energii</w:t>
            </w:r>
            <w:r>
              <w:rPr>
                <w:rFonts w:asciiTheme="minorHAnsi" w:hAnsiTheme="minorHAnsi" w:cstheme="minorHAnsi"/>
                <w:sz w:val="22"/>
                <w:szCs w:val="22"/>
              </w:rPr>
              <w:t xml:space="preserve"> </w:t>
            </w:r>
            <w:r w:rsidRPr="00482B6D">
              <w:rPr>
                <w:rFonts w:asciiTheme="minorHAnsi" w:hAnsiTheme="minorHAnsi" w:cstheme="minorHAnsi"/>
                <w:sz w:val="22"/>
                <w:szCs w:val="22"/>
              </w:rPr>
              <w:t xml:space="preserve">(LDES – </w:t>
            </w:r>
            <w:proofErr w:type="spellStart"/>
            <w:r w:rsidRPr="00482B6D">
              <w:rPr>
                <w:rFonts w:asciiTheme="minorHAnsi" w:hAnsiTheme="minorHAnsi" w:cstheme="minorHAnsi"/>
                <w:sz w:val="22"/>
                <w:szCs w:val="22"/>
              </w:rPr>
              <w:t>Long</w:t>
            </w:r>
            <w:proofErr w:type="spellEnd"/>
            <w:r w:rsidRPr="00482B6D">
              <w:rPr>
                <w:rFonts w:asciiTheme="minorHAnsi" w:hAnsiTheme="minorHAnsi" w:cstheme="minorHAnsi"/>
                <w:sz w:val="22"/>
                <w:szCs w:val="22"/>
              </w:rPr>
              <w:t xml:space="preserve"> </w:t>
            </w:r>
            <w:proofErr w:type="spellStart"/>
            <w:r w:rsidRPr="00482B6D">
              <w:rPr>
                <w:rFonts w:asciiTheme="minorHAnsi" w:hAnsiTheme="minorHAnsi" w:cstheme="minorHAnsi"/>
                <w:sz w:val="22"/>
                <w:szCs w:val="22"/>
              </w:rPr>
              <w:t>Duration</w:t>
            </w:r>
            <w:proofErr w:type="spellEnd"/>
            <w:r w:rsidRPr="00482B6D">
              <w:rPr>
                <w:rFonts w:asciiTheme="minorHAnsi" w:hAnsiTheme="minorHAnsi" w:cstheme="minorHAnsi"/>
                <w:sz w:val="22"/>
                <w:szCs w:val="22"/>
              </w:rPr>
              <w:t xml:space="preserve"> Energy Storage)</w:t>
            </w:r>
            <w:r>
              <w:rPr>
                <w:rFonts w:asciiTheme="minorHAnsi" w:hAnsiTheme="minorHAnsi" w:cstheme="minorHAnsi"/>
                <w:sz w:val="22"/>
                <w:szCs w:val="22"/>
              </w:rPr>
              <w:t>.</w:t>
            </w:r>
            <w:r w:rsidRPr="00240001">
              <w:rPr>
                <w:rFonts w:asciiTheme="minorHAnsi" w:hAnsiTheme="minorHAnsi" w:cstheme="minorHAnsi"/>
                <w:sz w:val="22"/>
                <w:szCs w:val="22"/>
              </w:rPr>
              <w:t xml:space="preserve"> </w:t>
            </w:r>
          </w:p>
          <w:p w14:paraId="17EEB420" w14:textId="77777777" w:rsidR="00C95358" w:rsidRPr="00DC48A6" w:rsidRDefault="00C95358" w:rsidP="00E375E9">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2268" w:type="dxa"/>
            <w:vAlign w:val="center"/>
          </w:tcPr>
          <w:p w14:paraId="3B80FD2D" w14:textId="77777777" w:rsidR="00C95358" w:rsidRPr="00DC48A6" w:rsidRDefault="00C95358" w:rsidP="00E375E9">
            <w:pPr>
              <w:jc w:val="center"/>
              <w:rPr>
                <w:rFonts w:asciiTheme="minorHAnsi" w:hAnsiTheme="minorHAnsi" w:cstheme="minorHAnsi"/>
                <w:sz w:val="22"/>
                <w:szCs w:val="22"/>
              </w:rPr>
            </w:pPr>
            <w:r>
              <w:rPr>
                <w:rFonts w:asciiTheme="minorHAnsi" w:hAnsiTheme="minorHAnsi" w:cstheme="minorHAnsi"/>
                <w:sz w:val="22"/>
                <w:szCs w:val="22"/>
              </w:rPr>
              <w:lastRenderedPageBreak/>
              <w:t>1 pkt</w:t>
            </w:r>
          </w:p>
        </w:tc>
      </w:tr>
      <w:tr w:rsidR="00A43395" w:rsidRPr="00DC48A6" w14:paraId="249A184C" w14:textId="77777777" w:rsidTr="009962EE">
        <w:tc>
          <w:tcPr>
            <w:tcW w:w="819" w:type="dxa"/>
            <w:vAlign w:val="center"/>
          </w:tcPr>
          <w:p w14:paraId="1EBB7CE9" w14:textId="4EEF3F49" w:rsidR="00A43395" w:rsidRPr="00DC48A6" w:rsidRDefault="00C95358" w:rsidP="00A43395">
            <w:pPr>
              <w:jc w:val="center"/>
              <w:rPr>
                <w:rFonts w:asciiTheme="minorHAnsi" w:hAnsiTheme="minorHAnsi" w:cstheme="minorHAnsi"/>
                <w:sz w:val="22"/>
                <w:szCs w:val="22"/>
              </w:rPr>
            </w:pPr>
            <w:r>
              <w:rPr>
                <w:rFonts w:asciiTheme="minorHAnsi" w:hAnsiTheme="minorHAnsi" w:cstheme="minorHAnsi"/>
                <w:sz w:val="22"/>
                <w:szCs w:val="22"/>
              </w:rPr>
              <w:t>6</w:t>
            </w:r>
            <w:r w:rsidR="00BE57E2">
              <w:rPr>
                <w:rFonts w:asciiTheme="minorHAnsi" w:hAnsiTheme="minorHAnsi" w:cstheme="minorHAnsi"/>
                <w:sz w:val="22"/>
                <w:szCs w:val="22"/>
              </w:rPr>
              <w:t>.</w:t>
            </w:r>
          </w:p>
        </w:tc>
        <w:tc>
          <w:tcPr>
            <w:tcW w:w="2011" w:type="dxa"/>
            <w:vAlign w:val="center"/>
          </w:tcPr>
          <w:p w14:paraId="19B3B24A" w14:textId="1D63D877" w:rsidR="00A43395" w:rsidRPr="00DC48A6"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Wymiana/modernizacja źródła ciepła</w:t>
            </w:r>
          </w:p>
        </w:tc>
        <w:tc>
          <w:tcPr>
            <w:tcW w:w="4678" w:type="dxa"/>
          </w:tcPr>
          <w:p w14:paraId="01A511A7" w14:textId="5583583D" w:rsidR="00A43395" w:rsidRDefault="001B5B23" w:rsidP="009B1E7C">
            <w:pPr>
              <w:spacing w:before="120" w:after="240"/>
              <w:jc w:val="both"/>
              <w:rPr>
                <w:rFonts w:asciiTheme="minorHAnsi" w:hAnsiTheme="minorHAnsi" w:cstheme="minorHAnsi"/>
                <w:sz w:val="22"/>
                <w:szCs w:val="22"/>
              </w:rPr>
            </w:pPr>
            <w:r w:rsidRPr="004A203B">
              <w:rPr>
                <w:rFonts w:asciiTheme="minorHAnsi" w:hAnsiTheme="minorHAnsi" w:cstheme="minorHAnsi"/>
                <w:sz w:val="22"/>
                <w:szCs w:val="22"/>
              </w:rPr>
              <w:t>W ramach realizowane</w:t>
            </w:r>
            <w:r>
              <w:rPr>
                <w:rFonts w:asciiTheme="minorHAnsi" w:hAnsiTheme="minorHAnsi" w:cstheme="minorHAnsi"/>
                <w:sz w:val="22"/>
                <w:szCs w:val="22"/>
              </w:rPr>
              <w:t>j</w:t>
            </w:r>
            <w:r w:rsidRPr="004A203B">
              <w:rPr>
                <w:rFonts w:asciiTheme="minorHAnsi" w:hAnsiTheme="minorHAnsi" w:cstheme="minorHAnsi"/>
                <w:sz w:val="22"/>
                <w:szCs w:val="22"/>
              </w:rPr>
              <w:t xml:space="preserve"> </w:t>
            </w:r>
            <w:r>
              <w:rPr>
                <w:rFonts w:asciiTheme="minorHAnsi" w:hAnsiTheme="minorHAnsi" w:cstheme="minorHAnsi"/>
                <w:sz w:val="22"/>
                <w:szCs w:val="22"/>
              </w:rPr>
              <w:t>inwestycji</w:t>
            </w:r>
            <w:r w:rsidRPr="004A203B">
              <w:rPr>
                <w:rFonts w:asciiTheme="minorHAnsi" w:hAnsiTheme="minorHAnsi" w:cstheme="minorHAnsi"/>
                <w:sz w:val="22"/>
                <w:szCs w:val="22"/>
              </w:rPr>
              <w:t xml:space="preserve"> planowana jest wymiana lub modernizacja nieefektywnego źródła ciepła na ogrzewanie (ciepło sieciowe rozumiane jest w domyśle jako źródło efektywne)</w:t>
            </w:r>
            <w:r>
              <w:rPr>
                <w:rFonts w:asciiTheme="minorHAnsi" w:hAnsiTheme="minorHAnsi" w:cstheme="minorHAnsi"/>
                <w:sz w:val="22"/>
                <w:szCs w:val="22"/>
              </w:rPr>
              <w:t xml:space="preserve"> i/lub ciepłą wodę użytkową</w:t>
            </w:r>
            <w:r w:rsidRPr="004A203B">
              <w:rPr>
                <w:rFonts w:asciiTheme="minorHAnsi" w:hAnsiTheme="minorHAnsi" w:cstheme="minorHAnsi"/>
                <w:sz w:val="22"/>
                <w:szCs w:val="22"/>
              </w:rPr>
              <w:t>, w tym poprzez zastosowanie OZE (np. pompy ciepła</w:t>
            </w:r>
            <w:r>
              <w:rPr>
                <w:rFonts w:asciiTheme="minorHAnsi" w:hAnsiTheme="minorHAnsi" w:cstheme="minorHAnsi"/>
                <w:sz w:val="22"/>
                <w:szCs w:val="22"/>
              </w:rPr>
              <w:t>, PV, itp.</w:t>
            </w:r>
            <w:r w:rsidRPr="004A203B">
              <w:rPr>
                <w:rFonts w:asciiTheme="minorHAnsi" w:hAnsiTheme="minorHAnsi" w:cstheme="minorHAnsi"/>
                <w:sz w:val="22"/>
                <w:szCs w:val="22"/>
              </w:rPr>
              <w:t>).</w:t>
            </w:r>
            <w:r w:rsidR="00A10B87" w:rsidRPr="00DC48A6">
              <w:rPr>
                <w:rFonts w:asciiTheme="minorHAnsi" w:hAnsiTheme="minorHAnsi" w:cstheme="minorHAnsi"/>
                <w:sz w:val="22"/>
                <w:szCs w:val="22"/>
              </w:rPr>
              <w:t xml:space="preserve"> Modernizacja/instalacja źródeł ciepła na paliwa kopalne – nie jest punktowana </w:t>
            </w:r>
            <w:r w:rsidR="008A6729" w:rsidRPr="009B1E7C">
              <w:rPr>
                <w:rFonts w:asciiTheme="minorHAnsi" w:hAnsiTheme="minorHAnsi" w:cstheme="minorHAnsi"/>
                <w:sz w:val="22"/>
                <w:szCs w:val="22"/>
              </w:rPr>
              <w:t>(</w:t>
            </w:r>
            <w:r w:rsidR="000B47A7" w:rsidRPr="009B1E7C">
              <w:rPr>
                <w:rFonts w:asciiTheme="minorHAnsi" w:hAnsiTheme="minorHAnsi" w:cstheme="minorHAnsi"/>
                <w:sz w:val="22"/>
                <w:szCs w:val="22"/>
              </w:rPr>
              <w:t>nie jest kwalifikowana</w:t>
            </w:r>
            <w:r w:rsidR="002137D0" w:rsidRPr="009B1E7C">
              <w:rPr>
                <w:rFonts w:asciiTheme="minorHAnsi" w:hAnsiTheme="minorHAnsi" w:cstheme="minorHAnsi"/>
                <w:sz w:val="22"/>
                <w:szCs w:val="22"/>
              </w:rPr>
              <w:t xml:space="preserve">, </w:t>
            </w:r>
            <w:r w:rsidR="00A10B87" w:rsidRPr="009B1E7C">
              <w:rPr>
                <w:rFonts w:asciiTheme="minorHAnsi" w:hAnsiTheme="minorHAnsi" w:cstheme="minorHAnsi"/>
                <w:sz w:val="22"/>
                <w:szCs w:val="22"/>
              </w:rPr>
              <w:t xml:space="preserve">dopuszczona do realizacji </w:t>
            </w:r>
            <w:r w:rsidR="002137D0">
              <w:rPr>
                <w:rFonts w:asciiTheme="minorHAnsi" w:hAnsiTheme="minorHAnsi" w:cstheme="minorHAnsi"/>
                <w:sz w:val="22"/>
                <w:szCs w:val="22"/>
              </w:rPr>
              <w:t>–</w:t>
            </w:r>
            <w:r w:rsidR="00A10B87" w:rsidRPr="009B1E7C">
              <w:rPr>
                <w:rFonts w:asciiTheme="minorHAnsi" w:hAnsiTheme="minorHAnsi" w:cstheme="minorHAnsi"/>
                <w:sz w:val="22"/>
                <w:szCs w:val="22"/>
              </w:rPr>
              <w:t xml:space="preserve"> w</w:t>
            </w:r>
            <w:r w:rsidR="002137D0">
              <w:rPr>
                <w:rFonts w:asciiTheme="minorHAnsi" w:hAnsiTheme="minorHAnsi" w:cstheme="minorHAnsi"/>
                <w:sz w:val="22"/>
                <w:szCs w:val="22"/>
              </w:rPr>
              <w:t> </w:t>
            </w:r>
            <w:r w:rsidR="00A10B87" w:rsidRPr="009B1E7C">
              <w:rPr>
                <w:rFonts w:asciiTheme="minorHAnsi" w:hAnsiTheme="minorHAnsi" w:cstheme="minorHAnsi"/>
                <w:sz w:val="22"/>
                <w:szCs w:val="22"/>
              </w:rPr>
              <w:t>ramach kosztów niekwalifikowan</w:t>
            </w:r>
            <w:r w:rsidR="00A10B87" w:rsidRPr="002137D0">
              <w:rPr>
                <w:rFonts w:asciiTheme="minorHAnsi" w:hAnsiTheme="minorHAnsi" w:cstheme="minorHAnsi"/>
                <w:sz w:val="22"/>
                <w:szCs w:val="22"/>
              </w:rPr>
              <w:t>ych</w:t>
            </w:r>
            <w:r w:rsidR="008A6729" w:rsidRPr="002137D0">
              <w:rPr>
                <w:rFonts w:asciiTheme="minorHAnsi" w:hAnsiTheme="minorHAnsi" w:cstheme="minorHAnsi"/>
                <w:sz w:val="22"/>
                <w:szCs w:val="22"/>
              </w:rPr>
              <w:t>)</w:t>
            </w:r>
            <w:r w:rsidR="006A2C39" w:rsidRPr="002137D0">
              <w:rPr>
                <w:rFonts w:asciiTheme="minorHAnsi" w:hAnsiTheme="minorHAnsi" w:cstheme="minorHAnsi"/>
                <w:sz w:val="22"/>
                <w:szCs w:val="22"/>
              </w:rPr>
              <w:t>.</w:t>
            </w:r>
          </w:p>
          <w:p w14:paraId="2D1A6F3D" w14:textId="1B7A9CD6" w:rsidR="006A2C39" w:rsidRPr="00DC48A6" w:rsidRDefault="008A6729"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r w:rsidR="00036F4A">
              <w:rPr>
                <w:rFonts w:asciiTheme="minorHAnsi" w:hAnsiTheme="minorHAnsi" w:cstheme="minorHAnsi"/>
                <w:sz w:val="22"/>
                <w:szCs w:val="22"/>
              </w:rPr>
              <w:t>.</w:t>
            </w:r>
          </w:p>
        </w:tc>
        <w:tc>
          <w:tcPr>
            <w:tcW w:w="2268" w:type="dxa"/>
            <w:vAlign w:val="center"/>
          </w:tcPr>
          <w:p w14:paraId="1DCB8AD7" w14:textId="726F263A"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2688A62F" w14:textId="77777777" w:rsidTr="009962EE">
        <w:tc>
          <w:tcPr>
            <w:tcW w:w="819" w:type="dxa"/>
            <w:vAlign w:val="center"/>
          </w:tcPr>
          <w:p w14:paraId="46A2EC4F" w14:textId="1658BCA2" w:rsidR="00A43395" w:rsidRPr="00DC48A6" w:rsidRDefault="00C95358" w:rsidP="00A43395">
            <w:pPr>
              <w:jc w:val="center"/>
              <w:rPr>
                <w:rFonts w:asciiTheme="minorHAnsi" w:hAnsiTheme="minorHAnsi" w:cstheme="minorHAnsi"/>
                <w:sz w:val="22"/>
                <w:szCs w:val="22"/>
              </w:rPr>
            </w:pPr>
            <w:r>
              <w:rPr>
                <w:rFonts w:asciiTheme="minorHAnsi" w:hAnsiTheme="minorHAnsi" w:cstheme="minorHAnsi"/>
                <w:sz w:val="22"/>
                <w:szCs w:val="22"/>
              </w:rPr>
              <w:t>7</w:t>
            </w:r>
            <w:r w:rsidR="00BE57E2">
              <w:rPr>
                <w:rFonts w:asciiTheme="minorHAnsi" w:hAnsiTheme="minorHAnsi" w:cstheme="minorHAnsi"/>
                <w:sz w:val="22"/>
                <w:szCs w:val="22"/>
              </w:rPr>
              <w:t>.</w:t>
            </w:r>
          </w:p>
        </w:tc>
        <w:tc>
          <w:tcPr>
            <w:tcW w:w="2011" w:type="dxa"/>
            <w:vAlign w:val="center"/>
          </w:tcPr>
          <w:p w14:paraId="73505E39" w14:textId="0E230693" w:rsidR="00A43395" w:rsidRPr="00036F4A"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Wentylacja mechaniczna</w:t>
            </w:r>
          </w:p>
        </w:tc>
        <w:tc>
          <w:tcPr>
            <w:tcW w:w="4678" w:type="dxa"/>
          </w:tcPr>
          <w:p w14:paraId="777F1C39" w14:textId="70BFFB28" w:rsidR="00A43395" w:rsidRDefault="00F270A8"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 xml:space="preserve">W ramach </w:t>
            </w:r>
            <w:r w:rsidR="00ED0B32">
              <w:rPr>
                <w:rFonts w:asciiTheme="minorHAnsi" w:hAnsiTheme="minorHAnsi" w:cstheme="minorHAnsi"/>
                <w:sz w:val="22"/>
                <w:szCs w:val="22"/>
              </w:rPr>
              <w:t>realizowanej inwestycji</w:t>
            </w:r>
            <w:r w:rsidRPr="00DC48A6">
              <w:rPr>
                <w:rFonts w:asciiTheme="minorHAnsi" w:hAnsiTheme="minorHAnsi" w:cstheme="minorHAnsi"/>
                <w:sz w:val="22"/>
                <w:szCs w:val="22"/>
              </w:rPr>
              <w:t xml:space="preserve"> planowana jest instalacja lub modernizacja wentylacji mechanicznej zapewniającej kontrolowany dopływ świeżego powietrza i usuwanie powietrza zużytego (np. wentylacja nawiewna, wywiewna, </w:t>
            </w:r>
            <w:proofErr w:type="spellStart"/>
            <w:r w:rsidRPr="00DC48A6">
              <w:rPr>
                <w:rFonts w:asciiTheme="minorHAnsi" w:hAnsiTheme="minorHAnsi" w:cstheme="minorHAnsi"/>
                <w:sz w:val="22"/>
                <w:szCs w:val="22"/>
              </w:rPr>
              <w:t>nawiewno</w:t>
            </w:r>
            <w:proofErr w:type="spellEnd"/>
            <w:r w:rsidRPr="00DC48A6">
              <w:rPr>
                <w:rFonts w:asciiTheme="minorHAnsi" w:hAnsiTheme="minorHAnsi" w:cstheme="minorHAnsi"/>
                <w:sz w:val="22"/>
                <w:szCs w:val="22"/>
              </w:rPr>
              <w:t>-wywiewna, z odzyskiem ciepła</w:t>
            </w:r>
            <w:r w:rsidR="00032C75">
              <w:rPr>
                <w:rFonts w:asciiTheme="minorHAnsi" w:hAnsiTheme="minorHAnsi" w:cstheme="minorHAnsi"/>
                <w:sz w:val="22"/>
                <w:szCs w:val="22"/>
              </w:rPr>
              <w:t xml:space="preserve"> </w:t>
            </w:r>
            <w:r w:rsidR="00032C75" w:rsidRPr="00DC48A6">
              <w:rPr>
                <w:rFonts w:asciiTheme="minorHAnsi" w:hAnsiTheme="minorHAnsi" w:cstheme="minorHAnsi"/>
                <w:sz w:val="22"/>
                <w:szCs w:val="22"/>
              </w:rPr>
              <w:t>(rekuperacja) itp.).</w:t>
            </w:r>
          </w:p>
          <w:p w14:paraId="30C3A829" w14:textId="4CF12C85" w:rsidR="00700768" w:rsidRPr="00DC48A6" w:rsidRDefault="00700768"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2268" w:type="dxa"/>
            <w:vAlign w:val="center"/>
          </w:tcPr>
          <w:p w14:paraId="6D3BB481" w14:textId="464DC677"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3BB3F7FD" w14:textId="77777777" w:rsidTr="009962EE">
        <w:tc>
          <w:tcPr>
            <w:tcW w:w="819" w:type="dxa"/>
            <w:tcBorders>
              <w:bottom w:val="single" w:sz="4" w:space="0" w:color="auto"/>
            </w:tcBorders>
            <w:vAlign w:val="center"/>
          </w:tcPr>
          <w:p w14:paraId="4E5CC0B0" w14:textId="478ED104" w:rsidR="00A43395" w:rsidRPr="00DC48A6" w:rsidRDefault="00C95358" w:rsidP="00A43395">
            <w:pPr>
              <w:jc w:val="center"/>
              <w:rPr>
                <w:rFonts w:asciiTheme="minorHAnsi" w:hAnsiTheme="minorHAnsi" w:cstheme="minorHAnsi"/>
                <w:sz w:val="22"/>
                <w:szCs w:val="22"/>
              </w:rPr>
            </w:pPr>
            <w:r>
              <w:rPr>
                <w:rFonts w:asciiTheme="minorHAnsi" w:hAnsiTheme="minorHAnsi" w:cstheme="minorHAnsi"/>
                <w:sz w:val="22"/>
                <w:szCs w:val="22"/>
              </w:rPr>
              <w:t>8</w:t>
            </w:r>
            <w:r w:rsidR="00BE57E2">
              <w:rPr>
                <w:rFonts w:asciiTheme="minorHAnsi" w:hAnsiTheme="minorHAnsi" w:cstheme="minorHAnsi"/>
                <w:sz w:val="22"/>
                <w:szCs w:val="22"/>
              </w:rPr>
              <w:t>.</w:t>
            </w:r>
          </w:p>
        </w:tc>
        <w:tc>
          <w:tcPr>
            <w:tcW w:w="2011" w:type="dxa"/>
            <w:tcBorders>
              <w:bottom w:val="single" w:sz="4" w:space="0" w:color="auto"/>
            </w:tcBorders>
            <w:vAlign w:val="center"/>
          </w:tcPr>
          <w:p w14:paraId="575906E3" w14:textId="200A2EE2" w:rsidR="00A43395" w:rsidRPr="009A07AE" w:rsidRDefault="00A43395" w:rsidP="00A43395">
            <w:pPr>
              <w:jc w:val="both"/>
              <w:rPr>
                <w:rFonts w:asciiTheme="minorHAnsi" w:hAnsiTheme="minorHAnsi" w:cstheme="minorHAnsi"/>
                <w:sz w:val="22"/>
                <w:szCs w:val="22"/>
              </w:rPr>
            </w:pPr>
            <w:r w:rsidRPr="009B1E7C">
              <w:rPr>
                <w:rFonts w:asciiTheme="minorHAnsi" w:hAnsiTheme="minorHAnsi" w:cstheme="minorHAnsi"/>
                <w:sz w:val="22"/>
                <w:szCs w:val="22"/>
              </w:rPr>
              <w:t>System zarządzania energią</w:t>
            </w:r>
          </w:p>
        </w:tc>
        <w:tc>
          <w:tcPr>
            <w:tcW w:w="4678" w:type="dxa"/>
          </w:tcPr>
          <w:p w14:paraId="24E6465A" w14:textId="67C90DE9" w:rsidR="00A43395" w:rsidRDefault="00FE5623"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sidR="00ED0B32">
              <w:rPr>
                <w:rFonts w:asciiTheme="minorHAnsi" w:hAnsiTheme="minorHAnsi" w:cstheme="minorHAnsi"/>
                <w:sz w:val="22"/>
                <w:szCs w:val="22"/>
              </w:rPr>
              <w:t>j</w:t>
            </w:r>
            <w:r w:rsidRPr="00DC48A6">
              <w:rPr>
                <w:rFonts w:asciiTheme="minorHAnsi" w:hAnsiTheme="minorHAnsi" w:cstheme="minorHAnsi"/>
                <w:sz w:val="22"/>
                <w:szCs w:val="22"/>
              </w:rPr>
              <w:t xml:space="preserve"> </w:t>
            </w:r>
            <w:r w:rsidR="00E416EA">
              <w:rPr>
                <w:rFonts w:asciiTheme="minorHAnsi" w:hAnsiTheme="minorHAnsi" w:cstheme="minorHAnsi"/>
                <w:sz w:val="22"/>
                <w:szCs w:val="22"/>
              </w:rPr>
              <w:t>inwestycji</w:t>
            </w:r>
            <w:r w:rsidRPr="00DC48A6">
              <w:rPr>
                <w:rFonts w:asciiTheme="minorHAnsi" w:hAnsiTheme="minorHAnsi" w:cstheme="minorHAnsi"/>
                <w:sz w:val="22"/>
                <w:szCs w:val="22"/>
              </w:rPr>
              <w:t xml:space="preserve"> zaplanowano zintegrowany system zarządzania budynkiem (np. BMS, EMS), umożliwiający monitorowanie, kontrolę i optymalizację pracy instalowanych/modernizowanych instalacji technicznych, w tym np.: wentylacji, ogrzewania, oświetlenia, z uwzględnieniem współpracy z OZE (jeśli dotyczy).</w:t>
            </w:r>
          </w:p>
          <w:p w14:paraId="048E96D4" w14:textId="40999388" w:rsidR="00700768" w:rsidRPr="00DC48A6" w:rsidRDefault="00700768"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2268" w:type="dxa"/>
            <w:tcBorders>
              <w:bottom w:val="single" w:sz="4" w:space="0" w:color="auto"/>
            </w:tcBorders>
            <w:vAlign w:val="center"/>
          </w:tcPr>
          <w:p w14:paraId="0D6A2256" w14:textId="07849681"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t>1 pkt</w:t>
            </w:r>
          </w:p>
        </w:tc>
      </w:tr>
      <w:tr w:rsidR="00A43395" w:rsidRPr="00DC48A6" w14:paraId="533F94F3" w14:textId="77777777" w:rsidTr="009962EE">
        <w:tc>
          <w:tcPr>
            <w:tcW w:w="819" w:type="dxa"/>
            <w:tcBorders>
              <w:bottom w:val="single" w:sz="4" w:space="0" w:color="auto"/>
            </w:tcBorders>
            <w:vAlign w:val="center"/>
          </w:tcPr>
          <w:p w14:paraId="0EFA6590" w14:textId="7AB5C359" w:rsidR="00A43395" w:rsidRPr="00DC48A6" w:rsidRDefault="00C95358" w:rsidP="00A43395">
            <w:pPr>
              <w:jc w:val="center"/>
              <w:rPr>
                <w:rFonts w:asciiTheme="minorHAnsi" w:hAnsiTheme="minorHAnsi" w:cstheme="minorHAnsi"/>
                <w:sz w:val="22"/>
                <w:szCs w:val="22"/>
              </w:rPr>
            </w:pPr>
            <w:r>
              <w:rPr>
                <w:rFonts w:asciiTheme="minorHAnsi" w:hAnsiTheme="minorHAnsi" w:cstheme="minorHAnsi"/>
                <w:sz w:val="22"/>
                <w:szCs w:val="22"/>
              </w:rPr>
              <w:t>9</w:t>
            </w:r>
            <w:r w:rsidR="00BE57E2">
              <w:rPr>
                <w:rFonts w:asciiTheme="minorHAnsi" w:hAnsiTheme="minorHAnsi" w:cstheme="minorHAnsi"/>
                <w:sz w:val="22"/>
                <w:szCs w:val="22"/>
              </w:rPr>
              <w:t>.</w:t>
            </w:r>
          </w:p>
        </w:tc>
        <w:tc>
          <w:tcPr>
            <w:tcW w:w="2011" w:type="dxa"/>
            <w:tcBorders>
              <w:bottom w:val="single" w:sz="4" w:space="0" w:color="auto"/>
            </w:tcBorders>
            <w:vAlign w:val="center"/>
          </w:tcPr>
          <w:p w14:paraId="3716F498" w14:textId="02828E23" w:rsidR="003B3BE0" w:rsidRPr="009A07AE" w:rsidRDefault="00A43395" w:rsidP="003B3BE0">
            <w:pPr>
              <w:jc w:val="both"/>
              <w:rPr>
                <w:rFonts w:asciiTheme="minorHAnsi" w:hAnsiTheme="minorHAnsi" w:cstheme="minorHAnsi"/>
                <w:sz w:val="22"/>
                <w:szCs w:val="22"/>
              </w:rPr>
            </w:pPr>
            <w:r w:rsidRPr="009B1E7C">
              <w:rPr>
                <w:rFonts w:asciiTheme="minorHAnsi" w:hAnsiTheme="minorHAnsi" w:cstheme="minorHAnsi"/>
                <w:sz w:val="22"/>
                <w:szCs w:val="22"/>
              </w:rPr>
              <w:t>Rozwiązania proekologiczne</w:t>
            </w:r>
          </w:p>
          <w:p w14:paraId="7DD9DB98" w14:textId="34D7D7F5" w:rsidR="00A43395" w:rsidRPr="00DC48A6" w:rsidRDefault="00A43395" w:rsidP="00A43395">
            <w:pPr>
              <w:jc w:val="both"/>
              <w:rPr>
                <w:rFonts w:asciiTheme="minorHAnsi" w:hAnsiTheme="minorHAnsi" w:cstheme="minorHAnsi"/>
                <w:sz w:val="22"/>
                <w:szCs w:val="22"/>
              </w:rPr>
            </w:pPr>
          </w:p>
        </w:tc>
        <w:tc>
          <w:tcPr>
            <w:tcW w:w="4678" w:type="dxa"/>
          </w:tcPr>
          <w:p w14:paraId="15C9A24D" w14:textId="6A4695AB" w:rsidR="0090308A" w:rsidRPr="00DC48A6" w:rsidRDefault="0090308A" w:rsidP="0090308A">
            <w:pPr>
              <w:jc w:val="both"/>
              <w:rPr>
                <w:rFonts w:asciiTheme="minorHAnsi" w:hAnsiTheme="minorHAnsi" w:cstheme="minorHAnsi"/>
                <w:sz w:val="22"/>
                <w:szCs w:val="22"/>
              </w:rPr>
            </w:pPr>
            <w:r w:rsidRPr="00DC48A6">
              <w:rPr>
                <w:rFonts w:asciiTheme="minorHAnsi" w:hAnsiTheme="minorHAnsi" w:cstheme="minorHAnsi"/>
                <w:sz w:val="22"/>
                <w:szCs w:val="22"/>
              </w:rPr>
              <w:t>W ramach realizowane</w:t>
            </w:r>
            <w:r>
              <w:rPr>
                <w:rFonts w:asciiTheme="minorHAnsi" w:hAnsiTheme="minorHAnsi" w:cstheme="minorHAnsi"/>
                <w:sz w:val="22"/>
                <w:szCs w:val="22"/>
              </w:rPr>
              <w:t>j inwestycji</w:t>
            </w:r>
            <w:r w:rsidRPr="00DC48A6">
              <w:rPr>
                <w:rFonts w:asciiTheme="minorHAnsi" w:hAnsiTheme="minorHAnsi" w:cstheme="minorHAnsi"/>
                <w:sz w:val="22"/>
                <w:szCs w:val="22"/>
              </w:rPr>
              <w:t xml:space="preserve"> planowane są dodatkowe rozwiązania proekologiczne zwiększające odporność na zmiany klimatyczne takie jak: </w:t>
            </w:r>
          </w:p>
          <w:p w14:paraId="13DC7BD5" w14:textId="0CD8F5F1" w:rsidR="00A43395" w:rsidRDefault="0090308A" w:rsidP="009B1E7C">
            <w:pPr>
              <w:spacing w:before="120" w:after="240"/>
              <w:jc w:val="both"/>
              <w:rPr>
                <w:rFonts w:asciiTheme="minorHAnsi" w:hAnsiTheme="minorHAnsi" w:cstheme="minorHAnsi"/>
                <w:sz w:val="22"/>
                <w:szCs w:val="22"/>
              </w:rPr>
            </w:pPr>
            <w:r w:rsidRPr="00DC48A6">
              <w:rPr>
                <w:rFonts w:asciiTheme="minorHAnsi" w:hAnsiTheme="minorHAnsi" w:cstheme="minorHAnsi"/>
                <w:sz w:val="22"/>
                <w:szCs w:val="22"/>
              </w:rPr>
              <w:t>niebiesko-zielona infrastruktura</w:t>
            </w:r>
            <w:r>
              <w:rPr>
                <w:rFonts w:asciiTheme="minorHAnsi" w:hAnsiTheme="minorHAnsi" w:cstheme="minorHAnsi"/>
                <w:sz w:val="22"/>
                <w:szCs w:val="22"/>
              </w:rPr>
              <w:t xml:space="preserve"> np.: </w:t>
            </w:r>
            <w:r w:rsidRPr="00DC48A6">
              <w:rPr>
                <w:rFonts w:asciiTheme="minorHAnsi" w:hAnsiTheme="minorHAnsi" w:cstheme="minorHAnsi"/>
                <w:sz w:val="22"/>
                <w:szCs w:val="22"/>
              </w:rPr>
              <w:t>zielone ściany, ziel</w:t>
            </w:r>
            <w:r>
              <w:rPr>
                <w:rFonts w:asciiTheme="minorHAnsi" w:hAnsiTheme="minorHAnsi" w:cstheme="minorHAnsi"/>
                <w:sz w:val="22"/>
                <w:szCs w:val="22"/>
              </w:rPr>
              <w:t>o</w:t>
            </w:r>
            <w:r w:rsidRPr="00DC48A6">
              <w:rPr>
                <w:rFonts w:asciiTheme="minorHAnsi" w:hAnsiTheme="minorHAnsi" w:cstheme="minorHAnsi"/>
                <w:sz w:val="22"/>
                <w:szCs w:val="22"/>
              </w:rPr>
              <w:t>ne dachy,</w:t>
            </w:r>
            <w:r>
              <w:rPr>
                <w:rFonts w:asciiTheme="minorHAnsi" w:hAnsiTheme="minorHAnsi" w:cstheme="minorHAnsi"/>
                <w:sz w:val="22"/>
                <w:szCs w:val="22"/>
              </w:rPr>
              <w:t xml:space="preserve"> </w:t>
            </w:r>
            <w:r w:rsidRPr="00DC48A6">
              <w:rPr>
                <w:rFonts w:asciiTheme="minorHAnsi" w:hAnsiTheme="minorHAnsi" w:cstheme="minorHAnsi"/>
                <w:sz w:val="22"/>
                <w:szCs w:val="22"/>
              </w:rPr>
              <w:t xml:space="preserve">dodatkowe nasadzenia zieleni, zwiększanie powierzchni biologicznie czynnej, </w:t>
            </w:r>
            <w:proofErr w:type="spellStart"/>
            <w:r w:rsidRPr="00DC48A6">
              <w:rPr>
                <w:rFonts w:asciiTheme="minorHAnsi" w:hAnsiTheme="minorHAnsi" w:cstheme="minorHAnsi"/>
                <w:sz w:val="22"/>
                <w:szCs w:val="22"/>
              </w:rPr>
              <w:t>debetonizacja</w:t>
            </w:r>
            <w:proofErr w:type="spellEnd"/>
            <w:r w:rsidRPr="00DC48A6">
              <w:rPr>
                <w:rFonts w:asciiTheme="minorHAnsi" w:hAnsiTheme="minorHAnsi" w:cstheme="minorHAnsi"/>
                <w:sz w:val="22"/>
                <w:szCs w:val="22"/>
              </w:rPr>
              <w:t xml:space="preserve"> powierzchni </w:t>
            </w:r>
            <w:r w:rsidRPr="00DC48A6">
              <w:rPr>
                <w:rFonts w:asciiTheme="minorHAnsi" w:hAnsiTheme="minorHAnsi" w:cstheme="minorHAnsi"/>
                <w:sz w:val="22"/>
                <w:szCs w:val="22"/>
              </w:rPr>
              <w:lastRenderedPageBreak/>
              <w:t>utwardzonych</w:t>
            </w:r>
            <w:r>
              <w:rPr>
                <w:rFonts w:asciiTheme="minorHAnsi" w:hAnsiTheme="minorHAnsi" w:cstheme="minorHAnsi"/>
                <w:sz w:val="22"/>
                <w:szCs w:val="22"/>
              </w:rPr>
              <w:t>, montaż zewnętrznych e</w:t>
            </w:r>
            <w:r w:rsidRPr="00630018">
              <w:rPr>
                <w:rFonts w:asciiTheme="minorHAnsi" w:hAnsiTheme="minorHAnsi" w:cstheme="minorHAnsi"/>
                <w:sz w:val="22"/>
                <w:szCs w:val="22"/>
              </w:rPr>
              <w:t>lement</w:t>
            </w:r>
            <w:r>
              <w:rPr>
                <w:rFonts w:asciiTheme="minorHAnsi" w:hAnsiTheme="minorHAnsi" w:cstheme="minorHAnsi"/>
                <w:sz w:val="22"/>
                <w:szCs w:val="22"/>
              </w:rPr>
              <w:t>ów</w:t>
            </w:r>
            <w:r w:rsidRPr="00630018">
              <w:rPr>
                <w:rFonts w:asciiTheme="minorHAnsi" w:hAnsiTheme="minorHAnsi" w:cstheme="minorHAnsi"/>
                <w:sz w:val="22"/>
                <w:szCs w:val="22"/>
              </w:rPr>
              <w:t xml:space="preserve"> zacieniając</w:t>
            </w:r>
            <w:r>
              <w:rPr>
                <w:rFonts w:asciiTheme="minorHAnsi" w:hAnsiTheme="minorHAnsi" w:cstheme="minorHAnsi"/>
                <w:sz w:val="22"/>
                <w:szCs w:val="22"/>
              </w:rPr>
              <w:t>ych</w:t>
            </w:r>
            <w:r w:rsidRPr="00630018">
              <w:rPr>
                <w:rFonts w:asciiTheme="minorHAnsi" w:hAnsiTheme="minorHAnsi" w:cstheme="minorHAnsi"/>
                <w:sz w:val="22"/>
                <w:szCs w:val="22"/>
              </w:rPr>
              <w:t xml:space="preserve"> </w:t>
            </w:r>
            <w:r>
              <w:rPr>
                <w:rFonts w:asciiTheme="minorHAnsi" w:hAnsiTheme="minorHAnsi" w:cstheme="minorHAnsi"/>
                <w:sz w:val="22"/>
                <w:szCs w:val="22"/>
              </w:rPr>
              <w:t>– które</w:t>
            </w:r>
            <w:r w:rsidRPr="00630018">
              <w:rPr>
                <w:rFonts w:asciiTheme="minorHAnsi" w:hAnsiTheme="minorHAnsi" w:cstheme="minorHAnsi"/>
                <w:sz w:val="22"/>
                <w:szCs w:val="22"/>
              </w:rPr>
              <w:t xml:space="preserve"> </w:t>
            </w:r>
            <w:r>
              <w:rPr>
                <w:rFonts w:asciiTheme="minorHAnsi" w:hAnsiTheme="minorHAnsi" w:cstheme="minorHAnsi"/>
                <w:sz w:val="22"/>
                <w:szCs w:val="22"/>
              </w:rPr>
              <w:t>ograniczają</w:t>
            </w:r>
            <w:r w:rsidRPr="00630018">
              <w:rPr>
                <w:rFonts w:asciiTheme="minorHAnsi" w:hAnsiTheme="minorHAnsi" w:cstheme="minorHAnsi"/>
                <w:sz w:val="22"/>
                <w:szCs w:val="22"/>
              </w:rPr>
              <w:t xml:space="preserve"> dopływ promieni słonecznych </w:t>
            </w:r>
            <w:r>
              <w:rPr>
                <w:rFonts w:asciiTheme="minorHAnsi" w:hAnsiTheme="minorHAnsi" w:cstheme="minorHAnsi"/>
                <w:sz w:val="22"/>
                <w:szCs w:val="22"/>
              </w:rPr>
              <w:t>w lecie -</w:t>
            </w:r>
            <w:r w:rsidRPr="00630018">
              <w:rPr>
                <w:rFonts w:asciiTheme="minorHAnsi" w:hAnsiTheme="minorHAnsi" w:cstheme="minorHAnsi"/>
                <w:sz w:val="22"/>
                <w:szCs w:val="22"/>
              </w:rPr>
              <w:t xml:space="preserve"> zmniejszając</w:t>
            </w:r>
            <w:r>
              <w:rPr>
                <w:rFonts w:asciiTheme="minorHAnsi" w:hAnsiTheme="minorHAnsi" w:cstheme="minorHAnsi"/>
                <w:sz w:val="22"/>
                <w:szCs w:val="22"/>
              </w:rPr>
              <w:t>e</w:t>
            </w:r>
            <w:r w:rsidRPr="00630018">
              <w:rPr>
                <w:rFonts w:asciiTheme="minorHAnsi" w:hAnsiTheme="minorHAnsi" w:cstheme="minorHAnsi"/>
                <w:sz w:val="22"/>
                <w:szCs w:val="22"/>
              </w:rPr>
              <w:t xml:space="preserve"> ryzyko przegrzewania</w:t>
            </w:r>
            <w:r>
              <w:rPr>
                <w:rFonts w:asciiTheme="minorHAnsi" w:hAnsiTheme="minorHAnsi" w:cstheme="minorHAnsi"/>
                <w:sz w:val="22"/>
                <w:szCs w:val="22"/>
              </w:rPr>
              <w:t xml:space="preserve"> budynku </w:t>
            </w:r>
            <w:r w:rsidRPr="00DC48A6">
              <w:rPr>
                <w:rFonts w:asciiTheme="minorHAnsi" w:hAnsiTheme="minorHAnsi" w:cstheme="minorHAnsi"/>
                <w:sz w:val="22"/>
                <w:szCs w:val="22"/>
              </w:rPr>
              <w:t>itp. lub dodatkowe rozwiązania dot</w:t>
            </w:r>
            <w:r>
              <w:rPr>
                <w:rFonts w:asciiTheme="minorHAnsi" w:hAnsiTheme="minorHAnsi" w:cstheme="minorHAnsi"/>
                <w:sz w:val="22"/>
                <w:szCs w:val="22"/>
              </w:rPr>
              <w:t>yczące</w:t>
            </w:r>
            <w:r w:rsidRPr="00DC48A6">
              <w:rPr>
                <w:rFonts w:asciiTheme="minorHAnsi" w:hAnsiTheme="minorHAnsi" w:cstheme="minorHAnsi"/>
                <w:sz w:val="22"/>
                <w:szCs w:val="22"/>
              </w:rPr>
              <w:t xml:space="preserve"> infrastruktury budynkowej wspierające gospodarkę o obiegu zamkniętym, takie jak: wykorzystanie wody szarej, zagospodarowanie wód opadowych np.: montaż zbiorników retencyjnych lub systemów rozsączających wodę deszczową w gruncie lub wykorzystanie jej do podlewania roślin itp.</w:t>
            </w:r>
          </w:p>
          <w:p w14:paraId="043933C9" w14:textId="5C430864" w:rsidR="00F76AB3" w:rsidRPr="00DC48A6" w:rsidRDefault="00F76AB3" w:rsidP="009B1E7C">
            <w:pPr>
              <w:spacing w:before="120" w:after="240"/>
              <w:jc w:val="both"/>
              <w:rPr>
                <w:rFonts w:asciiTheme="minorHAnsi" w:hAnsiTheme="minorHAnsi" w:cstheme="minorHAnsi"/>
                <w:sz w:val="22"/>
                <w:szCs w:val="22"/>
              </w:rPr>
            </w:pPr>
            <w:r>
              <w:rPr>
                <w:rFonts w:asciiTheme="minorHAnsi" w:hAnsiTheme="minorHAnsi" w:cstheme="minorHAnsi"/>
                <w:sz w:val="22"/>
                <w:szCs w:val="22"/>
              </w:rPr>
              <w:t xml:space="preserve">Ocena na podstawie audytu ex </w:t>
            </w:r>
            <w:proofErr w:type="spellStart"/>
            <w:r>
              <w:rPr>
                <w:rFonts w:asciiTheme="minorHAnsi" w:hAnsiTheme="minorHAnsi" w:cstheme="minorHAnsi"/>
                <w:sz w:val="22"/>
                <w:szCs w:val="22"/>
              </w:rPr>
              <w:t>ante</w:t>
            </w:r>
            <w:proofErr w:type="spellEnd"/>
            <w:r>
              <w:rPr>
                <w:rFonts w:asciiTheme="minorHAnsi" w:hAnsiTheme="minorHAnsi" w:cstheme="minorHAnsi"/>
                <w:sz w:val="22"/>
                <w:szCs w:val="22"/>
              </w:rPr>
              <w:t xml:space="preserve"> i informacji zawartych we wniosku.</w:t>
            </w:r>
          </w:p>
        </w:tc>
        <w:tc>
          <w:tcPr>
            <w:tcW w:w="2268" w:type="dxa"/>
            <w:tcBorders>
              <w:bottom w:val="single" w:sz="4" w:space="0" w:color="auto"/>
            </w:tcBorders>
            <w:vAlign w:val="center"/>
          </w:tcPr>
          <w:p w14:paraId="29CA5C31" w14:textId="57AF8975" w:rsidR="00A43395" w:rsidRPr="00DC48A6" w:rsidRDefault="00A43395" w:rsidP="00A43395">
            <w:pPr>
              <w:jc w:val="center"/>
              <w:rPr>
                <w:rFonts w:asciiTheme="minorHAnsi" w:hAnsiTheme="minorHAnsi" w:cstheme="minorHAnsi"/>
                <w:sz w:val="22"/>
                <w:szCs w:val="22"/>
              </w:rPr>
            </w:pPr>
            <w:r w:rsidRPr="00DC48A6">
              <w:rPr>
                <w:rFonts w:asciiTheme="minorHAnsi" w:hAnsiTheme="minorHAnsi" w:cstheme="minorHAnsi"/>
                <w:sz w:val="22"/>
                <w:szCs w:val="22"/>
              </w:rPr>
              <w:lastRenderedPageBreak/>
              <w:t>1 pkt</w:t>
            </w:r>
          </w:p>
        </w:tc>
      </w:tr>
      <w:tr w:rsidR="00A43395" w:rsidRPr="00DC48A6" w14:paraId="492B1848" w14:textId="77777777" w:rsidTr="009962EE">
        <w:trPr>
          <w:trHeight w:val="566"/>
        </w:trPr>
        <w:tc>
          <w:tcPr>
            <w:tcW w:w="2830" w:type="dxa"/>
            <w:gridSpan w:val="2"/>
            <w:vAlign w:val="center"/>
          </w:tcPr>
          <w:p w14:paraId="4941FD40" w14:textId="77777777" w:rsidR="00A43395" w:rsidRPr="00E706DD" w:rsidRDefault="00A43395" w:rsidP="009B1E7C">
            <w:pPr>
              <w:rPr>
                <w:rFonts w:asciiTheme="minorHAnsi" w:hAnsiTheme="minorHAnsi" w:cstheme="minorHAnsi"/>
                <w:b/>
                <w:bCs/>
                <w:sz w:val="22"/>
                <w:szCs w:val="22"/>
              </w:rPr>
            </w:pPr>
            <w:r w:rsidRPr="00E706DD">
              <w:rPr>
                <w:rFonts w:asciiTheme="minorHAnsi" w:hAnsiTheme="minorHAnsi" w:cstheme="minorHAnsi"/>
                <w:b/>
                <w:bCs/>
                <w:sz w:val="22"/>
                <w:szCs w:val="22"/>
              </w:rPr>
              <w:t>RAZEM:</w:t>
            </w:r>
          </w:p>
        </w:tc>
        <w:tc>
          <w:tcPr>
            <w:tcW w:w="4678" w:type="dxa"/>
          </w:tcPr>
          <w:p w14:paraId="351D7CF2" w14:textId="77777777" w:rsidR="00A43395" w:rsidRPr="00E706DD" w:rsidRDefault="00A43395" w:rsidP="00A43395">
            <w:pPr>
              <w:jc w:val="center"/>
              <w:rPr>
                <w:rFonts w:asciiTheme="minorHAnsi" w:hAnsiTheme="minorHAnsi" w:cstheme="minorHAnsi"/>
                <w:b/>
                <w:bCs/>
                <w:sz w:val="22"/>
                <w:szCs w:val="22"/>
              </w:rPr>
            </w:pPr>
          </w:p>
        </w:tc>
        <w:tc>
          <w:tcPr>
            <w:tcW w:w="2268" w:type="dxa"/>
            <w:vAlign w:val="center"/>
          </w:tcPr>
          <w:p w14:paraId="039D6B54" w14:textId="62EA351A" w:rsidR="00A43395" w:rsidRPr="00DC48A6" w:rsidRDefault="00A43395" w:rsidP="00A43395">
            <w:pPr>
              <w:jc w:val="center"/>
              <w:rPr>
                <w:rFonts w:asciiTheme="minorHAnsi" w:hAnsiTheme="minorHAnsi" w:cstheme="minorHAnsi"/>
                <w:b/>
                <w:bCs/>
                <w:sz w:val="22"/>
                <w:szCs w:val="22"/>
              </w:rPr>
            </w:pPr>
            <w:r w:rsidRPr="00E706DD">
              <w:rPr>
                <w:rFonts w:asciiTheme="minorHAnsi" w:hAnsiTheme="minorHAnsi" w:cstheme="minorHAnsi"/>
                <w:b/>
                <w:bCs/>
                <w:sz w:val="22"/>
                <w:szCs w:val="22"/>
              </w:rPr>
              <w:t>1</w:t>
            </w:r>
            <w:r w:rsidR="00C95358">
              <w:rPr>
                <w:rFonts w:asciiTheme="minorHAnsi" w:hAnsiTheme="minorHAnsi" w:cstheme="minorHAnsi"/>
                <w:b/>
                <w:bCs/>
                <w:sz w:val="22"/>
                <w:szCs w:val="22"/>
              </w:rPr>
              <w:t>1</w:t>
            </w:r>
            <w:r w:rsidRPr="00E706DD">
              <w:rPr>
                <w:rFonts w:asciiTheme="minorHAnsi" w:hAnsiTheme="minorHAnsi" w:cstheme="minorHAnsi"/>
                <w:b/>
                <w:bCs/>
                <w:sz w:val="22"/>
                <w:szCs w:val="22"/>
              </w:rPr>
              <w:t xml:space="preserve"> pkt</w:t>
            </w:r>
          </w:p>
        </w:tc>
      </w:tr>
    </w:tbl>
    <w:p w14:paraId="154F66CA" w14:textId="77777777" w:rsidR="000C14A5" w:rsidRPr="00DC48A6" w:rsidRDefault="000C14A5" w:rsidP="000C14A5">
      <w:pPr>
        <w:rPr>
          <w:rFonts w:asciiTheme="minorHAnsi" w:hAnsiTheme="minorHAnsi" w:cstheme="minorHAnsi"/>
          <w:sz w:val="22"/>
          <w:szCs w:val="22"/>
        </w:rPr>
      </w:pPr>
    </w:p>
    <w:p w14:paraId="2397168C" w14:textId="77777777" w:rsidR="00B36E2E" w:rsidRPr="00E5082D" w:rsidRDefault="004F5768" w:rsidP="006A7617">
      <w:pPr>
        <w:pStyle w:val="Akapitzlist"/>
        <w:numPr>
          <w:ilvl w:val="0"/>
          <w:numId w:val="2"/>
        </w:numPr>
        <w:tabs>
          <w:tab w:val="left" w:pos="284"/>
        </w:tabs>
        <w:autoSpaceDE w:val="0"/>
        <w:autoSpaceDN w:val="0"/>
        <w:adjustRightInd w:val="0"/>
        <w:spacing w:before="120"/>
        <w:ind w:left="0" w:firstLine="0"/>
        <w:contextualSpacing w:val="0"/>
        <w:rPr>
          <w:rFonts w:asciiTheme="minorHAnsi" w:hAnsiTheme="minorHAnsi"/>
          <w:b/>
          <w:color w:val="000000"/>
          <w:sz w:val="22"/>
          <w:szCs w:val="22"/>
        </w:rPr>
      </w:pPr>
      <w:r w:rsidRPr="00E5082D">
        <w:rPr>
          <w:rFonts w:asciiTheme="minorHAnsi" w:hAnsiTheme="minorHAnsi"/>
          <w:b/>
          <w:color w:val="000000"/>
          <w:sz w:val="22"/>
          <w:szCs w:val="22"/>
        </w:rPr>
        <w:t>Postanowienia dodatkowe</w:t>
      </w:r>
    </w:p>
    <w:p w14:paraId="094A779B" w14:textId="77777777" w:rsidR="00C00A8B" w:rsidRDefault="00F056AA" w:rsidP="006A7617">
      <w:pPr>
        <w:pStyle w:val="Akapitzlist"/>
        <w:numPr>
          <w:ilvl w:val="0"/>
          <w:numId w:val="26"/>
        </w:numPr>
        <w:ind w:left="567" w:hanging="283"/>
        <w:rPr>
          <w:rFonts w:asciiTheme="minorHAnsi" w:hAnsiTheme="minorHAnsi"/>
          <w:sz w:val="22"/>
          <w:szCs w:val="22"/>
        </w:rPr>
      </w:pPr>
      <w:r w:rsidRPr="009B1E7C">
        <w:rPr>
          <w:rFonts w:asciiTheme="minorHAnsi" w:hAnsiTheme="minorHAnsi"/>
          <w:sz w:val="22"/>
          <w:szCs w:val="22"/>
        </w:rPr>
        <w:t xml:space="preserve">Do niniejszego programu priorytetowego mają </w:t>
      </w:r>
      <w:r w:rsidR="001C4A1A" w:rsidRPr="009B1E7C">
        <w:rPr>
          <w:rFonts w:asciiTheme="minorHAnsi" w:hAnsiTheme="minorHAnsi"/>
          <w:sz w:val="22"/>
          <w:szCs w:val="22"/>
        </w:rPr>
        <w:t xml:space="preserve">odpowiednie </w:t>
      </w:r>
      <w:r w:rsidRPr="009B1E7C">
        <w:rPr>
          <w:rFonts w:asciiTheme="minorHAnsi" w:hAnsiTheme="minorHAnsi"/>
          <w:sz w:val="22"/>
          <w:szCs w:val="22"/>
        </w:rPr>
        <w:t>zastosowanie „Zasady udzielania dofinansowania ze środków Narodowego Funduszu Ochrony Środowiska i Gospodarki Wodnej”</w:t>
      </w:r>
      <w:r w:rsidR="007D076D" w:rsidRPr="009B1E7C">
        <w:rPr>
          <w:rFonts w:asciiTheme="minorHAnsi" w:hAnsiTheme="minorHAnsi"/>
          <w:sz w:val="22"/>
          <w:szCs w:val="22"/>
        </w:rPr>
        <w:t xml:space="preserve"> oraz „Kryteria wyboru </w:t>
      </w:r>
      <w:r w:rsidR="00030B7E">
        <w:rPr>
          <w:rFonts w:asciiTheme="minorHAnsi" w:hAnsiTheme="minorHAnsi"/>
          <w:sz w:val="22"/>
          <w:szCs w:val="22"/>
        </w:rPr>
        <w:t>przedsięwzięć</w:t>
      </w:r>
      <w:r w:rsidR="00030B7E" w:rsidRPr="009B1E7C">
        <w:rPr>
          <w:rFonts w:asciiTheme="minorHAnsi" w:hAnsiTheme="minorHAnsi"/>
          <w:sz w:val="22"/>
          <w:szCs w:val="22"/>
        </w:rPr>
        <w:t xml:space="preserve"> </w:t>
      </w:r>
      <w:r w:rsidR="007D076D" w:rsidRPr="009B1E7C">
        <w:rPr>
          <w:rFonts w:asciiTheme="minorHAnsi" w:hAnsiTheme="minorHAnsi"/>
          <w:sz w:val="22"/>
          <w:szCs w:val="22"/>
        </w:rPr>
        <w:t>finansowanych ze środków Narodowego Funduszu</w:t>
      </w:r>
      <w:r w:rsidR="00943DD9" w:rsidRPr="009B1E7C">
        <w:rPr>
          <w:rFonts w:asciiTheme="minorHAnsi" w:hAnsiTheme="minorHAnsi"/>
          <w:sz w:val="22"/>
          <w:szCs w:val="22"/>
        </w:rPr>
        <w:t xml:space="preserve"> Ochrony Środowiska i Gospodarki Wodnej”.</w:t>
      </w:r>
    </w:p>
    <w:p w14:paraId="0E1EC629" w14:textId="1438C9F7" w:rsidR="00DE543E" w:rsidRPr="00E73F90" w:rsidRDefault="00C00A8B" w:rsidP="006A7617">
      <w:pPr>
        <w:pStyle w:val="Akapitzlist"/>
        <w:numPr>
          <w:ilvl w:val="0"/>
          <w:numId w:val="26"/>
        </w:numPr>
        <w:ind w:left="567" w:hanging="283"/>
        <w:rPr>
          <w:rFonts w:asciiTheme="minorHAnsi" w:hAnsiTheme="minorHAnsi"/>
          <w:sz w:val="22"/>
          <w:szCs w:val="22"/>
        </w:rPr>
      </w:pPr>
      <w:r w:rsidRPr="00C00A8B">
        <w:rPr>
          <w:rFonts w:asciiTheme="minorHAnsi" w:hAnsiTheme="minorHAnsi"/>
          <w:sz w:val="22"/>
          <w:szCs w:val="22"/>
        </w:rPr>
        <w:t>Ilekroć w niniejszym programie priorytetowym jest mowa o przedsięwzięciu lub inwestycji rozumie się przez to inwestycje, o których mowa w ustawie z dnia 12 czerwca 2015 r. o systemie handlu uprawnieniami do emisji gazów cieplarnianych oraz w art. 401e ust. 2 ustawy z dnia 27</w:t>
      </w:r>
      <w:r w:rsidR="00554EC6">
        <w:rPr>
          <w:rFonts w:asciiTheme="minorHAnsi" w:hAnsiTheme="minorHAnsi"/>
          <w:sz w:val="22"/>
          <w:szCs w:val="22"/>
        </w:rPr>
        <w:t> </w:t>
      </w:r>
      <w:r w:rsidRPr="00C00A8B">
        <w:rPr>
          <w:rFonts w:asciiTheme="minorHAnsi" w:hAnsiTheme="minorHAnsi"/>
          <w:sz w:val="22"/>
          <w:szCs w:val="22"/>
        </w:rPr>
        <w:t>kwietnia 2001 r. – Prawo ochrony środowiska, a także przedsięwzięcia, o których mowa w</w:t>
      </w:r>
      <w:r w:rsidR="00554EC6">
        <w:rPr>
          <w:rFonts w:asciiTheme="minorHAnsi" w:hAnsiTheme="minorHAnsi"/>
          <w:sz w:val="22"/>
          <w:szCs w:val="22"/>
        </w:rPr>
        <w:t> </w:t>
      </w:r>
      <w:r w:rsidRPr="00C00A8B">
        <w:rPr>
          <w:rFonts w:asciiTheme="minorHAnsi" w:hAnsiTheme="minorHAnsi"/>
          <w:sz w:val="22"/>
          <w:szCs w:val="22"/>
        </w:rPr>
        <w:t>ustawie z dnia 27 kwietnia 2001 r. – Prawo ochrony środowiska, Zasadach udzielania dofinansowania ze środków NFOŚiGW, Wytycznych w zakresie kosztów kwalifikowanych, Metodyce oceny finansowej wniosku o dofinansowanie, Kryteriach wyboru przedsięwzięć finansowanych ze środków NFOŚIGW oraz innych dokumentach NFOŚiGW.</w:t>
      </w:r>
    </w:p>
    <w:sectPr w:rsidR="00DE543E" w:rsidRPr="00E73F90" w:rsidSect="00E74363">
      <w:headerReference w:type="default" r:id="rId11"/>
      <w:footerReference w:type="even" r:id="rId12"/>
      <w:footerReference w:type="default" r:id="rId13"/>
      <w:headerReference w:type="first" r:id="rId14"/>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C8FE" w14:textId="77777777" w:rsidR="00F34260" w:rsidRDefault="00F34260">
      <w:r>
        <w:separator/>
      </w:r>
    </w:p>
  </w:endnote>
  <w:endnote w:type="continuationSeparator" w:id="0">
    <w:p w14:paraId="1A012282" w14:textId="77777777" w:rsidR="00F34260" w:rsidRDefault="00F3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C48B" w14:textId="77777777" w:rsidR="00664D3B" w:rsidRDefault="002D1F46" w:rsidP="00F5249F">
    <w:pPr>
      <w:pStyle w:val="Stopka"/>
      <w:framePr w:wrap="around" w:vAnchor="text" w:hAnchor="margin" w:xAlign="center" w:y="1"/>
      <w:rPr>
        <w:rStyle w:val="Numerstrony"/>
      </w:rPr>
    </w:pPr>
    <w:r>
      <w:rPr>
        <w:rStyle w:val="Numerstrony"/>
      </w:rPr>
      <w:fldChar w:fldCharType="begin"/>
    </w:r>
    <w:r w:rsidR="00664D3B">
      <w:rPr>
        <w:rStyle w:val="Numerstrony"/>
      </w:rPr>
      <w:instrText xml:space="preserve">PAGE  </w:instrText>
    </w:r>
    <w:r>
      <w:rPr>
        <w:rStyle w:val="Numerstrony"/>
      </w:rPr>
      <w:fldChar w:fldCharType="end"/>
    </w:r>
  </w:p>
  <w:p w14:paraId="3DE2EB67" w14:textId="77777777" w:rsidR="00664D3B" w:rsidRDefault="00664D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CD2C" w14:textId="01A6F296" w:rsidR="00664D3B" w:rsidRPr="00933AA1" w:rsidRDefault="002D1F46" w:rsidP="00F5249F">
    <w:pPr>
      <w:pStyle w:val="Stopka"/>
      <w:jc w:val="center"/>
      <w:rPr>
        <w:sz w:val="20"/>
        <w:szCs w:val="20"/>
      </w:rPr>
    </w:pPr>
    <w:r w:rsidRPr="00933AA1">
      <w:rPr>
        <w:rStyle w:val="Numerstrony"/>
        <w:sz w:val="20"/>
        <w:szCs w:val="20"/>
      </w:rPr>
      <w:fldChar w:fldCharType="begin"/>
    </w:r>
    <w:r w:rsidR="00664D3B" w:rsidRPr="00933AA1">
      <w:rPr>
        <w:rStyle w:val="Numerstrony"/>
        <w:sz w:val="20"/>
        <w:szCs w:val="20"/>
      </w:rPr>
      <w:instrText xml:space="preserve"> PAGE </w:instrText>
    </w:r>
    <w:r w:rsidRPr="00933AA1">
      <w:rPr>
        <w:rStyle w:val="Numerstrony"/>
        <w:sz w:val="20"/>
        <w:szCs w:val="20"/>
      </w:rPr>
      <w:fldChar w:fldCharType="separate"/>
    </w:r>
    <w:r w:rsidR="008A2943">
      <w:rPr>
        <w:rStyle w:val="Numerstrony"/>
        <w:noProof/>
        <w:sz w:val="20"/>
        <w:szCs w:val="20"/>
      </w:rPr>
      <w:t>8</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B846D" w14:textId="77777777" w:rsidR="00F34260" w:rsidRDefault="00F34260">
      <w:r>
        <w:separator/>
      </w:r>
    </w:p>
  </w:footnote>
  <w:footnote w:type="continuationSeparator" w:id="0">
    <w:p w14:paraId="4DD3E56C" w14:textId="77777777" w:rsidR="00F34260" w:rsidRDefault="00F34260">
      <w:r>
        <w:continuationSeparator/>
      </w:r>
    </w:p>
  </w:footnote>
  <w:footnote w:id="1">
    <w:p w14:paraId="143DF3BA" w14:textId="77777777" w:rsidR="0061092D" w:rsidRPr="00AF59F3" w:rsidRDefault="0061092D" w:rsidP="000E08EE">
      <w:pPr>
        <w:pStyle w:val="Tekstprzypisudolnego"/>
        <w:jc w:val="both"/>
        <w:rPr>
          <w:rFonts w:asciiTheme="minorHAnsi" w:hAnsiTheme="minorHAnsi" w:cstheme="minorHAnsi"/>
          <w:sz w:val="16"/>
          <w:szCs w:val="16"/>
        </w:rPr>
      </w:pPr>
      <w:r w:rsidRPr="000203D7">
        <w:rPr>
          <w:rStyle w:val="Odwoanieprzypisudolnego"/>
          <w:rFonts w:asciiTheme="minorHAnsi" w:hAnsiTheme="minorHAnsi" w:cstheme="minorHAnsi"/>
        </w:rPr>
        <w:footnoteRef/>
      </w:r>
      <w:r w:rsidRPr="000203D7">
        <w:rPr>
          <w:rFonts w:asciiTheme="minorHAnsi" w:hAnsiTheme="minorHAnsi" w:cstheme="minorHAnsi"/>
        </w:rPr>
        <w:t xml:space="preserve"> </w:t>
      </w:r>
      <w:r w:rsidRPr="00AF59F3">
        <w:rPr>
          <w:rFonts w:asciiTheme="minorHAnsi" w:hAnsiTheme="minorHAnsi" w:cstheme="minorHAnsi"/>
          <w:sz w:val="16"/>
          <w:szCs w:val="16"/>
        </w:rPr>
        <w:t>Wydajność może być określana w szczególności jako udział (%) powierzchni o regulowanej temperaturze powietrza wykorzystywanej do prowadzenia działalności gospodarczej w całkowitej powierzchni o regulowanej temperaturze powietrza w danym obiekcie (lub w jego części objętej projektem). Jeśli ta sama powierzchnia wykorzystywana jest do prowadzenia działalności niegospodarczej i działalności gospodarczej, udział może być określony także z uwzględnieniem czynnika czasu.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DE42" w14:textId="77777777" w:rsidR="0019123C" w:rsidRPr="0019123C" w:rsidRDefault="0019123C" w:rsidP="0019123C">
    <w:pPr>
      <w:tabs>
        <w:tab w:val="left" w:pos="-3402"/>
        <w:tab w:val="left" w:pos="-3119"/>
        <w:tab w:val="left" w:pos="-2694"/>
        <w:tab w:val="left" w:pos="993"/>
      </w:tabs>
      <w:ind w:left="1986" w:hanging="993"/>
      <w:jc w:val="right"/>
      <w:rPr>
        <w:rFonts w:ascii="Calibri" w:hAnsi="Calibri"/>
        <w:sz w:val="20"/>
        <w:szCs w:val="20"/>
      </w:rPr>
    </w:pPr>
  </w:p>
  <w:p w14:paraId="6964774B" w14:textId="77777777" w:rsidR="0019123C" w:rsidRPr="00AE6284" w:rsidRDefault="0019123C"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C8F" w14:textId="77777777" w:rsidR="00664D3B" w:rsidRDefault="00664D3B"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0C"/>
    <w:multiLevelType w:val="hybridMultilevel"/>
    <w:tmpl w:val="64127342"/>
    <w:lvl w:ilvl="0" w:tplc="E90E838C">
      <w:start w:val="1"/>
      <w:numFmt w:val="bullet"/>
      <w:lvlText w:val=""/>
      <w:lvlJc w:val="left"/>
      <w:pPr>
        <w:ind w:left="857" w:hanging="360"/>
      </w:pPr>
      <w:rPr>
        <w:rFonts w:ascii="Symbol" w:hAnsi="Symbol" w:hint="default"/>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abstractNum w:abstractNumId="1" w15:restartNumberingAfterBreak="0">
    <w:nsid w:val="075D2234"/>
    <w:multiLevelType w:val="multilevel"/>
    <w:tmpl w:val="20BA07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2462C9"/>
    <w:multiLevelType w:val="hybridMultilevel"/>
    <w:tmpl w:val="774E8BA4"/>
    <w:lvl w:ilvl="0" w:tplc="743A4C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D040E39"/>
    <w:multiLevelType w:val="multilevel"/>
    <w:tmpl w:val="859415AC"/>
    <w:lvl w:ilvl="0">
      <w:start w:val="7"/>
      <w:numFmt w:val="decimal"/>
      <w:lvlText w:val="%1."/>
      <w:lvlJc w:val="left"/>
      <w:pPr>
        <w:ind w:left="720" w:hanging="360"/>
      </w:pPr>
      <w:rPr>
        <w:rFonts w:hint="default"/>
      </w:rPr>
    </w:lvl>
    <w:lvl w:ilvl="1">
      <w:start w:val="1"/>
      <w:numFmt w:val="decimal"/>
      <w:isLgl/>
      <w:lvlText w:val="%1.%2"/>
      <w:lvlJc w:val="left"/>
      <w:pPr>
        <w:ind w:left="682" w:hanging="54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6D2287"/>
    <w:multiLevelType w:val="hybridMultilevel"/>
    <w:tmpl w:val="77D81430"/>
    <w:lvl w:ilvl="0" w:tplc="EF124F74">
      <w:start w:val="1"/>
      <w:numFmt w:val="bullet"/>
      <w:lvlText w:val="-"/>
      <w:lvlJc w:val="left"/>
      <w:pPr>
        <w:ind w:left="562" w:hanging="425"/>
      </w:pPr>
      <w:rPr>
        <w:rFonts w:ascii="Calibri" w:eastAsia="Calibri" w:hAnsi="Calibri" w:hint="default"/>
        <w:sz w:val="22"/>
        <w:szCs w:val="22"/>
      </w:rPr>
    </w:lvl>
    <w:lvl w:ilvl="1" w:tplc="7DD0FC12">
      <w:start w:val="1"/>
      <w:numFmt w:val="bullet"/>
      <w:lvlText w:val="•"/>
      <w:lvlJc w:val="left"/>
      <w:pPr>
        <w:ind w:left="1044" w:hanging="425"/>
      </w:pPr>
      <w:rPr>
        <w:rFonts w:hint="default"/>
      </w:rPr>
    </w:lvl>
    <w:lvl w:ilvl="2" w:tplc="F1F624C0">
      <w:start w:val="1"/>
      <w:numFmt w:val="bullet"/>
      <w:lvlText w:val="•"/>
      <w:lvlJc w:val="left"/>
      <w:pPr>
        <w:ind w:left="1526" w:hanging="425"/>
      </w:pPr>
      <w:rPr>
        <w:rFonts w:hint="default"/>
      </w:rPr>
    </w:lvl>
    <w:lvl w:ilvl="3" w:tplc="1EEEEAB4">
      <w:start w:val="1"/>
      <w:numFmt w:val="bullet"/>
      <w:lvlText w:val="•"/>
      <w:lvlJc w:val="left"/>
      <w:pPr>
        <w:ind w:left="2008" w:hanging="425"/>
      </w:pPr>
      <w:rPr>
        <w:rFonts w:hint="default"/>
      </w:rPr>
    </w:lvl>
    <w:lvl w:ilvl="4" w:tplc="C1A089EA">
      <w:start w:val="1"/>
      <w:numFmt w:val="bullet"/>
      <w:lvlText w:val="•"/>
      <w:lvlJc w:val="left"/>
      <w:pPr>
        <w:ind w:left="2490" w:hanging="425"/>
      </w:pPr>
      <w:rPr>
        <w:rFonts w:hint="default"/>
      </w:rPr>
    </w:lvl>
    <w:lvl w:ilvl="5" w:tplc="7476679E">
      <w:start w:val="1"/>
      <w:numFmt w:val="bullet"/>
      <w:lvlText w:val="•"/>
      <w:lvlJc w:val="left"/>
      <w:pPr>
        <w:ind w:left="2973" w:hanging="425"/>
      </w:pPr>
      <w:rPr>
        <w:rFonts w:hint="default"/>
      </w:rPr>
    </w:lvl>
    <w:lvl w:ilvl="6" w:tplc="7408B9E8">
      <w:start w:val="1"/>
      <w:numFmt w:val="bullet"/>
      <w:lvlText w:val="•"/>
      <w:lvlJc w:val="left"/>
      <w:pPr>
        <w:ind w:left="3455" w:hanging="425"/>
      </w:pPr>
      <w:rPr>
        <w:rFonts w:hint="default"/>
      </w:rPr>
    </w:lvl>
    <w:lvl w:ilvl="7" w:tplc="6C78B614">
      <w:start w:val="1"/>
      <w:numFmt w:val="bullet"/>
      <w:lvlText w:val="•"/>
      <w:lvlJc w:val="left"/>
      <w:pPr>
        <w:ind w:left="3937" w:hanging="425"/>
      </w:pPr>
      <w:rPr>
        <w:rFonts w:hint="default"/>
      </w:rPr>
    </w:lvl>
    <w:lvl w:ilvl="8" w:tplc="A4142578">
      <w:start w:val="1"/>
      <w:numFmt w:val="bullet"/>
      <w:lvlText w:val="•"/>
      <w:lvlJc w:val="left"/>
      <w:pPr>
        <w:ind w:left="4419" w:hanging="425"/>
      </w:pPr>
      <w:rPr>
        <w:rFonts w:hint="default"/>
      </w:rPr>
    </w:lvl>
  </w:abstractNum>
  <w:abstractNum w:abstractNumId="5" w15:restartNumberingAfterBreak="0">
    <w:nsid w:val="15464D58"/>
    <w:multiLevelType w:val="hybridMultilevel"/>
    <w:tmpl w:val="E4760D2C"/>
    <w:lvl w:ilvl="0" w:tplc="8C62F8A8">
      <w:start w:val="1"/>
      <w:numFmt w:val="decimal"/>
      <w:lvlText w:val="%1)"/>
      <w:lvlJc w:val="left"/>
      <w:pPr>
        <w:ind w:left="1020" w:hanging="360"/>
      </w:pPr>
    </w:lvl>
    <w:lvl w:ilvl="1" w:tplc="F9D8686A">
      <w:start w:val="1"/>
      <w:numFmt w:val="decimal"/>
      <w:lvlText w:val="%2)"/>
      <w:lvlJc w:val="left"/>
      <w:pPr>
        <w:ind w:left="1020" w:hanging="360"/>
      </w:pPr>
    </w:lvl>
    <w:lvl w:ilvl="2" w:tplc="1EDE7DDC">
      <w:start w:val="1"/>
      <w:numFmt w:val="decimal"/>
      <w:lvlText w:val="%3)"/>
      <w:lvlJc w:val="left"/>
      <w:pPr>
        <w:ind w:left="1020" w:hanging="360"/>
      </w:pPr>
    </w:lvl>
    <w:lvl w:ilvl="3" w:tplc="D0A84A08">
      <w:start w:val="1"/>
      <w:numFmt w:val="decimal"/>
      <w:lvlText w:val="%4)"/>
      <w:lvlJc w:val="left"/>
      <w:pPr>
        <w:ind w:left="1020" w:hanging="360"/>
      </w:pPr>
    </w:lvl>
    <w:lvl w:ilvl="4" w:tplc="96FE26C4">
      <w:start w:val="1"/>
      <w:numFmt w:val="decimal"/>
      <w:lvlText w:val="%5)"/>
      <w:lvlJc w:val="left"/>
      <w:pPr>
        <w:ind w:left="1020" w:hanging="360"/>
      </w:pPr>
    </w:lvl>
    <w:lvl w:ilvl="5" w:tplc="B9265FC6">
      <w:start w:val="1"/>
      <w:numFmt w:val="decimal"/>
      <w:lvlText w:val="%6)"/>
      <w:lvlJc w:val="left"/>
      <w:pPr>
        <w:ind w:left="1020" w:hanging="360"/>
      </w:pPr>
    </w:lvl>
    <w:lvl w:ilvl="6" w:tplc="CE484F2E">
      <w:start w:val="1"/>
      <w:numFmt w:val="decimal"/>
      <w:lvlText w:val="%7)"/>
      <w:lvlJc w:val="left"/>
      <w:pPr>
        <w:ind w:left="1020" w:hanging="360"/>
      </w:pPr>
    </w:lvl>
    <w:lvl w:ilvl="7" w:tplc="F6C0D576">
      <w:start w:val="1"/>
      <w:numFmt w:val="decimal"/>
      <w:lvlText w:val="%8)"/>
      <w:lvlJc w:val="left"/>
      <w:pPr>
        <w:ind w:left="1020" w:hanging="360"/>
      </w:pPr>
    </w:lvl>
    <w:lvl w:ilvl="8" w:tplc="C1FC9CF4">
      <w:start w:val="1"/>
      <w:numFmt w:val="decimal"/>
      <w:lvlText w:val="%9)"/>
      <w:lvlJc w:val="left"/>
      <w:pPr>
        <w:ind w:left="1020" w:hanging="360"/>
      </w:pPr>
    </w:lvl>
  </w:abstractNum>
  <w:abstractNum w:abstractNumId="6"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1BC9184A"/>
    <w:multiLevelType w:val="hybridMultilevel"/>
    <w:tmpl w:val="1D220666"/>
    <w:lvl w:ilvl="0" w:tplc="E90E838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C674800"/>
    <w:multiLevelType w:val="hybridMultilevel"/>
    <w:tmpl w:val="E10659D0"/>
    <w:lvl w:ilvl="0" w:tplc="0A20E004">
      <w:start w:val="1"/>
      <w:numFmt w:val="bullet"/>
      <w:lvlText w:val="-"/>
      <w:lvlJc w:val="left"/>
      <w:pPr>
        <w:ind w:left="562" w:hanging="425"/>
      </w:pPr>
      <w:rPr>
        <w:rFonts w:ascii="Calibri" w:eastAsia="Calibri" w:hAnsi="Calibri" w:hint="default"/>
        <w:sz w:val="22"/>
        <w:szCs w:val="22"/>
      </w:rPr>
    </w:lvl>
    <w:lvl w:ilvl="1" w:tplc="9EAE0DD6">
      <w:start w:val="1"/>
      <w:numFmt w:val="bullet"/>
      <w:lvlText w:val="•"/>
      <w:lvlJc w:val="left"/>
      <w:pPr>
        <w:ind w:left="1044" w:hanging="425"/>
      </w:pPr>
      <w:rPr>
        <w:rFonts w:hint="default"/>
      </w:rPr>
    </w:lvl>
    <w:lvl w:ilvl="2" w:tplc="34F63A72">
      <w:start w:val="1"/>
      <w:numFmt w:val="bullet"/>
      <w:lvlText w:val="•"/>
      <w:lvlJc w:val="left"/>
      <w:pPr>
        <w:ind w:left="1526" w:hanging="425"/>
      </w:pPr>
      <w:rPr>
        <w:rFonts w:hint="default"/>
      </w:rPr>
    </w:lvl>
    <w:lvl w:ilvl="3" w:tplc="9FFAC8E6">
      <w:start w:val="1"/>
      <w:numFmt w:val="bullet"/>
      <w:lvlText w:val="•"/>
      <w:lvlJc w:val="left"/>
      <w:pPr>
        <w:ind w:left="2008" w:hanging="425"/>
      </w:pPr>
      <w:rPr>
        <w:rFonts w:hint="default"/>
      </w:rPr>
    </w:lvl>
    <w:lvl w:ilvl="4" w:tplc="B142AF4E">
      <w:start w:val="1"/>
      <w:numFmt w:val="bullet"/>
      <w:lvlText w:val="•"/>
      <w:lvlJc w:val="left"/>
      <w:pPr>
        <w:ind w:left="2490" w:hanging="425"/>
      </w:pPr>
      <w:rPr>
        <w:rFonts w:hint="default"/>
      </w:rPr>
    </w:lvl>
    <w:lvl w:ilvl="5" w:tplc="CB5C2D3E">
      <w:start w:val="1"/>
      <w:numFmt w:val="bullet"/>
      <w:lvlText w:val="•"/>
      <w:lvlJc w:val="left"/>
      <w:pPr>
        <w:ind w:left="2973" w:hanging="425"/>
      </w:pPr>
      <w:rPr>
        <w:rFonts w:hint="default"/>
      </w:rPr>
    </w:lvl>
    <w:lvl w:ilvl="6" w:tplc="FCEECD72">
      <w:start w:val="1"/>
      <w:numFmt w:val="bullet"/>
      <w:lvlText w:val="•"/>
      <w:lvlJc w:val="left"/>
      <w:pPr>
        <w:ind w:left="3455" w:hanging="425"/>
      </w:pPr>
      <w:rPr>
        <w:rFonts w:hint="default"/>
      </w:rPr>
    </w:lvl>
    <w:lvl w:ilvl="7" w:tplc="3A5089D8">
      <w:start w:val="1"/>
      <w:numFmt w:val="bullet"/>
      <w:lvlText w:val="•"/>
      <w:lvlJc w:val="left"/>
      <w:pPr>
        <w:ind w:left="3937" w:hanging="425"/>
      </w:pPr>
      <w:rPr>
        <w:rFonts w:hint="default"/>
      </w:rPr>
    </w:lvl>
    <w:lvl w:ilvl="8" w:tplc="A716681A">
      <w:start w:val="1"/>
      <w:numFmt w:val="bullet"/>
      <w:lvlText w:val="•"/>
      <w:lvlJc w:val="left"/>
      <w:pPr>
        <w:ind w:left="4419" w:hanging="425"/>
      </w:pPr>
      <w:rPr>
        <w:rFonts w:hint="default"/>
      </w:rPr>
    </w:lvl>
  </w:abstractNum>
  <w:abstractNum w:abstractNumId="9" w15:restartNumberingAfterBreak="0">
    <w:nsid w:val="1D8C3D45"/>
    <w:multiLevelType w:val="hybridMultilevel"/>
    <w:tmpl w:val="51CC7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0D3FE6"/>
    <w:multiLevelType w:val="hybridMultilevel"/>
    <w:tmpl w:val="220476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AB49F9"/>
    <w:multiLevelType w:val="multilevel"/>
    <w:tmpl w:val="56F8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C34F0"/>
    <w:multiLevelType w:val="hybridMultilevel"/>
    <w:tmpl w:val="1A4A10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E94EFF"/>
    <w:multiLevelType w:val="hybridMultilevel"/>
    <w:tmpl w:val="B762C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215640"/>
    <w:multiLevelType w:val="hybridMultilevel"/>
    <w:tmpl w:val="497C6A54"/>
    <w:lvl w:ilvl="0" w:tplc="8162088E">
      <w:start w:val="1"/>
      <w:numFmt w:val="decimal"/>
      <w:lvlText w:val="%1)"/>
      <w:lvlJc w:val="left"/>
      <w:pPr>
        <w:ind w:left="1020" w:hanging="360"/>
      </w:pPr>
    </w:lvl>
    <w:lvl w:ilvl="1" w:tplc="844A7E60">
      <w:start w:val="1"/>
      <w:numFmt w:val="decimal"/>
      <w:lvlText w:val="%2)"/>
      <w:lvlJc w:val="left"/>
      <w:pPr>
        <w:ind w:left="1020" w:hanging="360"/>
      </w:pPr>
    </w:lvl>
    <w:lvl w:ilvl="2" w:tplc="B5E6E482">
      <w:start w:val="1"/>
      <w:numFmt w:val="decimal"/>
      <w:lvlText w:val="%3)"/>
      <w:lvlJc w:val="left"/>
      <w:pPr>
        <w:ind w:left="1020" w:hanging="360"/>
      </w:pPr>
    </w:lvl>
    <w:lvl w:ilvl="3" w:tplc="CB5AB6B4">
      <w:start w:val="1"/>
      <w:numFmt w:val="decimal"/>
      <w:lvlText w:val="%4)"/>
      <w:lvlJc w:val="left"/>
      <w:pPr>
        <w:ind w:left="1020" w:hanging="360"/>
      </w:pPr>
    </w:lvl>
    <w:lvl w:ilvl="4" w:tplc="A148EC6E">
      <w:start w:val="1"/>
      <w:numFmt w:val="decimal"/>
      <w:lvlText w:val="%5)"/>
      <w:lvlJc w:val="left"/>
      <w:pPr>
        <w:ind w:left="1020" w:hanging="360"/>
      </w:pPr>
    </w:lvl>
    <w:lvl w:ilvl="5" w:tplc="DC506986">
      <w:start w:val="1"/>
      <w:numFmt w:val="decimal"/>
      <w:lvlText w:val="%6)"/>
      <w:lvlJc w:val="left"/>
      <w:pPr>
        <w:ind w:left="1020" w:hanging="360"/>
      </w:pPr>
    </w:lvl>
    <w:lvl w:ilvl="6" w:tplc="C1CC44B2">
      <w:start w:val="1"/>
      <w:numFmt w:val="decimal"/>
      <w:lvlText w:val="%7)"/>
      <w:lvlJc w:val="left"/>
      <w:pPr>
        <w:ind w:left="1020" w:hanging="360"/>
      </w:pPr>
    </w:lvl>
    <w:lvl w:ilvl="7" w:tplc="E0DE4A74">
      <w:start w:val="1"/>
      <w:numFmt w:val="decimal"/>
      <w:lvlText w:val="%8)"/>
      <w:lvlJc w:val="left"/>
      <w:pPr>
        <w:ind w:left="1020" w:hanging="360"/>
      </w:pPr>
    </w:lvl>
    <w:lvl w:ilvl="8" w:tplc="B66A9E6A">
      <w:start w:val="1"/>
      <w:numFmt w:val="decimal"/>
      <w:lvlText w:val="%9)"/>
      <w:lvlJc w:val="left"/>
      <w:pPr>
        <w:ind w:left="1020" w:hanging="360"/>
      </w:pPr>
    </w:lvl>
  </w:abstractNum>
  <w:abstractNum w:abstractNumId="15" w15:restartNumberingAfterBreak="0">
    <w:nsid w:val="494D520D"/>
    <w:multiLevelType w:val="hybridMultilevel"/>
    <w:tmpl w:val="FBBAD484"/>
    <w:lvl w:ilvl="0" w:tplc="5444236C">
      <w:start w:val="1"/>
      <w:numFmt w:val="bullet"/>
      <w:lvlText w:val="-"/>
      <w:lvlJc w:val="left"/>
      <w:pPr>
        <w:ind w:left="562" w:hanging="425"/>
      </w:pPr>
      <w:rPr>
        <w:rFonts w:ascii="Calibri" w:eastAsia="Calibri" w:hAnsi="Calibri" w:hint="default"/>
        <w:sz w:val="22"/>
        <w:szCs w:val="22"/>
      </w:rPr>
    </w:lvl>
    <w:lvl w:ilvl="1" w:tplc="2AF21206">
      <w:start w:val="1"/>
      <w:numFmt w:val="bullet"/>
      <w:lvlText w:val="•"/>
      <w:lvlJc w:val="left"/>
      <w:pPr>
        <w:ind w:left="1044" w:hanging="425"/>
      </w:pPr>
      <w:rPr>
        <w:rFonts w:hint="default"/>
      </w:rPr>
    </w:lvl>
    <w:lvl w:ilvl="2" w:tplc="BE94D9C6">
      <w:start w:val="1"/>
      <w:numFmt w:val="bullet"/>
      <w:lvlText w:val="•"/>
      <w:lvlJc w:val="left"/>
      <w:pPr>
        <w:ind w:left="1526" w:hanging="425"/>
      </w:pPr>
      <w:rPr>
        <w:rFonts w:hint="default"/>
      </w:rPr>
    </w:lvl>
    <w:lvl w:ilvl="3" w:tplc="16ECD8B4">
      <w:start w:val="1"/>
      <w:numFmt w:val="bullet"/>
      <w:lvlText w:val="•"/>
      <w:lvlJc w:val="left"/>
      <w:pPr>
        <w:ind w:left="2008" w:hanging="425"/>
      </w:pPr>
      <w:rPr>
        <w:rFonts w:hint="default"/>
      </w:rPr>
    </w:lvl>
    <w:lvl w:ilvl="4" w:tplc="ECB6C278">
      <w:start w:val="1"/>
      <w:numFmt w:val="bullet"/>
      <w:lvlText w:val="•"/>
      <w:lvlJc w:val="left"/>
      <w:pPr>
        <w:ind w:left="2490" w:hanging="425"/>
      </w:pPr>
      <w:rPr>
        <w:rFonts w:hint="default"/>
      </w:rPr>
    </w:lvl>
    <w:lvl w:ilvl="5" w:tplc="FCF4CB56">
      <w:start w:val="1"/>
      <w:numFmt w:val="bullet"/>
      <w:lvlText w:val="•"/>
      <w:lvlJc w:val="left"/>
      <w:pPr>
        <w:ind w:left="2973" w:hanging="425"/>
      </w:pPr>
      <w:rPr>
        <w:rFonts w:hint="default"/>
      </w:rPr>
    </w:lvl>
    <w:lvl w:ilvl="6" w:tplc="3DD0D6C4">
      <w:start w:val="1"/>
      <w:numFmt w:val="bullet"/>
      <w:lvlText w:val="•"/>
      <w:lvlJc w:val="left"/>
      <w:pPr>
        <w:ind w:left="3455" w:hanging="425"/>
      </w:pPr>
      <w:rPr>
        <w:rFonts w:hint="default"/>
      </w:rPr>
    </w:lvl>
    <w:lvl w:ilvl="7" w:tplc="D3B2F766">
      <w:start w:val="1"/>
      <w:numFmt w:val="bullet"/>
      <w:lvlText w:val="•"/>
      <w:lvlJc w:val="left"/>
      <w:pPr>
        <w:ind w:left="3937" w:hanging="425"/>
      </w:pPr>
      <w:rPr>
        <w:rFonts w:hint="default"/>
      </w:rPr>
    </w:lvl>
    <w:lvl w:ilvl="8" w:tplc="CB2043DC">
      <w:start w:val="1"/>
      <w:numFmt w:val="bullet"/>
      <w:lvlText w:val="•"/>
      <w:lvlJc w:val="left"/>
      <w:pPr>
        <w:ind w:left="4419" w:hanging="425"/>
      </w:pPr>
      <w:rPr>
        <w:rFonts w:hint="default"/>
      </w:rPr>
    </w:lvl>
  </w:abstractNum>
  <w:abstractNum w:abstractNumId="16" w15:restartNumberingAfterBreak="0">
    <w:nsid w:val="4C4A06F3"/>
    <w:multiLevelType w:val="hybridMultilevel"/>
    <w:tmpl w:val="978AF992"/>
    <w:lvl w:ilvl="0" w:tplc="123A81A0">
      <w:numFmt w:val="bullet"/>
      <w:lvlText w:val="-"/>
      <w:lvlJc w:val="left"/>
      <w:pPr>
        <w:ind w:left="571" w:hanging="457"/>
      </w:pPr>
      <w:rPr>
        <w:rFonts w:ascii="Calibri" w:eastAsia="Calibri" w:hAnsi="Calibri" w:cs="Calibri" w:hint="default"/>
        <w:b w:val="0"/>
        <w:bCs w:val="0"/>
        <w:i w:val="0"/>
        <w:iCs w:val="0"/>
        <w:spacing w:val="0"/>
        <w:w w:val="100"/>
        <w:sz w:val="22"/>
        <w:szCs w:val="22"/>
        <w:lang w:val="pl-PL" w:eastAsia="en-US" w:bidi="ar-SA"/>
      </w:rPr>
    </w:lvl>
    <w:lvl w:ilvl="1" w:tplc="45A40C5C">
      <w:numFmt w:val="bullet"/>
      <w:lvlText w:val="•"/>
      <w:lvlJc w:val="left"/>
      <w:pPr>
        <w:ind w:left="1060" w:hanging="457"/>
      </w:pPr>
      <w:rPr>
        <w:rFonts w:hint="default"/>
        <w:lang w:val="pl-PL" w:eastAsia="en-US" w:bidi="ar-SA"/>
      </w:rPr>
    </w:lvl>
    <w:lvl w:ilvl="2" w:tplc="A5042888">
      <w:numFmt w:val="bullet"/>
      <w:lvlText w:val="•"/>
      <w:lvlJc w:val="left"/>
      <w:pPr>
        <w:ind w:left="1540" w:hanging="457"/>
      </w:pPr>
      <w:rPr>
        <w:rFonts w:hint="default"/>
        <w:lang w:val="pl-PL" w:eastAsia="en-US" w:bidi="ar-SA"/>
      </w:rPr>
    </w:lvl>
    <w:lvl w:ilvl="3" w:tplc="42DE8B70">
      <w:numFmt w:val="bullet"/>
      <w:lvlText w:val="•"/>
      <w:lvlJc w:val="left"/>
      <w:pPr>
        <w:ind w:left="2021" w:hanging="457"/>
      </w:pPr>
      <w:rPr>
        <w:rFonts w:hint="default"/>
        <w:lang w:val="pl-PL" w:eastAsia="en-US" w:bidi="ar-SA"/>
      </w:rPr>
    </w:lvl>
    <w:lvl w:ilvl="4" w:tplc="AD8E9010">
      <w:numFmt w:val="bullet"/>
      <w:lvlText w:val="•"/>
      <w:lvlJc w:val="left"/>
      <w:pPr>
        <w:ind w:left="2501" w:hanging="457"/>
      </w:pPr>
      <w:rPr>
        <w:rFonts w:hint="default"/>
        <w:lang w:val="pl-PL" w:eastAsia="en-US" w:bidi="ar-SA"/>
      </w:rPr>
    </w:lvl>
    <w:lvl w:ilvl="5" w:tplc="22849F02">
      <w:numFmt w:val="bullet"/>
      <w:lvlText w:val="•"/>
      <w:lvlJc w:val="left"/>
      <w:pPr>
        <w:ind w:left="2982" w:hanging="457"/>
      </w:pPr>
      <w:rPr>
        <w:rFonts w:hint="default"/>
        <w:lang w:val="pl-PL" w:eastAsia="en-US" w:bidi="ar-SA"/>
      </w:rPr>
    </w:lvl>
    <w:lvl w:ilvl="6" w:tplc="8BACA5F2">
      <w:numFmt w:val="bullet"/>
      <w:lvlText w:val="•"/>
      <w:lvlJc w:val="left"/>
      <w:pPr>
        <w:ind w:left="3462" w:hanging="457"/>
      </w:pPr>
      <w:rPr>
        <w:rFonts w:hint="default"/>
        <w:lang w:val="pl-PL" w:eastAsia="en-US" w:bidi="ar-SA"/>
      </w:rPr>
    </w:lvl>
    <w:lvl w:ilvl="7" w:tplc="AF0ABABA">
      <w:numFmt w:val="bullet"/>
      <w:lvlText w:val="•"/>
      <w:lvlJc w:val="left"/>
      <w:pPr>
        <w:ind w:left="3942" w:hanging="457"/>
      </w:pPr>
      <w:rPr>
        <w:rFonts w:hint="default"/>
        <w:lang w:val="pl-PL" w:eastAsia="en-US" w:bidi="ar-SA"/>
      </w:rPr>
    </w:lvl>
    <w:lvl w:ilvl="8" w:tplc="026058B6">
      <w:numFmt w:val="bullet"/>
      <w:lvlText w:val="•"/>
      <w:lvlJc w:val="left"/>
      <w:pPr>
        <w:ind w:left="4423" w:hanging="457"/>
      </w:pPr>
      <w:rPr>
        <w:rFonts w:hint="default"/>
        <w:lang w:val="pl-PL" w:eastAsia="en-US" w:bidi="ar-SA"/>
      </w:rPr>
    </w:lvl>
  </w:abstractNum>
  <w:abstractNum w:abstractNumId="17" w15:restartNumberingAfterBreak="0">
    <w:nsid w:val="4D3F3D63"/>
    <w:multiLevelType w:val="hybridMultilevel"/>
    <w:tmpl w:val="173A6AC6"/>
    <w:lvl w:ilvl="0" w:tplc="C1C64C3C">
      <w:start w:val="1"/>
      <w:numFmt w:val="decimal"/>
      <w:lvlText w:val="%1)"/>
      <w:lvlJc w:val="left"/>
      <w:pPr>
        <w:ind w:left="3338" w:hanging="360"/>
      </w:pPr>
      <w:rPr>
        <w:rFonts w:asciiTheme="minorHAnsi" w:hAnsiTheme="minorHAnsi" w:cstheme="minorHAnsi" w:hint="default"/>
        <w:sz w:val="22"/>
        <w:szCs w:val="22"/>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8" w15:restartNumberingAfterBreak="0">
    <w:nsid w:val="54A32804"/>
    <w:multiLevelType w:val="multilevel"/>
    <w:tmpl w:val="A062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04826"/>
    <w:multiLevelType w:val="hybridMultilevel"/>
    <w:tmpl w:val="18AA6FA2"/>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5526BC"/>
    <w:multiLevelType w:val="hybridMultilevel"/>
    <w:tmpl w:val="1DE8C518"/>
    <w:lvl w:ilvl="0" w:tplc="E488EA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8C704B"/>
    <w:multiLevelType w:val="hybridMultilevel"/>
    <w:tmpl w:val="80083FB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3580A"/>
    <w:multiLevelType w:val="hybridMultilevel"/>
    <w:tmpl w:val="65248C88"/>
    <w:lvl w:ilvl="0" w:tplc="DC40218A">
      <w:start w:val="1"/>
      <w:numFmt w:val="bullet"/>
      <w:lvlText w:val="-"/>
      <w:lvlJc w:val="left"/>
      <w:pPr>
        <w:ind w:left="562" w:hanging="425"/>
      </w:pPr>
      <w:rPr>
        <w:rFonts w:ascii="Calibri" w:eastAsia="Calibri" w:hAnsi="Calibri" w:hint="default"/>
        <w:sz w:val="22"/>
        <w:szCs w:val="22"/>
      </w:rPr>
    </w:lvl>
    <w:lvl w:ilvl="1" w:tplc="359C0EB8">
      <w:start w:val="1"/>
      <w:numFmt w:val="bullet"/>
      <w:lvlText w:val="•"/>
      <w:lvlJc w:val="left"/>
      <w:pPr>
        <w:ind w:left="1044" w:hanging="425"/>
      </w:pPr>
      <w:rPr>
        <w:rFonts w:hint="default"/>
      </w:rPr>
    </w:lvl>
    <w:lvl w:ilvl="2" w:tplc="0F14BA02">
      <w:start w:val="1"/>
      <w:numFmt w:val="bullet"/>
      <w:lvlText w:val="•"/>
      <w:lvlJc w:val="left"/>
      <w:pPr>
        <w:ind w:left="1526" w:hanging="425"/>
      </w:pPr>
      <w:rPr>
        <w:rFonts w:hint="default"/>
      </w:rPr>
    </w:lvl>
    <w:lvl w:ilvl="3" w:tplc="69E4C186">
      <w:start w:val="1"/>
      <w:numFmt w:val="bullet"/>
      <w:lvlText w:val="•"/>
      <w:lvlJc w:val="left"/>
      <w:pPr>
        <w:ind w:left="2008" w:hanging="425"/>
      </w:pPr>
      <w:rPr>
        <w:rFonts w:hint="default"/>
      </w:rPr>
    </w:lvl>
    <w:lvl w:ilvl="4" w:tplc="BEDEC4C0">
      <w:start w:val="1"/>
      <w:numFmt w:val="bullet"/>
      <w:lvlText w:val="•"/>
      <w:lvlJc w:val="left"/>
      <w:pPr>
        <w:ind w:left="2490" w:hanging="425"/>
      </w:pPr>
      <w:rPr>
        <w:rFonts w:hint="default"/>
      </w:rPr>
    </w:lvl>
    <w:lvl w:ilvl="5" w:tplc="AF7255C0">
      <w:start w:val="1"/>
      <w:numFmt w:val="bullet"/>
      <w:lvlText w:val="•"/>
      <w:lvlJc w:val="left"/>
      <w:pPr>
        <w:ind w:left="2973" w:hanging="425"/>
      </w:pPr>
      <w:rPr>
        <w:rFonts w:hint="default"/>
      </w:rPr>
    </w:lvl>
    <w:lvl w:ilvl="6" w:tplc="27A8ADEE">
      <w:start w:val="1"/>
      <w:numFmt w:val="bullet"/>
      <w:lvlText w:val="•"/>
      <w:lvlJc w:val="left"/>
      <w:pPr>
        <w:ind w:left="3455" w:hanging="425"/>
      </w:pPr>
      <w:rPr>
        <w:rFonts w:hint="default"/>
      </w:rPr>
    </w:lvl>
    <w:lvl w:ilvl="7" w:tplc="18DE82C2">
      <w:start w:val="1"/>
      <w:numFmt w:val="bullet"/>
      <w:lvlText w:val="•"/>
      <w:lvlJc w:val="left"/>
      <w:pPr>
        <w:ind w:left="3937" w:hanging="425"/>
      </w:pPr>
      <w:rPr>
        <w:rFonts w:hint="default"/>
      </w:rPr>
    </w:lvl>
    <w:lvl w:ilvl="8" w:tplc="C7522C94">
      <w:start w:val="1"/>
      <w:numFmt w:val="bullet"/>
      <w:lvlText w:val="•"/>
      <w:lvlJc w:val="left"/>
      <w:pPr>
        <w:ind w:left="4419" w:hanging="425"/>
      </w:pPr>
      <w:rPr>
        <w:rFonts w:hint="default"/>
      </w:rPr>
    </w:lvl>
  </w:abstractNum>
  <w:abstractNum w:abstractNumId="23" w15:restartNumberingAfterBreak="0">
    <w:nsid w:val="6BE50228"/>
    <w:multiLevelType w:val="hybridMultilevel"/>
    <w:tmpl w:val="C5EC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111A45"/>
    <w:multiLevelType w:val="hybridMultilevel"/>
    <w:tmpl w:val="DB747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A419CF"/>
    <w:multiLevelType w:val="hybridMultilevel"/>
    <w:tmpl w:val="7EDEA676"/>
    <w:lvl w:ilvl="0" w:tplc="E90E83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FF38DA"/>
    <w:multiLevelType w:val="hybridMultilevel"/>
    <w:tmpl w:val="1B865696"/>
    <w:lvl w:ilvl="0" w:tplc="E90E838C">
      <w:start w:val="1"/>
      <w:numFmt w:val="bullet"/>
      <w:lvlText w:val=""/>
      <w:lvlJc w:val="left"/>
      <w:pPr>
        <w:ind w:left="562" w:hanging="425"/>
      </w:pPr>
      <w:rPr>
        <w:rFonts w:ascii="Symbol" w:hAnsi="Symbol" w:hint="default"/>
        <w:sz w:val="22"/>
        <w:szCs w:val="22"/>
      </w:rPr>
    </w:lvl>
    <w:lvl w:ilvl="1" w:tplc="FFFFFFFF">
      <w:start w:val="1"/>
      <w:numFmt w:val="bullet"/>
      <w:lvlText w:val="•"/>
      <w:lvlJc w:val="left"/>
      <w:pPr>
        <w:ind w:left="1044" w:hanging="425"/>
      </w:pPr>
      <w:rPr>
        <w:rFonts w:hint="default"/>
      </w:rPr>
    </w:lvl>
    <w:lvl w:ilvl="2" w:tplc="FFFFFFFF">
      <w:start w:val="1"/>
      <w:numFmt w:val="bullet"/>
      <w:lvlText w:val="•"/>
      <w:lvlJc w:val="left"/>
      <w:pPr>
        <w:ind w:left="1526" w:hanging="425"/>
      </w:pPr>
      <w:rPr>
        <w:rFonts w:hint="default"/>
      </w:rPr>
    </w:lvl>
    <w:lvl w:ilvl="3" w:tplc="FFFFFFFF">
      <w:start w:val="1"/>
      <w:numFmt w:val="bullet"/>
      <w:lvlText w:val="•"/>
      <w:lvlJc w:val="left"/>
      <w:pPr>
        <w:ind w:left="2008" w:hanging="425"/>
      </w:pPr>
      <w:rPr>
        <w:rFonts w:hint="default"/>
      </w:rPr>
    </w:lvl>
    <w:lvl w:ilvl="4" w:tplc="FFFFFFFF">
      <w:start w:val="1"/>
      <w:numFmt w:val="bullet"/>
      <w:lvlText w:val="•"/>
      <w:lvlJc w:val="left"/>
      <w:pPr>
        <w:ind w:left="2490" w:hanging="425"/>
      </w:pPr>
      <w:rPr>
        <w:rFonts w:hint="default"/>
      </w:rPr>
    </w:lvl>
    <w:lvl w:ilvl="5" w:tplc="FFFFFFFF">
      <w:start w:val="1"/>
      <w:numFmt w:val="bullet"/>
      <w:lvlText w:val="•"/>
      <w:lvlJc w:val="left"/>
      <w:pPr>
        <w:ind w:left="2973" w:hanging="425"/>
      </w:pPr>
      <w:rPr>
        <w:rFonts w:hint="default"/>
      </w:rPr>
    </w:lvl>
    <w:lvl w:ilvl="6" w:tplc="FFFFFFFF">
      <w:start w:val="1"/>
      <w:numFmt w:val="bullet"/>
      <w:lvlText w:val="•"/>
      <w:lvlJc w:val="left"/>
      <w:pPr>
        <w:ind w:left="3455" w:hanging="425"/>
      </w:pPr>
      <w:rPr>
        <w:rFonts w:hint="default"/>
      </w:rPr>
    </w:lvl>
    <w:lvl w:ilvl="7" w:tplc="FFFFFFFF">
      <w:start w:val="1"/>
      <w:numFmt w:val="bullet"/>
      <w:lvlText w:val="•"/>
      <w:lvlJc w:val="left"/>
      <w:pPr>
        <w:ind w:left="3937" w:hanging="425"/>
      </w:pPr>
      <w:rPr>
        <w:rFonts w:hint="default"/>
      </w:rPr>
    </w:lvl>
    <w:lvl w:ilvl="8" w:tplc="FFFFFFFF">
      <w:start w:val="1"/>
      <w:numFmt w:val="bullet"/>
      <w:lvlText w:val="•"/>
      <w:lvlJc w:val="left"/>
      <w:pPr>
        <w:ind w:left="4419" w:hanging="425"/>
      </w:pPr>
      <w:rPr>
        <w:rFonts w:hint="default"/>
      </w:rPr>
    </w:lvl>
  </w:abstractNum>
  <w:abstractNum w:abstractNumId="27" w15:restartNumberingAfterBreak="0">
    <w:nsid w:val="74BF22AB"/>
    <w:multiLevelType w:val="hybridMultilevel"/>
    <w:tmpl w:val="7332C90E"/>
    <w:lvl w:ilvl="0" w:tplc="C3ECDD0E">
      <w:start w:val="1"/>
      <w:numFmt w:val="bullet"/>
      <w:lvlText w:val="-"/>
      <w:lvlJc w:val="left"/>
      <w:pPr>
        <w:ind w:left="562" w:hanging="425"/>
      </w:pPr>
      <w:rPr>
        <w:rFonts w:ascii="Calibri" w:eastAsia="Calibri" w:hAnsi="Calibri" w:hint="default"/>
        <w:sz w:val="22"/>
        <w:szCs w:val="22"/>
      </w:rPr>
    </w:lvl>
    <w:lvl w:ilvl="1" w:tplc="ED36DB9A">
      <w:start w:val="1"/>
      <w:numFmt w:val="bullet"/>
      <w:lvlText w:val="•"/>
      <w:lvlJc w:val="left"/>
      <w:pPr>
        <w:ind w:left="1044" w:hanging="425"/>
      </w:pPr>
      <w:rPr>
        <w:rFonts w:hint="default"/>
      </w:rPr>
    </w:lvl>
    <w:lvl w:ilvl="2" w:tplc="23FAA22E">
      <w:start w:val="1"/>
      <w:numFmt w:val="bullet"/>
      <w:lvlText w:val="•"/>
      <w:lvlJc w:val="left"/>
      <w:pPr>
        <w:ind w:left="1526" w:hanging="425"/>
      </w:pPr>
      <w:rPr>
        <w:rFonts w:hint="default"/>
      </w:rPr>
    </w:lvl>
    <w:lvl w:ilvl="3" w:tplc="5038D876">
      <w:start w:val="1"/>
      <w:numFmt w:val="bullet"/>
      <w:lvlText w:val="•"/>
      <w:lvlJc w:val="left"/>
      <w:pPr>
        <w:ind w:left="2008" w:hanging="425"/>
      </w:pPr>
      <w:rPr>
        <w:rFonts w:hint="default"/>
      </w:rPr>
    </w:lvl>
    <w:lvl w:ilvl="4" w:tplc="D472A10A">
      <w:start w:val="1"/>
      <w:numFmt w:val="bullet"/>
      <w:lvlText w:val="•"/>
      <w:lvlJc w:val="left"/>
      <w:pPr>
        <w:ind w:left="2490" w:hanging="425"/>
      </w:pPr>
      <w:rPr>
        <w:rFonts w:hint="default"/>
      </w:rPr>
    </w:lvl>
    <w:lvl w:ilvl="5" w:tplc="8006F1AA">
      <w:start w:val="1"/>
      <w:numFmt w:val="bullet"/>
      <w:lvlText w:val="•"/>
      <w:lvlJc w:val="left"/>
      <w:pPr>
        <w:ind w:left="2973" w:hanging="425"/>
      </w:pPr>
      <w:rPr>
        <w:rFonts w:hint="default"/>
      </w:rPr>
    </w:lvl>
    <w:lvl w:ilvl="6" w:tplc="8D0EE0DC">
      <w:start w:val="1"/>
      <w:numFmt w:val="bullet"/>
      <w:lvlText w:val="•"/>
      <w:lvlJc w:val="left"/>
      <w:pPr>
        <w:ind w:left="3455" w:hanging="425"/>
      </w:pPr>
      <w:rPr>
        <w:rFonts w:hint="default"/>
      </w:rPr>
    </w:lvl>
    <w:lvl w:ilvl="7" w:tplc="0CB24F5E">
      <w:start w:val="1"/>
      <w:numFmt w:val="bullet"/>
      <w:lvlText w:val="•"/>
      <w:lvlJc w:val="left"/>
      <w:pPr>
        <w:ind w:left="3937" w:hanging="425"/>
      </w:pPr>
      <w:rPr>
        <w:rFonts w:hint="default"/>
      </w:rPr>
    </w:lvl>
    <w:lvl w:ilvl="8" w:tplc="51DCE8D6">
      <w:start w:val="1"/>
      <w:numFmt w:val="bullet"/>
      <w:lvlText w:val="•"/>
      <w:lvlJc w:val="left"/>
      <w:pPr>
        <w:ind w:left="4419" w:hanging="425"/>
      </w:pPr>
      <w:rPr>
        <w:rFonts w:hint="default"/>
      </w:rPr>
    </w:lvl>
  </w:abstractNum>
  <w:abstractNum w:abstractNumId="28" w15:restartNumberingAfterBreak="0">
    <w:nsid w:val="76B2580D"/>
    <w:multiLevelType w:val="hybridMultilevel"/>
    <w:tmpl w:val="43126146"/>
    <w:lvl w:ilvl="0" w:tplc="39FCF5A6">
      <w:start w:val="1"/>
      <w:numFmt w:val="bullet"/>
      <w:lvlText w:val="-"/>
      <w:lvlJc w:val="left"/>
      <w:pPr>
        <w:ind w:left="562" w:hanging="425"/>
      </w:pPr>
      <w:rPr>
        <w:rFonts w:ascii="Calibri" w:eastAsia="Calibri" w:hAnsi="Calibri" w:hint="default"/>
        <w:sz w:val="22"/>
        <w:szCs w:val="22"/>
      </w:rPr>
    </w:lvl>
    <w:lvl w:ilvl="1" w:tplc="9A68066A">
      <w:start w:val="1"/>
      <w:numFmt w:val="bullet"/>
      <w:lvlText w:val="•"/>
      <w:lvlJc w:val="left"/>
      <w:pPr>
        <w:ind w:left="1044" w:hanging="425"/>
      </w:pPr>
      <w:rPr>
        <w:rFonts w:hint="default"/>
      </w:rPr>
    </w:lvl>
    <w:lvl w:ilvl="2" w:tplc="7F8802C2">
      <w:start w:val="1"/>
      <w:numFmt w:val="bullet"/>
      <w:lvlText w:val="•"/>
      <w:lvlJc w:val="left"/>
      <w:pPr>
        <w:ind w:left="1526" w:hanging="425"/>
      </w:pPr>
      <w:rPr>
        <w:rFonts w:hint="default"/>
      </w:rPr>
    </w:lvl>
    <w:lvl w:ilvl="3" w:tplc="3CEEF07A">
      <w:start w:val="1"/>
      <w:numFmt w:val="bullet"/>
      <w:lvlText w:val="•"/>
      <w:lvlJc w:val="left"/>
      <w:pPr>
        <w:ind w:left="2008" w:hanging="425"/>
      </w:pPr>
      <w:rPr>
        <w:rFonts w:hint="default"/>
      </w:rPr>
    </w:lvl>
    <w:lvl w:ilvl="4" w:tplc="17FC8134">
      <w:start w:val="1"/>
      <w:numFmt w:val="bullet"/>
      <w:lvlText w:val="•"/>
      <w:lvlJc w:val="left"/>
      <w:pPr>
        <w:ind w:left="2490" w:hanging="425"/>
      </w:pPr>
      <w:rPr>
        <w:rFonts w:hint="default"/>
      </w:rPr>
    </w:lvl>
    <w:lvl w:ilvl="5" w:tplc="196EE79E">
      <w:start w:val="1"/>
      <w:numFmt w:val="bullet"/>
      <w:lvlText w:val="•"/>
      <w:lvlJc w:val="left"/>
      <w:pPr>
        <w:ind w:left="2973" w:hanging="425"/>
      </w:pPr>
      <w:rPr>
        <w:rFonts w:hint="default"/>
      </w:rPr>
    </w:lvl>
    <w:lvl w:ilvl="6" w:tplc="4BC8ACD2">
      <w:start w:val="1"/>
      <w:numFmt w:val="bullet"/>
      <w:lvlText w:val="•"/>
      <w:lvlJc w:val="left"/>
      <w:pPr>
        <w:ind w:left="3455" w:hanging="425"/>
      </w:pPr>
      <w:rPr>
        <w:rFonts w:hint="default"/>
      </w:rPr>
    </w:lvl>
    <w:lvl w:ilvl="7" w:tplc="77BE1B1C">
      <w:start w:val="1"/>
      <w:numFmt w:val="bullet"/>
      <w:lvlText w:val="•"/>
      <w:lvlJc w:val="left"/>
      <w:pPr>
        <w:ind w:left="3937" w:hanging="425"/>
      </w:pPr>
      <w:rPr>
        <w:rFonts w:hint="default"/>
      </w:rPr>
    </w:lvl>
    <w:lvl w:ilvl="8" w:tplc="884E7894">
      <w:start w:val="1"/>
      <w:numFmt w:val="bullet"/>
      <w:lvlText w:val="•"/>
      <w:lvlJc w:val="left"/>
      <w:pPr>
        <w:ind w:left="4419" w:hanging="425"/>
      </w:pPr>
      <w:rPr>
        <w:rFonts w:hint="default"/>
      </w:rPr>
    </w:lvl>
  </w:abstractNum>
  <w:abstractNum w:abstractNumId="29" w15:restartNumberingAfterBreak="0">
    <w:nsid w:val="7A29565F"/>
    <w:multiLevelType w:val="hybridMultilevel"/>
    <w:tmpl w:val="B094A6E2"/>
    <w:lvl w:ilvl="0" w:tplc="C868B7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FB054AC"/>
    <w:multiLevelType w:val="hybridMultilevel"/>
    <w:tmpl w:val="DB7478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1556587">
    <w:abstractNumId w:val="6"/>
  </w:num>
  <w:num w:numId="2" w16cid:durableId="1262764329">
    <w:abstractNumId w:val="1"/>
  </w:num>
  <w:num w:numId="3" w16cid:durableId="331227687">
    <w:abstractNumId w:val="3"/>
  </w:num>
  <w:num w:numId="4" w16cid:durableId="430976978">
    <w:abstractNumId w:val="20"/>
  </w:num>
  <w:num w:numId="5" w16cid:durableId="556354745">
    <w:abstractNumId w:val="17"/>
  </w:num>
  <w:num w:numId="6" w16cid:durableId="717625257">
    <w:abstractNumId w:val="2"/>
  </w:num>
  <w:num w:numId="7" w16cid:durableId="1833057343">
    <w:abstractNumId w:val="8"/>
  </w:num>
  <w:num w:numId="8" w16cid:durableId="518858177">
    <w:abstractNumId w:val="22"/>
  </w:num>
  <w:num w:numId="9" w16cid:durableId="181553680">
    <w:abstractNumId w:val="15"/>
  </w:num>
  <w:num w:numId="10" w16cid:durableId="431515911">
    <w:abstractNumId w:val="4"/>
  </w:num>
  <w:num w:numId="11" w16cid:durableId="1162620447">
    <w:abstractNumId w:val="27"/>
  </w:num>
  <w:num w:numId="12" w16cid:durableId="7102043">
    <w:abstractNumId w:val="28"/>
  </w:num>
  <w:num w:numId="13" w16cid:durableId="95945245">
    <w:abstractNumId w:val="7"/>
  </w:num>
  <w:num w:numId="14" w16cid:durableId="837691887">
    <w:abstractNumId w:val="14"/>
  </w:num>
  <w:num w:numId="15" w16cid:durableId="2034063587">
    <w:abstractNumId w:val="5"/>
  </w:num>
  <w:num w:numId="16" w16cid:durableId="28380289">
    <w:abstractNumId w:val="19"/>
  </w:num>
  <w:num w:numId="17" w16cid:durableId="78646115">
    <w:abstractNumId w:val="25"/>
  </w:num>
  <w:num w:numId="18" w16cid:durableId="497813648">
    <w:abstractNumId w:val="26"/>
  </w:num>
  <w:num w:numId="19" w16cid:durableId="1766072649">
    <w:abstractNumId w:val="0"/>
  </w:num>
  <w:num w:numId="20" w16cid:durableId="334114568">
    <w:abstractNumId w:val="16"/>
  </w:num>
  <w:num w:numId="21" w16cid:durableId="117066445">
    <w:abstractNumId w:val="29"/>
  </w:num>
  <w:num w:numId="22" w16cid:durableId="790903614">
    <w:abstractNumId w:val="24"/>
  </w:num>
  <w:num w:numId="23" w16cid:durableId="227425382">
    <w:abstractNumId w:val="30"/>
  </w:num>
  <w:num w:numId="24" w16cid:durableId="1208638518">
    <w:abstractNumId w:val="13"/>
  </w:num>
  <w:num w:numId="25" w16cid:durableId="488063883">
    <w:abstractNumId w:val="23"/>
  </w:num>
  <w:num w:numId="26" w16cid:durableId="1387490025">
    <w:abstractNumId w:val="12"/>
  </w:num>
  <w:num w:numId="27" w16cid:durableId="1243023611">
    <w:abstractNumId w:val="18"/>
  </w:num>
  <w:num w:numId="28" w16cid:durableId="116682307">
    <w:abstractNumId w:val="11"/>
  </w:num>
  <w:num w:numId="29" w16cid:durableId="846678603">
    <w:abstractNumId w:val="9"/>
  </w:num>
  <w:num w:numId="30" w16cid:durableId="832069950">
    <w:abstractNumId w:val="21"/>
  </w:num>
  <w:num w:numId="31" w16cid:durableId="7705885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947"/>
    <w:rsid w:val="000048E4"/>
    <w:rsid w:val="00004AF1"/>
    <w:rsid w:val="0000559C"/>
    <w:rsid w:val="000108D5"/>
    <w:rsid w:val="00010CEF"/>
    <w:rsid w:val="000130A1"/>
    <w:rsid w:val="00013286"/>
    <w:rsid w:val="00014238"/>
    <w:rsid w:val="0001596A"/>
    <w:rsid w:val="00015AAF"/>
    <w:rsid w:val="00015DCB"/>
    <w:rsid w:val="0001611F"/>
    <w:rsid w:val="00016212"/>
    <w:rsid w:val="000170F5"/>
    <w:rsid w:val="000176B4"/>
    <w:rsid w:val="00017E79"/>
    <w:rsid w:val="000203D7"/>
    <w:rsid w:val="00021398"/>
    <w:rsid w:val="0002411B"/>
    <w:rsid w:val="00026E7E"/>
    <w:rsid w:val="00027686"/>
    <w:rsid w:val="00027FE3"/>
    <w:rsid w:val="00030B7E"/>
    <w:rsid w:val="00031CD6"/>
    <w:rsid w:val="000325AE"/>
    <w:rsid w:val="00032C75"/>
    <w:rsid w:val="000343DD"/>
    <w:rsid w:val="00034F6D"/>
    <w:rsid w:val="00035333"/>
    <w:rsid w:val="000356DC"/>
    <w:rsid w:val="00036009"/>
    <w:rsid w:val="00036F4A"/>
    <w:rsid w:val="00036FAC"/>
    <w:rsid w:val="00037BC8"/>
    <w:rsid w:val="0004251A"/>
    <w:rsid w:val="000472EE"/>
    <w:rsid w:val="000501CB"/>
    <w:rsid w:val="00054BA1"/>
    <w:rsid w:val="00055817"/>
    <w:rsid w:val="00056586"/>
    <w:rsid w:val="00057197"/>
    <w:rsid w:val="00057344"/>
    <w:rsid w:val="00057678"/>
    <w:rsid w:val="00057882"/>
    <w:rsid w:val="00060B43"/>
    <w:rsid w:val="0006140D"/>
    <w:rsid w:val="0006295D"/>
    <w:rsid w:val="00064ABE"/>
    <w:rsid w:val="000668AE"/>
    <w:rsid w:val="00070767"/>
    <w:rsid w:val="0007177C"/>
    <w:rsid w:val="000745AA"/>
    <w:rsid w:val="00075D10"/>
    <w:rsid w:val="00077471"/>
    <w:rsid w:val="00077658"/>
    <w:rsid w:val="000826E8"/>
    <w:rsid w:val="00083A5C"/>
    <w:rsid w:val="00084010"/>
    <w:rsid w:val="000861FB"/>
    <w:rsid w:val="00086A35"/>
    <w:rsid w:val="0008706B"/>
    <w:rsid w:val="00090C6A"/>
    <w:rsid w:val="000918EC"/>
    <w:rsid w:val="000923AF"/>
    <w:rsid w:val="00093EA0"/>
    <w:rsid w:val="0009431F"/>
    <w:rsid w:val="0009637B"/>
    <w:rsid w:val="000964FD"/>
    <w:rsid w:val="000A048C"/>
    <w:rsid w:val="000A0BD7"/>
    <w:rsid w:val="000A0F1D"/>
    <w:rsid w:val="000A12A1"/>
    <w:rsid w:val="000A1F73"/>
    <w:rsid w:val="000A2A8F"/>
    <w:rsid w:val="000A306F"/>
    <w:rsid w:val="000A30EE"/>
    <w:rsid w:val="000A573B"/>
    <w:rsid w:val="000A582F"/>
    <w:rsid w:val="000B047D"/>
    <w:rsid w:val="000B051B"/>
    <w:rsid w:val="000B11E2"/>
    <w:rsid w:val="000B3A36"/>
    <w:rsid w:val="000B42B3"/>
    <w:rsid w:val="000B47A7"/>
    <w:rsid w:val="000B64BC"/>
    <w:rsid w:val="000B6B76"/>
    <w:rsid w:val="000B6CE3"/>
    <w:rsid w:val="000C09E9"/>
    <w:rsid w:val="000C0D80"/>
    <w:rsid w:val="000C143D"/>
    <w:rsid w:val="000C14A5"/>
    <w:rsid w:val="000C3485"/>
    <w:rsid w:val="000C3957"/>
    <w:rsid w:val="000C7B72"/>
    <w:rsid w:val="000D0289"/>
    <w:rsid w:val="000D13F0"/>
    <w:rsid w:val="000D1CDA"/>
    <w:rsid w:val="000D20E6"/>
    <w:rsid w:val="000D22E3"/>
    <w:rsid w:val="000D292C"/>
    <w:rsid w:val="000D3304"/>
    <w:rsid w:val="000D5D2B"/>
    <w:rsid w:val="000D7D95"/>
    <w:rsid w:val="000D7EE3"/>
    <w:rsid w:val="000E063F"/>
    <w:rsid w:val="000E08EE"/>
    <w:rsid w:val="000E4146"/>
    <w:rsid w:val="000E50A5"/>
    <w:rsid w:val="000E6D78"/>
    <w:rsid w:val="000F0040"/>
    <w:rsid w:val="000F17FC"/>
    <w:rsid w:val="000F2A93"/>
    <w:rsid w:val="000F5D2D"/>
    <w:rsid w:val="000F7511"/>
    <w:rsid w:val="000F7C12"/>
    <w:rsid w:val="00101191"/>
    <w:rsid w:val="00101658"/>
    <w:rsid w:val="001022FC"/>
    <w:rsid w:val="001034AC"/>
    <w:rsid w:val="001044AE"/>
    <w:rsid w:val="00104A9A"/>
    <w:rsid w:val="00105508"/>
    <w:rsid w:val="00107F7C"/>
    <w:rsid w:val="00112054"/>
    <w:rsid w:val="001149D1"/>
    <w:rsid w:val="0011545B"/>
    <w:rsid w:val="001156F0"/>
    <w:rsid w:val="00115BF0"/>
    <w:rsid w:val="0012122D"/>
    <w:rsid w:val="00121A16"/>
    <w:rsid w:val="00121BC9"/>
    <w:rsid w:val="00123FE9"/>
    <w:rsid w:val="00124885"/>
    <w:rsid w:val="00124BD8"/>
    <w:rsid w:val="00127861"/>
    <w:rsid w:val="00130779"/>
    <w:rsid w:val="00130BC6"/>
    <w:rsid w:val="00130DB8"/>
    <w:rsid w:val="00132039"/>
    <w:rsid w:val="00132736"/>
    <w:rsid w:val="00132E21"/>
    <w:rsid w:val="001330ED"/>
    <w:rsid w:val="00133749"/>
    <w:rsid w:val="0013391A"/>
    <w:rsid w:val="00133DE9"/>
    <w:rsid w:val="00134066"/>
    <w:rsid w:val="001340CA"/>
    <w:rsid w:val="001344C4"/>
    <w:rsid w:val="00134D08"/>
    <w:rsid w:val="00134DF0"/>
    <w:rsid w:val="001350EC"/>
    <w:rsid w:val="00135F6A"/>
    <w:rsid w:val="00136342"/>
    <w:rsid w:val="001372DC"/>
    <w:rsid w:val="001374CB"/>
    <w:rsid w:val="00137552"/>
    <w:rsid w:val="00141112"/>
    <w:rsid w:val="00141D77"/>
    <w:rsid w:val="00143794"/>
    <w:rsid w:val="00143EFC"/>
    <w:rsid w:val="0014433C"/>
    <w:rsid w:val="00144712"/>
    <w:rsid w:val="00144C95"/>
    <w:rsid w:val="00144E23"/>
    <w:rsid w:val="001464B1"/>
    <w:rsid w:val="0014715F"/>
    <w:rsid w:val="001504B7"/>
    <w:rsid w:val="00152B60"/>
    <w:rsid w:val="001546BD"/>
    <w:rsid w:val="0015480C"/>
    <w:rsid w:val="0016365B"/>
    <w:rsid w:val="00163877"/>
    <w:rsid w:val="00167901"/>
    <w:rsid w:val="001707AB"/>
    <w:rsid w:val="0017107F"/>
    <w:rsid w:val="00171F36"/>
    <w:rsid w:val="0018132F"/>
    <w:rsid w:val="001841FC"/>
    <w:rsid w:val="00185EC8"/>
    <w:rsid w:val="0018744A"/>
    <w:rsid w:val="0019123C"/>
    <w:rsid w:val="001926CA"/>
    <w:rsid w:val="0019428B"/>
    <w:rsid w:val="00195E59"/>
    <w:rsid w:val="00196082"/>
    <w:rsid w:val="001976FC"/>
    <w:rsid w:val="001A43BB"/>
    <w:rsid w:val="001A47AC"/>
    <w:rsid w:val="001A593A"/>
    <w:rsid w:val="001A5E28"/>
    <w:rsid w:val="001B09AB"/>
    <w:rsid w:val="001B26FA"/>
    <w:rsid w:val="001B2AF0"/>
    <w:rsid w:val="001B38BE"/>
    <w:rsid w:val="001B3A07"/>
    <w:rsid w:val="001B5293"/>
    <w:rsid w:val="001B5B23"/>
    <w:rsid w:val="001B5DFD"/>
    <w:rsid w:val="001B6F91"/>
    <w:rsid w:val="001C0524"/>
    <w:rsid w:val="001C16AC"/>
    <w:rsid w:val="001C1A4E"/>
    <w:rsid w:val="001C3919"/>
    <w:rsid w:val="001C396B"/>
    <w:rsid w:val="001C4A1A"/>
    <w:rsid w:val="001D11C4"/>
    <w:rsid w:val="001D274B"/>
    <w:rsid w:val="001D38B7"/>
    <w:rsid w:val="001D4216"/>
    <w:rsid w:val="001D5FAC"/>
    <w:rsid w:val="001D61A1"/>
    <w:rsid w:val="001D61D8"/>
    <w:rsid w:val="001D6A62"/>
    <w:rsid w:val="001D7982"/>
    <w:rsid w:val="001D7D12"/>
    <w:rsid w:val="001E1A6E"/>
    <w:rsid w:val="001E24D4"/>
    <w:rsid w:val="001E255D"/>
    <w:rsid w:val="001E4B4B"/>
    <w:rsid w:val="001E5342"/>
    <w:rsid w:val="001E5433"/>
    <w:rsid w:val="001E7B71"/>
    <w:rsid w:val="001F31F9"/>
    <w:rsid w:val="001F3B7D"/>
    <w:rsid w:val="001F485B"/>
    <w:rsid w:val="001F54A9"/>
    <w:rsid w:val="001F55D7"/>
    <w:rsid w:val="001F61B5"/>
    <w:rsid w:val="001F7656"/>
    <w:rsid w:val="00201146"/>
    <w:rsid w:val="00201DE0"/>
    <w:rsid w:val="0020217A"/>
    <w:rsid w:val="00204821"/>
    <w:rsid w:val="00205A45"/>
    <w:rsid w:val="002076A5"/>
    <w:rsid w:val="00207909"/>
    <w:rsid w:val="00211A36"/>
    <w:rsid w:val="002123F8"/>
    <w:rsid w:val="002137D0"/>
    <w:rsid w:val="00213C91"/>
    <w:rsid w:val="00213D74"/>
    <w:rsid w:val="002155F4"/>
    <w:rsid w:val="002169A8"/>
    <w:rsid w:val="0021793B"/>
    <w:rsid w:val="002201FB"/>
    <w:rsid w:val="00220D3B"/>
    <w:rsid w:val="00221BCE"/>
    <w:rsid w:val="002241FD"/>
    <w:rsid w:val="00225EF2"/>
    <w:rsid w:val="00230729"/>
    <w:rsid w:val="00233841"/>
    <w:rsid w:val="002349FA"/>
    <w:rsid w:val="0023554C"/>
    <w:rsid w:val="0023609F"/>
    <w:rsid w:val="00236F7A"/>
    <w:rsid w:val="00241BE8"/>
    <w:rsid w:val="00242397"/>
    <w:rsid w:val="002431AC"/>
    <w:rsid w:val="00243D98"/>
    <w:rsid w:val="00244621"/>
    <w:rsid w:val="0024589F"/>
    <w:rsid w:val="00245B1F"/>
    <w:rsid w:val="0024716B"/>
    <w:rsid w:val="00247D99"/>
    <w:rsid w:val="002504A3"/>
    <w:rsid w:val="00251158"/>
    <w:rsid w:val="00252156"/>
    <w:rsid w:val="00253CB6"/>
    <w:rsid w:val="00254E70"/>
    <w:rsid w:val="002555BB"/>
    <w:rsid w:val="00256721"/>
    <w:rsid w:val="00256BBB"/>
    <w:rsid w:val="002605F3"/>
    <w:rsid w:val="002617E5"/>
    <w:rsid w:val="0026238F"/>
    <w:rsid w:val="00263638"/>
    <w:rsid w:val="0026367E"/>
    <w:rsid w:val="002666C0"/>
    <w:rsid w:val="002704A6"/>
    <w:rsid w:val="00273294"/>
    <w:rsid w:val="00273D1F"/>
    <w:rsid w:val="00274CFA"/>
    <w:rsid w:val="0027624E"/>
    <w:rsid w:val="00276AB5"/>
    <w:rsid w:val="00276ED7"/>
    <w:rsid w:val="00282A7C"/>
    <w:rsid w:val="002843D0"/>
    <w:rsid w:val="002864AA"/>
    <w:rsid w:val="00286CD3"/>
    <w:rsid w:val="00290323"/>
    <w:rsid w:val="00291FB2"/>
    <w:rsid w:val="00294DC5"/>
    <w:rsid w:val="00295FF9"/>
    <w:rsid w:val="00296619"/>
    <w:rsid w:val="00296AD1"/>
    <w:rsid w:val="002A427B"/>
    <w:rsid w:val="002A4629"/>
    <w:rsid w:val="002A4F47"/>
    <w:rsid w:val="002A569A"/>
    <w:rsid w:val="002A5ABA"/>
    <w:rsid w:val="002A606D"/>
    <w:rsid w:val="002A7340"/>
    <w:rsid w:val="002B31F4"/>
    <w:rsid w:val="002B3598"/>
    <w:rsid w:val="002B4A8C"/>
    <w:rsid w:val="002B628B"/>
    <w:rsid w:val="002B6556"/>
    <w:rsid w:val="002B6B6B"/>
    <w:rsid w:val="002B750B"/>
    <w:rsid w:val="002C0BE5"/>
    <w:rsid w:val="002C2846"/>
    <w:rsid w:val="002C4749"/>
    <w:rsid w:val="002C5E0D"/>
    <w:rsid w:val="002C75BB"/>
    <w:rsid w:val="002C7747"/>
    <w:rsid w:val="002D1330"/>
    <w:rsid w:val="002D14E7"/>
    <w:rsid w:val="002D1B85"/>
    <w:rsid w:val="002D1F46"/>
    <w:rsid w:val="002D21EC"/>
    <w:rsid w:val="002D2C3F"/>
    <w:rsid w:val="002D2E67"/>
    <w:rsid w:val="002D53BC"/>
    <w:rsid w:val="002D6D06"/>
    <w:rsid w:val="002E015B"/>
    <w:rsid w:val="002E0660"/>
    <w:rsid w:val="002E0B92"/>
    <w:rsid w:val="002E0E36"/>
    <w:rsid w:val="002E1C33"/>
    <w:rsid w:val="002E2BC3"/>
    <w:rsid w:val="002E2DF0"/>
    <w:rsid w:val="002E325C"/>
    <w:rsid w:val="002E51DD"/>
    <w:rsid w:val="002E52C5"/>
    <w:rsid w:val="002E5BD1"/>
    <w:rsid w:val="002E69B5"/>
    <w:rsid w:val="002F07EF"/>
    <w:rsid w:val="002F2003"/>
    <w:rsid w:val="002F3F3E"/>
    <w:rsid w:val="002F463C"/>
    <w:rsid w:val="002F5C2D"/>
    <w:rsid w:val="002F727D"/>
    <w:rsid w:val="003018F2"/>
    <w:rsid w:val="00301D0D"/>
    <w:rsid w:val="0030428D"/>
    <w:rsid w:val="00304872"/>
    <w:rsid w:val="00304B3F"/>
    <w:rsid w:val="00305AEA"/>
    <w:rsid w:val="003077B7"/>
    <w:rsid w:val="0030798B"/>
    <w:rsid w:val="003115E6"/>
    <w:rsid w:val="00311E2C"/>
    <w:rsid w:val="00312E38"/>
    <w:rsid w:val="00313D61"/>
    <w:rsid w:val="00315BCE"/>
    <w:rsid w:val="00315E3D"/>
    <w:rsid w:val="00316946"/>
    <w:rsid w:val="00316ABC"/>
    <w:rsid w:val="003173B0"/>
    <w:rsid w:val="00317DB8"/>
    <w:rsid w:val="003200D4"/>
    <w:rsid w:val="00320474"/>
    <w:rsid w:val="003204CE"/>
    <w:rsid w:val="0032193C"/>
    <w:rsid w:val="00323482"/>
    <w:rsid w:val="00324954"/>
    <w:rsid w:val="00324F72"/>
    <w:rsid w:val="00325F5F"/>
    <w:rsid w:val="0032608D"/>
    <w:rsid w:val="00327618"/>
    <w:rsid w:val="00330585"/>
    <w:rsid w:val="00330A82"/>
    <w:rsid w:val="00332483"/>
    <w:rsid w:val="00332A0D"/>
    <w:rsid w:val="0033355B"/>
    <w:rsid w:val="003337FD"/>
    <w:rsid w:val="0034241E"/>
    <w:rsid w:val="00342CBE"/>
    <w:rsid w:val="0034402C"/>
    <w:rsid w:val="00345196"/>
    <w:rsid w:val="00345E10"/>
    <w:rsid w:val="00346165"/>
    <w:rsid w:val="00346629"/>
    <w:rsid w:val="0034744C"/>
    <w:rsid w:val="00347846"/>
    <w:rsid w:val="00347B22"/>
    <w:rsid w:val="00347B2B"/>
    <w:rsid w:val="0035011D"/>
    <w:rsid w:val="00350E3C"/>
    <w:rsid w:val="00350F4E"/>
    <w:rsid w:val="00351050"/>
    <w:rsid w:val="00351D0A"/>
    <w:rsid w:val="00354DFF"/>
    <w:rsid w:val="0035599F"/>
    <w:rsid w:val="003579E2"/>
    <w:rsid w:val="00360D42"/>
    <w:rsid w:val="003624AE"/>
    <w:rsid w:val="00362A20"/>
    <w:rsid w:val="00362A5B"/>
    <w:rsid w:val="00363DE1"/>
    <w:rsid w:val="00363F11"/>
    <w:rsid w:val="00364A65"/>
    <w:rsid w:val="00366012"/>
    <w:rsid w:val="003706EE"/>
    <w:rsid w:val="00371905"/>
    <w:rsid w:val="00373105"/>
    <w:rsid w:val="00374E12"/>
    <w:rsid w:val="00374EC2"/>
    <w:rsid w:val="003753F6"/>
    <w:rsid w:val="00375E20"/>
    <w:rsid w:val="00376592"/>
    <w:rsid w:val="00377535"/>
    <w:rsid w:val="003775C6"/>
    <w:rsid w:val="00377826"/>
    <w:rsid w:val="003778E6"/>
    <w:rsid w:val="00377C8E"/>
    <w:rsid w:val="003801D5"/>
    <w:rsid w:val="0038095D"/>
    <w:rsid w:val="00381332"/>
    <w:rsid w:val="003817D6"/>
    <w:rsid w:val="00381CDA"/>
    <w:rsid w:val="003832C6"/>
    <w:rsid w:val="00383D7B"/>
    <w:rsid w:val="00384555"/>
    <w:rsid w:val="00385BFE"/>
    <w:rsid w:val="00386405"/>
    <w:rsid w:val="003869A6"/>
    <w:rsid w:val="00386BAA"/>
    <w:rsid w:val="00387680"/>
    <w:rsid w:val="00390993"/>
    <w:rsid w:val="00390C0A"/>
    <w:rsid w:val="00394B34"/>
    <w:rsid w:val="003974BB"/>
    <w:rsid w:val="003A0A61"/>
    <w:rsid w:val="003A2443"/>
    <w:rsid w:val="003A2F28"/>
    <w:rsid w:val="003A315F"/>
    <w:rsid w:val="003A35A1"/>
    <w:rsid w:val="003A3A3D"/>
    <w:rsid w:val="003A4463"/>
    <w:rsid w:val="003A58E1"/>
    <w:rsid w:val="003A6360"/>
    <w:rsid w:val="003A6E76"/>
    <w:rsid w:val="003A7994"/>
    <w:rsid w:val="003B02D3"/>
    <w:rsid w:val="003B2709"/>
    <w:rsid w:val="003B270A"/>
    <w:rsid w:val="003B2818"/>
    <w:rsid w:val="003B2B21"/>
    <w:rsid w:val="003B3BE0"/>
    <w:rsid w:val="003B46A8"/>
    <w:rsid w:val="003B496A"/>
    <w:rsid w:val="003B504E"/>
    <w:rsid w:val="003B595A"/>
    <w:rsid w:val="003B5F9E"/>
    <w:rsid w:val="003B6179"/>
    <w:rsid w:val="003B6EE5"/>
    <w:rsid w:val="003C1E3E"/>
    <w:rsid w:val="003C4DEF"/>
    <w:rsid w:val="003C4E75"/>
    <w:rsid w:val="003C588B"/>
    <w:rsid w:val="003C5983"/>
    <w:rsid w:val="003C6054"/>
    <w:rsid w:val="003C7D3D"/>
    <w:rsid w:val="003D08F1"/>
    <w:rsid w:val="003D2105"/>
    <w:rsid w:val="003D2477"/>
    <w:rsid w:val="003D283A"/>
    <w:rsid w:val="003D50AF"/>
    <w:rsid w:val="003D583E"/>
    <w:rsid w:val="003D6756"/>
    <w:rsid w:val="003D7622"/>
    <w:rsid w:val="003E0B5B"/>
    <w:rsid w:val="003E30FA"/>
    <w:rsid w:val="003E3180"/>
    <w:rsid w:val="003E35D1"/>
    <w:rsid w:val="003E3D76"/>
    <w:rsid w:val="003E419A"/>
    <w:rsid w:val="003E6002"/>
    <w:rsid w:val="003E7AB9"/>
    <w:rsid w:val="003F3256"/>
    <w:rsid w:val="003F3D27"/>
    <w:rsid w:val="003F49E1"/>
    <w:rsid w:val="003F521B"/>
    <w:rsid w:val="003F5C84"/>
    <w:rsid w:val="003F7195"/>
    <w:rsid w:val="003F7323"/>
    <w:rsid w:val="00400051"/>
    <w:rsid w:val="00400085"/>
    <w:rsid w:val="004012B9"/>
    <w:rsid w:val="00402F9B"/>
    <w:rsid w:val="00403F76"/>
    <w:rsid w:val="00404536"/>
    <w:rsid w:val="00406EC2"/>
    <w:rsid w:val="0041027C"/>
    <w:rsid w:val="004116BE"/>
    <w:rsid w:val="00412125"/>
    <w:rsid w:val="00412B40"/>
    <w:rsid w:val="004132F7"/>
    <w:rsid w:val="004160E3"/>
    <w:rsid w:val="00416B50"/>
    <w:rsid w:val="00417287"/>
    <w:rsid w:val="00420366"/>
    <w:rsid w:val="00420DA0"/>
    <w:rsid w:val="004248D4"/>
    <w:rsid w:val="0042719C"/>
    <w:rsid w:val="004275C5"/>
    <w:rsid w:val="00430AE8"/>
    <w:rsid w:val="00432BA2"/>
    <w:rsid w:val="00433CD1"/>
    <w:rsid w:val="00433ED6"/>
    <w:rsid w:val="00435BFE"/>
    <w:rsid w:val="0043654F"/>
    <w:rsid w:val="00436981"/>
    <w:rsid w:val="00440CAB"/>
    <w:rsid w:val="00441F5A"/>
    <w:rsid w:val="00442E87"/>
    <w:rsid w:val="00444C22"/>
    <w:rsid w:val="00445534"/>
    <w:rsid w:val="00446BAB"/>
    <w:rsid w:val="0044796B"/>
    <w:rsid w:val="00450BC0"/>
    <w:rsid w:val="00453852"/>
    <w:rsid w:val="00453C22"/>
    <w:rsid w:val="00454AAD"/>
    <w:rsid w:val="00454E89"/>
    <w:rsid w:val="00456B56"/>
    <w:rsid w:val="00460265"/>
    <w:rsid w:val="00460F10"/>
    <w:rsid w:val="0046101C"/>
    <w:rsid w:val="00462E8F"/>
    <w:rsid w:val="004636B7"/>
    <w:rsid w:val="004639B4"/>
    <w:rsid w:val="004649AB"/>
    <w:rsid w:val="004652A5"/>
    <w:rsid w:val="0046572F"/>
    <w:rsid w:val="00465F6C"/>
    <w:rsid w:val="00466B03"/>
    <w:rsid w:val="00470A0C"/>
    <w:rsid w:val="00471FC8"/>
    <w:rsid w:val="004809BF"/>
    <w:rsid w:val="00480DBE"/>
    <w:rsid w:val="00480F31"/>
    <w:rsid w:val="00482BCF"/>
    <w:rsid w:val="00485B66"/>
    <w:rsid w:val="00485DC1"/>
    <w:rsid w:val="004860A7"/>
    <w:rsid w:val="004860E8"/>
    <w:rsid w:val="00490F11"/>
    <w:rsid w:val="004916B5"/>
    <w:rsid w:val="004926FA"/>
    <w:rsid w:val="00492865"/>
    <w:rsid w:val="00492F3A"/>
    <w:rsid w:val="004940A0"/>
    <w:rsid w:val="0049455D"/>
    <w:rsid w:val="004952C5"/>
    <w:rsid w:val="0049579B"/>
    <w:rsid w:val="00496413"/>
    <w:rsid w:val="004964C0"/>
    <w:rsid w:val="00496854"/>
    <w:rsid w:val="00497600"/>
    <w:rsid w:val="004A2464"/>
    <w:rsid w:val="004A2994"/>
    <w:rsid w:val="004A2C7D"/>
    <w:rsid w:val="004A356B"/>
    <w:rsid w:val="004A44FC"/>
    <w:rsid w:val="004A4748"/>
    <w:rsid w:val="004A5382"/>
    <w:rsid w:val="004A580C"/>
    <w:rsid w:val="004B0869"/>
    <w:rsid w:val="004B2933"/>
    <w:rsid w:val="004B3699"/>
    <w:rsid w:val="004B36B8"/>
    <w:rsid w:val="004B4D55"/>
    <w:rsid w:val="004B5325"/>
    <w:rsid w:val="004B65B5"/>
    <w:rsid w:val="004B7613"/>
    <w:rsid w:val="004C2BC5"/>
    <w:rsid w:val="004C2E04"/>
    <w:rsid w:val="004C3758"/>
    <w:rsid w:val="004C6D48"/>
    <w:rsid w:val="004C7A00"/>
    <w:rsid w:val="004D1675"/>
    <w:rsid w:val="004D3464"/>
    <w:rsid w:val="004D352C"/>
    <w:rsid w:val="004D496E"/>
    <w:rsid w:val="004D4C12"/>
    <w:rsid w:val="004D4EB4"/>
    <w:rsid w:val="004D663F"/>
    <w:rsid w:val="004D6655"/>
    <w:rsid w:val="004E0A00"/>
    <w:rsid w:val="004E1916"/>
    <w:rsid w:val="004E3369"/>
    <w:rsid w:val="004E3BC9"/>
    <w:rsid w:val="004E3CCC"/>
    <w:rsid w:val="004E5E35"/>
    <w:rsid w:val="004E6782"/>
    <w:rsid w:val="004E68D8"/>
    <w:rsid w:val="004E6F01"/>
    <w:rsid w:val="004E7FD0"/>
    <w:rsid w:val="004F0D4D"/>
    <w:rsid w:val="004F1A31"/>
    <w:rsid w:val="004F362C"/>
    <w:rsid w:val="004F50B0"/>
    <w:rsid w:val="004F5768"/>
    <w:rsid w:val="004F5837"/>
    <w:rsid w:val="004F6C2B"/>
    <w:rsid w:val="004F74F0"/>
    <w:rsid w:val="004F7FA3"/>
    <w:rsid w:val="00500F96"/>
    <w:rsid w:val="00501D61"/>
    <w:rsid w:val="00503B10"/>
    <w:rsid w:val="005042CA"/>
    <w:rsid w:val="005052E4"/>
    <w:rsid w:val="00506664"/>
    <w:rsid w:val="00510249"/>
    <w:rsid w:val="00510B7C"/>
    <w:rsid w:val="00510D06"/>
    <w:rsid w:val="00510D48"/>
    <w:rsid w:val="00511793"/>
    <w:rsid w:val="005123A4"/>
    <w:rsid w:val="0051529D"/>
    <w:rsid w:val="00515DCE"/>
    <w:rsid w:val="00515F48"/>
    <w:rsid w:val="00516936"/>
    <w:rsid w:val="005178AD"/>
    <w:rsid w:val="00517A42"/>
    <w:rsid w:val="0052051A"/>
    <w:rsid w:val="0052104B"/>
    <w:rsid w:val="00521179"/>
    <w:rsid w:val="00522184"/>
    <w:rsid w:val="00522CFD"/>
    <w:rsid w:val="00524983"/>
    <w:rsid w:val="00526396"/>
    <w:rsid w:val="00526EE4"/>
    <w:rsid w:val="00527B43"/>
    <w:rsid w:val="00531052"/>
    <w:rsid w:val="00531A69"/>
    <w:rsid w:val="00532422"/>
    <w:rsid w:val="00532698"/>
    <w:rsid w:val="00536089"/>
    <w:rsid w:val="0053671D"/>
    <w:rsid w:val="0053687B"/>
    <w:rsid w:val="00536C33"/>
    <w:rsid w:val="00540994"/>
    <w:rsid w:val="00541CF3"/>
    <w:rsid w:val="00543F62"/>
    <w:rsid w:val="005451E4"/>
    <w:rsid w:val="00547951"/>
    <w:rsid w:val="0055123E"/>
    <w:rsid w:val="005518CC"/>
    <w:rsid w:val="00552435"/>
    <w:rsid w:val="0055425D"/>
    <w:rsid w:val="00554388"/>
    <w:rsid w:val="00554EC6"/>
    <w:rsid w:val="00555C66"/>
    <w:rsid w:val="0055785D"/>
    <w:rsid w:val="0055789F"/>
    <w:rsid w:val="00561B05"/>
    <w:rsid w:val="0056362F"/>
    <w:rsid w:val="00563BCD"/>
    <w:rsid w:val="005649C6"/>
    <w:rsid w:val="00566487"/>
    <w:rsid w:val="0056659C"/>
    <w:rsid w:val="005676D1"/>
    <w:rsid w:val="0057112D"/>
    <w:rsid w:val="005727BC"/>
    <w:rsid w:val="005748D6"/>
    <w:rsid w:val="00576709"/>
    <w:rsid w:val="0057736E"/>
    <w:rsid w:val="00577769"/>
    <w:rsid w:val="0057799D"/>
    <w:rsid w:val="00582E20"/>
    <w:rsid w:val="005832BD"/>
    <w:rsid w:val="005834E1"/>
    <w:rsid w:val="00583D8D"/>
    <w:rsid w:val="00584981"/>
    <w:rsid w:val="00585D91"/>
    <w:rsid w:val="00586527"/>
    <w:rsid w:val="005868E8"/>
    <w:rsid w:val="00590866"/>
    <w:rsid w:val="005910F6"/>
    <w:rsid w:val="00591A1B"/>
    <w:rsid w:val="005966E5"/>
    <w:rsid w:val="00597F0F"/>
    <w:rsid w:val="005A0022"/>
    <w:rsid w:val="005A0DCE"/>
    <w:rsid w:val="005A1B16"/>
    <w:rsid w:val="005A31F0"/>
    <w:rsid w:val="005A3653"/>
    <w:rsid w:val="005A4DCA"/>
    <w:rsid w:val="005A520C"/>
    <w:rsid w:val="005A532A"/>
    <w:rsid w:val="005A5F29"/>
    <w:rsid w:val="005A7958"/>
    <w:rsid w:val="005B02F1"/>
    <w:rsid w:val="005B13A5"/>
    <w:rsid w:val="005B5AA6"/>
    <w:rsid w:val="005B68D1"/>
    <w:rsid w:val="005B6F40"/>
    <w:rsid w:val="005C010C"/>
    <w:rsid w:val="005C1D2A"/>
    <w:rsid w:val="005D4540"/>
    <w:rsid w:val="005D690E"/>
    <w:rsid w:val="005D6D7E"/>
    <w:rsid w:val="005D727A"/>
    <w:rsid w:val="005D72C9"/>
    <w:rsid w:val="005E14DC"/>
    <w:rsid w:val="005E2294"/>
    <w:rsid w:val="005E240C"/>
    <w:rsid w:val="005E2C34"/>
    <w:rsid w:val="005E375B"/>
    <w:rsid w:val="005E7837"/>
    <w:rsid w:val="005E7B4C"/>
    <w:rsid w:val="005F01E3"/>
    <w:rsid w:val="005F0272"/>
    <w:rsid w:val="005F1F6A"/>
    <w:rsid w:val="005F2FD0"/>
    <w:rsid w:val="005F3B63"/>
    <w:rsid w:val="005F5E58"/>
    <w:rsid w:val="005F6992"/>
    <w:rsid w:val="005F784D"/>
    <w:rsid w:val="0060350E"/>
    <w:rsid w:val="006046C0"/>
    <w:rsid w:val="0060508E"/>
    <w:rsid w:val="006073C4"/>
    <w:rsid w:val="006105D0"/>
    <w:rsid w:val="0061083E"/>
    <w:rsid w:val="0061092D"/>
    <w:rsid w:val="00610F15"/>
    <w:rsid w:val="00611D9F"/>
    <w:rsid w:val="006123B9"/>
    <w:rsid w:val="00612EEF"/>
    <w:rsid w:val="0061365B"/>
    <w:rsid w:val="00615A68"/>
    <w:rsid w:val="00615C15"/>
    <w:rsid w:val="0061623B"/>
    <w:rsid w:val="0062050E"/>
    <w:rsid w:val="006209CE"/>
    <w:rsid w:val="00621674"/>
    <w:rsid w:val="0062192D"/>
    <w:rsid w:val="00623057"/>
    <w:rsid w:val="00624250"/>
    <w:rsid w:val="0062453A"/>
    <w:rsid w:val="00624574"/>
    <w:rsid w:val="006260D9"/>
    <w:rsid w:val="0062635B"/>
    <w:rsid w:val="00627349"/>
    <w:rsid w:val="00627FA8"/>
    <w:rsid w:val="0063057E"/>
    <w:rsid w:val="0063102F"/>
    <w:rsid w:val="00632A4F"/>
    <w:rsid w:val="006340DD"/>
    <w:rsid w:val="00634641"/>
    <w:rsid w:val="00634911"/>
    <w:rsid w:val="00637644"/>
    <w:rsid w:val="00637CF7"/>
    <w:rsid w:val="00640504"/>
    <w:rsid w:val="006406A1"/>
    <w:rsid w:val="0064118A"/>
    <w:rsid w:val="006414D4"/>
    <w:rsid w:val="00641768"/>
    <w:rsid w:val="006424D9"/>
    <w:rsid w:val="00642D0D"/>
    <w:rsid w:val="00642ED3"/>
    <w:rsid w:val="00644562"/>
    <w:rsid w:val="006445E6"/>
    <w:rsid w:val="00645A4C"/>
    <w:rsid w:val="00647975"/>
    <w:rsid w:val="00652D9F"/>
    <w:rsid w:val="00653A1E"/>
    <w:rsid w:val="00654132"/>
    <w:rsid w:val="00655F22"/>
    <w:rsid w:val="0065686A"/>
    <w:rsid w:val="00660262"/>
    <w:rsid w:val="00661797"/>
    <w:rsid w:val="006625A7"/>
    <w:rsid w:val="00664D3B"/>
    <w:rsid w:val="006652DF"/>
    <w:rsid w:val="00665C84"/>
    <w:rsid w:val="006675AC"/>
    <w:rsid w:val="00670F6A"/>
    <w:rsid w:val="006712FE"/>
    <w:rsid w:val="00672AC4"/>
    <w:rsid w:val="006734E2"/>
    <w:rsid w:val="006744D3"/>
    <w:rsid w:val="00674E67"/>
    <w:rsid w:val="00675178"/>
    <w:rsid w:val="00675657"/>
    <w:rsid w:val="006774D9"/>
    <w:rsid w:val="00677D10"/>
    <w:rsid w:val="0068024D"/>
    <w:rsid w:val="00680C57"/>
    <w:rsid w:val="006825D8"/>
    <w:rsid w:val="0068298F"/>
    <w:rsid w:val="00682E63"/>
    <w:rsid w:val="006841CE"/>
    <w:rsid w:val="00685496"/>
    <w:rsid w:val="006869FC"/>
    <w:rsid w:val="006874F1"/>
    <w:rsid w:val="00687924"/>
    <w:rsid w:val="00687B0B"/>
    <w:rsid w:val="006919AD"/>
    <w:rsid w:val="00693627"/>
    <w:rsid w:val="00696F43"/>
    <w:rsid w:val="006A0298"/>
    <w:rsid w:val="006A0C76"/>
    <w:rsid w:val="006A13B0"/>
    <w:rsid w:val="006A2C39"/>
    <w:rsid w:val="006A2E77"/>
    <w:rsid w:val="006A3B08"/>
    <w:rsid w:val="006A4681"/>
    <w:rsid w:val="006A4F88"/>
    <w:rsid w:val="006A5A93"/>
    <w:rsid w:val="006A6949"/>
    <w:rsid w:val="006A6979"/>
    <w:rsid w:val="006A7617"/>
    <w:rsid w:val="006A7924"/>
    <w:rsid w:val="006A7FCA"/>
    <w:rsid w:val="006B0776"/>
    <w:rsid w:val="006B0BC1"/>
    <w:rsid w:val="006B1DA6"/>
    <w:rsid w:val="006B1FD6"/>
    <w:rsid w:val="006B25C7"/>
    <w:rsid w:val="006B2724"/>
    <w:rsid w:val="006B3D10"/>
    <w:rsid w:val="006B6EA3"/>
    <w:rsid w:val="006B7E55"/>
    <w:rsid w:val="006C0992"/>
    <w:rsid w:val="006C2478"/>
    <w:rsid w:val="006C2AC1"/>
    <w:rsid w:val="006C2BF1"/>
    <w:rsid w:val="006C370E"/>
    <w:rsid w:val="006C58F1"/>
    <w:rsid w:val="006C6F42"/>
    <w:rsid w:val="006D1107"/>
    <w:rsid w:val="006D282A"/>
    <w:rsid w:val="006D44E4"/>
    <w:rsid w:val="006D5854"/>
    <w:rsid w:val="006D734F"/>
    <w:rsid w:val="006D77EE"/>
    <w:rsid w:val="006D7E01"/>
    <w:rsid w:val="006E2EB3"/>
    <w:rsid w:val="006E560C"/>
    <w:rsid w:val="006E5724"/>
    <w:rsid w:val="006E62FE"/>
    <w:rsid w:val="006E680D"/>
    <w:rsid w:val="006E695D"/>
    <w:rsid w:val="006F140E"/>
    <w:rsid w:val="006F27C9"/>
    <w:rsid w:val="006F563B"/>
    <w:rsid w:val="006F5CD1"/>
    <w:rsid w:val="006F6BC9"/>
    <w:rsid w:val="00700416"/>
    <w:rsid w:val="00700768"/>
    <w:rsid w:val="00700898"/>
    <w:rsid w:val="00702686"/>
    <w:rsid w:val="007028DB"/>
    <w:rsid w:val="00702C13"/>
    <w:rsid w:val="007036C0"/>
    <w:rsid w:val="00704D25"/>
    <w:rsid w:val="00706E4E"/>
    <w:rsid w:val="007105BF"/>
    <w:rsid w:val="00710935"/>
    <w:rsid w:val="007115B3"/>
    <w:rsid w:val="00715B7F"/>
    <w:rsid w:val="00716626"/>
    <w:rsid w:val="0071686A"/>
    <w:rsid w:val="00717CBA"/>
    <w:rsid w:val="00723382"/>
    <w:rsid w:val="007240F4"/>
    <w:rsid w:val="00724362"/>
    <w:rsid w:val="007261EC"/>
    <w:rsid w:val="00727918"/>
    <w:rsid w:val="0073121D"/>
    <w:rsid w:val="007349C2"/>
    <w:rsid w:val="00736A5E"/>
    <w:rsid w:val="00737CBC"/>
    <w:rsid w:val="00737EFD"/>
    <w:rsid w:val="00740BFD"/>
    <w:rsid w:val="00743680"/>
    <w:rsid w:val="007457DE"/>
    <w:rsid w:val="00746115"/>
    <w:rsid w:val="00746C19"/>
    <w:rsid w:val="00747AF1"/>
    <w:rsid w:val="007508A4"/>
    <w:rsid w:val="00750960"/>
    <w:rsid w:val="00751ED4"/>
    <w:rsid w:val="00755189"/>
    <w:rsid w:val="007552D4"/>
    <w:rsid w:val="0075540F"/>
    <w:rsid w:val="0075604D"/>
    <w:rsid w:val="00756085"/>
    <w:rsid w:val="00757166"/>
    <w:rsid w:val="0076001A"/>
    <w:rsid w:val="0076097F"/>
    <w:rsid w:val="00760DD1"/>
    <w:rsid w:val="00761436"/>
    <w:rsid w:val="00761ECF"/>
    <w:rsid w:val="00762801"/>
    <w:rsid w:val="00763D9B"/>
    <w:rsid w:val="00766325"/>
    <w:rsid w:val="00766B24"/>
    <w:rsid w:val="007672F1"/>
    <w:rsid w:val="007721D8"/>
    <w:rsid w:val="00772A9C"/>
    <w:rsid w:val="00775A50"/>
    <w:rsid w:val="007760FE"/>
    <w:rsid w:val="00777939"/>
    <w:rsid w:val="00781598"/>
    <w:rsid w:val="00781696"/>
    <w:rsid w:val="00781A10"/>
    <w:rsid w:val="007827CD"/>
    <w:rsid w:val="0078431C"/>
    <w:rsid w:val="0078450B"/>
    <w:rsid w:val="0079002C"/>
    <w:rsid w:val="007907D5"/>
    <w:rsid w:val="007919B3"/>
    <w:rsid w:val="007936E8"/>
    <w:rsid w:val="00793743"/>
    <w:rsid w:val="00794926"/>
    <w:rsid w:val="007A0154"/>
    <w:rsid w:val="007A1C8F"/>
    <w:rsid w:val="007A38C6"/>
    <w:rsid w:val="007A5CCE"/>
    <w:rsid w:val="007A7D43"/>
    <w:rsid w:val="007A7E1B"/>
    <w:rsid w:val="007B013F"/>
    <w:rsid w:val="007B0349"/>
    <w:rsid w:val="007B227F"/>
    <w:rsid w:val="007B3A69"/>
    <w:rsid w:val="007B44EA"/>
    <w:rsid w:val="007B5374"/>
    <w:rsid w:val="007B6DB4"/>
    <w:rsid w:val="007B7A9C"/>
    <w:rsid w:val="007C0B46"/>
    <w:rsid w:val="007C17D6"/>
    <w:rsid w:val="007C4C55"/>
    <w:rsid w:val="007C7B60"/>
    <w:rsid w:val="007D06C0"/>
    <w:rsid w:val="007D076D"/>
    <w:rsid w:val="007D1A72"/>
    <w:rsid w:val="007D3A04"/>
    <w:rsid w:val="007D5896"/>
    <w:rsid w:val="007D5B46"/>
    <w:rsid w:val="007D5C58"/>
    <w:rsid w:val="007E0B04"/>
    <w:rsid w:val="007E2230"/>
    <w:rsid w:val="007E2292"/>
    <w:rsid w:val="007E3748"/>
    <w:rsid w:val="007E52CB"/>
    <w:rsid w:val="007E549E"/>
    <w:rsid w:val="007E6598"/>
    <w:rsid w:val="007E6C03"/>
    <w:rsid w:val="007E6E8C"/>
    <w:rsid w:val="007F1C39"/>
    <w:rsid w:val="007F1FEA"/>
    <w:rsid w:val="007F224C"/>
    <w:rsid w:val="007F2BAB"/>
    <w:rsid w:val="007F5284"/>
    <w:rsid w:val="007F5851"/>
    <w:rsid w:val="007F5D00"/>
    <w:rsid w:val="007F5E79"/>
    <w:rsid w:val="007F677D"/>
    <w:rsid w:val="007F7434"/>
    <w:rsid w:val="0080364F"/>
    <w:rsid w:val="00803F0A"/>
    <w:rsid w:val="00804170"/>
    <w:rsid w:val="008106C9"/>
    <w:rsid w:val="00811B14"/>
    <w:rsid w:val="00811B42"/>
    <w:rsid w:val="00811CDE"/>
    <w:rsid w:val="00812005"/>
    <w:rsid w:val="008126B1"/>
    <w:rsid w:val="00813604"/>
    <w:rsid w:val="0081361E"/>
    <w:rsid w:val="00813851"/>
    <w:rsid w:val="008141F4"/>
    <w:rsid w:val="00815D28"/>
    <w:rsid w:val="00817C65"/>
    <w:rsid w:val="00821DE2"/>
    <w:rsid w:val="008236FF"/>
    <w:rsid w:val="008258A5"/>
    <w:rsid w:val="00825F71"/>
    <w:rsid w:val="00826557"/>
    <w:rsid w:val="00827686"/>
    <w:rsid w:val="008302DB"/>
    <w:rsid w:val="00830B5B"/>
    <w:rsid w:val="00831F8B"/>
    <w:rsid w:val="00832EF0"/>
    <w:rsid w:val="00833598"/>
    <w:rsid w:val="008339D6"/>
    <w:rsid w:val="008339F8"/>
    <w:rsid w:val="00833D31"/>
    <w:rsid w:val="00833FCC"/>
    <w:rsid w:val="00834C6F"/>
    <w:rsid w:val="00834E4E"/>
    <w:rsid w:val="00836AB3"/>
    <w:rsid w:val="00841040"/>
    <w:rsid w:val="00841244"/>
    <w:rsid w:val="00841E10"/>
    <w:rsid w:val="00845483"/>
    <w:rsid w:val="00847018"/>
    <w:rsid w:val="0085050D"/>
    <w:rsid w:val="00850BCE"/>
    <w:rsid w:val="008510C0"/>
    <w:rsid w:val="00851316"/>
    <w:rsid w:val="00851F4C"/>
    <w:rsid w:val="00852B21"/>
    <w:rsid w:val="00852B63"/>
    <w:rsid w:val="00852E1B"/>
    <w:rsid w:val="00854237"/>
    <w:rsid w:val="00856152"/>
    <w:rsid w:val="008579A1"/>
    <w:rsid w:val="00857D60"/>
    <w:rsid w:val="00860132"/>
    <w:rsid w:val="00860414"/>
    <w:rsid w:val="0086067E"/>
    <w:rsid w:val="00861247"/>
    <w:rsid w:val="00861C07"/>
    <w:rsid w:val="00862232"/>
    <w:rsid w:val="00865016"/>
    <w:rsid w:val="0086516D"/>
    <w:rsid w:val="00867DAE"/>
    <w:rsid w:val="00870593"/>
    <w:rsid w:val="008713A8"/>
    <w:rsid w:val="0087172A"/>
    <w:rsid w:val="00872C82"/>
    <w:rsid w:val="00873931"/>
    <w:rsid w:val="00873C36"/>
    <w:rsid w:val="00873FA9"/>
    <w:rsid w:val="0087542F"/>
    <w:rsid w:val="008800F6"/>
    <w:rsid w:val="00882751"/>
    <w:rsid w:val="00882A3B"/>
    <w:rsid w:val="00882A79"/>
    <w:rsid w:val="00885075"/>
    <w:rsid w:val="0088519D"/>
    <w:rsid w:val="008853DD"/>
    <w:rsid w:val="00885AA5"/>
    <w:rsid w:val="00891004"/>
    <w:rsid w:val="008912E2"/>
    <w:rsid w:val="00893D91"/>
    <w:rsid w:val="0089444C"/>
    <w:rsid w:val="0089646D"/>
    <w:rsid w:val="00897B32"/>
    <w:rsid w:val="008A0320"/>
    <w:rsid w:val="008A2943"/>
    <w:rsid w:val="008A2D91"/>
    <w:rsid w:val="008A311A"/>
    <w:rsid w:val="008A4620"/>
    <w:rsid w:val="008A462C"/>
    <w:rsid w:val="008A50FB"/>
    <w:rsid w:val="008A62F7"/>
    <w:rsid w:val="008A6729"/>
    <w:rsid w:val="008A6D89"/>
    <w:rsid w:val="008B013C"/>
    <w:rsid w:val="008B0A3F"/>
    <w:rsid w:val="008B228E"/>
    <w:rsid w:val="008B25D7"/>
    <w:rsid w:val="008B531B"/>
    <w:rsid w:val="008C0522"/>
    <w:rsid w:val="008C0CF1"/>
    <w:rsid w:val="008C3470"/>
    <w:rsid w:val="008C4895"/>
    <w:rsid w:val="008D053C"/>
    <w:rsid w:val="008D1100"/>
    <w:rsid w:val="008D5759"/>
    <w:rsid w:val="008D5EFF"/>
    <w:rsid w:val="008D703F"/>
    <w:rsid w:val="008E031B"/>
    <w:rsid w:val="008E0B6A"/>
    <w:rsid w:val="008E17A5"/>
    <w:rsid w:val="008E21B1"/>
    <w:rsid w:val="008E232A"/>
    <w:rsid w:val="008E2CB4"/>
    <w:rsid w:val="008E42FF"/>
    <w:rsid w:val="008E6FD4"/>
    <w:rsid w:val="008E72F5"/>
    <w:rsid w:val="008F0696"/>
    <w:rsid w:val="008F0B88"/>
    <w:rsid w:val="008F0D03"/>
    <w:rsid w:val="008F1352"/>
    <w:rsid w:val="008F212C"/>
    <w:rsid w:val="008F22CF"/>
    <w:rsid w:val="008F233C"/>
    <w:rsid w:val="008F5420"/>
    <w:rsid w:val="008F6DCF"/>
    <w:rsid w:val="009003D2"/>
    <w:rsid w:val="00900D76"/>
    <w:rsid w:val="0090308A"/>
    <w:rsid w:val="009035B8"/>
    <w:rsid w:val="00906377"/>
    <w:rsid w:val="0091198E"/>
    <w:rsid w:val="00911DF3"/>
    <w:rsid w:val="00912B20"/>
    <w:rsid w:val="00913276"/>
    <w:rsid w:val="00914E01"/>
    <w:rsid w:val="00915026"/>
    <w:rsid w:val="00915D82"/>
    <w:rsid w:val="00917F13"/>
    <w:rsid w:val="00920D2A"/>
    <w:rsid w:val="009223E7"/>
    <w:rsid w:val="00923108"/>
    <w:rsid w:val="00923342"/>
    <w:rsid w:val="009246BF"/>
    <w:rsid w:val="0092663A"/>
    <w:rsid w:val="0092699F"/>
    <w:rsid w:val="00930659"/>
    <w:rsid w:val="0093073A"/>
    <w:rsid w:val="00931BA7"/>
    <w:rsid w:val="00933AA1"/>
    <w:rsid w:val="00934C2D"/>
    <w:rsid w:val="0093515E"/>
    <w:rsid w:val="00935194"/>
    <w:rsid w:val="0093533F"/>
    <w:rsid w:val="009362C2"/>
    <w:rsid w:val="00936A68"/>
    <w:rsid w:val="00936FEC"/>
    <w:rsid w:val="0094079C"/>
    <w:rsid w:val="00941A60"/>
    <w:rsid w:val="009432B8"/>
    <w:rsid w:val="009433D5"/>
    <w:rsid w:val="00943DD9"/>
    <w:rsid w:val="00945CE7"/>
    <w:rsid w:val="00946A37"/>
    <w:rsid w:val="00946BC6"/>
    <w:rsid w:val="009472C2"/>
    <w:rsid w:val="00947A91"/>
    <w:rsid w:val="009521F9"/>
    <w:rsid w:val="00952EC3"/>
    <w:rsid w:val="00953860"/>
    <w:rsid w:val="00955A1D"/>
    <w:rsid w:val="009566D3"/>
    <w:rsid w:val="0095796C"/>
    <w:rsid w:val="009601D4"/>
    <w:rsid w:val="00960460"/>
    <w:rsid w:val="00960AE0"/>
    <w:rsid w:val="00961DF1"/>
    <w:rsid w:val="00963BA8"/>
    <w:rsid w:val="009649FA"/>
    <w:rsid w:val="00965FC2"/>
    <w:rsid w:val="00970C05"/>
    <w:rsid w:val="00970CE0"/>
    <w:rsid w:val="00970D95"/>
    <w:rsid w:val="00972F71"/>
    <w:rsid w:val="00973315"/>
    <w:rsid w:val="0097539F"/>
    <w:rsid w:val="0098383C"/>
    <w:rsid w:val="00984E31"/>
    <w:rsid w:val="00985DB5"/>
    <w:rsid w:val="009877D2"/>
    <w:rsid w:val="00990ACD"/>
    <w:rsid w:val="0099156B"/>
    <w:rsid w:val="00992F20"/>
    <w:rsid w:val="00993D9C"/>
    <w:rsid w:val="00993F9A"/>
    <w:rsid w:val="00995D2E"/>
    <w:rsid w:val="009962EE"/>
    <w:rsid w:val="00996540"/>
    <w:rsid w:val="00996DD9"/>
    <w:rsid w:val="009977AA"/>
    <w:rsid w:val="00997C2D"/>
    <w:rsid w:val="009A07AE"/>
    <w:rsid w:val="009A0F39"/>
    <w:rsid w:val="009A15DD"/>
    <w:rsid w:val="009A2179"/>
    <w:rsid w:val="009A266D"/>
    <w:rsid w:val="009A2E50"/>
    <w:rsid w:val="009A2F9B"/>
    <w:rsid w:val="009A6581"/>
    <w:rsid w:val="009A65AE"/>
    <w:rsid w:val="009A79E1"/>
    <w:rsid w:val="009B1DE6"/>
    <w:rsid w:val="009B1E7C"/>
    <w:rsid w:val="009B3753"/>
    <w:rsid w:val="009B3C14"/>
    <w:rsid w:val="009B4365"/>
    <w:rsid w:val="009B451F"/>
    <w:rsid w:val="009B478D"/>
    <w:rsid w:val="009B4FD2"/>
    <w:rsid w:val="009B5355"/>
    <w:rsid w:val="009B584B"/>
    <w:rsid w:val="009B60F1"/>
    <w:rsid w:val="009B7E4F"/>
    <w:rsid w:val="009C063C"/>
    <w:rsid w:val="009C1655"/>
    <w:rsid w:val="009C1F04"/>
    <w:rsid w:val="009C279E"/>
    <w:rsid w:val="009C7C9B"/>
    <w:rsid w:val="009D13E8"/>
    <w:rsid w:val="009D1C7F"/>
    <w:rsid w:val="009D1FD2"/>
    <w:rsid w:val="009D36A4"/>
    <w:rsid w:val="009D4119"/>
    <w:rsid w:val="009D551D"/>
    <w:rsid w:val="009D73AC"/>
    <w:rsid w:val="009E1A5C"/>
    <w:rsid w:val="009E297E"/>
    <w:rsid w:val="009E2E83"/>
    <w:rsid w:val="009E4E6E"/>
    <w:rsid w:val="009E55E6"/>
    <w:rsid w:val="009E746A"/>
    <w:rsid w:val="009F6B4A"/>
    <w:rsid w:val="00A07AAD"/>
    <w:rsid w:val="00A10B87"/>
    <w:rsid w:val="00A14D7C"/>
    <w:rsid w:val="00A17ECC"/>
    <w:rsid w:val="00A2058D"/>
    <w:rsid w:val="00A22455"/>
    <w:rsid w:val="00A22EB7"/>
    <w:rsid w:val="00A23463"/>
    <w:rsid w:val="00A2452C"/>
    <w:rsid w:val="00A24898"/>
    <w:rsid w:val="00A24EAA"/>
    <w:rsid w:val="00A25522"/>
    <w:rsid w:val="00A25911"/>
    <w:rsid w:val="00A2594F"/>
    <w:rsid w:val="00A25E7F"/>
    <w:rsid w:val="00A30465"/>
    <w:rsid w:val="00A30B65"/>
    <w:rsid w:val="00A310FB"/>
    <w:rsid w:val="00A32F90"/>
    <w:rsid w:val="00A333EB"/>
    <w:rsid w:val="00A33D67"/>
    <w:rsid w:val="00A34057"/>
    <w:rsid w:val="00A3619F"/>
    <w:rsid w:val="00A363BA"/>
    <w:rsid w:val="00A40776"/>
    <w:rsid w:val="00A40FEE"/>
    <w:rsid w:val="00A426AF"/>
    <w:rsid w:val="00A43395"/>
    <w:rsid w:val="00A43D3A"/>
    <w:rsid w:val="00A44D68"/>
    <w:rsid w:val="00A4773D"/>
    <w:rsid w:val="00A50D2B"/>
    <w:rsid w:val="00A51CF4"/>
    <w:rsid w:val="00A5227F"/>
    <w:rsid w:val="00A5287E"/>
    <w:rsid w:val="00A52E19"/>
    <w:rsid w:val="00A535A4"/>
    <w:rsid w:val="00A57A6D"/>
    <w:rsid w:val="00A601B4"/>
    <w:rsid w:val="00A644D0"/>
    <w:rsid w:val="00A64524"/>
    <w:rsid w:val="00A64AAE"/>
    <w:rsid w:val="00A667B6"/>
    <w:rsid w:val="00A70086"/>
    <w:rsid w:val="00A737E6"/>
    <w:rsid w:val="00A740F9"/>
    <w:rsid w:val="00A74118"/>
    <w:rsid w:val="00A74C96"/>
    <w:rsid w:val="00A76E3B"/>
    <w:rsid w:val="00A77B76"/>
    <w:rsid w:val="00A802B9"/>
    <w:rsid w:val="00A804B8"/>
    <w:rsid w:val="00A80843"/>
    <w:rsid w:val="00A821A5"/>
    <w:rsid w:val="00A833DB"/>
    <w:rsid w:val="00A853A7"/>
    <w:rsid w:val="00A8587C"/>
    <w:rsid w:val="00A872E8"/>
    <w:rsid w:val="00A8743E"/>
    <w:rsid w:val="00A9003F"/>
    <w:rsid w:val="00A91405"/>
    <w:rsid w:val="00A91460"/>
    <w:rsid w:val="00A92280"/>
    <w:rsid w:val="00A92BE8"/>
    <w:rsid w:val="00A93704"/>
    <w:rsid w:val="00A937E8"/>
    <w:rsid w:val="00A95729"/>
    <w:rsid w:val="00A95A97"/>
    <w:rsid w:val="00AA12B2"/>
    <w:rsid w:val="00AA1814"/>
    <w:rsid w:val="00AA24CC"/>
    <w:rsid w:val="00AA6084"/>
    <w:rsid w:val="00AB18E6"/>
    <w:rsid w:val="00AB191D"/>
    <w:rsid w:val="00AB2168"/>
    <w:rsid w:val="00AB223E"/>
    <w:rsid w:val="00AB2AD5"/>
    <w:rsid w:val="00AB5426"/>
    <w:rsid w:val="00AB5597"/>
    <w:rsid w:val="00AB6FC7"/>
    <w:rsid w:val="00AC0405"/>
    <w:rsid w:val="00AC072E"/>
    <w:rsid w:val="00AC3864"/>
    <w:rsid w:val="00AC3EFC"/>
    <w:rsid w:val="00AC5A61"/>
    <w:rsid w:val="00AC6F0F"/>
    <w:rsid w:val="00AD008C"/>
    <w:rsid w:val="00AD02BD"/>
    <w:rsid w:val="00AD1320"/>
    <w:rsid w:val="00AD18D0"/>
    <w:rsid w:val="00AD1FE8"/>
    <w:rsid w:val="00AD2266"/>
    <w:rsid w:val="00AD2DCB"/>
    <w:rsid w:val="00AD3F96"/>
    <w:rsid w:val="00AD4505"/>
    <w:rsid w:val="00AD56DE"/>
    <w:rsid w:val="00AD58FA"/>
    <w:rsid w:val="00AE1ED5"/>
    <w:rsid w:val="00AE4A29"/>
    <w:rsid w:val="00AE4D25"/>
    <w:rsid w:val="00AE5639"/>
    <w:rsid w:val="00AE5664"/>
    <w:rsid w:val="00AE6284"/>
    <w:rsid w:val="00AE73F4"/>
    <w:rsid w:val="00AE7B23"/>
    <w:rsid w:val="00AF13AC"/>
    <w:rsid w:val="00AF14A1"/>
    <w:rsid w:val="00AF2AAB"/>
    <w:rsid w:val="00AF2EC7"/>
    <w:rsid w:val="00AF4E5E"/>
    <w:rsid w:val="00AF4E7C"/>
    <w:rsid w:val="00AF508D"/>
    <w:rsid w:val="00AF59F3"/>
    <w:rsid w:val="00AF6B21"/>
    <w:rsid w:val="00AF7D8D"/>
    <w:rsid w:val="00B00D08"/>
    <w:rsid w:val="00B00FD2"/>
    <w:rsid w:val="00B01078"/>
    <w:rsid w:val="00B014DE"/>
    <w:rsid w:val="00B01A14"/>
    <w:rsid w:val="00B03B24"/>
    <w:rsid w:val="00B03CC3"/>
    <w:rsid w:val="00B04100"/>
    <w:rsid w:val="00B04A7C"/>
    <w:rsid w:val="00B05F73"/>
    <w:rsid w:val="00B100A6"/>
    <w:rsid w:val="00B124BB"/>
    <w:rsid w:val="00B13843"/>
    <w:rsid w:val="00B15241"/>
    <w:rsid w:val="00B15DBB"/>
    <w:rsid w:val="00B1755E"/>
    <w:rsid w:val="00B178C6"/>
    <w:rsid w:val="00B2233D"/>
    <w:rsid w:val="00B223F6"/>
    <w:rsid w:val="00B23FDB"/>
    <w:rsid w:val="00B27767"/>
    <w:rsid w:val="00B313AF"/>
    <w:rsid w:val="00B31681"/>
    <w:rsid w:val="00B3371C"/>
    <w:rsid w:val="00B33B02"/>
    <w:rsid w:val="00B35112"/>
    <w:rsid w:val="00B36E2E"/>
    <w:rsid w:val="00B40603"/>
    <w:rsid w:val="00B42F1A"/>
    <w:rsid w:val="00B44D45"/>
    <w:rsid w:val="00B45A59"/>
    <w:rsid w:val="00B50F4D"/>
    <w:rsid w:val="00B52A5D"/>
    <w:rsid w:val="00B52F0B"/>
    <w:rsid w:val="00B53EAB"/>
    <w:rsid w:val="00B56B8E"/>
    <w:rsid w:val="00B570E4"/>
    <w:rsid w:val="00B575F2"/>
    <w:rsid w:val="00B64715"/>
    <w:rsid w:val="00B67163"/>
    <w:rsid w:val="00B67409"/>
    <w:rsid w:val="00B72508"/>
    <w:rsid w:val="00B77164"/>
    <w:rsid w:val="00B778C4"/>
    <w:rsid w:val="00B80E89"/>
    <w:rsid w:val="00B8160A"/>
    <w:rsid w:val="00B82986"/>
    <w:rsid w:val="00B8364B"/>
    <w:rsid w:val="00B84ABD"/>
    <w:rsid w:val="00B855AC"/>
    <w:rsid w:val="00B85B22"/>
    <w:rsid w:val="00B87553"/>
    <w:rsid w:val="00B903E8"/>
    <w:rsid w:val="00B909F7"/>
    <w:rsid w:val="00B91A26"/>
    <w:rsid w:val="00B92A3B"/>
    <w:rsid w:val="00B92D59"/>
    <w:rsid w:val="00B936A1"/>
    <w:rsid w:val="00B95024"/>
    <w:rsid w:val="00B970F0"/>
    <w:rsid w:val="00BA1261"/>
    <w:rsid w:val="00BA2CBE"/>
    <w:rsid w:val="00BA4587"/>
    <w:rsid w:val="00BA4B8E"/>
    <w:rsid w:val="00BB005A"/>
    <w:rsid w:val="00BB167C"/>
    <w:rsid w:val="00BB176F"/>
    <w:rsid w:val="00BB1B00"/>
    <w:rsid w:val="00BB21FF"/>
    <w:rsid w:val="00BB2C21"/>
    <w:rsid w:val="00BB37A2"/>
    <w:rsid w:val="00BB467F"/>
    <w:rsid w:val="00BB5C39"/>
    <w:rsid w:val="00BB72F4"/>
    <w:rsid w:val="00BC08DA"/>
    <w:rsid w:val="00BC3598"/>
    <w:rsid w:val="00BC5C64"/>
    <w:rsid w:val="00BC723B"/>
    <w:rsid w:val="00BD0B0D"/>
    <w:rsid w:val="00BD12B0"/>
    <w:rsid w:val="00BD2C36"/>
    <w:rsid w:val="00BD6231"/>
    <w:rsid w:val="00BD63C1"/>
    <w:rsid w:val="00BD6753"/>
    <w:rsid w:val="00BD75CB"/>
    <w:rsid w:val="00BE02C4"/>
    <w:rsid w:val="00BE0821"/>
    <w:rsid w:val="00BE091B"/>
    <w:rsid w:val="00BE33F5"/>
    <w:rsid w:val="00BE419B"/>
    <w:rsid w:val="00BE57E2"/>
    <w:rsid w:val="00BE60B5"/>
    <w:rsid w:val="00BF0049"/>
    <w:rsid w:val="00BF1FE1"/>
    <w:rsid w:val="00BF3009"/>
    <w:rsid w:val="00BF4F54"/>
    <w:rsid w:val="00BF5321"/>
    <w:rsid w:val="00BF5499"/>
    <w:rsid w:val="00BF7449"/>
    <w:rsid w:val="00BF79EF"/>
    <w:rsid w:val="00C00A8B"/>
    <w:rsid w:val="00C01475"/>
    <w:rsid w:val="00C01B9F"/>
    <w:rsid w:val="00C027EE"/>
    <w:rsid w:val="00C0286A"/>
    <w:rsid w:val="00C02E85"/>
    <w:rsid w:val="00C0466A"/>
    <w:rsid w:val="00C0688B"/>
    <w:rsid w:val="00C06AFE"/>
    <w:rsid w:val="00C06ECC"/>
    <w:rsid w:val="00C06F54"/>
    <w:rsid w:val="00C0729B"/>
    <w:rsid w:val="00C0734D"/>
    <w:rsid w:val="00C07894"/>
    <w:rsid w:val="00C07B78"/>
    <w:rsid w:val="00C07DB7"/>
    <w:rsid w:val="00C103CA"/>
    <w:rsid w:val="00C11660"/>
    <w:rsid w:val="00C121C3"/>
    <w:rsid w:val="00C122B0"/>
    <w:rsid w:val="00C133BE"/>
    <w:rsid w:val="00C13FF2"/>
    <w:rsid w:val="00C14734"/>
    <w:rsid w:val="00C14C4D"/>
    <w:rsid w:val="00C14C5F"/>
    <w:rsid w:val="00C154E2"/>
    <w:rsid w:val="00C166BB"/>
    <w:rsid w:val="00C20208"/>
    <w:rsid w:val="00C20EFC"/>
    <w:rsid w:val="00C21A84"/>
    <w:rsid w:val="00C21D9B"/>
    <w:rsid w:val="00C22144"/>
    <w:rsid w:val="00C226D8"/>
    <w:rsid w:val="00C22A1E"/>
    <w:rsid w:val="00C22D7F"/>
    <w:rsid w:val="00C23277"/>
    <w:rsid w:val="00C24388"/>
    <w:rsid w:val="00C24390"/>
    <w:rsid w:val="00C248DC"/>
    <w:rsid w:val="00C2504B"/>
    <w:rsid w:val="00C2705F"/>
    <w:rsid w:val="00C27A07"/>
    <w:rsid w:val="00C30953"/>
    <w:rsid w:val="00C31099"/>
    <w:rsid w:val="00C31FBC"/>
    <w:rsid w:val="00C3299D"/>
    <w:rsid w:val="00C32D3D"/>
    <w:rsid w:val="00C3308F"/>
    <w:rsid w:val="00C34552"/>
    <w:rsid w:val="00C3587B"/>
    <w:rsid w:val="00C35D08"/>
    <w:rsid w:val="00C3603B"/>
    <w:rsid w:val="00C36A2C"/>
    <w:rsid w:val="00C36C5F"/>
    <w:rsid w:val="00C37C66"/>
    <w:rsid w:val="00C40068"/>
    <w:rsid w:val="00C404EA"/>
    <w:rsid w:val="00C40D6A"/>
    <w:rsid w:val="00C40DA1"/>
    <w:rsid w:val="00C417EA"/>
    <w:rsid w:val="00C42898"/>
    <w:rsid w:val="00C43083"/>
    <w:rsid w:val="00C43751"/>
    <w:rsid w:val="00C447B2"/>
    <w:rsid w:val="00C452B3"/>
    <w:rsid w:val="00C5387E"/>
    <w:rsid w:val="00C55165"/>
    <w:rsid w:val="00C5519E"/>
    <w:rsid w:val="00C552C3"/>
    <w:rsid w:val="00C558BD"/>
    <w:rsid w:val="00C56A9F"/>
    <w:rsid w:val="00C573A2"/>
    <w:rsid w:val="00C71109"/>
    <w:rsid w:val="00C73719"/>
    <w:rsid w:val="00C73D6D"/>
    <w:rsid w:val="00C75CEE"/>
    <w:rsid w:val="00C778EE"/>
    <w:rsid w:val="00C80BF2"/>
    <w:rsid w:val="00C824BD"/>
    <w:rsid w:val="00C83C35"/>
    <w:rsid w:val="00C84647"/>
    <w:rsid w:val="00C909A7"/>
    <w:rsid w:val="00C90C3E"/>
    <w:rsid w:val="00C93492"/>
    <w:rsid w:val="00C948C3"/>
    <w:rsid w:val="00C95358"/>
    <w:rsid w:val="00C954C7"/>
    <w:rsid w:val="00C962CE"/>
    <w:rsid w:val="00C9706C"/>
    <w:rsid w:val="00C973F4"/>
    <w:rsid w:val="00C977EB"/>
    <w:rsid w:val="00CA062B"/>
    <w:rsid w:val="00CA0706"/>
    <w:rsid w:val="00CA0FF3"/>
    <w:rsid w:val="00CA2610"/>
    <w:rsid w:val="00CA3A45"/>
    <w:rsid w:val="00CA3D66"/>
    <w:rsid w:val="00CA47CE"/>
    <w:rsid w:val="00CA56FF"/>
    <w:rsid w:val="00CA57C8"/>
    <w:rsid w:val="00CA5E28"/>
    <w:rsid w:val="00CA688F"/>
    <w:rsid w:val="00CA69AA"/>
    <w:rsid w:val="00CA7AA7"/>
    <w:rsid w:val="00CB12DB"/>
    <w:rsid w:val="00CB1410"/>
    <w:rsid w:val="00CB238D"/>
    <w:rsid w:val="00CB4CAA"/>
    <w:rsid w:val="00CB5B85"/>
    <w:rsid w:val="00CC464B"/>
    <w:rsid w:val="00CC4A33"/>
    <w:rsid w:val="00CC5159"/>
    <w:rsid w:val="00CC5328"/>
    <w:rsid w:val="00CD0479"/>
    <w:rsid w:val="00CD4BC4"/>
    <w:rsid w:val="00CD532F"/>
    <w:rsid w:val="00CD5C81"/>
    <w:rsid w:val="00CD5EB5"/>
    <w:rsid w:val="00CE028D"/>
    <w:rsid w:val="00CE0714"/>
    <w:rsid w:val="00CE1F10"/>
    <w:rsid w:val="00CE2829"/>
    <w:rsid w:val="00CE2F6E"/>
    <w:rsid w:val="00CE4C15"/>
    <w:rsid w:val="00CE64AD"/>
    <w:rsid w:val="00CE6EEC"/>
    <w:rsid w:val="00CF07BC"/>
    <w:rsid w:val="00CF1AE1"/>
    <w:rsid w:val="00CF1E67"/>
    <w:rsid w:val="00CF3CDC"/>
    <w:rsid w:val="00CF3E37"/>
    <w:rsid w:val="00CF6AFA"/>
    <w:rsid w:val="00CF74D7"/>
    <w:rsid w:val="00CF751A"/>
    <w:rsid w:val="00D00B40"/>
    <w:rsid w:val="00D017CE"/>
    <w:rsid w:val="00D0521B"/>
    <w:rsid w:val="00D05ABB"/>
    <w:rsid w:val="00D06560"/>
    <w:rsid w:val="00D10A91"/>
    <w:rsid w:val="00D1464D"/>
    <w:rsid w:val="00D155D1"/>
    <w:rsid w:val="00D15E57"/>
    <w:rsid w:val="00D1605B"/>
    <w:rsid w:val="00D16064"/>
    <w:rsid w:val="00D16FB8"/>
    <w:rsid w:val="00D171BD"/>
    <w:rsid w:val="00D2000A"/>
    <w:rsid w:val="00D21102"/>
    <w:rsid w:val="00D22A53"/>
    <w:rsid w:val="00D22F8E"/>
    <w:rsid w:val="00D24E18"/>
    <w:rsid w:val="00D2597F"/>
    <w:rsid w:val="00D30A7E"/>
    <w:rsid w:val="00D32038"/>
    <w:rsid w:val="00D335AA"/>
    <w:rsid w:val="00D337A9"/>
    <w:rsid w:val="00D34133"/>
    <w:rsid w:val="00D34ADA"/>
    <w:rsid w:val="00D34FC3"/>
    <w:rsid w:val="00D3679B"/>
    <w:rsid w:val="00D40DD0"/>
    <w:rsid w:val="00D43AB3"/>
    <w:rsid w:val="00D458CD"/>
    <w:rsid w:val="00D45A2B"/>
    <w:rsid w:val="00D5087E"/>
    <w:rsid w:val="00D50EB5"/>
    <w:rsid w:val="00D5109A"/>
    <w:rsid w:val="00D52048"/>
    <w:rsid w:val="00D5327B"/>
    <w:rsid w:val="00D5388F"/>
    <w:rsid w:val="00D53BC7"/>
    <w:rsid w:val="00D54318"/>
    <w:rsid w:val="00D5684B"/>
    <w:rsid w:val="00D5752A"/>
    <w:rsid w:val="00D57DBD"/>
    <w:rsid w:val="00D60D45"/>
    <w:rsid w:val="00D613C4"/>
    <w:rsid w:val="00D617ED"/>
    <w:rsid w:val="00D62062"/>
    <w:rsid w:val="00D63646"/>
    <w:rsid w:val="00D6448E"/>
    <w:rsid w:val="00D66781"/>
    <w:rsid w:val="00D66BB6"/>
    <w:rsid w:val="00D67041"/>
    <w:rsid w:val="00D677F7"/>
    <w:rsid w:val="00D712AB"/>
    <w:rsid w:val="00D71ACD"/>
    <w:rsid w:val="00D735CC"/>
    <w:rsid w:val="00D757D4"/>
    <w:rsid w:val="00D82298"/>
    <w:rsid w:val="00D85DEA"/>
    <w:rsid w:val="00D87A32"/>
    <w:rsid w:val="00D87FD4"/>
    <w:rsid w:val="00D905CF"/>
    <w:rsid w:val="00D93039"/>
    <w:rsid w:val="00D93962"/>
    <w:rsid w:val="00D93C47"/>
    <w:rsid w:val="00D947BA"/>
    <w:rsid w:val="00D948AE"/>
    <w:rsid w:val="00D949F9"/>
    <w:rsid w:val="00D94BA7"/>
    <w:rsid w:val="00DA2582"/>
    <w:rsid w:val="00DA3152"/>
    <w:rsid w:val="00DA5156"/>
    <w:rsid w:val="00DA726E"/>
    <w:rsid w:val="00DA7CFB"/>
    <w:rsid w:val="00DB0CF4"/>
    <w:rsid w:val="00DB1F87"/>
    <w:rsid w:val="00DC04BD"/>
    <w:rsid w:val="00DC06BD"/>
    <w:rsid w:val="00DC2BF2"/>
    <w:rsid w:val="00DC2D1F"/>
    <w:rsid w:val="00DC48A6"/>
    <w:rsid w:val="00DC7F2B"/>
    <w:rsid w:val="00DD19F1"/>
    <w:rsid w:val="00DD19F5"/>
    <w:rsid w:val="00DD242B"/>
    <w:rsid w:val="00DD3896"/>
    <w:rsid w:val="00DD475D"/>
    <w:rsid w:val="00DD593D"/>
    <w:rsid w:val="00DD5B02"/>
    <w:rsid w:val="00DD6BE1"/>
    <w:rsid w:val="00DE3C2F"/>
    <w:rsid w:val="00DE505E"/>
    <w:rsid w:val="00DE543E"/>
    <w:rsid w:val="00DE63A6"/>
    <w:rsid w:val="00DE7A86"/>
    <w:rsid w:val="00DE7ED6"/>
    <w:rsid w:val="00DF03C0"/>
    <w:rsid w:val="00DF0E1C"/>
    <w:rsid w:val="00DF2771"/>
    <w:rsid w:val="00DF3BB3"/>
    <w:rsid w:val="00DF43DA"/>
    <w:rsid w:val="00DF53B8"/>
    <w:rsid w:val="00DF53C3"/>
    <w:rsid w:val="00DF53E3"/>
    <w:rsid w:val="00DF7658"/>
    <w:rsid w:val="00E011C3"/>
    <w:rsid w:val="00E01B40"/>
    <w:rsid w:val="00E03755"/>
    <w:rsid w:val="00E0386F"/>
    <w:rsid w:val="00E04425"/>
    <w:rsid w:val="00E06CA0"/>
    <w:rsid w:val="00E0725B"/>
    <w:rsid w:val="00E07E4D"/>
    <w:rsid w:val="00E10AF5"/>
    <w:rsid w:val="00E10E0B"/>
    <w:rsid w:val="00E1352E"/>
    <w:rsid w:val="00E14CF4"/>
    <w:rsid w:val="00E1662A"/>
    <w:rsid w:val="00E16773"/>
    <w:rsid w:val="00E170FE"/>
    <w:rsid w:val="00E2157F"/>
    <w:rsid w:val="00E21CE1"/>
    <w:rsid w:val="00E21DF9"/>
    <w:rsid w:val="00E232BE"/>
    <w:rsid w:val="00E2335B"/>
    <w:rsid w:val="00E23CC4"/>
    <w:rsid w:val="00E240C0"/>
    <w:rsid w:val="00E25072"/>
    <w:rsid w:val="00E27034"/>
    <w:rsid w:val="00E27244"/>
    <w:rsid w:val="00E300C4"/>
    <w:rsid w:val="00E3035A"/>
    <w:rsid w:val="00E32452"/>
    <w:rsid w:val="00E32E7B"/>
    <w:rsid w:val="00E33FDA"/>
    <w:rsid w:val="00E349FB"/>
    <w:rsid w:val="00E34DBC"/>
    <w:rsid w:val="00E352C8"/>
    <w:rsid w:val="00E377A3"/>
    <w:rsid w:val="00E40DB7"/>
    <w:rsid w:val="00E40F69"/>
    <w:rsid w:val="00E416EA"/>
    <w:rsid w:val="00E41C2A"/>
    <w:rsid w:val="00E42B45"/>
    <w:rsid w:val="00E430EB"/>
    <w:rsid w:val="00E4379B"/>
    <w:rsid w:val="00E44486"/>
    <w:rsid w:val="00E4488F"/>
    <w:rsid w:val="00E45CFE"/>
    <w:rsid w:val="00E4646D"/>
    <w:rsid w:val="00E47684"/>
    <w:rsid w:val="00E478A0"/>
    <w:rsid w:val="00E5082D"/>
    <w:rsid w:val="00E528B6"/>
    <w:rsid w:val="00E53693"/>
    <w:rsid w:val="00E543C9"/>
    <w:rsid w:val="00E55608"/>
    <w:rsid w:val="00E56B59"/>
    <w:rsid w:val="00E603AE"/>
    <w:rsid w:val="00E613A0"/>
    <w:rsid w:val="00E61B74"/>
    <w:rsid w:val="00E62D03"/>
    <w:rsid w:val="00E63C33"/>
    <w:rsid w:val="00E65C69"/>
    <w:rsid w:val="00E66436"/>
    <w:rsid w:val="00E66899"/>
    <w:rsid w:val="00E705D9"/>
    <w:rsid w:val="00E706DD"/>
    <w:rsid w:val="00E73F90"/>
    <w:rsid w:val="00E74363"/>
    <w:rsid w:val="00E74D80"/>
    <w:rsid w:val="00E75CA0"/>
    <w:rsid w:val="00E76543"/>
    <w:rsid w:val="00E82507"/>
    <w:rsid w:val="00E8294B"/>
    <w:rsid w:val="00E85318"/>
    <w:rsid w:val="00E866A2"/>
    <w:rsid w:val="00E9085C"/>
    <w:rsid w:val="00E9112E"/>
    <w:rsid w:val="00E95D83"/>
    <w:rsid w:val="00E962DC"/>
    <w:rsid w:val="00EA2187"/>
    <w:rsid w:val="00EA2214"/>
    <w:rsid w:val="00EA264E"/>
    <w:rsid w:val="00EA78FA"/>
    <w:rsid w:val="00EA791B"/>
    <w:rsid w:val="00EB12BF"/>
    <w:rsid w:val="00EB25F2"/>
    <w:rsid w:val="00EB2E3E"/>
    <w:rsid w:val="00EB317E"/>
    <w:rsid w:val="00EB42C1"/>
    <w:rsid w:val="00EB5122"/>
    <w:rsid w:val="00EB5F45"/>
    <w:rsid w:val="00EB7946"/>
    <w:rsid w:val="00EC08B8"/>
    <w:rsid w:val="00EC307C"/>
    <w:rsid w:val="00EC42BB"/>
    <w:rsid w:val="00EC4B72"/>
    <w:rsid w:val="00EC5386"/>
    <w:rsid w:val="00EC6114"/>
    <w:rsid w:val="00EC644D"/>
    <w:rsid w:val="00EC6E1C"/>
    <w:rsid w:val="00ED0301"/>
    <w:rsid w:val="00ED0B32"/>
    <w:rsid w:val="00ED16DC"/>
    <w:rsid w:val="00ED2570"/>
    <w:rsid w:val="00ED25F1"/>
    <w:rsid w:val="00ED2669"/>
    <w:rsid w:val="00ED26FB"/>
    <w:rsid w:val="00ED36FA"/>
    <w:rsid w:val="00ED6D74"/>
    <w:rsid w:val="00ED6EF5"/>
    <w:rsid w:val="00ED717B"/>
    <w:rsid w:val="00EE1138"/>
    <w:rsid w:val="00EE2C90"/>
    <w:rsid w:val="00EE3E3B"/>
    <w:rsid w:val="00EE41BF"/>
    <w:rsid w:val="00EE46C3"/>
    <w:rsid w:val="00EE536A"/>
    <w:rsid w:val="00EE5F84"/>
    <w:rsid w:val="00EE7D14"/>
    <w:rsid w:val="00EF0C68"/>
    <w:rsid w:val="00EF1A27"/>
    <w:rsid w:val="00EF1F64"/>
    <w:rsid w:val="00EF2200"/>
    <w:rsid w:val="00EF38A3"/>
    <w:rsid w:val="00EF4191"/>
    <w:rsid w:val="00EF4967"/>
    <w:rsid w:val="00EF7C4B"/>
    <w:rsid w:val="00EF7CB2"/>
    <w:rsid w:val="00F006E4"/>
    <w:rsid w:val="00F0123F"/>
    <w:rsid w:val="00F014BD"/>
    <w:rsid w:val="00F0234A"/>
    <w:rsid w:val="00F02496"/>
    <w:rsid w:val="00F0540C"/>
    <w:rsid w:val="00F056AA"/>
    <w:rsid w:val="00F05ABF"/>
    <w:rsid w:val="00F07A28"/>
    <w:rsid w:val="00F1132D"/>
    <w:rsid w:val="00F11647"/>
    <w:rsid w:val="00F122C3"/>
    <w:rsid w:val="00F138F1"/>
    <w:rsid w:val="00F140DD"/>
    <w:rsid w:val="00F148C2"/>
    <w:rsid w:val="00F1494D"/>
    <w:rsid w:val="00F15FD4"/>
    <w:rsid w:val="00F17246"/>
    <w:rsid w:val="00F17358"/>
    <w:rsid w:val="00F17E90"/>
    <w:rsid w:val="00F2348F"/>
    <w:rsid w:val="00F240F3"/>
    <w:rsid w:val="00F2433A"/>
    <w:rsid w:val="00F2443F"/>
    <w:rsid w:val="00F26FCB"/>
    <w:rsid w:val="00F270A8"/>
    <w:rsid w:val="00F271E3"/>
    <w:rsid w:val="00F30A3B"/>
    <w:rsid w:val="00F33001"/>
    <w:rsid w:val="00F34260"/>
    <w:rsid w:val="00F37883"/>
    <w:rsid w:val="00F37C0E"/>
    <w:rsid w:val="00F400ED"/>
    <w:rsid w:val="00F415BC"/>
    <w:rsid w:val="00F42E7F"/>
    <w:rsid w:val="00F437CD"/>
    <w:rsid w:val="00F43969"/>
    <w:rsid w:val="00F444B9"/>
    <w:rsid w:val="00F45357"/>
    <w:rsid w:val="00F46759"/>
    <w:rsid w:val="00F47413"/>
    <w:rsid w:val="00F47C6C"/>
    <w:rsid w:val="00F5249F"/>
    <w:rsid w:val="00F536B2"/>
    <w:rsid w:val="00F53959"/>
    <w:rsid w:val="00F53FB7"/>
    <w:rsid w:val="00F5431A"/>
    <w:rsid w:val="00F55B22"/>
    <w:rsid w:val="00F56B74"/>
    <w:rsid w:val="00F575EC"/>
    <w:rsid w:val="00F61F74"/>
    <w:rsid w:val="00F64509"/>
    <w:rsid w:val="00F647B2"/>
    <w:rsid w:val="00F64A6C"/>
    <w:rsid w:val="00F65324"/>
    <w:rsid w:val="00F66D04"/>
    <w:rsid w:val="00F67432"/>
    <w:rsid w:val="00F70206"/>
    <w:rsid w:val="00F7166C"/>
    <w:rsid w:val="00F71AF2"/>
    <w:rsid w:val="00F71F3D"/>
    <w:rsid w:val="00F7319A"/>
    <w:rsid w:val="00F7494A"/>
    <w:rsid w:val="00F74A82"/>
    <w:rsid w:val="00F751A9"/>
    <w:rsid w:val="00F76AB3"/>
    <w:rsid w:val="00F8025E"/>
    <w:rsid w:val="00F807F2"/>
    <w:rsid w:val="00F817DB"/>
    <w:rsid w:val="00F82C81"/>
    <w:rsid w:val="00F84100"/>
    <w:rsid w:val="00F843FE"/>
    <w:rsid w:val="00F85F6E"/>
    <w:rsid w:val="00F87FA9"/>
    <w:rsid w:val="00F95DF2"/>
    <w:rsid w:val="00F97AE1"/>
    <w:rsid w:val="00F97F87"/>
    <w:rsid w:val="00FA15B8"/>
    <w:rsid w:val="00FA25AE"/>
    <w:rsid w:val="00FA2D53"/>
    <w:rsid w:val="00FA433A"/>
    <w:rsid w:val="00FA4597"/>
    <w:rsid w:val="00FA589D"/>
    <w:rsid w:val="00FA6F88"/>
    <w:rsid w:val="00FB1C99"/>
    <w:rsid w:val="00FB1F78"/>
    <w:rsid w:val="00FB3998"/>
    <w:rsid w:val="00FB4F6B"/>
    <w:rsid w:val="00FB50E0"/>
    <w:rsid w:val="00FB7785"/>
    <w:rsid w:val="00FC1646"/>
    <w:rsid w:val="00FC2CE5"/>
    <w:rsid w:val="00FC3057"/>
    <w:rsid w:val="00FC3886"/>
    <w:rsid w:val="00FC4C96"/>
    <w:rsid w:val="00FC4D4B"/>
    <w:rsid w:val="00FD375A"/>
    <w:rsid w:val="00FD4545"/>
    <w:rsid w:val="00FE0098"/>
    <w:rsid w:val="00FE4C38"/>
    <w:rsid w:val="00FE5623"/>
    <w:rsid w:val="00FE5FEB"/>
    <w:rsid w:val="00FE7D8F"/>
    <w:rsid w:val="00FF04AD"/>
    <w:rsid w:val="00FF055B"/>
    <w:rsid w:val="00FF05DA"/>
    <w:rsid w:val="00FF0F1F"/>
    <w:rsid w:val="00FF3765"/>
    <w:rsid w:val="00FF3E18"/>
    <w:rsid w:val="00FF42B6"/>
    <w:rsid w:val="00FF5A65"/>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24A0C"/>
  <w15:docId w15:val="{63C7039C-DFA3-4658-A906-0CC3020E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uiPriority w:val="9"/>
    <w:qFormat/>
    <w:rsid w:val="006A7617"/>
    <w:pPr>
      <w:keepNext/>
      <w:keepLines/>
      <w:tabs>
        <w:tab w:val="left" w:pos="851"/>
      </w:tabs>
      <w:spacing w:before="60" w:after="60" w:line="288" w:lineRule="auto"/>
      <w:ind w:left="2835"/>
      <w:jc w:val="both"/>
      <w:outlineLvl w:val="0"/>
    </w:pPr>
    <w:rPr>
      <w:rFonts w:asciiTheme="minorHAnsi" w:hAnsiTheme="minorHAnsi" w:cstheme="minorHAnsi"/>
      <w:b/>
      <w:spacing w:val="-1"/>
      <w:kern w:val="28"/>
      <w:u w:color="000000"/>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uiPriority w:val="9"/>
    <w:rsid w:val="006A7617"/>
    <w:rPr>
      <w:rFonts w:asciiTheme="minorHAnsi" w:hAnsiTheme="minorHAnsi" w:cstheme="minorHAnsi"/>
      <w:b/>
      <w:spacing w:val="-1"/>
      <w:kern w:val="28"/>
      <w:sz w:val="24"/>
      <w:szCs w:val="24"/>
      <w:u w:color="000000"/>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opis dzialania,K-P_odwolanie,Akapit z listą mon,Dot pt,F5 List Paragraph,List Paragraph1,Recommendation,List Paragraph11,Kolorowa lista — akcent 11,Numerowanie,List Paragraph,Akapit z listą1,Normalny punktowan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opis dzialania Znak,K-P_odwolanie Znak,Akapit z listą mon Znak,Dot pt Znak,F5 List Paragraph Znak,List Paragraph1 Znak,Recommendation Znak,List Paragraph11 Znak,Kolorowa lista — akcent 11 Znak"/>
    <w:link w:val="Akapitzlist"/>
    <w:uiPriority w:val="34"/>
    <w:qFormat/>
    <w:locked/>
    <w:rsid w:val="000343DD"/>
    <w:rPr>
      <w:sz w:val="24"/>
      <w:szCs w:val="24"/>
    </w:rPr>
  </w:style>
  <w:style w:type="table" w:customStyle="1" w:styleId="TableNormal">
    <w:name w:val="Table Normal"/>
    <w:uiPriority w:val="2"/>
    <w:semiHidden/>
    <w:unhideWhenUsed/>
    <w:qFormat/>
    <w:rsid w:val="000918E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0918EC"/>
    <w:pPr>
      <w:widowControl w:val="0"/>
    </w:pPr>
    <w:rPr>
      <w:rFonts w:asciiTheme="minorHAnsi" w:eastAsiaTheme="minorHAnsi" w:hAnsiTheme="minorHAnsi" w:cstheme="minorBidi"/>
      <w:sz w:val="22"/>
      <w:szCs w:val="22"/>
      <w:lang w:val="en-US" w:eastAsia="en-US"/>
    </w:rPr>
  </w:style>
  <w:style w:type="character" w:customStyle="1" w:styleId="ui-provider">
    <w:name w:val="ui-provider"/>
    <w:basedOn w:val="Domylnaczcionkaakapitu"/>
    <w:rsid w:val="00480DBE"/>
  </w:style>
  <w:style w:type="character" w:customStyle="1" w:styleId="cf01">
    <w:name w:val="cf01"/>
    <w:basedOn w:val="Domylnaczcionkaakapitu"/>
    <w:rsid w:val="00330585"/>
    <w:rPr>
      <w:rFonts w:ascii="Segoe UI" w:hAnsi="Segoe UI" w:cs="Segoe UI" w:hint="default"/>
      <w:sz w:val="18"/>
      <w:szCs w:val="18"/>
    </w:rPr>
  </w:style>
  <w:style w:type="character" w:customStyle="1" w:styleId="cf11">
    <w:name w:val="cf11"/>
    <w:basedOn w:val="Domylnaczcionkaakapitu"/>
    <w:rsid w:val="00330585"/>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F12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63024844">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491487463">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hs=nSUU&amp;sca_esv=7db8a341a0b7f2aa&amp;channel=entpr&amp;q=Samodzielny+Publiczny+Zak%C5%82ad+Opieki+Zdrowotnej&amp;sa=X&amp;ved=2ahUKEwjd_ZLuxoiSAxXNSvEDHdZaLJwQxccNegQIHRAB&amp;mstk=AUtExfCExcnurRiA2vKQtIPaGyhj4X8XY8hQ_9cPHI2xrSyHiYQ2JwqMqC6VskKmxua_BHUqW-AGn_wlBBa7mT-Zf0Sc8obta7MeJ_6-JpwNoIsYvfqV2o7uDzAsuAysXYSfz5o&amp;csui=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url?sa=i&amp;source=web&amp;rct=j&amp;url=https://gov.legalis.pl/status-szpitala-dzialajacego-w-formie-spolki-z-o-o/&amp;ved=2ahUKEwjl15Xiy4iSAxW4SPEDHQEtAngQy_kOegQIARAB&amp;opi=89978449&amp;cd&amp;psig=AOvVaw2YSuAgV3Uy_0vr4ZKZYInL&amp;ust=1768396313906000" TargetMode="External"/><Relationship Id="rId4" Type="http://schemas.openxmlformats.org/officeDocument/2006/relationships/settings" Target="settings.xml"/><Relationship Id="rId9" Type="http://schemas.openxmlformats.org/officeDocument/2006/relationships/hyperlink" Target="https://www.google.com/search?q=ustaw%C4%99+z+dnia+15+kwietnia+2011+r.+o+dzia%C5%82alno%C5%9Bci+leczniczej&amp;client=firefox-b-d&amp;hs=nSUU&amp;sca_esv=7db8a341a0b7f2aa&amp;channel=entpr&amp;ei=dD9mad3zM82Vxc8P1rWx4Qk&amp;ved=2ahUKEwjl3v6Ux4iSAxUTBNsEHS_SFxsQgK4QegQIARAB&amp;uact=5&amp;oq=w+jakiej+ustawie+zdefiniowano+sp+zoz&amp;gs_lp=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&amp;sclient=gws-wiz-serp"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DE20-D692-4750-A5BD-7B644358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3415</Words>
  <Characters>23293</Characters>
  <Application>Microsoft Office Word</Application>
  <DocSecurity>0</DocSecurity>
  <Lines>685</Lines>
  <Paragraphs>306</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26402</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dc:title>
  <dc:creator>DNaumien</dc:creator>
  <cp:lastModifiedBy>Dryka-Mizerska Sylwia</cp:lastModifiedBy>
  <cp:revision>4</cp:revision>
  <cp:lastPrinted>2026-02-05T11:34:00Z</cp:lastPrinted>
  <dcterms:created xsi:type="dcterms:W3CDTF">2026-05-18T10:11:00Z</dcterms:created>
  <dcterms:modified xsi:type="dcterms:W3CDTF">2026-05-19T11:25:00Z</dcterms:modified>
</cp:coreProperties>
</file>