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344A43" w14:textId="77777777" w:rsidR="00150216" w:rsidRPr="001E7B76" w:rsidRDefault="00150216" w:rsidP="000714F5">
      <w:pPr>
        <w:widowControl w:val="0"/>
        <w:autoSpaceDE w:val="0"/>
        <w:autoSpaceDN w:val="0"/>
        <w:adjustRightInd w:val="0"/>
        <w:jc w:val="center"/>
        <w:rPr>
          <w:rFonts w:asciiTheme="minorHAnsi" w:hAnsiTheme="minorHAnsi" w:cstheme="minorHAnsi"/>
          <w:b/>
          <w:bCs/>
          <w:sz w:val="22"/>
          <w:szCs w:val="22"/>
        </w:rPr>
      </w:pPr>
      <w:r w:rsidRPr="001E7B76">
        <w:rPr>
          <w:rFonts w:asciiTheme="minorHAnsi" w:hAnsiTheme="minorHAnsi" w:cstheme="minorHAnsi"/>
          <w:b/>
          <w:sz w:val="22"/>
          <w:lang w:val="uk-UA" w:bidi="uk-UA"/>
        </w:rPr>
        <w:t>ПАМ’ЯТКА</w:t>
      </w:r>
    </w:p>
    <w:p w14:paraId="64119759" w14:textId="77777777" w:rsidR="00E96511" w:rsidRPr="001E7B76" w:rsidRDefault="00E96511" w:rsidP="000714F5">
      <w:pPr>
        <w:widowControl w:val="0"/>
        <w:autoSpaceDE w:val="0"/>
        <w:autoSpaceDN w:val="0"/>
        <w:adjustRightInd w:val="0"/>
        <w:jc w:val="center"/>
        <w:rPr>
          <w:rFonts w:asciiTheme="minorHAnsi" w:hAnsiTheme="minorHAnsi" w:cstheme="minorHAnsi"/>
          <w:b/>
          <w:bCs/>
          <w:sz w:val="22"/>
          <w:szCs w:val="22"/>
        </w:rPr>
      </w:pPr>
      <w:r w:rsidRPr="001E7B76">
        <w:rPr>
          <w:rFonts w:asciiTheme="minorHAnsi" w:hAnsiTheme="minorHAnsi" w:cstheme="minorHAnsi"/>
          <w:b/>
          <w:sz w:val="22"/>
          <w:lang w:val="uk-UA" w:bidi="uk-UA"/>
        </w:rPr>
        <w:t>Вручення заочного рішення відповідачу</w:t>
      </w:r>
    </w:p>
    <w:p w14:paraId="11E81537" w14:textId="77777777" w:rsidR="00150216" w:rsidRPr="001E7B76" w:rsidRDefault="00150216" w:rsidP="00C23157">
      <w:pPr>
        <w:widowControl w:val="0"/>
        <w:numPr>
          <w:ilvl w:val="0"/>
          <w:numId w:val="22"/>
        </w:numPr>
        <w:tabs>
          <w:tab w:val="left" w:pos="426"/>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before="120"/>
        <w:ind w:left="426" w:hanging="426"/>
        <w:jc w:val="both"/>
        <w:rPr>
          <w:rFonts w:asciiTheme="minorHAnsi" w:hAnsiTheme="minorHAnsi" w:cstheme="minorHAnsi"/>
          <w:sz w:val="20"/>
          <w:szCs w:val="20"/>
          <w:lang w:val="ru-RU"/>
        </w:rPr>
      </w:pPr>
      <w:r w:rsidRPr="001E7B76">
        <w:rPr>
          <w:rFonts w:asciiTheme="minorHAnsi" w:hAnsiTheme="minorHAnsi" w:cstheme="minorHAnsi"/>
          <w:sz w:val="20"/>
          <w:lang w:val="uk-UA" w:bidi="uk-UA"/>
        </w:rPr>
        <w:t xml:space="preserve">Відповідач має право подати </w:t>
      </w:r>
      <w:r w:rsidRPr="001E7B76">
        <w:rPr>
          <w:rFonts w:asciiTheme="minorHAnsi" w:hAnsiTheme="minorHAnsi" w:cstheme="minorHAnsi"/>
          <w:b/>
          <w:sz w:val="20"/>
          <w:lang w:val="uk-UA" w:bidi="uk-UA"/>
        </w:rPr>
        <w:t>заперечення</w:t>
      </w:r>
      <w:r w:rsidRPr="001E7B76">
        <w:rPr>
          <w:rFonts w:asciiTheme="minorHAnsi" w:hAnsiTheme="minorHAnsi" w:cstheme="minorHAnsi"/>
          <w:sz w:val="20"/>
          <w:lang w:val="uk-UA" w:bidi="uk-UA"/>
        </w:rPr>
        <w:t xml:space="preserve"> проти заочного рішення. Заперечення може бути подане проти всього рішення або його частини, а якщо воно подається щодо частини рішення, слід чітко визначити обсяг оскарження.</w:t>
      </w:r>
    </w:p>
    <w:p w14:paraId="0F829754" w14:textId="77777777" w:rsidR="00150216" w:rsidRPr="001E7B76" w:rsidRDefault="00150216" w:rsidP="00C23157">
      <w:pPr>
        <w:widowControl w:val="0"/>
        <w:tabs>
          <w:tab w:val="left" w:pos="426"/>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before="120"/>
        <w:ind w:left="425" w:firstLine="1"/>
        <w:jc w:val="both"/>
        <w:rPr>
          <w:rFonts w:asciiTheme="minorHAnsi" w:hAnsiTheme="minorHAnsi" w:cstheme="minorHAnsi"/>
          <w:sz w:val="20"/>
          <w:szCs w:val="20"/>
          <w:lang w:val="uk-UA"/>
        </w:rPr>
      </w:pPr>
      <w:r w:rsidRPr="001E7B76">
        <w:rPr>
          <w:rFonts w:asciiTheme="minorHAnsi" w:hAnsiTheme="minorHAnsi" w:cstheme="minorHAnsi"/>
          <w:sz w:val="20"/>
          <w:lang w:val="uk-UA" w:bidi="uk-UA"/>
        </w:rPr>
        <w:t xml:space="preserve">Письмо, що містить заперечення, подається до суду, який виніс заочне рішення, </w:t>
      </w:r>
      <w:r w:rsidRPr="001E7B76">
        <w:rPr>
          <w:rFonts w:asciiTheme="minorHAnsi" w:hAnsiTheme="minorHAnsi" w:cstheme="minorHAnsi"/>
          <w:b/>
          <w:sz w:val="20"/>
          <w:lang w:val="uk-UA" w:bidi="uk-UA"/>
        </w:rPr>
        <w:t>протягом двох тижнів</w:t>
      </w:r>
      <w:r w:rsidRPr="001E7B76">
        <w:rPr>
          <w:rFonts w:asciiTheme="minorHAnsi" w:hAnsiTheme="minorHAnsi" w:cstheme="minorHAnsi"/>
          <w:sz w:val="20"/>
          <w:lang w:val="uk-UA" w:bidi="uk-UA"/>
        </w:rPr>
        <w:t xml:space="preserve"> з дня вручення рішення (ст. 344 § 1 Закону від 17 листопада 1964 р. «Цивільний процесуальний кодекс» («Закон. Вісник».2024.1568, єд. текст) - далі ЦПК).</w:t>
      </w:r>
    </w:p>
    <w:p w14:paraId="1FF43BC6" w14:textId="77777777" w:rsidR="00A10DA7" w:rsidRPr="001E7B76" w:rsidRDefault="00150216" w:rsidP="00C23157">
      <w:pPr>
        <w:widowControl w:val="0"/>
        <w:tabs>
          <w:tab w:val="left" w:pos="426"/>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before="120"/>
        <w:ind w:left="425" w:firstLine="1"/>
        <w:jc w:val="both"/>
        <w:rPr>
          <w:rFonts w:asciiTheme="minorHAnsi" w:hAnsiTheme="minorHAnsi" w:cstheme="minorHAnsi"/>
          <w:sz w:val="20"/>
          <w:szCs w:val="20"/>
          <w:lang w:val="uk-UA"/>
        </w:rPr>
      </w:pPr>
      <w:r w:rsidRPr="001E7B76">
        <w:rPr>
          <w:rFonts w:asciiTheme="minorHAnsi" w:hAnsiTheme="minorHAnsi" w:cstheme="minorHAnsi"/>
          <w:sz w:val="20"/>
          <w:lang w:val="uk-UA" w:bidi="uk-UA"/>
        </w:rPr>
        <w:t xml:space="preserve">У листі, що містить заперечення, відповідач повинен навести </w:t>
      </w:r>
      <w:r w:rsidRPr="001E7B76">
        <w:rPr>
          <w:rFonts w:asciiTheme="minorHAnsi" w:hAnsiTheme="minorHAnsi" w:cstheme="minorHAnsi"/>
          <w:b/>
          <w:sz w:val="20"/>
          <w:lang w:val="uk-UA" w:bidi="uk-UA"/>
        </w:rPr>
        <w:t>обвинувачення</w:t>
      </w:r>
      <w:r w:rsidRPr="001E7B76">
        <w:rPr>
          <w:rFonts w:asciiTheme="minorHAnsi" w:hAnsiTheme="minorHAnsi" w:cstheme="minorHAnsi"/>
          <w:sz w:val="20"/>
          <w:lang w:val="uk-UA" w:bidi="uk-UA"/>
        </w:rPr>
        <w:t xml:space="preserve">, які, під загрозою їхньої дискваліфікації, повинні бути висунуті до початку спору по суті справи, а також </w:t>
      </w:r>
      <w:r w:rsidRPr="001E7B76">
        <w:rPr>
          <w:rFonts w:asciiTheme="minorHAnsi" w:hAnsiTheme="minorHAnsi" w:cstheme="minorHAnsi"/>
          <w:b/>
          <w:sz w:val="20"/>
          <w:lang w:val="uk-UA" w:bidi="uk-UA"/>
        </w:rPr>
        <w:t>твердження та докази.</w:t>
      </w:r>
      <w:r w:rsidRPr="001E7B76">
        <w:rPr>
          <w:rFonts w:asciiTheme="minorHAnsi" w:hAnsiTheme="minorHAnsi" w:cstheme="minorHAnsi"/>
          <w:sz w:val="20"/>
          <w:lang w:val="uk-UA" w:bidi="uk-UA"/>
        </w:rPr>
        <w:t xml:space="preserve"> Твердження та докази, заявлені після подання заперечення, </w:t>
      </w:r>
      <w:r w:rsidRPr="001E7B76">
        <w:rPr>
          <w:rFonts w:asciiTheme="minorHAnsi" w:hAnsiTheme="minorHAnsi" w:cstheme="minorHAnsi"/>
          <w:b/>
          <w:sz w:val="20"/>
          <w:lang w:val="uk-UA" w:bidi="uk-UA"/>
        </w:rPr>
        <w:t>не враховуються</w:t>
      </w:r>
      <w:r w:rsidRPr="001E7B76">
        <w:rPr>
          <w:rFonts w:asciiTheme="minorHAnsi" w:hAnsiTheme="minorHAnsi" w:cstheme="minorHAnsi"/>
          <w:sz w:val="20"/>
          <w:lang w:val="uk-UA" w:bidi="uk-UA"/>
        </w:rPr>
        <w:t>, якщо тільки сторона не доведе, що їхнє наведення було неможливим або що необхідність їхнього наведення виникла пізніше (ст. 344 § 2, речення 1 ЦПК в поєдн. зі ст. 205</w:t>
      </w:r>
      <w:r w:rsidRPr="001E7B76">
        <w:rPr>
          <w:rFonts w:asciiTheme="minorHAnsi" w:hAnsiTheme="minorHAnsi" w:cstheme="minorHAnsi"/>
          <w:sz w:val="20"/>
          <w:vertAlign w:val="superscript"/>
          <w:lang w:val="uk-UA" w:bidi="uk-UA"/>
        </w:rPr>
        <w:t>12</w:t>
      </w:r>
      <w:r w:rsidRPr="001E7B76">
        <w:rPr>
          <w:rFonts w:asciiTheme="minorHAnsi" w:hAnsiTheme="minorHAnsi" w:cstheme="minorHAnsi"/>
          <w:sz w:val="20"/>
          <w:lang w:val="uk-UA" w:bidi="uk-UA"/>
        </w:rPr>
        <w:t xml:space="preserve"> § 1, речення 2 ЦПК). Відповідач у запереченні повинен також висловитися щодо тверджень протилежної сторони та доказів, на які вона посилається, а також перелічити факти, проти яких він заперечує; він також може вказати правові підстави своїх вимог або клопотань. </w:t>
      </w:r>
    </w:p>
    <w:p w14:paraId="77A5CEA1" w14:textId="77777777" w:rsidR="00446F9A" w:rsidRPr="001E7B76" w:rsidRDefault="00150216" w:rsidP="00C23157">
      <w:pPr>
        <w:tabs>
          <w:tab w:val="left" w:pos="426"/>
        </w:tabs>
        <w:autoSpaceDE w:val="0"/>
        <w:autoSpaceDN w:val="0"/>
        <w:adjustRightInd w:val="0"/>
        <w:spacing w:before="120"/>
        <w:ind w:left="425" w:firstLine="1"/>
        <w:jc w:val="both"/>
        <w:rPr>
          <w:rFonts w:asciiTheme="minorHAnsi" w:hAnsiTheme="minorHAnsi" w:cstheme="minorHAnsi"/>
          <w:sz w:val="20"/>
          <w:szCs w:val="20"/>
          <w:lang w:val="ru-RU"/>
        </w:rPr>
      </w:pPr>
      <w:r w:rsidRPr="001E7B76">
        <w:rPr>
          <w:rFonts w:asciiTheme="minorHAnsi" w:hAnsiTheme="minorHAnsi" w:cstheme="minorHAnsi"/>
          <w:sz w:val="20"/>
          <w:lang w:val="uk-UA" w:bidi="uk-UA"/>
        </w:rPr>
        <w:t xml:space="preserve">Документ, що містить заперечення проти заочного рішення, має бути поданий разом з копіями (заперечення та додатків до нього) у кількості, що дорівнює кількості позивачів. </w:t>
      </w:r>
    </w:p>
    <w:p w14:paraId="2EF4DD11" w14:textId="77777777" w:rsidR="00150216" w:rsidRPr="001E7B76" w:rsidRDefault="00150216" w:rsidP="00C23157">
      <w:pPr>
        <w:tabs>
          <w:tab w:val="left" w:pos="426"/>
        </w:tabs>
        <w:autoSpaceDE w:val="0"/>
        <w:autoSpaceDN w:val="0"/>
        <w:adjustRightInd w:val="0"/>
        <w:spacing w:before="120"/>
        <w:ind w:left="425" w:firstLine="1"/>
        <w:jc w:val="both"/>
        <w:rPr>
          <w:rFonts w:asciiTheme="minorHAnsi" w:hAnsiTheme="minorHAnsi" w:cstheme="minorHAnsi"/>
          <w:sz w:val="20"/>
          <w:szCs w:val="20"/>
          <w:lang w:val="ru-RU"/>
        </w:rPr>
      </w:pPr>
      <w:r w:rsidRPr="001E7B76">
        <w:rPr>
          <w:rFonts w:asciiTheme="minorHAnsi" w:hAnsiTheme="minorHAnsi" w:cstheme="minorHAnsi"/>
          <w:sz w:val="20"/>
          <w:lang w:val="uk-UA" w:bidi="uk-UA"/>
        </w:rPr>
        <w:t xml:space="preserve">Заперечення проти заочного рішення підлягає </w:t>
      </w:r>
      <w:r w:rsidRPr="001E7B76">
        <w:rPr>
          <w:rFonts w:asciiTheme="minorHAnsi" w:hAnsiTheme="minorHAnsi" w:cstheme="minorHAnsi"/>
          <w:b/>
          <w:sz w:val="20"/>
          <w:lang w:val="uk-UA" w:bidi="uk-UA"/>
        </w:rPr>
        <w:t>сплаті судового збору.</w:t>
      </w:r>
      <w:r w:rsidRPr="001E7B76">
        <w:rPr>
          <w:rFonts w:asciiTheme="minorHAnsi" w:hAnsiTheme="minorHAnsi" w:cstheme="minorHAnsi"/>
          <w:sz w:val="20"/>
          <w:lang w:val="uk-UA" w:bidi="uk-UA"/>
        </w:rPr>
        <w:t xml:space="preserve"> Збір за заперечення становить половину повного судового збору. Кінцеву суму збору округлюють у бік збільшення до повного злотого (ст. 21 Закону від 28 липня 2005 р. «Про судові витрати у цивільних справах» («Закон. Вісник».2025. 1228, єд. текст) - далі ЗСЦС). Обов’язок її сплати покладається на відповідача. </w:t>
      </w:r>
    </w:p>
    <w:p w14:paraId="02D1A248" w14:textId="77777777" w:rsidR="00150216" w:rsidRPr="001E7B76" w:rsidRDefault="00150216" w:rsidP="00C23157">
      <w:pPr>
        <w:tabs>
          <w:tab w:val="left" w:pos="426"/>
        </w:tabs>
        <w:autoSpaceDE w:val="0"/>
        <w:autoSpaceDN w:val="0"/>
        <w:adjustRightInd w:val="0"/>
        <w:spacing w:before="120"/>
        <w:ind w:left="425" w:firstLine="1"/>
        <w:jc w:val="both"/>
        <w:rPr>
          <w:rFonts w:asciiTheme="minorHAnsi" w:hAnsiTheme="minorHAnsi" w:cstheme="minorHAnsi"/>
          <w:sz w:val="20"/>
          <w:szCs w:val="20"/>
          <w:lang w:val="ru-RU"/>
        </w:rPr>
      </w:pPr>
      <w:r w:rsidRPr="001E7B76">
        <w:rPr>
          <w:rFonts w:asciiTheme="minorHAnsi" w:hAnsiTheme="minorHAnsi" w:cstheme="minorHAnsi"/>
          <w:b/>
          <w:sz w:val="20"/>
          <w:lang w:val="uk-UA" w:bidi="uk-UA"/>
        </w:rPr>
        <w:t>Суд відхиляє заперечення</w:t>
      </w:r>
      <w:r w:rsidRPr="001E7B76">
        <w:rPr>
          <w:rFonts w:asciiTheme="minorHAnsi" w:hAnsiTheme="minorHAnsi" w:cstheme="minorHAnsi"/>
          <w:sz w:val="20"/>
          <w:lang w:val="uk-UA" w:bidi="uk-UA"/>
        </w:rPr>
        <w:t>, яке є неприйнятним, поданим із запізненням, не сплаченим або яке має недоліки, які не були усунені попри відповідне застереження (ст. 344 § 3 ЦПК).</w:t>
      </w:r>
    </w:p>
    <w:p w14:paraId="3F4B541C" w14:textId="77777777" w:rsidR="006F36F7" w:rsidRPr="001E7B76" w:rsidRDefault="00150216" w:rsidP="00C23157">
      <w:pPr>
        <w:widowControl w:val="0"/>
        <w:tabs>
          <w:tab w:val="left" w:pos="426"/>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before="120"/>
        <w:ind w:left="425" w:firstLine="1"/>
        <w:jc w:val="both"/>
        <w:rPr>
          <w:rFonts w:asciiTheme="minorHAnsi" w:hAnsiTheme="minorHAnsi" w:cstheme="minorHAnsi"/>
          <w:b/>
          <w:sz w:val="20"/>
          <w:szCs w:val="20"/>
          <w:lang w:val="ru-RU"/>
        </w:rPr>
      </w:pPr>
      <w:r w:rsidRPr="001E7B76">
        <w:rPr>
          <w:rFonts w:asciiTheme="minorHAnsi" w:hAnsiTheme="minorHAnsi" w:cstheme="minorHAnsi"/>
          <w:b/>
          <w:sz w:val="20"/>
          <w:lang w:val="uk-UA" w:bidi="uk-UA"/>
        </w:rPr>
        <w:t>Заочне рішення, щодо якого не було подано належним чином заперечення в цілому або частково, має силу остаточного рішення.</w:t>
      </w:r>
    </w:p>
    <w:p w14:paraId="47E6999B" w14:textId="77777777" w:rsidR="00FE188D" w:rsidRPr="001E7B76" w:rsidRDefault="00FE188D" w:rsidP="00C23157">
      <w:pPr>
        <w:widowControl w:val="0"/>
        <w:numPr>
          <w:ilvl w:val="0"/>
          <w:numId w:val="22"/>
        </w:numPr>
        <w:tabs>
          <w:tab w:val="left" w:pos="426"/>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before="120"/>
        <w:ind w:left="426" w:hanging="426"/>
        <w:jc w:val="both"/>
        <w:rPr>
          <w:rFonts w:asciiTheme="minorHAnsi" w:hAnsiTheme="minorHAnsi" w:cstheme="minorHAnsi"/>
          <w:sz w:val="20"/>
          <w:szCs w:val="20"/>
          <w:lang w:val="ru-RU"/>
        </w:rPr>
      </w:pPr>
      <w:r w:rsidRPr="001E7B76">
        <w:rPr>
          <w:rFonts w:asciiTheme="minorHAnsi" w:hAnsiTheme="minorHAnsi" w:cstheme="minorHAnsi"/>
          <w:sz w:val="20"/>
          <w:lang w:val="uk-UA" w:bidi="uk-UA"/>
        </w:rPr>
        <w:t xml:space="preserve">На викладену в рішенні постанову </w:t>
      </w:r>
      <w:r w:rsidRPr="001E7B76">
        <w:rPr>
          <w:rFonts w:asciiTheme="minorHAnsi" w:hAnsiTheme="minorHAnsi" w:cstheme="minorHAnsi"/>
          <w:b/>
          <w:sz w:val="20"/>
          <w:lang w:val="uk-UA" w:bidi="uk-UA"/>
        </w:rPr>
        <w:t>щодо судових витрат</w:t>
      </w:r>
      <w:r w:rsidRPr="001E7B76">
        <w:rPr>
          <w:rFonts w:asciiTheme="minorHAnsi" w:hAnsiTheme="minorHAnsi" w:cstheme="minorHAnsi"/>
          <w:sz w:val="20"/>
          <w:lang w:val="uk-UA" w:bidi="uk-UA"/>
        </w:rPr>
        <w:t xml:space="preserve"> або іншу ухвалу, що завершує провадження в першій інстанції, можна подати </w:t>
      </w:r>
      <w:r w:rsidRPr="001E7B76">
        <w:rPr>
          <w:rFonts w:asciiTheme="minorHAnsi" w:hAnsiTheme="minorHAnsi" w:cstheme="minorHAnsi"/>
          <w:b/>
          <w:sz w:val="20"/>
          <w:lang w:val="uk-UA" w:bidi="uk-UA"/>
        </w:rPr>
        <w:t>скаргу до суду другої інстанції.</w:t>
      </w:r>
    </w:p>
    <w:p w14:paraId="749F9B35" w14:textId="77777777" w:rsidR="00B66038" w:rsidRPr="001E7B76" w:rsidRDefault="00B84A36" w:rsidP="00C23157">
      <w:pPr>
        <w:widowControl w:val="0"/>
        <w:tabs>
          <w:tab w:val="left" w:pos="426"/>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before="120"/>
        <w:ind w:left="426"/>
        <w:jc w:val="both"/>
        <w:rPr>
          <w:rFonts w:asciiTheme="minorHAnsi" w:hAnsiTheme="minorHAnsi" w:cstheme="minorHAnsi"/>
          <w:sz w:val="20"/>
          <w:szCs w:val="20"/>
          <w:lang w:val="ru-RU"/>
        </w:rPr>
      </w:pPr>
      <w:r w:rsidRPr="001E7B76">
        <w:rPr>
          <w:rFonts w:asciiTheme="minorHAnsi" w:hAnsiTheme="minorHAnsi" w:cstheme="minorHAnsi"/>
          <w:sz w:val="20"/>
          <w:lang w:val="uk-UA" w:bidi="uk-UA"/>
        </w:rPr>
        <w:t xml:space="preserve">На викладену в рішенні постанову </w:t>
      </w:r>
      <w:r w:rsidRPr="001E7B76">
        <w:rPr>
          <w:rFonts w:asciiTheme="minorHAnsi" w:hAnsiTheme="minorHAnsi" w:cstheme="minorHAnsi"/>
          <w:b/>
          <w:sz w:val="20"/>
          <w:lang w:val="uk-UA" w:bidi="uk-UA"/>
        </w:rPr>
        <w:t>щодо негайної виконавчої сили</w:t>
      </w:r>
      <w:r w:rsidRPr="001E7B76">
        <w:rPr>
          <w:rFonts w:asciiTheme="minorHAnsi" w:hAnsiTheme="minorHAnsi" w:cstheme="minorHAnsi"/>
          <w:sz w:val="20"/>
          <w:lang w:val="uk-UA" w:bidi="uk-UA"/>
        </w:rPr>
        <w:t xml:space="preserve">, можна подати </w:t>
      </w:r>
      <w:r w:rsidRPr="001E7B76">
        <w:rPr>
          <w:rFonts w:asciiTheme="minorHAnsi" w:hAnsiTheme="minorHAnsi" w:cstheme="minorHAnsi"/>
          <w:b/>
          <w:sz w:val="20"/>
          <w:lang w:val="uk-UA" w:bidi="uk-UA"/>
        </w:rPr>
        <w:t>скаргу до іншого складу суду першої інстанції.</w:t>
      </w:r>
    </w:p>
    <w:p w14:paraId="2A124088" w14:textId="77777777" w:rsidR="00A30B9B" w:rsidRPr="001E7B76" w:rsidRDefault="00A30B9B" w:rsidP="00C23157">
      <w:pPr>
        <w:widowControl w:val="0"/>
        <w:tabs>
          <w:tab w:val="left" w:pos="426"/>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before="120"/>
        <w:ind w:left="426"/>
        <w:jc w:val="both"/>
        <w:rPr>
          <w:rFonts w:asciiTheme="minorHAnsi" w:hAnsiTheme="minorHAnsi" w:cstheme="minorHAnsi"/>
          <w:sz w:val="20"/>
          <w:szCs w:val="20"/>
          <w:lang w:val="ru-RU"/>
        </w:rPr>
      </w:pPr>
      <w:r w:rsidRPr="001E7B76">
        <w:rPr>
          <w:rFonts w:asciiTheme="minorHAnsi" w:hAnsiTheme="minorHAnsi" w:cstheme="minorHAnsi"/>
          <w:b/>
          <w:sz w:val="20"/>
          <w:lang w:val="uk-UA" w:bidi="uk-UA"/>
        </w:rPr>
        <w:t>Право на подання скарги</w:t>
      </w:r>
      <w:r w:rsidRPr="001E7B76">
        <w:rPr>
          <w:rFonts w:asciiTheme="minorHAnsi" w:hAnsiTheme="minorHAnsi" w:cstheme="minorHAnsi"/>
          <w:sz w:val="20"/>
          <w:lang w:val="uk-UA" w:bidi="uk-UA"/>
        </w:rPr>
        <w:t xml:space="preserve"> має сторона, яка </w:t>
      </w:r>
      <w:r w:rsidRPr="001E7B76">
        <w:rPr>
          <w:rFonts w:asciiTheme="minorHAnsi" w:hAnsiTheme="minorHAnsi" w:cstheme="minorHAnsi"/>
          <w:b/>
          <w:sz w:val="20"/>
          <w:lang w:val="uk-UA" w:bidi="uk-UA"/>
        </w:rPr>
        <w:t>попередньо подала клопотання</w:t>
      </w:r>
      <w:r w:rsidRPr="001E7B76">
        <w:rPr>
          <w:rFonts w:asciiTheme="minorHAnsi" w:hAnsiTheme="minorHAnsi" w:cstheme="minorHAnsi"/>
          <w:sz w:val="20"/>
          <w:lang w:val="uk-UA" w:bidi="uk-UA"/>
        </w:rPr>
        <w:t xml:space="preserve"> про обґрунтування цього рішення.</w:t>
      </w:r>
    </w:p>
    <w:p w14:paraId="19427A0D" w14:textId="77777777" w:rsidR="00A30B9B" w:rsidRPr="001E7B76" w:rsidRDefault="00A30B9B" w:rsidP="00C23157">
      <w:pPr>
        <w:tabs>
          <w:tab w:val="left" w:pos="709"/>
        </w:tabs>
        <w:autoSpaceDE w:val="0"/>
        <w:autoSpaceDN w:val="0"/>
        <w:adjustRightInd w:val="0"/>
        <w:spacing w:before="120"/>
        <w:ind w:left="709"/>
        <w:jc w:val="both"/>
        <w:rPr>
          <w:rFonts w:asciiTheme="minorHAnsi" w:hAnsiTheme="minorHAnsi" w:cstheme="minorHAnsi"/>
          <w:sz w:val="20"/>
          <w:szCs w:val="20"/>
          <w:lang w:val="ru-RU"/>
        </w:rPr>
      </w:pPr>
      <w:r w:rsidRPr="001E7B76">
        <w:rPr>
          <w:rFonts w:asciiTheme="minorHAnsi" w:hAnsiTheme="minorHAnsi" w:cstheme="minorHAnsi"/>
          <w:sz w:val="20"/>
          <w:lang w:val="uk-UA" w:bidi="uk-UA"/>
        </w:rPr>
        <w:t xml:space="preserve">Оскаржувана ухвала, що міститься в заочному рішенні, </w:t>
      </w:r>
      <w:r w:rsidRPr="001E7B76">
        <w:rPr>
          <w:rFonts w:asciiTheme="minorHAnsi" w:hAnsiTheme="minorHAnsi" w:cstheme="minorHAnsi"/>
          <w:b/>
          <w:sz w:val="20"/>
          <w:lang w:val="uk-UA" w:bidi="uk-UA"/>
        </w:rPr>
        <w:t>обґрунтовується Судом на вимогу</w:t>
      </w:r>
      <w:r w:rsidRPr="001E7B76">
        <w:rPr>
          <w:rFonts w:asciiTheme="minorHAnsi" w:hAnsiTheme="minorHAnsi" w:cstheme="minorHAnsi"/>
          <w:sz w:val="20"/>
          <w:lang w:val="uk-UA" w:bidi="uk-UA"/>
        </w:rPr>
        <w:t xml:space="preserve"> сторони, подану протягом тижня з дня вручення копії заочного рішення (ст. 357 § 2</w:t>
      </w:r>
      <w:r w:rsidRPr="001E7B76">
        <w:rPr>
          <w:rFonts w:asciiTheme="minorHAnsi" w:hAnsiTheme="minorHAnsi" w:cstheme="minorHAnsi"/>
          <w:sz w:val="20"/>
          <w:vertAlign w:val="superscript"/>
          <w:lang w:val="uk-UA" w:bidi="uk-UA"/>
        </w:rPr>
        <w:t>1</w:t>
      </w:r>
      <w:r w:rsidRPr="001E7B76">
        <w:rPr>
          <w:rFonts w:asciiTheme="minorHAnsi" w:hAnsiTheme="minorHAnsi" w:cstheme="minorHAnsi"/>
          <w:sz w:val="20"/>
          <w:lang w:val="uk-UA" w:bidi="uk-UA"/>
        </w:rPr>
        <w:t>, речення 1 ЦПК). У клопотанні слід точно вказати, якої частини рішення має стосуватися обґрунтування (ст. 328 § 3 ЦПК).</w:t>
      </w:r>
    </w:p>
    <w:p w14:paraId="2650F3A1" w14:textId="77777777" w:rsidR="00A30B9B" w:rsidRPr="001E7B76" w:rsidRDefault="00A30B9B" w:rsidP="00C23157">
      <w:pPr>
        <w:widowControl w:val="0"/>
        <w:tabs>
          <w:tab w:val="left" w:pos="426"/>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before="120"/>
        <w:ind w:left="709"/>
        <w:jc w:val="both"/>
        <w:rPr>
          <w:rFonts w:asciiTheme="minorHAnsi" w:hAnsiTheme="minorHAnsi" w:cstheme="minorHAnsi"/>
          <w:color w:val="000000"/>
          <w:sz w:val="20"/>
          <w:szCs w:val="20"/>
          <w:lang w:val="ru-RU"/>
        </w:rPr>
      </w:pPr>
      <w:r w:rsidRPr="001E7B76">
        <w:rPr>
          <w:rFonts w:asciiTheme="minorHAnsi" w:hAnsiTheme="minorHAnsi" w:cstheme="minorHAnsi"/>
          <w:sz w:val="20"/>
          <w:lang w:val="uk-UA" w:bidi="uk-UA"/>
        </w:rPr>
        <w:t xml:space="preserve">Клопотання про обґрунтування підлягає сплаті фіксованого судового </w:t>
      </w:r>
      <w:r w:rsidRPr="001E7B76">
        <w:rPr>
          <w:rFonts w:asciiTheme="minorHAnsi" w:hAnsiTheme="minorHAnsi" w:cstheme="minorHAnsi"/>
          <w:b/>
          <w:sz w:val="20"/>
          <w:lang w:val="uk-UA" w:bidi="uk-UA"/>
        </w:rPr>
        <w:t>збору</w:t>
      </w:r>
      <w:r w:rsidRPr="001E7B76">
        <w:rPr>
          <w:rFonts w:asciiTheme="minorHAnsi" w:hAnsiTheme="minorHAnsi" w:cstheme="minorHAnsi"/>
          <w:sz w:val="20"/>
          <w:lang w:val="uk-UA" w:bidi="uk-UA"/>
        </w:rPr>
        <w:t xml:space="preserve"> в розмірі 30 злотих (ст. 25b абз. 2 ЗСЦС). </w:t>
      </w:r>
    </w:p>
    <w:p w14:paraId="0A9F3617" w14:textId="77777777" w:rsidR="00A30B9B" w:rsidRPr="001E7B76" w:rsidRDefault="00A30B9B" w:rsidP="00C23157">
      <w:pPr>
        <w:tabs>
          <w:tab w:val="left" w:pos="426"/>
        </w:tabs>
        <w:autoSpaceDE w:val="0"/>
        <w:autoSpaceDN w:val="0"/>
        <w:adjustRightInd w:val="0"/>
        <w:spacing w:before="120"/>
        <w:ind w:left="709"/>
        <w:jc w:val="both"/>
        <w:rPr>
          <w:rFonts w:asciiTheme="minorHAnsi" w:hAnsiTheme="minorHAnsi" w:cstheme="minorHAnsi"/>
          <w:sz w:val="20"/>
          <w:szCs w:val="20"/>
          <w:lang w:val="ru-RU"/>
        </w:rPr>
      </w:pPr>
      <w:r w:rsidRPr="001E7B76">
        <w:rPr>
          <w:rFonts w:asciiTheme="minorHAnsi" w:hAnsiTheme="minorHAnsi" w:cstheme="minorHAnsi"/>
          <w:b/>
          <w:sz w:val="20"/>
          <w:lang w:val="uk-UA" w:bidi="uk-UA"/>
        </w:rPr>
        <w:t>Суд відхиляє клопотання</w:t>
      </w:r>
      <w:r w:rsidRPr="001E7B76">
        <w:rPr>
          <w:rFonts w:asciiTheme="minorHAnsi" w:hAnsiTheme="minorHAnsi" w:cstheme="minorHAnsi"/>
          <w:sz w:val="20"/>
          <w:lang w:val="uk-UA" w:bidi="uk-UA"/>
        </w:rPr>
        <w:t xml:space="preserve"> про надання обґрунтування, яке є неприйнятним, поданим із запізненням, не оплаченим або має недоліки, які не були усунені попри відповідне застереження (ст. 328 § 4 ЦПК).</w:t>
      </w:r>
    </w:p>
    <w:p w14:paraId="18EAD897" w14:textId="77777777" w:rsidR="008056B3" w:rsidRPr="001E7B76" w:rsidRDefault="00FE188D" w:rsidP="00C23157">
      <w:pPr>
        <w:widowControl w:val="0"/>
        <w:tabs>
          <w:tab w:val="left" w:pos="426"/>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before="120"/>
        <w:ind w:left="426"/>
        <w:jc w:val="both"/>
        <w:rPr>
          <w:rFonts w:asciiTheme="minorHAnsi" w:hAnsiTheme="minorHAnsi" w:cstheme="minorHAnsi"/>
          <w:sz w:val="20"/>
          <w:szCs w:val="20"/>
          <w:lang w:val="ru-RU"/>
        </w:rPr>
      </w:pPr>
      <w:r w:rsidRPr="001E7B76">
        <w:rPr>
          <w:rFonts w:asciiTheme="minorHAnsi" w:hAnsiTheme="minorHAnsi" w:cstheme="minorHAnsi"/>
          <w:b/>
          <w:sz w:val="20"/>
          <w:lang w:val="uk-UA" w:bidi="uk-UA"/>
        </w:rPr>
        <w:t>Скаргу на ухвалу, що міститься в рішенні, подають</w:t>
      </w:r>
      <w:r w:rsidRPr="001E7B76">
        <w:rPr>
          <w:rFonts w:asciiTheme="minorHAnsi" w:hAnsiTheme="minorHAnsi" w:cstheme="minorHAnsi"/>
          <w:sz w:val="20"/>
          <w:lang w:val="uk-UA" w:bidi="uk-UA"/>
        </w:rPr>
        <w:t xml:space="preserve"> до суду, який виніс оскаржуване рішення, протягом тижня з дати вручення копії рішення разом з обґрунтуванням ухвали (ст. 394 § 2 ЦПК). </w:t>
      </w:r>
    </w:p>
    <w:p w14:paraId="0483D03B" w14:textId="77777777" w:rsidR="002E2A86" w:rsidRPr="001E7B76" w:rsidRDefault="00FE188D" w:rsidP="00C23157">
      <w:pPr>
        <w:autoSpaceDE w:val="0"/>
        <w:autoSpaceDN w:val="0"/>
        <w:adjustRightInd w:val="0"/>
        <w:spacing w:before="120"/>
        <w:ind w:left="567"/>
        <w:jc w:val="both"/>
        <w:rPr>
          <w:rFonts w:asciiTheme="minorHAnsi" w:hAnsiTheme="minorHAnsi" w:cstheme="minorHAnsi"/>
          <w:sz w:val="20"/>
          <w:szCs w:val="20"/>
          <w:lang w:val="ru-RU"/>
        </w:rPr>
      </w:pPr>
      <w:r w:rsidRPr="001E7B76">
        <w:rPr>
          <w:rFonts w:asciiTheme="minorHAnsi" w:hAnsiTheme="minorHAnsi" w:cstheme="minorHAnsi"/>
          <w:sz w:val="20"/>
          <w:lang w:val="uk-UA" w:bidi="uk-UA"/>
        </w:rPr>
        <w:t>Письмо, що містить скаргу, має бути подане разом з копіями (скарги та додатків до неї) у кількості, що дорівнює кількості інших осіб, які беруть участь у справі.</w:t>
      </w:r>
    </w:p>
    <w:p w14:paraId="4FD823D3" w14:textId="77777777" w:rsidR="00B66038" w:rsidRPr="001E7B76" w:rsidRDefault="00FE188D" w:rsidP="00C23157">
      <w:pPr>
        <w:autoSpaceDE w:val="0"/>
        <w:autoSpaceDN w:val="0"/>
        <w:adjustRightInd w:val="0"/>
        <w:spacing w:before="120"/>
        <w:ind w:left="567"/>
        <w:jc w:val="both"/>
        <w:rPr>
          <w:rFonts w:asciiTheme="minorHAnsi" w:hAnsiTheme="minorHAnsi" w:cstheme="minorHAnsi"/>
          <w:sz w:val="20"/>
          <w:szCs w:val="20"/>
          <w:lang w:val="ru-RU"/>
        </w:rPr>
      </w:pPr>
      <w:r w:rsidRPr="001E7B76">
        <w:rPr>
          <w:rFonts w:asciiTheme="minorHAnsi" w:hAnsiTheme="minorHAnsi" w:cstheme="minorHAnsi"/>
          <w:sz w:val="20"/>
          <w:lang w:val="uk-UA" w:bidi="uk-UA"/>
        </w:rPr>
        <w:t xml:space="preserve">Скарга підлягає сплаті </w:t>
      </w:r>
      <w:r w:rsidRPr="001E7B76">
        <w:rPr>
          <w:rFonts w:asciiTheme="minorHAnsi" w:hAnsiTheme="minorHAnsi" w:cstheme="minorHAnsi"/>
          <w:b/>
          <w:sz w:val="20"/>
          <w:lang w:val="uk-UA" w:bidi="uk-UA"/>
        </w:rPr>
        <w:t>судового збору</w:t>
      </w:r>
      <w:r w:rsidRPr="001E7B76">
        <w:rPr>
          <w:rFonts w:asciiTheme="minorHAnsi" w:hAnsiTheme="minorHAnsi" w:cstheme="minorHAnsi"/>
          <w:sz w:val="20"/>
          <w:lang w:val="uk-UA" w:bidi="uk-UA"/>
        </w:rPr>
        <w:t xml:space="preserve">. Сума збору за скаргу становить п’яту частину повного судового збору. Кінцеву суму збору округлюють у бік збільшення до повного злотого (ст. 21 ЗСЦС). Обов’язок її сплати покладається на сторону, яка подає скаргу. У разі подання скарги сплачений збір за клопотання про вручення постанови з обґрунтуванням зараховується в рахунок збору за скаргу.  </w:t>
      </w:r>
    </w:p>
    <w:p w14:paraId="31E33EEE" w14:textId="77777777" w:rsidR="00B66038" w:rsidRPr="001E7B76" w:rsidRDefault="00B66038" w:rsidP="00C23157">
      <w:pPr>
        <w:autoSpaceDE w:val="0"/>
        <w:autoSpaceDN w:val="0"/>
        <w:adjustRightInd w:val="0"/>
        <w:spacing w:before="120"/>
        <w:ind w:left="425"/>
        <w:jc w:val="both"/>
        <w:rPr>
          <w:rFonts w:asciiTheme="minorHAnsi" w:hAnsiTheme="minorHAnsi" w:cstheme="minorHAnsi"/>
          <w:sz w:val="20"/>
          <w:szCs w:val="20"/>
          <w:lang w:val="ru-RU"/>
        </w:rPr>
      </w:pPr>
      <w:r w:rsidRPr="001E7B76">
        <w:rPr>
          <w:rFonts w:asciiTheme="minorHAnsi" w:hAnsiTheme="minorHAnsi" w:cstheme="minorHAnsi"/>
          <w:b/>
          <w:sz w:val="20"/>
          <w:lang w:val="uk-UA" w:bidi="uk-UA"/>
        </w:rPr>
        <w:lastRenderedPageBreak/>
        <w:t>Суд відхиляє скаргу</w:t>
      </w:r>
      <w:r w:rsidRPr="001E7B76">
        <w:rPr>
          <w:rFonts w:asciiTheme="minorHAnsi" w:hAnsiTheme="minorHAnsi" w:cstheme="minorHAnsi"/>
          <w:sz w:val="20"/>
          <w:lang w:val="uk-UA" w:bidi="uk-UA"/>
        </w:rPr>
        <w:t>, подану з простроченням, не сплачену або неприйнятну з інших причин, а також скаргу, недоліки якої сторона, що її подала, не усунула у встановлений строк</w:t>
      </w:r>
    </w:p>
    <w:p w14:paraId="75F1EBCD" w14:textId="77777777" w:rsidR="00471714" w:rsidRPr="001E7B76" w:rsidRDefault="00745A80" w:rsidP="00C23157">
      <w:pPr>
        <w:widowControl w:val="0"/>
        <w:numPr>
          <w:ilvl w:val="0"/>
          <w:numId w:val="22"/>
        </w:numPr>
        <w:tabs>
          <w:tab w:val="left" w:pos="426"/>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before="120"/>
        <w:ind w:left="426" w:hanging="426"/>
        <w:jc w:val="both"/>
        <w:rPr>
          <w:rFonts w:asciiTheme="minorHAnsi" w:hAnsiTheme="minorHAnsi" w:cstheme="minorHAnsi"/>
          <w:b/>
          <w:sz w:val="20"/>
          <w:szCs w:val="20"/>
          <w:lang w:val="ru-RU"/>
        </w:rPr>
      </w:pPr>
      <w:bookmarkStart w:id="0" w:name="_Hlk138874925"/>
      <w:r w:rsidRPr="001E7B76">
        <w:rPr>
          <w:rFonts w:asciiTheme="minorHAnsi" w:hAnsiTheme="minorHAnsi" w:cstheme="minorHAnsi"/>
          <w:sz w:val="20"/>
          <w:lang w:val="uk-UA" w:bidi="uk-UA"/>
        </w:rPr>
        <w:t xml:space="preserve">У разі успішного оскарження заочного рішення </w:t>
      </w:r>
      <w:r w:rsidRPr="001E7B76">
        <w:rPr>
          <w:rFonts w:asciiTheme="minorHAnsi" w:hAnsiTheme="minorHAnsi" w:cstheme="minorHAnsi"/>
          <w:b/>
          <w:sz w:val="20"/>
          <w:lang w:val="uk-UA" w:bidi="uk-UA"/>
        </w:rPr>
        <w:t>після повторного розгляду справи суд виносить рішення</w:t>
      </w:r>
      <w:r w:rsidRPr="001E7B76">
        <w:rPr>
          <w:rFonts w:asciiTheme="minorHAnsi" w:hAnsiTheme="minorHAnsi" w:cstheme="minorHAnsi"/>
          <w:sz w:val="20"/>
          <w:lang w:val="uk-UA" w:bidi="uk-UA"/>
        </w:rPr>
        <w:t>, яким повністю або частково залишає в силі заочне рішення, скасовує його та виносить рішення щодо позовних вимог, або ж відхиляє позов чи припиняє провадження. Витрати на заочне судове засідання та оскарження несе відповідач, навіть якщо згодом заочне рішення було скасовано, за винятком випадків, коли неявка відповідача була не з його вини або до матеріалів справи, надісланих до суду до судового засідання, не було додано пояснень відповідача.</w:t>
      </w:r>
    </w:p>
    <w:bookmarkEnd w:id="0"/>
    <w:p w14:paraId="5CF01247" w14:textId="77777777" w:rsidR="00471714" w:rsidRPr="001E7B76" w:rsidRDefault="00471714" w:rsidP="001E7B76">
      <w:pPr>
        <w:widowControl w:val="0"/>
        <w:numPr>
          <w:ilvl w:val="0"/>
          <w:numId w:val="22"/>
        </w:numPr>
        <w:tabs>
          <w:tab w:val="left" w:pos="426"/>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autoSpaceDE w:val="0"/>
        <w:autoSpaceDN w:val="0"/>
        <w:adjustRightInd w:val="0"/>
        <w:spacing w:before="120"/>
        <w:ind w:left="426" w:hanging="426"/>
        <w:jc w:val="both"/>
        <w:rPr>
          <w:rFonts w:asciiTheme="minorHAnsi" w:hAnsiTheme="minorHAnsi" w:cstheme="minorHAnsi"/>
          <w:sz w:val="20"/>
          <w:szCs w:val="20"/>
          <w:lang w:val="ru-RU"/>
        </w:rPr>
      </w:pPr>
      <w:r w:rsidRPr="001E7B76">
        <w:rPr>
          <w:rFonts w:asciiTheme="minorHAnsi" w:hAnsiTheme="minorHAnsi" w:cstheme="minorHAnsi"/>
          <w:sz w:val="20"/>
          <w:lang w:val="uk-UA" w:bidi="uk-UA"/>
        </w:rPr>
        <w:t xml:space="preserve">Спір між сторонами може бути </w:t>
      </w:r>
      <w:r w:rsidRPr="001E7B76">
        <w:rPr>
          <w:rFonts w:asciiTheme="minorHAnsi" w:hAnsiTheme="minorHAnsi" w:cstheme="minorHAnsi"/>
          <w:b/>
          <w:sz w:val="20"/>
          <w:lang w:val="uk-UA" w:bidi="uk-UA"/>
        </w:rPr>
        <w:t>вирішений шляхом укладення мирової угоди в суді або за участю медіатора.</w:t>
      </w:r>
      <w:r w:rsidRPr="001E7B76">
        <w:rPr>
          <w:rFonts w:asciiTheme="minorHAnsi" w:hAnsiTheme="minorHAnsi" w:cstheme="minorHAnsi"/>
          <w:sz w:val="20"/>
          <w:lang w:val="uk-UA" w:bidi="uk-UA"/>
        </w:rPr>
        <w:t xml:space="preserve"> </w:t>
      </w:r>
    </w:p>
    <w:p w14:paraId="00FA22E9" w14:textId="77777777" w:rsidR="00471714" w:rsidRPr="001E7B76" w:rsidRDefault="00471714" w:rsidP="00C23157">
      <w:pPr>
        <w:widowControl w:val="0"/>
        <w:tabs>
          <w:tab w:val="left" w:pos="426"/>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autoSpaceDE w:val="0"/>
        <w:autoSpaceDN w:val="0"/>
        <w:adjustRightInd w:val="0"/>
        <w:spacing w:before="120"/>
        <w:ind w:left="426"/>
        <w:jc w:val="both"/>
        <w:rPr>
          <w:rFonts w:asciiTheme="minorHAnsi" w:hAnsiTheme="minorHAnsi" w:cstheme="minorHAnsi"/>
          <w:sz w:val="20"/>
          <w:szCs w:val="20"/>
          <w:lang w:val="ru-RU"/>
        </w:rPr>
      </w:pPr>
      <w:r w:rsidRPr="001E7B76">
        <w:rPr>
          <w:rFonts w:asciiTheme="minorHAnsi" w:hAnsiTheme="minorHAnsi" w:cstheme="minorHAnsi"/>
          <w:sz w:val="20"/>
          <w:lang w:val="uk-UA" w:bidi="uk-UA"/>
        </w:rPr>
        <w:t>Мирова угода є одним зі способів швидкого вирішення спору; суд на кожному етапі провадження прагне до мирового вирішення спору, зокрема шляхом заохочення сторін до медіації (ст. 10 ЦПК). Переговори, що завершилися укладенням мирової угоди, дають шанс на швидше вирішення спору, а також дозволяють зберегти належні відносини між сторонами. Мирова угода, укладена в суді або за участю медіатора, після надання виконавчої сили, є виконавчим документом, рівнозначним судовому рішенню.</w:t>
      </w:r>
    </w:p>
    <w:p w14:paraId="1719F474" w14:textId="77777777" w:rsidR="00471714" w:rsidRPr="001E7B76" w:rsidRDefault="00471714" w:rsidP="00C23157">
      <w:pPr>
        <w:widowControl w:val="0"/>
        <w:tabs>
          <w:tab w:val="left" w:pos="426"/>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autoSpaceDE w:val="0"/>
        <w:autoSpaceDN w:val="0"/>
        <w:adjustRightInd w:val="0"/>
        <w:spacing w:before="120"/>
        <w:ind w:left="426"/>
        <w:jc w:val="both"/>
        <w:rPr>
          <w:rFonts w:asciiTheme="minorHAnsi" w:hAnsiTheme="minorHAnsi" w:cstheme="minorHAnsi"/>
          <w:sz w:val="20"/>
          <w:szCs w:val="20"/>
          <w:lang w:val="ru-RU"/>
        </w:rPr>
      </w:pPr>
      <w:r w:rsidRPr="001E7B76">
        <w:rPr>
          <w:rFonts w:asciiTheme="minorHAnsi" w:hAnsiTheme="minorHAnsi" w:cstheme="minorHAnsi"/>
          <w:sz w:val="20"/>
          <w:lang w:val="uk-UA" w:bidi="uk-UA"/>
        </w:rPr>
        <w:t xml:space="preserve">Медіація є одним зі способів мирного врегулювання спору, при цьому вона проводиться за участю нейтрального медіатора, на нейтральній території, є конфіденційною та добровільною. Крім того, це значно дешевший спосіб вирішення спорів, ніж судове провадження. </w:t>
      </w:r>
    </w:p>
    <w:p w14:paraId="59C3B545" w14:textId="77777777" w:rsidR="00471714" w:rsidRPr="001E7B76" w:rsidRDefault="00471714" w:rsidP="00C23157">
      <w:pPr>
        <w:widowControl w:val="0"/>
        <w:tabs>
          <w:tab w:val="left" w:pos="426"/>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autoSpaceDE w:val="0"/>
        <w:autoSpaceDN w:val="0"/>
        <w:adjustRightInd w:val="0"/>
        <w:spacing w:before="120"/>
        <w:ind w:left="426"/>
        <w:jc w:val="both"/>
        <w:rPr>
          <w:rFonts w:asciiTheme="minorHAnsi" w:hAnsiTheme="minorHAnsi" w:cstheme="minorHAnsi"/>
          <w:sz w:val="20"/>
          <w:szCs w:val="20"/>
          <w:lang w:val="ru-RU"/>
        </w:rPr>
      </w:pPr>
      <w:r w:rsidRPr="001E7B76">
        <w:rPr>
          <w:rFonts w:asciiTheme="minorHAnsi" w:hAnsiTheme="minorHAnsi" w:cstheme="minorHAnsi"/>
          <w:sz w:val="20"/>
          <w:lang w:val="uk-UA" w:bidi="uk-UA"/>
        </w:rPr>
        <w:t xml:space="preserve">Медіаційна угода може охоплювати як позовні вимоги, що не включені до позову, так і вимоги, що розглядаються в рамках різних проваджень. </w:t>
      </w:r>
    </w:p>
    <w:p w14:paraId="440E0713" w14:textId="77777777" w:rsidR="00471714" w:rsidRPr="001E7B76" w:rsidRDefault="00471714" w:rsidP="00C23157">
      <w:pPr>
        <w:widowControl w:val="0"/>
        <w:tabs>
          <w:tab w:val="left" w:pos="426"/>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autoSpaceDE w:val="0"/>
        <w:autoSpaceDN w:val="0"/>
        <w:adjustRightInd w:val="0"/>
        <w:spacing w:before="120"/>
        <w:ind w:left="426"/>
        <w:jc w:val="both"/>
        <w:rPr>
          <w:rFonts w:asciiTheme="minorHAnsi" w:hAnsiTheme="minorHAnsi" w:cstheme="minorHAnsi"/>
          <w:sz w:val="20"/>
          <w:szCs w:val="20"/>
          <w:lang w:val="ru-RU"/>
        </w:rPr>
      </w:pPr>
      <w:r w:rsidRPr="001E7B76">
        <w:rPr>
          <w:rFonts w:asciiTheme="minorHAnsi" w:hAnsiTheme="minorHAnsi" w:cstheme="minorHAnsi"/>
          <w:sz w:val="20"/>
          <w:lang w:val="uk-UA" w:bidi="uk-UA"/>
        </w:rPr>
        <w:t>Якщо сторони уклали угоду в суді або була затверджена угода, укладена перед медіатором - суд припиняє провадження (ст. 355 ЦПК).</w:t>
      </w:r>
    </w:p>
    <w:p w14:paraId="69322E61" w14:textId="77777777" w:rsidR="00471714" w:rsidRPr="001E7B76" w:rsidRDefault="00471714" w:rsidP="00C23157">
      <w:pPr>
        <w:widowControl w:val="0"/>
        <w:tabs>
          <w:tab w:val="left" w:pos="426"/>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autoSpaceDE w:val="0"/>
        <w:autoSpaceDN w:val="0"/>
        <w:adjustRightInd w:val="0"/>
        <w:spacing w:before="120"/>
        <w:ind w:left="425"/>
        <w:jc w:val="both"/>
        <w:rPr>
          <w:rFonts w:asciiTheme="minorHAnsi" w:hAnsiTheme="minorHAnsi" w:cstheme="minorHAnsi"/>
          <w:sz w:val="20"/>
          <w:szCs w:val="20"/>
          <w:lang w:val="ru-RU"/>
        </w:rPr>
      </w:pPr>
      <w:r w:rsidRPr="001E7B76">
        <w:rPr>
          <w:rFonts w:asciiTheme="minorHAnsi" w:hAnsiTheme="minorHAnsi" w:cstheme="minorHAnsi"/>
          <w:sz w:val="20"/>
          <w:lang w:val="uk-UA" w:bidi="uk-UA"/>
        </w:rPr>
        <w:t>У разі укладення сторонами угоди до початку судового засідання Суд за службовим обов’язком повертає весь судовий збір за позов та заперечення проти наказу про стягнення, зменшений на мінімальний збір (30 злотих); у разі укладення угоди перед медіатором після початку судового засідання - поверненню підлягає ¾ суми судового збору за позов та заперечення проти наказу про стягнення, зменшеної на суму мінімального збору, а у разі укладення судової угоди після початку судового засідання - поверненню підлягає ½ суми сплаченого судового збору за позов або заперечення проти наказу про стягнення, зменшеної на суму мінімального збору.</w:t>
      </w:r>
    </w:p>
    <w:p w14:paraId="452A2E35" w14:textId="77777777" w:rsidR="00471714" w:rsidRPr="001E7B76" w:rsidRDefault="00471714" w:rsidP="00C23157">
      <w:pPr>
        <w:widowControl w:val="0"/>
        <w:numPr>
          <w:ilvl w:val="0"/>
          <w:numId w:val="22"/>
        </w:numPr>
        <w:autoSpaceDE w:val="0"/>
        <w:autoSpaceDN w:val="0"/>
        <w:adjustRightInd w:val="0"/>
        <w:spacing w:before="120"/>
        <w:ind w:left="426" w:hanging="425"/>
        <w:jc w:val="both"/>
        <w:rPr>
          <w:rFonts w:asciiTheme="minorHAnsi" w:hAnsiTheme="minorHAnsi" w:cstheme="minorHAnsi"/>
          <w:sz w:val="20"/>
          <w:szCs w:val="20"/>
          <w:lang w:val="ru-RU"/>
        </w:rPr>
      </w:pPr>
      <w:r w:rsidRPr="001E7B76">
        <w:rPr>
          <w:rFonts w:asciiTheme="minorHAnsi" w:hAnsiTheme="minorHAnsi" w:cstheme="minorHAnsi"/>
          <w:sz w:val="20"/>
          <w:lang w:val="uk-UA" w:bidi="uk-UA"/>
        </w:rPr>
        <w:t xml:space="preserve">На кожному етапі провадження </w:t>
      </w:r>
      <w:r w:rsidRPr="001E7B76">
        <w:rPr>
          <w:rFonts w:asciiTheme="minorHAnsi" w:hAnsiTheme="minorHAnsi" w:cstheme="minorHAnsi"/>
          <w:b/>
          <w:sz w:val="20"/>
          <w:lang w:val="uk-UA" w:bidi="uk-UA"/>
        </w:rPr>
        <w:t>сторона може призначити процесуального повноважного представника</w:t>
      </w:r>
      <w:r w:rsidRPr="001E7B76">
        <w:rPr>
          <w:rFonts w:asciiTheme="minorHAnsi" w:hAnsiTheme="minorHAnsi" w:cstheme="minorHAnsi"/>
          <w:sz w:val="20"/>
          <w:lang w:val="uk-UA" w:bidi="uk-UA"/>
        </w:rPr>
        <w:t xml:space="preserve">; обов’язкового представництва сторони адвокатом або юрисконсультом немає. Довіреність на судове провадження може бути генеральною, на ведення окремих справ або на здійснення певних процесуальних дій. </w:t>
      </w:r>
    </w:p>
    <w:p w14:paraId="7E3B8177" w14:textId="77777777" w:rsidR="00471714" w:rsidRPr="001E7B76" w:rsidRDefault="00471714" w:rsidP="00C23157">
      <w:pPr>
        <w:widowControl w:val="0"/>
        <w:tabs>
          <w:tab w:val="left" w:pos="426"/>
          <w:tab w:val="left" w:pos="4956"/>
          <w:tab w:val="left" w:pos="5664"/>
          <w:tab w:val="left" w:pos="6372"/>
          <w:tab w:val="left" w:pos="7080"/>
          <w:tab w:val="left" w:pos="7788"/>
          <w:tab w:val="left" w:pos="8496"/>
          <w:tab w:val="left" w:pos="9204"/>
          <w:tab w:val="left" w:pos="9912"/>
        </w:tabs>
        <w:autoSpaceDE w:val="0"/>
        <w:autoSpaceDN w:val="0"/>
        <w:adjustRightInd w:val="0"/>
        <w:spacing w:before="120"/>
        <w:ind w:left="426"/>
        <w:jc w:val="both"/>
        <w:rPr>
          <w:rFonts w:asciiTheme="minorHAnsi" w:hAnsiTheme="minorHAnsi" w:cstheme="minorHAnsi"/>
          <w:sz w:val="20"/>
          <w:szCs w:val="20"/>
          <w:lang w:val="ru-RU"/>
        </w:rPr>
      </w:pPr>
      <w:r w:rsidRPr="001E7B76">
        <w:rPr>
          <w:rFonts w:asciiTheme="minorHAnsi" w:hAnsiTheme="minorHAnsi" w:cstheme="minorHAnsi"/>
          <w:sz w:val="20"/>
          <w:lang w:val="uk-UA" w:bidi="uk-UA"/>
        </w:rPr>
        <w:t>Процесуальним повноважним представником може бути адвокат або юрисконсульт, а у справах про промислову власність також патентний повірений, а також особа, яка здійснює управління майном або інтересами сторони, та особа, яка перебуває зі стороною у постійних довірчих відносинах, якщо предмет справи входить до сфери цих довірчих відносин, співучасник спору, а також батьки, чоловік або дружина, брати та сестри або нащадки сторони, а також особи, які перебувають зі стороною у відносинах усиновлення (ст. 87 § 1 ЦПК).</w:t>
      </w:r>
    </w:p>
    <w:p w14:paraId="4BE2A6BE" w14:textId="77777777" w:rsidR="00471714" w:rsidRPr="001E7B76" w:rsidRDefault="00471714" w:rsidP="00C23157">
      <w:pPr>
        <w:widowControl w:val="0"/>
        <w:tabs>
          <w:tab w:val="left" w:pos="426"/>
          <w:tab w:val="left" w:pos="4956"/>
          <w:tab w:val="left" w:pos="5664"/>
          <w:tab w:val="left" w:pos="6372"/>
          <w:tab w:val="left" w:pos="7080"/>
          <w:tab w:val="left" w:pos="7788"/>
          <w:tab w:val="left" w:pos="8496"/>
          <w:tab w:val="left" w:pos="9204"/>
          <w:tab w:val="left" w:pos="9912"/>
        </w:tabs>
        <w:autoSpaceDE w:val="0"/>
        <w:autoSpaceDN w:val="0"/>
        <w:adjustRightInd w:val="0"/>
        <w:spacing w:before="120"/>
        <w:ind w:left="426"/>
        <w:jc w:val="both"/>
        <w:rPr>
          <w:rFonts w:asciiTheme="minorHAnsi" w:hAnsiTheme="minorHAnsi" w:cstheme="minorHAnsi"/>
          <w:sz w:val="20"/>
          <w:szCs w:val="20"/>
          <w:lang w:val="uk-UA"/>
        </w:rPr>
      </w:pPr>
      <w:r w:rsidRPr="001E7B76">
        <w:rPr>
          <w:rFonts w:asciiTheme="minorHAnsi" w:hAnsiTheme="minorHAnsi" w:cstheme="minorHAnsi"/>
          <w:sz w:val="20"/>
          <w:lang w:val="uk-UA" w:bidi="uk-UA"/>
        </w:rPr>
        <w:t>Повноважним представником юридичної особи або підприємця, у тому числі без статусу юридичної особи, може бути також працівник цієї організаційної одиниці або її вищого органу. Юридична особа, яка на підставі окремих положень здійснює юридичне обслуговування підприємця, юридичної особи або іншої організаційної одиниці, може надати процесуальну довіреність - від імені суб’єкта, юридичне обслуговування якого вона здійснює, - адвокату або юрисконсульту, якщо вона була до цього уповноважена цим суб’єктом (ст. 87 § 2 ЦПК).</w:t>
      </w:r>
    </w:p>
    <w:p w14:paraId="5123B23F" w14:textId="77777777" w:rsidR="00471714" w:rsidRPr="001E7B76" w:rsidRDefault="00471714" w:rsidP="00C23157">
      <w:pPr>
        <w:widowControl w:val="0"/>
        <w:tabs>
          <w:tab w:val="left" w:pos="426"/>
          <w:tab w:val="left" w:pos="4956"/>
          <w:tab w:val="left" w:pos="5664"/>
          <w:tab w:val="left" w:pos="6372"/>
          <w:tab w:val="left" w:pos="7080"/>
          <w:tab w:val="left" w:pos="7788"/>
          <w:tab w:val="left" w:pos="8496"/>
          <w:tab w:val="left" w:pos="9204"/>
          <w:tab w:val="left" w:pos="9912"/>
        </w:tabs>
        <w:autoSpaceDE w:val="0"/>
        <w:autoSpaceDN w:val="0"/>
        <w:adjustRightInd w:val="0"/>
        <w:spacing w:before="120"/>
        <w:ind w:left="426"/>
        <w:jc w:val="both"/>
        <w:rPr>
          <w:rFonts w:asciiTheme="minorHAnsi" w:hAnsiTheme="minorHAnsi" w:cstheme="minorHAnsi"/>
          <w:sz w:val="20"/>
          <w:szCs w:val="20"/>
          <w:lang w:val="ru-RU"/>
        </w:rPr>
      </w:pPr>
      <w:r w:rsidRPr="001E7B76">
        <w:rPr>
          <w:rFonts w:asciiTheme="minorHAnsi" w:hAnsiTheme="minorHAnsi" w:cstheme="minorHAnsi"/>
          <w:b/>
          <w:sz w:val="20"/>
          <w:lang w:val="uk-UA" w:bidi="uk-UA"/>
        </w:rPr>
        <w:t>Повноваження на здійснення деяких процесуальних дій</w:t>
      </w:r>
      <w:r w:rsidRPr="001E7B76">
        <w:rPr>
          <w:rFonts w:asciiTheme="minorHAnsi" w:hAnsiTheme="minorHAnsi" w:cstheme="minorHAnsi"/>
          <w:sz w:val="20"/>
          <w:lang w:val="uk-UA" w:bidi="uk-UA"/>
        </w:rPr>
        <w:t>, у тому числі таке, що охоплює виключно уповноваження на отримання судових документів (</w:t>
      </w:r>
      <w:r w:rsidRPr="001E7B76">
        <w:rPr>
          <w:rFonts w:asciiTheme="minorHAnsi" w:hAnsiTheme="minorHAnsi" w:cstheme="minorHAnsi"/>
          <w:b/>
          <w:sz w:val="20"/>
          <w:lang w:val="uk-UA" w:bidi="uk-UA"/>
        </w:rPr>
        <w:t>повноважний представник для отримання документів</w:t>
      </w:r>
      <w:r w:rsidRPr="001E7B76">
        <w:rPr>
          <w:rFonts w:asciiTheme="minorHAnsi" w:hAnsiTheme="minorHAnsi" w:cstheme="minorHAnsi"/>
          <w:sz w:val="20"/>
          <w:lang w:val="uk-UA" w:bidi="uk-UA"/>
        </w:rPr>
        <w:t>), може бути надане будь-якій фізичній особі, яка має повну процесуальну дієздатність.</w:t>
      </w:r>
    </w:p>
    <w:p w14:paraId="6179F1F4" w14:textId="77777777" w:rsidR="00471714" w:rsidRPr="001E7B76" w:rsidRDefault="00471714" w:rsidP="00C23157">
      <w:pPr>
        <w:widowControl w:val="0"/>
        <w:tabs>
          <w:tab w:val="left" w:pos="426"/>
          <w:tab w:val="left" w:pos="4956"/>
          <w:tab w:val="left" w:pos="5664"/>
          <w:tab w:val="left" w:pos="6372"/>
          <w:tab w:val="left" w:pos="7080"/>
          <w:tab w:val="left" w:pos="7788"/>
          <w:tab w:val="left" w:pos="8496"/>
          <w:tab w:val="left" w:pos="9204"/>
          <w:tab w:val="left" w:pos="9912"/>
        </w:tabs>
        <w:autoSpaceDE w:val="0"/>
        <w:autoSpaceDN w:val="0"/>
        <w:adjustRightInd w:val="0"/>
        <w:spacing w:before="120"/>
        <w:ind w:left="426"/>
        <w:jc w:val="both"/>
        <w:rPr>
          <w:rFonts w:asciiTheme="minorHAnsi" w:hAnsiTheme="minorHAnsi" w:cstheme="minorHAnsi"/>
          <w:sz w:val="20"/>
          <w:szCs w:val="20"/>
          <w:lang w:val="ru-RU"/>
        </w:rPr>
      </w:pPr>
      <w:r w:rsidRPr="001E7B76">
        <w:rPr>
          <w:rFonts w:asciiTheme="minorHAnsi" w:hAnsiTheme="minorHAnsi" w:cstheme="minorHAnsi"/>
          <w:sz w:val="20"/>
          <w:lang w:val="uk-UA" w:bidi="uk-UA"/>
        </w:rPr>
        <w:t xml:space="preserve">Повноважний представник зобов'язаний під час своєї першої процесуальної дії </w:t>
      </w:r>
      <w:r w:rsidRPr="001E7B76">
        <w:rPr>
          <w:rFonts w:asciiTheme="minorHAnsi" w:hAnsiTheme="minorHAnsi" w:cstheme="minorHAnsi"/>
          <w:b/>
          <w:sz w:val="20"/>
          <w:lang w:val="uk-UA" w:bidi="uk-UA"/>
        </w:rPr>
        <w:t xml:space="preserve">подати письмову </w:t>
      </w:r>
      <w:r w:rsidRPr="001E7B76">
        <w:rPr>
          <w:rFonts w:asciiTheme="minorHAnsi" w:hAnsiTheme="minorHAnsi" w:cstheme="minorHAnsi"/>
          <w:b/>
          <w:sz w:val="20"/>
          <w:lang w:val="uk-UA" w:bidi="uk-UA"/>
        </w:rPr>
        <w:lastRenderedPageBreak/>
        <w:t>довіреність</w:t>
      </w:r>
      <w:r w:rsidRPr="001E7B76">
        <w:rPr>
          <w:rFonts w:asciiTheme="minorHAnsi" w:hAnsiTheme="minorHAnsi" w:cstheme="minorHAnsi"/>
          <w:sz w:val="20"/>
          <w:lang w:val="uk-UA" w:bidi="uk-UA"/>
        </w:rPr>
        <w:t xml:space="preserve"> з підписом довірителя або завірену копію довіреності, а також інші документи, що підтверджують його повноваження - усі ці документи разом із копією для протилежної сторони (ст. 89 § 1 ЦПК).</w:t>
      </w:r>
    </w:p>
    <w:p w14:paraId="1E43FA08" w14:textId="77777777" w:rsidR="00471714" w:rsidRPr="001E7B76" w:rsidRDefault="00471714" w:rsidP="00C23157">
      <w:pPr>
        <w:widowControl w:val="0"/>
        <w:numPr>
          <w:ilvl w:val="0"/>
          <w:numId w:val="22"/>
        </w:numPr>
        <w:tabs>
          <w:tab w:val="left" w:pos="426"/>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before="120"/>
        <w:ind w:left="426" w:hanging="426"/>
        <w:jc w:val="both"/>
        <w:rPr>
          <w:rFonts w:asciiTheme="minorHAnsi" w:hAnsiTheme="minorHAnsi" w:cstheme="minorHAnsi"/>
          <w:b/>
          <w:sz w:val="20"/>
          <w:szCs w:val="20"/>
          <w:lang w:val="uk-UA"/>
        </w:rPr>
      </w:pPr>
      <w:r w:rsidRPr="001E7B76">
        <w:rPr>
          <w:rFonts w:asciiTheme="minorHAnsi" w:hAnsiTheme="minorHAnsi" w:cstheme="minorHAnsi"/>
          <w:sz w:val="20"/>
          <w:lang w:val="uk-UA" w:bidi="uk-UA"/>
        </w:rPr>
        <w:t xml:space="preserve">Сторони та їхні представники </w:t>
      </w:r>
      <w:r w:rsidRPr="001E7B76">
        <w:rPr>
          <w:rFonts w:asciiTheme="minorHAnsi" w:hAnsiTheme="minorHAnsi" w:cstheme="minorHAnsi"/>
          <w:b/>
          <w:sz w:val="20"/>
          <w:lang w:val="uk-UA" w:bidi="uk-UA"/>
        </w:rPr>
        <w:t>зобов’язані повідомляти суд про кожну зміну свого місця проживання</w:t>
      </w:r>
      <w:r w:rsidRPr="001E7B76">
        <w:rPr>
          <w:rFonts w:asciiTheme="minorHAnsi" w:hAnsiTheme="minorHAnsi" w:cstheme="minorHAnsi"/>
          <w:sz w:val="20"/>
          <w:lang w:val="uk-UA" w:bidi="uk-UA"/>
        </w:rPr>
        <w:t xml:space="preserve">, а у випадку сторін, які не є фізичними особами, - </w:t>
      </w:r>
      <w:r w:rsidRPr="001E7B76">
        <w:rPr>
          <w:rFonts w:asciiTheme="minorHAnsi" w:hAnsiTheme="minorHAnsi" w:cstheme="minorHAnsi"/>
          <w:b/>
          <w:sz w:val="20"/>
          <w:lang w:val="uk-UA" w:bidi="uk-UA"/>
        </w:rPr>
        <w:t>адреси головного офісу</w:t>
      </w:r>
      <w:r w:rsidRPr="001E7B76">
        <w:rPr>
          <w:rFonts w:asciiTheme="minorHAnsi" w:hAnsiTheme="minorHAnsi" w:cstheme="minorHAnsi"/>
          <w:sz w:val="20"/>
          <w:lang w:val="uk-UA" w:bidi="uk-UA"/>
        </w:rPr>
        <w:t xml:space="preserve">. Сторона, яка є </w:t>
      </w:r>
      <w:r w:rsidRPr="001E7B76">
        <w:rPr>
          <w:rFonts w:asciiTheme="minorHAnsi" w:hAnsiTheme="minorHAnsi" w:cstheme="minorHAnsi"/>
          <w:b/>
          <w:sz w:val="20"/>
          <w:lang w:val="uk-UA" w:bidi="uk-UA"/>
        </w:rPr>
        <w:t>підприємцем, зареєстрованим у Центральному реєстрі та Інформаційній системі про господарську діяльність</w:t>
      </w:r>
      <w:r w:rsidRPr="001E7B76">
        <w:rPr>
          <w:rFonts w:asciiTheme="minorHAnsi" w:hAnsiTheme="minorHAnsi" w:cstheme="minorHAnsi"/>
          <w:sz w:val="20"/>
          <w:lang w:val="uk-UA" w:bidi="uk-UA"/>
        </w:rPr>
        <w:t>, зобов’язана повідомляти суд про кожну зміну адреси для поштових відправлень, зазначеної в цьому реєстрі.</w:t>
      </w:r>
    </w:p>
    <w:p w14:paraId="30DBB6F6" w14:textId="77777777" w:rsidR="00471714" w:rsidRPr="001E7B76" w:rsidRDefault="00471714" w:rsidP="00C23157">
      <w:pPr>
        <w:widowControl w:val="0"/>
        <w:tabs>
          <w:tab w:val="left" w:pos="426"/>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before="120"/>
        <w:ind w:left="426"/>
        <w:jc w:val="both"/>
        <w:rPr>
          <w:rFonts w:asciiTheme="minorHAnsi" w:hAnsiTheme="minorHAnsi" w:cstheme="minorHAnsi"/>
          <w:b/>
          <w:sz w:val="20"/>
          <w:szCs w:val="20"/>
          <w:lang w:val="ru-RU"/>
        </w:rPr>
      </w:pPr>
      <w:r w:rsidRPr="001E7B76">
        <w:rPr>
          <w:rFonts w:asciiTheme="minorHAnsi" w:hAnsiTheme="minorHAnsi" w:cstheme="minorHAnsi"/>
          <w:sz w:val="20"/>
          <w:lang w:val="uk-UA" w:bidi="uk-UA"/>
        </w:rPr>
        <w:t xml:space="preserve">Сторона, яка подала клопотання про вручення документів на адресу вказаної </w:t>
      </w:r>
      <w:r w:rsidRPr="001E7B76">
        <w:rPr>
          <w:rFonts w:asciiTheme="minorHAnsi" w:hAnsiTheme="minorHAnsi" w:cstheme="minorHAnsi"/>
          <w:b/>
          <w:sz w:val="20"/>
          <w:lang w:val="uk-UA" w:bidi="uk-UA"/>
        </w:rPr>
        <w:t>поштової скриньки</w:t>
      </w:r>
      <w:r w:rsidRPr="001E7B76">
        <w:rPr>
          <w:rFonts w:asciiTheme="minorHAnsi" w:hAnsiTheme="minorHAnsi" w:cstheme="minorHAnsi"/>
          <w:sz w:val="20"/>
          <w:lang w:val="uk-UA" w:bidi="uk-UA"/>
        </w:rPr>
        <w:t>, зобов’язана повідомляти суд про кожну зміну цієї адреси.</w:t>
      </w:r>
    </w:p>
    <w:p w14:paraId="7806BBBA" w14:textId="77777777" w:rsidR="00471714" w:rsidRPr="001E7B76" w:rsidRDefault="00471714" w:rsidP="00C23157">
      <w:pPr>
        <w:widowControl w:val="0"/>
        <w:tabs>
          <w:tab w:val="left" w:pos="426"/>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before="120"/>
        <w:ind w:left="426"/>
        <w:jc w:val="both"/>
        <w:rPr>
          <w:rFonts w:asciiTheme="minorHAnsi" w:hAnsiTheme="minorHAnsi" w:cstheme="minorHAnsi"/>
          <w:b/>
          <w:sz w:val="20"/>
          <w:szCs w:val="20"/>
          <w:lang w:val="ru-RU"/>
        </w:rPr>
      </w:pPr>
      <w:r w:rsidRPr="001E7B76">
        <w:rPr>
          <w:rFonts w:asciiTheme="minorHAnsi" w:hAnsiTheme="minorHAnsi" w:cstheme="minorHAnsi"/>
          <w:sz w:val="20"/>
          <w:lang w:val="uk-UA" w:bidi="uk-UA"/>
        </w:rPr>
        <w:t xml:space="preserve">У разі невиконання вищезазначених зобов'язань судовий документ залишається у справі та вважається врученим, якщо нова адреса не відома суду (ст. 136 § 2 ЦПК). </w:t>
      </w:r>
    </w:p>
    <w:p w14:paraId="355CCFE6" w14:textId="77777777" w:rsidR="00DA29E8" w:rsidRPr="001E7B76" w:rsidRDefault="00DA29E8" w:rsidP="00C23157">
      <w:pPr>
        <w:numPr>
          <w:ilvl w:val="0"/>
          <w:numId w:val="22"/>
        </w:numPr>
        <w:spacing w:before="120"/>
        <w:ind w:left="426" w:hanging="426"/>
        <w:jc w:val="both"/>
        <w:rPr>
          <w:rFonts w:asciiTheme="minorHAnsi" w:hAnsiTheme="minorHAnsi" w:cstheme="minorHAnsi"/>
          <w:sz w:val="20"/>
          <w:szCs w:val="20"/>
          <w:lang w:val="ru-RU"/>
        </w:rPr>
      </w:pPr>
      <w:r w:rsidRPr="001E7B76">
        <w:rPr>
          <w:rFonts w:asciiTheme="minorHAnsi" w:hAnsiTheme="minorHAnsi" w:cstheme="minorHAnsi"/>
          <w:b/>
          <w:sz w:val="20"/>
          <w:lang w:val="uk-UA" w:bidi="uk-UA"/>
        </w:rPr>
        <w:t>Сторона, яка не має місця проживання або звичайного місця перебування, або головного адреси офісу в Республіці Польща або в іншій державі-члені Європейського Союзу</w:t>
      </w:r>
      <w:r w:rsidRPr="001E7B76">
        <w:rPr>
          <w:rFonts w:asciiTheme="minorHAnsi" w:hAnsiTheme="minorHAnsi" w:cstheme="minorHAnsi"/>
          <w:sz w:val="20"/>
          <w:lang w:val="uk-UA" w:bidi="uk-UA"/>
        </w:rPr>
        <w:t>, якщо вона не призначила представника для ведення справи, який проживає в Республіці Польща, зобов’язана вказати представника для поштових відправлень в Республіці Польща.</w:t>
      </w:r>
    </w:p>
    <w:p w14:paraId="44A071D0" w14:textId="77777777" w:rsidR="00DA29E8" w:rsidRPr="001E7B76" w:rsidRDefault="00DA29E8" w:rsidP="00C23157">
      <w:pPr>
        <w:spacing w:before="120"/>
        <w:ind w:left="426"/>
        <w:jc w:val="both"/>
        <w:rPr>
          <w:rFonts w:asciiTheme="minorHAnsi" w:hAnsiTheme="minorHAnsi" w:cstheme="minorHAnsi"/>
          <w:sz w:val="20"/>
          <w:szCs w:val="20"/>
          <w:lang w:val="ru-RU"/>
        </w:rPr>
      </w:pPr>
      <w:r w:rsidRPr="001E7B76">
        <w:rPr>
          <w:rFonts w:asciiTheme="minorHAnsi" w:hAnsiTheme="minorHAnsi" w:cstheme="minorHAnsi"/>
          <w:sz w:val="20"/>
          <w:lang w:val="uk-UA" w:bidi="uk-UA"/>
        </w:rPr>
        <w:t>Якщо повноважного представника для вручення документів не призначено, судові документи, адресовані цій стороні, залишаються у справах і вважаються врученими (ст. 1135</w:t>
      </w:r>
      <w:r w:rsidRPr="001E7B76">
        <w:rPr>
          <w:rFonts w:asciiTheme="minorHAnsi" w:hAnsiTheme="minorHAnsi" w:cstheme="minorHAnsi"/>
          <w:sz w:val="20"/>
          <w:vertAlign w:val="superscript"/>
          <w:lang w:val="uk-UA" w:bidi="uk-UA"/>
        </w:rPr>
        <w:t>5</w:t>
      </w:r>
      <w:r w:rsidRPr="001E7B76">
        <w:rPr>
          <w:rFonts w:asciiTheme="minorHAnsi" w:hAnsiTheme="minorHAnsi" w:cstheme="minorHAnsi"/>
          <w:sz w:val="20"/>
          <w:lang w:val="uk-UA" w:bidi="uk-UA"/>
        </w:rPr>
        <w:t xml:space="preserve"> § 1 ЦПК).</w:t>
      </w:r>
    </w:p>
    <w:p w14:paraId="5A3B086F" w14:textId="77777777" w:rsidR="00DA29E8" w:rsidRPr="001E7B76" w:rsidRDefault="00DA29E8" w:rsidP="00C23157">
      <w:pPr>
        <w:ind w:left="426"/>
        <w:jc w:val="both"/>
        <w:rPr>
          <w:rFonts w:asciiTheme="minorHAnsi" w:hAnsiTheme="minorHAnsi" w:cstheme="minorHAnsi"/>
          <w:sz w:val="20"/>
          <w:szCs w:val="20"/>
          <w:lang w:val="ru-RU"/>
        </w:rPr>
      </w:pPr>
      <w:r w:rsidRPr="001E7B76">
        <w:rPr>
          <w:rFonts w:asciiTheme="minorHAnsi" w:hAnsiTheme="minorHAnsi" w:cstheme="minorHAnsi"/>
          <w:sz w:val="20"/>
          <w:lang w:val="uk-UA" w:bidi="uk-UA"/>
        </w:rPr>
        <w:t xml:space="preserve">Обсяг повноважень особи, визначеної як повноважний представник для вручення документів, обмежується виключно отриманням судових документів. </w:t>
      </w:r>
    </w:p>
    <w:p w14:paraId="25BF7C4B" w14:textId="77777777" w:rsidR="00471714" w:rsidRPr="001E7B76" w:rsidRDefault="00DA29E8" w:rsidP="00C23157">
      <w:pPr>
        <w:widowControl w:val="0"/>
        <w:numPr>
          <w:ilvl w:val="0"/>
          <w:numId w:val="22"/>
        </w:numPr>
        <w:autoSpaceDE w:val="0"/>
        <w:autoSpaceDN w:val="0"/>
        <w:adjustRightInd w:val="0"/>
        <w:spacing w:before="120"/>
        <w:ind w:left="426" w:hanging="426"/>
        <w:jc w:val="both"/>
        <w:rPr>
          <w:rFonts w:asciiTheme="minorHAnsi" w:hAnsiTheme="minorHAnsi" w:cstheme="minorHAnsi"/>
          <w:sz w:val="20"/>
          <w:szCs w:val="20"/>
          <w:lang w:val="ru-RU"/>
        </w:rPr>
      </w:pPr>
      <w:r w:rsidRPr="001E7B76">
        <w:rPr>
          <w:rFonts w:asciiTheme="minorHAnsi" w:hAnsiTheme="minorHAnsi" w:cstheme="minorHAnsi"/>
          <w:sz w:val="20"/>
          <w:lang w:val="uk-UA" w:bidi="uk-UA"/>
        </w:rPr>
        <w:t xml:space="preserve"> Усі судові документи мають бути складені </w:t>
      </w:r>
      <w:r w:rsidRPr="001E7B76">
        <w:rPr>
          <w:rFonts w:asciiTheme="minorHAnsi" w:hAnsiTheme="minorHAnsi" w:cstheme="minorHAnsi"/>
          <w:b/>
          <w:sz w:val="20"/>
          <w:lang w:val="uk-UA" w:bidi="uk-UA"/>
        </w:rPr>
        <w:t xml:space="preserve">польською мовою. </w:t>
      </w:r>
    </w:p>
    <w:p w14:paraId="3E10074A" w14:textId="77777777" w:rsidR="00471714" w:rsidRPr="001E7B76" w:rsidRDefault="00DA29E8" w:rsidP="00C23157">
      <w:pPr>
        <w:widowControl w:val="0"/>
        <w:numPr>
          <w:ilvl w:val="0"/>
          <w:numId w:val="22"/>
        </w:numPr>
        <w:autoSpaceDE w:val="0"/>
        <w:autoSpaceDN w:val="0"/>
        <w:adjustRightInd w:val="0"/>
        <w:spacing w:before="120"/>
        <w:ind w:left="426" w:hanging="426"/>
        <w:jc w:val="both"/>
        <w:rPr>
          <w:rFonts w:asciiTheme="minorHAnsi" w:hAnsiTheme="minorHAnsi" w:cstheme="minorHAnsi"/>
          <w:sz w:val="20"/>
          <w:szCs w:val="20"/>
          <w:lang w:val="ru-RU"/>
        </w:rPr>
      </w:pPr>
      <w:r w:rsidRPr="001E7B76">
        <w:rPr>
          <w:rFonts w:asciiTheme="minorHAnsi" w:hAnsiTheme="minorHAnsi" w:cstheme="minorHAnsi"/>
          <w:sz w:val="20"/>
          <w:lang w:val="uk-UA" w:bidi="uk-UA"/>
        </w:rPr>
        <w:t xml:space="preserve">Подаючи судовий документ до суду, слід вказати </w:t>
      </w:r>
      <w:r w:rsidRPr="001E7B76">
        <w:rPr>
          <w:rFonts w:asciiTheme="minorHAnsi" w:hAnsiTheme="minorHAnsi" w:cstheme="minorHAnsi"/>
          <w:b/>
          <w:sz w:val="20"/>
          <w:lang w:val="uk-UA" w:bidi="uk-UA"/>
        </w:rPr>
        <w:t>номер справи</w:t>
      </w:r>
      <w:r w:rsidRPr="001E7B76">
        <w:rPr>
          <w:rFonts w:asciiTheme="minorHAnsi" w:hAnsiTheme="minorHAnsi" w:cstheme="minorHAnsi"/>
          <w:sz w:val="20"/>
          <w:lang w:val="uk-UA" w:bidi="uk-UA"/>
        </w:rPr>
        <w:t>, зазначений у цьому документі.</w:t>
      </w:r>
    </w:p>
    <w:p w14:paraId="07F464A6" w14:textId="77777777" w:rsidR="00471714" w:rsidRPr="001E7B76" w:rsidRDefault="00DA29E8" w:rsidP="00C23157">
      <w:pPr>
        <w:widowControl w:val="0"/>
        <w:numPr>
          <w:ilvl w:val="0"/>
          <w:numId w:val="22"/>
        </w:numPr>
        <w:autoSpaceDE w:val="0"/>
        <w:autoSpaceDN w:val="0"/>
        <w:adjustRightInd w:val="0"/>
        <w:spacing w:before="120"/>
        <w:ind w:left="426" w:hanging="426"/>
        <w:jc w:val="both"/>
        <w:rPr>
          <w:rFonts w:asciiTheme="minorHAnsi" w:hAnsiTheme="minorHAnsi" w:cstheme="minorHAnsi"/>
          <w:sz w:val="20"/>
          <w:szCs w:val="20"/>
          <w:lang w:val="ru-RU"/>
        </w:rPr>
      </w:pPr>
      <w:r w:rsidRPr="001E7B76">
        <w:rPr>
          <w:rFonts w:asciiTheme="minorHAnsi" w:hAnsiTheme="minorHAnsi" w:cstheme="minorHAnsi"/>
          <w:sz w:val="20"/>
          <w:lang w:val="uk-UA" w:bidi="uk-UA"/>
        </w:rPr>
        <w:t>До процесуального документа слід додати його копії та копії додатків для вручення їх особам, які беруть участь у справі, а також, якщо в суді не було подано оригіналів додатків, по одній копії кожного додатка до судової справи (ст. 128 § 1 ЦПК).</w:t>
      </w:r>
    </w:p>
    <w:p w14:paraId="45C5E1B6" w14:textId="77777777" w:rsidR="00DA29E8" w:rsidRPr="001E7B76" w:rsidRDefault="00DA29E8" w:rsidP="00C23157">
      <w:pPr>
        <w:widowControl w:val="0"/>
        <w:numPr>
          <w:ilvl w:val="0"/>
          <w:numId w:val="22"/>
        </w:numPr>
        <w:autoSpaceDE w:val="0"/>
        <w:autoSpaceDN w:val="0"/>
        <w:adjustRightInd w:val="0"/>
        <w:spacing w:before="120"/>
        <w:ind w:left="426" w:hanging="426"/>
        <w:jc w:val="both"/>
        <w:rPr>
          <w:rFonts w:asciiTheme="minorHAnsi" w:hAnsiTheme="minorHAnsi" w:cstheme="minorHAnsi"/>
          <w:sz w:val="20"/>
          <w:szCs w:val="20"/>
          <w:lang w:val="ru-RU"/>
        </w:rPr>
      </w:pPr>
      <w:r w:rsidRPr="001E7B76">
        <w:rPr>
          <w:rFonts w:asciiTheme="minorHAnsi" w:hAnsiTheme="minorHAnsi" w:cstheme="minorHAnsi"/>
          <w:b/>
          <w:sz w:val="20"/>
          <w:lang w:val="uk-UA" w:bidi="uk-UA"/>
        </w:rPr>
        <w:t>Подання процесуального документа</w:t>
      </w:r>
      <w:r w:rsidRPr="001E7B76">
        <w:rPr>
          <w:rFonts w:asciiTheme="minorHAnsi" w:hAnsiTheme="minorHAnsi" w:cstheme="minorHAnsi"/>
          <w:sz w:val="20"/>
          <w:lang w:val="uk-UA" w:bidi="uk-UA"/>
        </w:rPr>
        <w:t xml:space="preserve"> у польському відділенні оператора, що надає універсальні поштові послуги на території Республіки Польща, або в закордонному поштовому відділенні оператора, що надає універсальні поштові послуги на території іншої держави-члена Європейського Союзу, є </w:t>
      </w:r>
      <w:r w:rsidRPr="001E7B76">
        <w:rPr>
          <w:rFonts w:asciiTheme="minorHAnsi" w:hAnsiTheme="minorHAnsi" w:cstheme="minorHAnsi"/>
          <w:b/>
          <w:sz w:val="20"/>
          <w:lang w:val="uk-UA" w:bidi="uk-UA"/>
        </w:rPr>
        <w:t>рівнозначним його подачі до суду</w:t>
      </w:r>
      <w:r w:rsidRPr="001E7B76">
        <w:rPr>
          <w:rFonts w:asciiTheme="minorHAnsi" w:hAnsiTheme="minorHAnsi" w:cstheme="minorHAnsi"/>
          <w:sz w:val="20"/>
          <w:lang w:val="uk-UA" w:bidi="uk-UA"/>
        </w:rPr>
        <w:t xml:space="preserve"> (ст. 165 § 2 ЦПК). Те саме стосується подання процесуального документа військовослужбовцем до командування військової частини або особою, позбавленою волі, до адміністрації виправної установи, а також членом екіпажу польського морського судна капітану судна (ст. 165 § 3 ЦПК).</w:t>
      </w:r>
    </w:p>
    <w:sectPr w:rsidR="00DA29E8" w:rsidRPr="001E7B76" w:rsidSect="000F3ABC">
      <w:footerReference w:type="default" r:id="rId8"/>
      <w:pgSz w:w="12240" w:h="15840"/>
      <w:pgMar w:top="1134" w:right="1418" w:bottom="1134" w:left="1418" w:header="709" w:footer="709" w:gutter="0"/>
      <w:cols w:space="708"/>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16CEA5" w14:textId="77777777" w:rsidR="00B45739" w:rsidRDefault="00B45739" w:rsidP="00661B61">
      <w:r>
        <w:separator/>
      </w:r>
    </w:p>
  </w:endnote>
  <w:endnote w:type="continuationSeparator" w:id="0">
    <w:p w14:paraId="0CBDD98C" w14:textId="77777777" w:rsidR="00B45739" w:rsidRDefault="00B45739" w:rsidP="00661B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530A60" w14:textId="77777777" w:rsidR="00661B61" w:rsidRDefault="00661B61">
    <w:pPr>
      <w:pStyle w:val="Stopka"/>
      <w:jc w:val="center"/>
    </w:pPr>
    <w:r>
      <w:rPr>
        <w:lang w:val="uk-UA" w:bidi="uk-UA"/>
      </w:rPr>
      <w:fldChar w:fldCharType="begin"/>
    </w:r>
    <w:r>
      <w:rPr>
        <w:lang w:val="uk-UA" w:bidi="uk-UA"/>
      </w:rPr>
      <w:instrText>PAGE   \* MERGEFORMAT</w:instrText>
    </w:r>
    <w:r>
      <w:rPr>
        <w:lang w:val="uk-UA" w:bidi="uk-UA"/>
      </w:rPr>
      <w:fldChar w:fldCharType="separate"/>
    </w:r>
    <w:r>
      <w:rPr>
        <w:lang w:val="uk-UA" w:bidi="uk-UA"/>
      </w:rPr>
      <w:t>2</w:t>
    </w:r>
    <w:r>
      <w:rPr>
        <w:lang w:val="uk-UA" w:bidi="uk-UA"/>
      </w:rPr>
      <w:fldChar w:fldCharType="end"/>
    </w:r>
  </w:p>
  <w:p w14:paraId="5DC1B08F" w14:textId="77777777" w:rsidR="00661B61" w:rsidRDefault="00661B61">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C1BF20" w14:textId="77777777" w:rsidR="00B45739" w:rsidRDefault="00B45739" w:rsidP="00661B61">
      <w:r>
        <w:separator/>
      </w:r>
    </w:p>
  </w:footnote>
  <w:footnote w:type="continuationSeparator" w:id="0">
    <w:p w14:paraId="0482B138" w14:textId="77777777" w:rsidR="00B45739" w:rsidRDefault="00B45739" w:rsidP="00661B6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B24B1A"/>
    <w:multiLevelType w:val="hybridMultilevel"/>
    <w:tmpl w:val="06E60C90"/>
    <w:lvl w:ilvl="0" w:tplc="524ED2C4">
      <w:start w:val="1"/>
      <w:numFmt w:val="upperRoman"/>
      <w:lvlText w:val="%1."/>
      <w:lvlJc w:val="right"/>
      <w:pPr>
        <w:ind w:left="360" w:hanging="360"/>
      </w:pPr>
      <w:rPr>
        <w:b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 w15:restartNumberingAfterBreak="0">
    <w:nsid w:val="0CD32F83"/>
    <w:multiLevelType w:val="hybridMultilevel"/>
    <w:tmpl w:val="DFFAF388"/>
    <w:lvl w:ilvl="0" w:tplc="FFFFFFFF">
      <w:start w:val="1"/>
      <w:numFmt w:val="upp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12D771CD"/>
    <w:multiLevelType w:val="hybridMultilevel"/>
    <w:tmpl w:val="32DA2B54"/>
    <w:lvl w:ilvl="0" w:tplc="04150013">
      <w:start w:val="1"/>
      <w:numFmt w:val="upperRoman"/>
      <w:lvlText w:val="%1."/>
      <w:lvlJc w:val="righ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 w15:restartNumberingAfterBreak="0">
    <w:nsid w:val="141239DE"/>
    <w:multiLevelType w:val="hybridMultilevel"/>
    <w:tmpl w:val="5E36A264"/>
    <w:lvl w:ilvl="0" w:tplc="27BE0A46">
      <w:start w:val="1"/>
      <w:numFmt w:val="upperRoman"/>
      <w:lvlText w:val="%1."/>
      <w:lvlJc w:val="left"/>
      <w:pPr>
        <w:ind w:left="720" w:hanging="72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 w15:restartNumberingAfterBreak="0">
    <w:nsid w:val="1A6A157F"/>
    <w:multiLevelType w:val="hybridMultilevel"/>
    <w:tmpl w:val="B2F60A44"/>
    <w:lvl w:ilvl="0" w:tplc="8594F7F6">
      <w:start w:val="1"/>
      <w:numFmt w:val="upperRoman"/>
      <w:lvlText w:val="%1."/>
      <w:lvlJc w:val="left"/>
      <w:pPr>
        <w:ind w:left="720" w:hanging="720"/>
      </w:pPr>
      <w:rPr>
        <w:rFonts w:hint="default"/>
        <w:b w:val="0"/>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 w15:restartNumberingAfterBreak="0">
    <w:nsid w:val="1CD55656"/>
    <w:multiLevelType w:val="hybridMultilevel"/>
    <w:tmpl w:val="EA7C2956"/>
    <w:lvl w:ilvl="0" w:tplc="04150013">
      <w:start w:val="1"/>
      <w:numFmt w:val="upperRoman"/>
      <w:lvlText w:val="%1."/>
      <w:lvlJc w:val="righ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 w15:restartNumberingAfterBreak="0">
    <w:nsid w:val="1D1201DB"/>
    <w:multiLevelType w:val="hybridMultilevel"/>
    <w:tmpl w:val="BE2C4786"/>
    <w:lvl w:ilvl="0" w:tplc="04150013">
      <w:start w:val="1"/>
      <w:numFmt w:val="upperRoman"/>
      <w:lvlText w:val="%1."/>
      <w:lvlJc w:val="righ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27466D7F"/>
    <w:multiLevelType w:val="hybridMultilevel"/>
    <w:tmpl w:val="BA445A60"/>
    <w:lvl w:ilvl="0" w:tplc="5A669200">
      <w:start w:val="1"/>
      <w:numFmt w:val="upperRoman"/>
      <w:lvlText w:val="%1."/>
      <w:lvlJc w:val="righ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28934786"/>
    <w:multiLevelType w:val="hybridMultilevel"/>
    <w:tmpl w:val="537AFCEE"/>
    <w:lvl w:ilvl="0" w:tplc="04150013">
      <w:start w:val="1"/>
      <w:numFmt w:val="upperRoman"/>
      <w:lvlText w:val="%1."/>
      <w:lvlJc w:val="righ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9" w15:restartNumberingAfterBreak="0">
    <w:nsid w:val="2B2D06F0"/>
    <w:multiLevelType w:val="hybridMultilevel"/>
    <w:tmpl w:val="7FDCC3DA"/>
    <w:lvl w:ilvl="0" w:tplc="5A669200">
      <w:start w:val="1"/>
      <w:numFmt w:val="upperRoman"/>
      <w:lvlText w:val="%1."/>
      <w:lvlJc w:val="right"/>
      <w:pPr>
        <w:ind w:left="36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0" w15:restartNumberingAfterBreak="0">
    <w:nsid w:val="2D0E1BDC"/>
    <w:multiLevelType w:val="hybridMultilevel"/>
    <w:tmpl w:val="F98AC078"/>
    <w:lvl w:ilvl="0" w:tplc="04150013">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2DD914A8"/>
    <w:multiLevelType w:val="hybridMultilevel"/>
    <w:tmpl w:val="3B72D6B4"/>
    <w:lvl w:ilvl="0" w:tplc="0415000F">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2FE6521A"/>
    <w:multiLevelType w:val="hybridMultilevel"/>
    <w:tmpl w:val="C65E9F16"/>
    <w:lvl w:ilvl="0" w:tplc="0415000F">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3" w15:restartNumberingAfterBreak="0">
    <w:nsid w:val="3D1E6A21"/>
    <w:multiLevelType w:val="hybridMultilevel"/>
    <w:tmpl w:val="011E186E"/>
    <w:lvl w:ilvl="0" w:tplc="8594F7F6">
      <w:start w:val="1"/>
      <w:numFmt w:val="upperRoman"/>
      <w:lvlText w:val="%1."/>
      <w:lvlJc w:val="left"/>
      <w:pPr>
        <w:ind w:left="720" w:hanging="720"/>
      </w:pPr>
      <w:rPr>
        <w:rFonts w:hint="default"/>
        <w:b w:val="0"/>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4" w15:restartNumberingAfterBreak="0">
    <w:nsid w:val="40617C56"/>
    <w:multiLevelType w:val="hybridMultilevel"/>
    <w:tmpl w:val="BA445A60"/>
    <w:lvl w:ilvl="0" w:tplc="5A669200">
      <w:start w:val="1"/>
      <w:numFmt w:val="upperRoman"/>
      <w:lvlText w:val="%1."/>
      <w:lvlJc w:val="righ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41687A44"/>
    <w:multiLevelType w:val="hybridMultilevel"/>
    <w:tmpl w:val="C0C852EC"/>
    <w:lvl w:ilvl="0" w:tplc="04150013">
      <w:start w:val="1"/>
      <w:numFmt w:val="upperRoman"/>
      <w:lvlText w:val="%1."/>
      <w:lvlJc w:val="right"/>
      <w:pPr>
        <w:ind w:left="360" w:hanging="360"/>
      </w:pPr>
      <w:rPr>
        <w:b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6" w15:restartNumberingAfterBreak="0">
    <w:nsid w:val="421B4A19"/>
    <w:multiLevelType w:val="hybridMultilevel"/>
    <w:tmpl w:val="011E186E"/>
    <w:lvl w:ilvl="0" w:tplc="8594F7F6">
      <w:start w:val="1"/>
      <w:numFmt w:val="upperRoman"/>
      <w:lvlText w:val="%1."/>
      <w:lvlJc w:val="left"/>
      <w:pPr>
        <w:ind w:left="720" w:hanging="720"/>
      </w:pPr>
      <w:rPr>
        <w:rFonts w:hint="default"/>
        <w:b w:val="0"/>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7" w15:restartNumberingAfterBreak="0">
    <w:nsid w:val="424B6ECC"/>
    <w:multiLevelType w:val="hybridMultilevel"/>
    <w:tmpl w:val="C23E4486"/>
    <w:lvl w:ilvl="0" w:tplc="04150013">
      <w:start w:val="1"/>
      <w:numFmt w:val="upperRoman"/>
      <w:lvlText w:val="%1."/>
      <w:lvlJc w:val="righ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8" w15:restartNumberingAfterBreak="0">
    <w:nsid w:val="43D91204"/>
    <w:multiLevelType w:val="hybridMultilevel"/>
    <w:tmpl w:val="195C1ECA"/>
    <w:lvl w:ilvl="0" w:tplc="B434B518">
      <w:start w:val="1"/>
      <w:numFmt w:val="upperRoman"/>
      <w:lvlText w:val="%1."/>
      <w:lvlJc w:val="right"/>
      <w:pPr>
        <w:ind w:left="360" w:hanging="360"/>
      </w:pPr>
      <w:rPr>
        <w:b w:val="0"/>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9" w15:restartNumberingAfterBreak="0">
    <w:nsid w:val="4A7A6119"/>
    <w:multiLevelType w:val="hybridMultilevel"/>
    <w:tmpl w:val="7B1440C2"/>
    <w:lvl w:ilvl="0" w:tplc="DE8E880A">
      <w:start w:val="1"/>
      <w:numFmt w:val="upperRoman"/>
      <w:lvlText w:val="%1."/>
      <w:lvlJc w:val="right"/>
      <w:pPr>
        <w:ind w:left="360" w:hanging="360"/>
      </w:pPr>
      <w:rPr>
        <w:b w:val="0"/>
      </w:rPr>
    </w:lvl>
    <w:lvl w:ilvl="1" w:tplc="04150001">
      <w:start w:val="1"/>
      <w:numFmt w:val="bullet"/>
      <w:lvlText w:val=""/>
      <w:lvlJc w:val="left"/>
      <w:pPr>
        <w:ind w:left="928" w:hanging="360"/>
      </w:pPr>
      <w:rPr>
        <w:rFonts w:ascii="Symbol" w:hAnsi="Symbol" w:hint="default"/>
      </w:r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0" w15:restartNumberingAfterBreak="0">
    <w:nsid w:val="4C56534B"/>
    <w:multiLevelType w:val="hybridMultilevel"/>
    <w:tmpl w:val="92ECD642"/>
    <w:lvl w:ilvl="0" w:tplc="524ED2C4">
      <w:start w:val="1"/>
      <w:numFmt w:val="decimal"/>
      <w:lvlText w:val="%1."/>
      <w:lvlJc w:val="left"/>
      <w:pPr>
        <w:tabs>
          <w:tab w:val="num" w:pos="360"/>
        </w:tabs>
        <w:ind w:left="360" w:hanging="360"/>
      </w:pPr>
      <w:rPr>
        <w:rFonts w:hint="default"/>
      </w:rPr>
    </w:lvl>
    <w:lvl w:ilvl="1" w:tplc="04150019">
      <w:start w:val="1"/>
      <w:numFmt w:val="lowerLetter"/>
      <w:lvlText w:val="%2."/>
      <w:lvlJc w:val="left"/>
      <w:pPr>
        <w:tabs>
          <w:tab w:val="num" w:pos="720"/>
        </w:tabs>
        <w:ind w:left="72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21" w15:restartNumberingAfterBreak="0">
    <w:nsid w:val="540B5F17"/>
    <w:multiLevelType w:val="hybridMultilevel"/>
    <w:tmpl w:val="C0C02C00"/>
    <w:lvl w:ilvl="0" w:tplc="6C742AD4">
      <w:start w:val="1"/>
      <w:numFmt w:val="upperRoman"/>
      <w:lvlText w:val="%1."/>
      <w:lvlJc w:val="right"/>
      <w:pPr>
        <w:ind w:left="360" w:hanging="360"/>
      </w:pPr>
      <w:rPr>
        <w:b w:val="0"/>
      </w:rPr>
    </w:lvl>
    <w:lvl w:ilvl="1" w:tplc="04150019">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2" w15:restartNumberingAfterBreak="0">
    <w:nsid w:val="595D1BF7"/>
    <w:multiLevelType w:val="hybridMultilevel"/>
    <w:tmpl w:val="FD847284"/>
    <w:lvl w:ilvl="0" w:tplc="04150001">
      <w:start w:val="1"/>
      <w:numFmt w:val="bullet"/>
      <w:lvlText w:val=""/>
      <w:lvlJc w:val="left"/>
      <w:pPr>
        <w:ind w:left="1145" w:hanging="360"/>
      </w:pPr>
      <w:rPr>
        <w:rFonts w:ascii="Symbol" w:hAnsi="Symbol" w:hint="default"/>
      </w:rPr>
    </w:lvl>
    <w:lvl w:ilvl="1" w:tplc="04150003" w:tentative="1">
      <w:start w:val="1"/>
      <w:numFmt w:val="bullet"/>
      <w:lvlText w:val="o"/>
      <w:lvlJc w:val="left"/>
      <w:pPr>
        <w:ind w:left="1865" w:hanging="360"/>
      </w:pPr>
      <w:rPr>
        <w:rFonts w:ascii="Courier New" w:hAnsi="Courier New" w:cs="Courier New" w:hint="default"/>
      </w:rPr>
    </w:lvl>
    <w:lvl w:ilvl="2" w:tplc="04150005" w:tentative="1">
      <w:start w:val="1"/>
      <w:numFmt w:val="bullet"/>
      <w:lvlText w:val=""/>
      <w:lvlJc w:val="left"/>
      <w:pPr>
        <w:ind w:left="2585" w:hanging="360"/>
      </w:pPr>
      <w:rPr>
        <w:rFonts w:ascii="Wingdings" w:hAnsi="Wingdings" w:hint="default"/>
      </w:rPr>
    </w:lvl>
    <w:lvl w:ilvl="3" w:tplc="04150001" w:tentative="1">
      <w:start w:val="1"/>
      <w:numFmt w:val="bullet"/>
      <w:lvlText w:val=""/>
      <w:lvlJc w:val="left"/>
      <w:pPr>
        <w:ind w:left="3305" w:hanging="360"/>
      </w:pPr>
      <w:rPr>
        <w:rFonts w:ascii="Symbol" w:hAnsi="Symbol" w:hint="default"/>
      </w:rPr>
    </w:lvl>
    <w:lvl w:ilvl="4" w:tplc="04150003" w:tentative="1">
      <w:start w:val="1"/>
      <w:numFmt w:val="bullet"/>
      <w:lvlText w:val="o"/>
      <w:lvlJc w:val="left"/>
      <w:pPr>
        <w:ind w:left="4025" w:hanging="360"/>
      </w:pPr>
      <w:rPr>
        <w:rFonts w:ascii="Courier New" w:hAnsi="Courier New" w:cs="Courier New" w:hint="default"/>
      </w:rPr>
    </w:lvl>
    <w:lvl w:ilvl="5" w:tplc="04150005" w:tentative="1">
      <w:start w:val="1"/>
      <w:numFmt w:val="bullet"/>
      <w:lvlText w:val=""/>
      <w:lvlJc w:val="left"/>
      <w:pPr>
        <w:ind w:left="4745" w:hanging="360"/>
      </w:pPr>
      <w:rPr>
        <w:rFonts w:ascii="Wingdings" w:hAnsi="Wingdings" w:hint="default"/>
      </w:rPr>
    </w:lvl>
    <w:lvl w:ilvl="6" w:tplc="04150001" w:tentative="1">
      <w:start w:val="1"/>
      <w:numFmt w:val="bullet"/>
      <w:lvlText w:val=""/>
      <w:lvlJc w:val="left"/>
      <w:pPr>
        <w:ind w:left="5465" w:hanging="360"/>
      </w:pPr>
      <w:rPr>
        <w:rFonts w:ascii="Symbol" w:hAnsi="Symbol" w:hint="default"/>
      </w:rPr>
    </w:lvl>
    <w:lvl w:ilvl="7" w:tplc="04150003" w:tentative="1">
      <w:start w:val="1"/>
      <w:numFmt w:val="bullet"/>
      <w:lvlText w:val="o"/>
      <w:lvlJc w:val="left"/>
      <w:pPr>
        <w:ind w:left="6185" w:hanging="360"/>
      </w:pPr>
      <w:rPr>
        <w:rFonts w:ascii="Courier New" w:hAnsi="Courier New" w:cs="Courier New" w:hint="default"/>
      </w:rPr>
    </w:lvl>
    <w:lvl w:ilvl="8" w:tplc="04150005" w:tentative="1">
      <w:start w:val="1"/>
      <w:numFmt w:val="bullet"/>
      <w:lvlText w:val=""/>
      <w:lvlJc w:val="left"/>
      <w:pPr>
        <w:ind w:left="6905" w:hanging="360"/>
      </w:pPr>
      <w:rPr>
        <w:rFonts w:ascii="Wingdings" w:hAnsi="Wingdings" w:hint="default"/>
      </w:rPr>
    </w:lvl>
  </w:abstractNum>
  <w:abstractNum w:abstractNumId="23" w15:restartNumberingAfterBreak="0">
    <w:nsid w:val="6B113864"/>
    <w:multiLevelType w:val="hybridMultilevel"/>
    <w:tmpl w:val="85186356"/>
    <w:lvl w:ilvl="0" w:tplc="0415000F">
      <w:start w:val="1"/>
      <w:numFmt w:val="decimal"/>
      <w:lvlText w:val="%1."/>
      <w:lvlJc w:val="left"/>
      <w:pPr>
        <w:ind w:left="720" w:hanging="720"/>
      </w:pPr>
      <w:rPr>
        <w:rFonts w:hint="default"/>
        <w:b w:val="0"/>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4" w15:restartNumberingAfterBreak="0">
    <w:nsid w:val="74B45C03"/>
    <w:multiLevelType w:val="hybridMultilevel"/>
    <w:tmpl w:val="011E186E"/>
    <w:lvl w:ilvl="0" w:tplc="8594F7F6">
      <w:start w:val="1"/>
      <w:numFmt w:val="upperRoman"/>
      <w:lvlText w:val="%1."/>
      <w:lvlJc w:val="left"/>
      <w:pPr>
        <w:ind w:left="720" w:hanging="720"/>
      </w:pPr>
      <w:rPr>
        <w:rFonts w:hint="default"/>
        <w:b w:val="0"/>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5" w15:restartNumberingAfterBreak="0">
    <w:nsid w:val="78C87619"/>
    <w:multiLevelType w:val="hybridMultilevel"/>
    <w:tmpl w:val="06E60C90"/>
    <w:lvl w:ilvl="0" w:tplc="524ED2C4">
      <w:start w:val="1"/>
      <w:numFmt w:val="upperRoman"/>
      <w:lvlText w:val="%1."/>
      <w:lvlJc w:val="right"/>
      <w:pPr>
        <w:ind w:left="360" w:hanging="360"/>
      </w:pPr>
      <w:rPr>
        <w:b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6" w15:restartNumberingAfterBreak="0">
    <w:nsid w:val="799E6B5C"/>
    <w:multiLevelType w:val="hybridMultilevel"/>
    <w:tmpl w:val="98F80DBE"/>
    <w:lvl w:ilvl="0" w:tplc="04150013">
      <w:start w:val="1"/>
      <w:numFmt w:val="upperRoman"/>
      <w:lvlText w:val="%1."/>
      <w:lvlJc w:val="right"/>
      <w:pPr>
        <w:ind w:left="36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7" w15:restartNumberingAfterBreak="0">
    <w:nsid w:val="7F0C5541"/>
    <w:multiLevelType w:val="hybridMultilevel"/>
    <w:tmpl w:val="FDD6A38C"/>
    <w:lvl w:ilvl="0" w:tplc="8594F7F6">
      <w:start w:val="1"/>
      <w:numFmt w:val="upperRoman"/>
      <w:lvlText w:val="%1."/>
      <w:lvlJc w:val="left"/>
      <w:pPr>
        <w:ind w:left="810" w:hanging="720"/>
      </w:pPr>
      <w:rPr>
        <w:rFonts w:hint="default"/>
        <w:b w:val="0"/>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num w:numId="1" w16cid:durableId="1746411250">
    <w:abstractNumId w:val="10"/>
  </w:num>
  <w:num w:numId="2" w16cid:durableId="1676229458">
    <w:abstractNumId w:val="23"/>
  </w:num>
  <w:num w:numId="3" w16cid:durableId="2105029318">
    <w:abstractNumId w:val="1"/>
  </w:num>
  <w:num w:numId="4" w16cid:durableId="234165479">
    <w:abstractNumId w:val="20"/>
  </w:num>
  <w:num w:numId="5" w16cid:durableId="423112831">
    <w:abstractNumId w:val="15"/>
  </w:num>
  <w:num w:numId="6" w16cid:durableId="772630767">
    <w:abstractNumId w:val="2"/>
  </w:num>
  <w:num w:numId="7" w16cid:durableId="2010057895">
    <w:abstractNumId w:val="6"/>
  </w:num>
  <w:num w:numId="8" w16cid:durableId="512375948">
    <w:abstractNumId w:val="11"/>
  </w:num>
  <w:num w:numId="9" w16cid:durableId="266738246">
    <w:abstractNumId w:val="7"/>
  </w:num>
  <w:num w:numId="10" w16cid:durableId="362554920">
    <w:abstractNumId w:val="9"/>
  </w:num>
  <w:num w:numId="11" w16cid:durableId="1948662142">
    <w:abstractNumId w:val="14"/>
  </w:num>
  <w:num w:numId="12" w16cid:durableId="1523124557">
    <w:abstractNumId w:val="18"/>
  </w:num>
  <w:num w:numId="13" w16cid:durableId="2107461011">
    <w:abstractNumId w:val="26"/>
  </w:num>
  <w:num w:numId="14" w16cid:durableId="1429039454">
    <w:abstractNumId w:val="3"/>
  </w:num>
  <w:num w:numId="15" w16cid:durableId="2068338043">
    <w:abstractNumId w:val="8"/>
  </w:num>
  <w:num w:numId="16" w16cid:durableId="320618324">
    <w:abstractNumId w:val="17"/>
  </w:num>
  <w:num w:numId="17" w16cid:durableId="1133716568">
    <w:abstractNumId w:val="5"/>
  </w:num>
  <w:num w:numId="18" w16cid:durableId="2112504296">
    <w:abstractNumId w:val="21"/>
  </w:num>
  <w:num w:numId="19" w16cid:durableId="709494739">
    <w:abstractNumId w:val="19"/>
  </w:num>
  <w:num w:numId="20" w16cid:durableId="1399129027">
    <w:abstractNumId w:val="22"/>
  </w:num>
  <w:num w:numId="21" w16cid:durableId="2114350468">
    <w:abstractNumId w:val="0"/>
  </w:num>
  <w:num w:numId="22" w16cid:durableId="875891787">
    <w:abstractNumId w:val="4"/>
  </w:num>
  <w:num w:numId="23" w16cid:durableId="1349256226">
    <w:abstractNumId w:val="24"/>
  </w:num>
  <w:num w:numId="24" w16cid:durableId="1104304643">
    <w:abstractNumId w:val="13"/>
  </w:num>
  <w:num w:numId="25" w16cid:durableId="1530801451">
    <w:abstractNumId w:val="25"/>
  </w:num>
  <w:num w:numId="26" w16cid:durableId="32005579">
    <w:abstractNumId w:val="27"/>
  </w:num>
  <w:num w:numId="27" w16cid:durableId="1974675924">
    <w:abstractNumId w:val="16"/>
  </w:num>
  <w:num w:numId="28" w16cid:durableId="170697863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W_DocType" w:val="NORMAL"/>
  </w:docVars>
  <w:rsids>
    <w:rsidRoot w:val="00150216"/>
    <w:rsid w:val="000152D7"/>
    <w:rsid w:val="00047C96"/>
    <w:rsid w:val="00066137"/>
    <w:rsid w:val="000714F5"/>
    <w:rsid w:val="000800D6"/>
    <w:rsid w:val="000E12FB"/>
    <w:rsid w:val="000F02DA"/>
    <w:rsid w:val="000F3ABC"/>
    <w:rsid w:val="00114CFE"/>
    <w:rsid w:val="00116683"/>
    <w:rsid w:val="00123D1E"/>
    <w:rsid w:val="00141FB8"/>
    <w:rsid w:val="00150216"/>
    <w:rsid w:val="0015195F"/>
    <w:rsid w:val="00187354"/>
    <w:rsid w:val="001A66B2"/>
    <w:rsid w:val="001C15AB"/>
    <w:rsid w:val="001E310D"/>
    <w:rsid w:val="001E7B76"/>
    <w:rsid w:val="001F1DB7"/>
    <w:rsid w:val="001F49D5"/>
    <w:rsid w:val="00212016"/>
    <w:rsid w:val="002656BC"/>
    <w:rsid w:val="0027605D"/>
    <w:rsid w:val="0029778D"/>
    <w:rsid w:val="002E2A86"/>
    <w:rsid w:val="0032196B"/>
    <w:rsid w:val="003469AB"/>
    <w:rsid w:val="00351C6F"/>
    <w:rsid w:val="003715B0"/>
    <w:rsid w:val="00372896"/>
    <w:rsid w:val="003A2601"/>
    <w:rsid w:val="003C7BFA"/>
    <w:rsid w:val="003E6CE2"/>
    <w:rsid w:val="00401978"/>
    <w:rsid w:val="004263FD"/>
    <w:rsid w:val="00446F9A"/>
    <w:rsid w:val="00454F33"/>
    <w:rsid w:val="00471714"/>
    <w:rsid w:val="00490E38"/>
    <w:rsid w:val="004A6E4E"/>
    <w:rsid w:val="00512EAD"/>
    <w:rsid w:val="005829DE"/>
    <w:rsid w:val="00591F00"/>
    <w:rsid w:val="005B4812"/>
    <w:rsid w:val="005E4822"/>
    <w:rsid w:val="005F2042"/>
    <w:rsid w:val="0060408D"/>
    <w:rsid w:val="00661B61"/>
    <w:rsid w:val="00667761"/>
    <w:rsid w:val="0067231C"/>
    <w:rsid w:val="00672977"/>
    <w:rsid w:val="0068022D"/>
    <w:rsid w:val="006B41DC"/>
    <w:rsid w:val="006C32A8"/>
    <w:rsid w:val="006C66AC"/>
    <w:rsid w:val="006F36F7"/>
    <w:rsid w:val="007012CF"/>
    <w:rsid w:val="00715B54"/>
    <w:rsid w:val="007303E5"/>
    <w:rsid w:val="0073783B"/>
    <w:rsid w:val="00745A80"/>
    <w:rsid w:val="00795739"/>
    <w:rsid w:val="007A288E"/>
    <w:rsid w:val="007B123B"/>
    <w:rsid w:val="007C13CD"/>
    <w:rsid w:val="007D46FF"/>
    <w:rsid w:val="007D511B"/>
    <w:rsid w:val="00801B1D"/>
    <w:rsid w:val="008056B3"/>
    <w:rsid w:val="00822443"/>
    <w:rsid w:val="00827B03"/>
    <w:rsid w:val="00831815"/>
    <w:rsid w:val="00852AB2"/>
    <w:rsid w:val="008700CC"/>
    <w:rsid w:val="00892AFD"/>
    <w:rsid w:val="008A2020"/>
    <w:rsid w:val="008E2C9F"/>
    <w:rsid w:val="008E54AE"/>
    <w:rsid w:val="008F3AA6"/>
    <w:rsid w:val="008F61EA"/>
    <w:rsid w:val="0091339B"/>
    <w:rsid w:val="00985DD1"/>
    <w:rsid w:val="009B0080"/>
    <w:rsid w:val="00A10DA7"/>
    <w:rsid w:val="00A30B9B"/>
    <w:rsid w:val="00A33794"/>
    <w:rsid w:val="00A44A1B"/>
    <w:rsid w:val="00A573C3"/>
    <w:rsid w:val="00A7675C"/>
    <w:rsid w:val="00A950EF"/>
    <w:rsid w:val="00A95BD8"/>
    <w:rsid w:val="00AA2875"/>
    <w:rsid w:val="00B10A10"/>
    <w:rsid w:val="00B24132"/>
    <w:rsid w:val="00B45739"/>
    <w:rsid w:val="00B66038"/>
    <w:rsid w:val="00B84A36"/>
    <w:rsid w:val="00BA02D9"/>
    <w:rsid w:val="00BA674E"/>
    <w:rsid w:val="00BA7C3B"/>
    <w:rsid w:val="00BD5258"/>
    <w:rsid w:val="00BE0F1A"/>
    <w:rsid w:val="00BE7C25"/>
    <w:rsid w:val="00BF0A5A"/>
    <w:rsid w:val="00C003A1"/>
    <w:rsid w:val="00C23157"/>
    <w:rsid w:val="00C64B0A"/>
    <w:rsid w:val="00C65DB5"/>
    <w:rsid w:val="00C668DF"/>
    <w:rsid w:val="00C731F6"/>
    <w:rsid w:val="00C9786C"/>
    <w:rsid w:val="00CE5081"/>
    <w:rsid w:val="00D14147"/>
    <w:rsid w:val="00D37735"/>
    <w:rsid w:val="00D37DC5"/>
    <w:rsid w:val="00D831E3"/>
    <w:rsid w:val="00DA29E8"/>
    <w:rsid w:val="00DD0536"/>
    <w:rsid w:val="00E16427"/>
    <w:rsid w:val="00E96511"/>
    <w:rsid w:val="00EA3692"/>
    <w:rsid w:val="00EA3D33"/>
    <w:rsid w:val="00EA6922"/>
    <w:rsid w:val="00ED3564"/>
    <w:rsid w:val="00EE1577"/>
    <w:rsid w:val="00EF32D6"/>
    <w:rsid w:val="00EF3A62"/>
    <w:rsid w:val="00F425ED"/>
    <w:rsid w:val="00F46B1B"/>
    <w:rsid w:val="00F52B5E"/>
    <w:rsid w:val="00FB103A"/>
    <w:rsid w:val="00FC38F1"/>
    <w:rsid w:val="00FD51DF"/>
    <w:rsid w:val="00FD709D"/>
    <w:rsid w:val="00FE188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39087C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uk-UA"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150216"/>
    <w:rPr>
      <w:rFonts w:ascii="Times New Roman" w:eastAsia="Times New Roman" w:hAnsi="Times New Roman"/>
      <w:sz w:val="24"/>
      <w:szCs w:val="24"/>
      <w:lang w:val="pl-PL"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Normal">
    <w:name w:val="[Normal]"/>
    <w:rsid w:val="00150216"/>
    <w:pPr>
      <w:widowControl w:val="0"/>
      <w:autoSpaceDE w:val="0"/>
      <w:autoSpaceDN w:val="0"/>
      <w:adjustRightInd w:val="0"/>
    </w:pPr>
    <w:rPr>
      <w:rFonts w:ascii="Arial" w:eastAsia="Times New Roman" w:hAnsi="Arial" w:cs="Arial"/>
      <w:sz w:val="24"/>
      <w:szCs w:val="24"/>
      <w:lang w:val="pl-PL" w:eastAsia="pl-PL"/>
    </w:rPr>
  </w:style>
  <w:style w:type="paragraph" w:customStyle="1" w:styleId="1">
    <w:name w:val="Абзац списка1"/>
    <w:basedOn w:val="Normalny"/>
    <w:rsid w:val="00150216"/>
    <w:pPr>
      <w:autoSpaceDE w:val="0"/>
      <w:autoSpaceDN w:val="0"/>
      <w:adjustRightInd w:val="0"/>
      <w:spacing w:after="200" w:line="276" w:lineRule="auto"/>
      <w:ind w:left="720"/>
    </w:pPr>
    <w:rPr>
      <w:rFonts w:ascii="Calibri" w:hAnsi="Calibri" w:cs="Calibri"/>
      <w:sz w:val="22"/>
      <w:szCs w:val="22"/>
    </w:rPr>
  </w:style>
  <w:style w:type="character" w:styleId="Hipercze">
    <w:name w:val="Hyperlink"/>
    <w:rsid w:val="00150216"/>
    <w:rPr>
      <w:color w:val="0563C1"/>
      <w:u w:val="single"/>
    </w:rPr>
  </w:style>
  <w:style w:type="character" w:styleId="Pogrubienie">
    <w:name w:val="Strong"/>
    <w:uiPriority w:val="22"/>
    <w:qFormat/>
    <w:rsid w:val="00150216"/>
    <w:rPr>
      <w:b/>
      <w:bCs/>
    </w:rPr>
  </w:style>
  <w:style w:type="paragraph" w:styleId="Tekstdymka">
    <w:name w:val="Balloon Text"/>
    <w:basedOn w:val="Normalny"/>
    <w:link w:val="TekstdymkaZnak"/>
    <w:uiPriority w:val="99"/>
    <w:semiHidden/>
    <w:unhideWhenUsed/>
    <w:rsid w:val="00150216"/>
    <w:rPr>
      <w:rFonts w:ascii="Tahoma" w:hAnsi="Tahoma"/>
      <w:sz w:val="16"/>
      <w:szCs w:val="16"/>
      <w:lang w:val="x-none" w:eastAsia="x-none"/>
    </w:rPr>
  </w:style>
  <w:style w:type="character" w:customStyle="1" w:styleId="TekstdymkaZnak">
    <w:name w:val="Tekst dymka Znak"/>
    <w:link w:val="Tekstdymka"/>
    <w:uiPriority w:val="99"/>
    <w:semiHidden/>
    <w:rsid w:val="00150216"/>
    <w:rPr>
      <w:rFonts w:ascii="Tahoma" w:eastAsia="Times New Roman" w:hAnsi="Tahoma" w:cs="Times New Roman"/>
      <w:sz w:val="16"/>
      <w:szCs w:val="16"/>
      <w:lang w:val="x-none" w:eastAsia="x-none"/>
    </w:rPr>
  </w:style>
  <w:style w:type="paragraph" w:styleId="Nagwek">
    <w:name w:val="header"/>
    <w:basedOn w:val="Normalny"/>
    <w:link w:val="NagwekZnak"/>
    <w:uiPriority w:val="99"/>
    <w:unhideWhenUsed/>
    <w:rsid w:val="00661B61"/>
    <w:pPr>
      <w:tabs>
        <w:tab w:val="center" w:pos="4536"/>
        <w:tab w:val="right" w:pos="9072"/>
      </w:tabs>
    </w:pPr>
  </w:style>
  <w:style w:type="character" w:customStyle="1" w:styleId="NagwekZnak">
    <w:name w:val="Nagłówek Znak"/>
    <w:link w:val="Nagwek"/>
    <w:uiPriority w:val="99"/>
    <w:rsid w:val="00661B61"/>
    <w:rPr>
      <w:rFonts w:ascii="Times New Roman" w:eastAsia="Times New Roman" w:hAnsi="Times New Roman"/>
      <w:sz w:val="24"/>
      <w:szCs w:val="24"/>
    </w:rPr>
  </w:style>
  <w:style w:type="paragraph" w:styleId="Stopka">
    <w:name w:val="footer"/>
    <w:basedOn w:val="Normalny"/>
    <w:link w:val="StopkaZnak"/>
    <w:uiPriority w:val="99"/>
    <w:unhideWhenUsed/>
    <w:rsid w:val="00661B61"/>
    <w:pPr>
      <w:tabs>
        <w:tab w:val="center" w:pos="4536"/>
        <w:tab w:val="right" w:pos="9072"/>
      </w:tabs>
    </w:pPr>
  </w:style>
  <w:style w:type="character" w:customStyle="1" w:styleId="StopkaZnak">
    <w:name w:val="Stopka Znak"/>
    <w:link w:val="Stopka"/>
    <w:uiPriority w:val="99"/>
    <w:rsid w:val="00661B61"/>
    <w:rPr>
      <w:rFonts w:ascii="Times New Roman" w:eastAsia="Times New Roman" w:hAnsi="Times New Roman"/>
      <w:sz w:val="24"/>
      <w:szCs w:val="24"/>
    </w:rPr>
  </w:style>
  <w:style w:type="character" w:customStyle="1" w:styleId="igindeksgrny">
    <w:name w:val="igindeksgrny"/>
    <w:rsid w:val="00DA29E8"/>
  </w:style>
  <w:style w:type="paragraph" w:styleId="Akapitzlist">
    <w:name w:val="List Paragraph"/>
    <w:basedOn w:val="Normalny"/>
    <w:uiPriority w:val="34"/>
    <w:qFormat/>
    <w:rsid w:val="00DA29E8"/>
    <w:pPr>
      <w:ind w:left="708"/>
    </w:pPr>
  </w:style>
  <w:style w:type="paragraph" w:customStyle="1" w:styleId="zartzmartartykuempunktem">
    <w:name w:val="zartzmartartykuempunktem"/>
    <w:basedOn w:val="Normalny"/>
    <w:rsid w:val="00CE5081"/>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92354414">
      <w:bodyDiv w:val="1"/>
      <w:marLeft w:val="0"/>
      <w:marRight w:val="0"/>
      <w:marTop w:val="0"/>
      <w:marBottom w:val="0"/>
      <w:divBdr>
        <w:top w:val="none" w:sz="0" w:space="0" w:color="auto"/>
        <w:left w:val="none" w:sz="0" w:space="0" w:color="auto"/>
        <w:bottom w:val="none" w:sz="0" w:space="0" w:color="auto"/>
        <w:right w:val="none" w:sz="0" w:space="0" w:color="auto"/>
      </w:divBdr>
    </w:div>
    <w:div w:id="1137068374">
      <w:bodyDiv w:val="1"/>
      <w:marLeft w:val="0"/>
      <w:marRight w:val="0"/>
      <w:marTop w:val="0"/>
      <w:marBottom w:val="0"/>
      <w:divBdr>
        <w:top w:val="none" w:sz="0" w:space="0" w:color="auto"/>
        <w:left w:val="none" w:sz="0" w:space="0" w:color="auto"/>
        <w:bottom w:val="none" w:sz="0" w:space="0" w:color="auto"/>
        <w:right w:val="none" w:sz="0" w:space="0" w:color="auto"/>
      </w:divBdr>
      <w:divsChild>
        <w:div w:id="411313891">
          <w:marLeft w:val="0"/>
          <w:marRight w:val="0"/>
          <w:marTop w:val="0"/>
          <w:marBottom w:val="0"/>
          <w:divBdr>
            <w:top w:val="none" w:sz="0" w:space="0" w:color="auto"/>
            <w:left w:val="none" w:sz="0" w:space="0" w:color="auto"/>
            <w:bottom w:val="none" w:sz="0" w:space="0" w:color="auto"/>
            <w:right w:val="none" w:sz="0" w:space="0" w:color="auto"/>
          </w:divBdr>
          <w:divsChild>
            <w:div w:id="325281226">
              <w:marLeft w:val="0"/>
              <w:marRight w:val="0"/>
              <w:marTop w:val="0"/>
              <w:marBottom w:val="0"/>
              <w:divBdr>
                <w:top w:val="none" w:sz="0" w:space="0" w:color="auto"/>
                <w:left w:val="none" w:sz="0" w:space="0" w:color="auto"/>
                <w:bottom w:val="none" w:sz="0" w:space="0" w:color="auto"/>
                <w:right w:val="none" w:sz="0" w:space="0" w:color="auto"/>
              </w:divBdr>
            </w:div>
          </w:divsChild>
        </w:div>
        <w:div w:id="2082487829">
          <w:marLeft w:val="0"/>
          <w:marRight w:val="0"/>
          <w:marTop w:val="0"/>
          <w:marBottom w:val="0"/>
          <w:divBdr>
            <w:top w:val="none" w:sz="0" w:space="0" w:color="auto"/>
            <w:left w:val="none" w:sz="0" w:space="0" w:color="auto"/>
            <w:bottom w:val="none" w:sz="0" w:space="0" w:color="auto"/>
            <w:right w:val="none" w:sz="0" w:space="0" w:color="auto"/>
          </w:divBdr>
          <w:divsChild>
            <w:div w:id="1740010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58353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927B02B-B366-47BD-A91F-B504258795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1505</Words>
  <Characters>9030</Characters>
  <Application>Microsoft Office Word</Application>
  <DocSecurity>0</DocSecurity>
  <Lines>128</Lines>
  <Paragraphs>41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10509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2026-03-20T11:05:00Z</dcterms:created>
  <dcterms:modified xsi:type="dcterms:W3CDTF">2026-03-20T11:05:00Z</dcterms:modified>
</cp:coreProperties>
</file>