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EFCA" w14:textId="79191B71" w:rsidR="00D542AD" w:rsidRPr="00D542AD" w:rsidRDefault="00D542AD" w:rsidP="00D542AD">
      <w:pPr>
        <w:pStyle w:val="Tytu"/>
        <w:spacing w:before="2040"/>
        <w:rPr>
          <w:lang w:val="pl-PL"/>
        </w:rPr>
      </w:pPr>
      <w:bookmarkStart w:id="0" w:name="_Hlk173243165"/>
      <w:bookmarkEnd w:id="0"/>
      <w:r w:rsidRPr="00D542AD">
        <w:rPr>
          <w:lang w:val="pl-PL"/>
        </w:rPr>
        <w:t>INFORMACJA KWARTALNA O STANIE FINANSÓW PUBLICZNYCH W I</w:t>
      </w:r>
      <w:r w:rsidR="00231FA8">
        <w:rPr>
          <w:lang w:val="pl-PL"/>
        </w:rPr>
        <w:tab/>
      </w:r>
      <w:r w:rsidRPr="00D542AD">
        <w:rPr>
          <w:lang w:val="pl-PL"/>
        </w:rPr>
        <w:t xml:space="preserve"> KWARTALE 202</w:t>
      </w:r>
      <w:r w:rsidR="00BE6D95">
        <w:rPr>
          <w:lang w:val="pl-PL"/>
        </w:rPr>
        <w:t>4</w:t>
      </w:r>
      <w:r w:rsidRPr="00D542AD">
        <w:rPr>
          <w:lang w:val="pl-PL"/>
        </w:rPr>
        <w:t xml:space="preserve"> roku </w:t>
      </w:r>
    </w:p>
    <w:p w14:paraId="5495D23A" w14:textId="2547F6B4" w:rsidR="009C0B1C" w:rsidRPr="00D542AD" w:rsidRDefault="00D542AD" w:rsidP="002302CF">
      <w:pPr>
        <w:pStyle w:val="Podtytu"/>
      </w:pPr>
      <w:r>
        <w:t xml:space="preserve">Nr </w:t>
      </w:r>
      <w:r w:rsidR="00BE6D95">
        <w:t>3</w:t>
      </w:r>
      <w:r>
        <w:t xml:space="preserve"> / 202</w:t>
      </w:r>
      <w:r w:rsidR="009F1463">
        <w:t>4</w:t>
      </w:r>
    </w:p>
    <w:p w14:paraId="12AEDD9B" w14:textId="77777777" w:rsidR="00D542AD" w:rsidRDefault="00D542AD" w:rsidP="00D542AD">
      <w:pPr>
        <w:rPr>
          <w:rFonts w:eastAsiaTheme="majorEastAsia" w:cstheme="majorBidi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2110614717"/>
        <w:docPartObj>
          <w:docPartGallery w:val="Table of Contents"/>
          <w:docPartUnique/>
        </w:docPartObj>
      </w:sdtPr>
      <w:sdtEndPr>
        <w:rPr>
          <w:rFonts w:ascii="Lato" w:hAnsi="Lato"/>
          <w:sz w:val="24"/>
        </w:rPr>
      </w:sdtEndPr>
      <w:sdtContent>
        <w:p w14:paraId="59783150" w14:textId="77777777" w:rsidR="004A0A8C" w:rsidRPr="004A0A8C" w:rsidRDefault="004A0A8C" w:rsidP="00D542AD">
          <w:pPr>
            <w:pStyle w:val="Nagwekspisutreci"/>
          </w:pPr>
          <w:proofErr w:type="spellStart"/>
          <w:r w:rsidRPr="004A0A8C">
            <w:t>Spis</w:t>
          </w:r>
          <w:proofErr w:type="spellEnd"/>
          <w:r w:rsidRPr="004A0A8C">
            <w:t xml:space="preserve"> </w:t>
          </w:r>
          <w:proofErr w:type="spellStart"/>
          <w:r w:rsidRPr="004A0A8C">
            <w:t>treści</w:t>
          </w:r>
          <w:proofErr w:type="spellEnd"/>
          <w:r>
            <w:t xml:space="preserve"> </w:t>
          </w:r>
        </w:p>
        <w:p w14:paraId="0AE4A9A8" w14:textId="7EF84E50" w:rsidR="00D3562F" w:rsidRDefault="004A0A8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312073" w:history="1">
            <w:r w:rsidR="00D3562F" w:rsidRPr="007113E5">
              <w:rPr>
                <w:rStyle w:val="Hipercze"/>
                <w:noProof/>
                <w:lang w:val="pl-PL"/>
              </w:rPr>
              <w:t>Podstawowe wskaźniki stanu sektora instytucji rządowych i samorządowych wg ESA2010 w I kw. 2024 r.</w:t>
            </w:r>
            <w:r w:rsidR="00D3562F">
              <w:rPr>
                <w:noProof/>
                <w:webHidden/>
              </w:rPr>
              <w:tab/>
            </w:r>
            <w:r w:rsidR="00D3562F">
              <w:rPr>
                <w:noProof/>
                <w:webHidden/>
              </w:rPr>
              <w:fldChar w:fldCharType="begin"/>
            </w:r>
            <w:r w:rsidR="00D3562F">
              <w:rPr>
                <w:noProof/>
                <w:webHidden/>
              </w:rPr>
              <w:instrText xml:space="preserve"> PAGEREF _Toc173312073 \h </w:instrText>
            </w:r>
            <w:r w:rsidR="00D3562F">
              <w:rPr>
                <w:noProof/>
                <w:webHidden/>
              </w:rPr>
            </w:r>
            <w:r w:rsidR="00D3562F"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3</w:t>
            </w:r>
            <w:r w:rsidR="00D3562F">
              <w:rPr>
                <w:noProof/>
                <w:webHidden/>
              </w:rPr>
              <w:fldChar w:fldCharType="end"/>
            </w:r>
          </w:hyperlink>
        </w:p>
        <w:p w14:paraId="014D4DAE" w14:textId="21A6D2CC" w:rsidR="00D3562F" w:rsidRDefault="00D3562F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4" w:history="1">
            <w:r w:rsidRPr="007113E5">
              <w:rPr>
                <w:rStyle w:val="Hipercze"/>
                <w:noProof/>
                <w:lang w:val="pl-PL"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9AFCE" w14:textId="296BDBAD" w:rsidR="00D3562F" w:rsidRDefault="00D3562F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5" w:history="1">
            <w:r w:rsidRPr="007113E5">
              <w:rPr>
                <w:rStyle w:val="Hipercze"/>
                <w:noProof/>
                <w:lang w:val="pl-PL"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Pr="007113E5">
              <w:rPr>
                <w:rStyle w:val="Hipercze"/>
                <w:noProof/>
                <w:lang w:val="pl-PL"/>
              </w:rPr>
              <w:t>Wynik, dochody oraz wydatki w I kw. 2024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A3007" w14:textId="3FC0AF01" w:rsidR="00D3562F" w:rsidRDefault="00D3562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6" w:history="1">
            <w:r w:rsidRPr="007113E5">
              <w:rPr>
                <w:rStyle w:val="Hipercze"/>
                <w:noProof/>
                <w:lang w:val="pl-PL"/>
              </w:rPr>
              <w:t>1.1. Wynik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158BF" w14:textId="3E2D1959" w:rsidR="00D3562F" w:rsidRDefault="00D3562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7" w:history="1">
            <w:r w:rsidRPr="007113E5">
              <w:rPr>
                <w:rStyle w:val="Hipercze"/>
                <w:noProof/>
                <w:lang w:val="pl-PL"/>
              </w:rPr>
              <w:t>1.2. Dochody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64B3D" w14:textId="17B77BA3" w:rsidR="00D3562F" w:rsidRDefault="00D3562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8" w:history="1">
            <w:r w:rsidRPr="007113E5">
              <w:rPr>
                <w:rStyle w:val="Hipercze"/>
                <w:noProof/>
                <w:lang w:val="pl-PL"/>
              </w:rPr>
              <w:t>1.3. Wydatki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13150" w14:textId="567311C1" w:rsidR="00D3562F" w:rsidRDefault="00D3562F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79" w:history="1">
            <w:r w:rsidRPr="007113E5">
              <w:rPr>
                <w:rStyle w:val="Hipercze"/>
                <w:noProof/>
                <w:lang w:val="pl-PL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Pr="007113E5">
              <w:rPr>
                <w:rStyle w:val="Hipercze"/>
                <w:noProof/>
                <w:lang w:val="pl-PL"/>
              </w:rPr>
              <w:t>Dług publiczny oraz potrzeby pożyczkowe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D8ED9" w14:textId="2FC08978" w:rsidR="00D3562F" w:rsidRDefault="00D3562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80" w:history="1">
            <w:r w:rsidRPr="007113E5">
              <w:rPr>
                <w:rStyle w:val="Hipercze"/>
                <w:noProof/>
                <w:lang w:val="pl-PL"/>
              </w:rPr>
              <w:t>2.1. Dług sektora instytucji rządowych i samorządowych (wg definicji UE)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DEAEF" w14:textId="61177ED3" w:rsidR="00D3562F" w:rsidRDefault="00D3562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81" w:history="1">
            <w:r w:rsidRPr="007113E5">
              <w:rPr>
                <w:rStyle w:val="Hipercze"/>
                <w:noProof/>
                <w:lang w:val="pl-PL"/>
              </w:rPr>
              <w:t>3.2. Potrzeby pożyczkowe budżetu państwa i ich finansowanie w I kw. 2024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A8CF8" w14:textId="2D15D0D7" w:rsidR="00D3562F" w:rsidRDefault="00D3562F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73312082" w:history="1">
            <w:r w:rsidRPr="007113E5">
              <w:rPr>
                <w:rStyle w:val="Hipercze"/>
                <w:noProof/>
                <w:lang w:val="pl-PL"/>
              </w:rPr>
              <w:t>ANEKS STATYSTYCZNY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_Toc173312082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66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F7D05" w14:textId="7D71088D" w:rsidR="004A0A8C" w:rsidRDefault="004A0A8C" w:rsidP="005745E4">
          <w:r>
            <w:fldChar w:fldCharType="end"/>
          </w:r>
        </w:p>
      </w:sdtContent>
    </w:sdt>
    <w:p w14:paraId="328C1CCE" w14:textId="77777777" w:rsidR="004A0A8C" w:rsidRDefault="004A0A8C" w:rsidP="005745E4">
      <w:pPr>
        <w:rPr>
          <w:rFonts w:eastAsiaTheme="majorEastAsia" w:cstheme="majorBidi"/>
          <w:sz w:val="32"/>
          <w:szCs w:val="32"/>
        </w:rPr>
      </w:pPr>
      <w:r>
        <w:br w:type="page"/>
      </w:r>
    </w:p>
    <w:p w14:paraId="4439EB92" w14:textId="686560CC" w:rsidR="002302CF" w:rsidRPr="002302CF" w:rsidRDefault="002302CF" w:rsidP="002302CF">
      <w:pPr>
        <w:pStyle w:val="Nagwek2"/>
        <w:rPr>
          <w:lang w:val="pl-PL"/>
        </w:rPr>
      </w:pPr>
      <w:bookmarkStart w:id="1" w:name="_Toc173312073"/>
      <w:r w:rsidRPr="002302CF">
        <w:rPr>
          <w:lang w:val="pl-PL"/>
        </w:rPr>
        <w:lastRenderedPageBreak/>
        <w:t>Podstawowe wskaźniki stanu sektora instytucji rządowych i samor</w:t>
      </w:r>
      <w:r w:rsidR="00B62053">
        <w:rPr>
          <w:lang w:val="pl-PL"/>
        </w:rPr>
        <w:t>ządowych wg ESA2010 w I kw. 202</w:t>
      </w:r>
      <w:r w:rsidR="00BE6D95">
        <w:rPr>
          <w:lang w:val="pl-PL"/>
        </w:rPr>
        <w:t>4</w:t>
      </w:r>
      <w:r w:rsidRPr="002302CF">
        <w:rPr>
          <w:lang w:val="pl-PL"/>
        </w:rPr>
        <w:t xml:space="preserve"> r.</w:t>
      </w:r>
      <w:bookmarkEnd w:id="1"/>
    </w:p>
    <w:p w14:paraId="7D0F069E" w14:textId="659D80A9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(NSA) w </w:t>
      </w:r>
      <w:r w:rsidR="00015B8F">
        <w:rPr>
          <w:lang w:val="pl-PL"/>
        </w:rPr>
        <w:t>I</w:t>
      </w:r>
      <w:r w:rsidRPr="002302CF">
        <w:rPr>
          <w:lang w:val="pl-PL"/>
        </w:rPr>
        <w:t xml:space="preserve"> kw. wyniósł </w:t>
      </w:r>
      <w:r w:rsidR="00AF60F7" w:rsidRPr="003019AF">
        <w:rPr>
          <w:rStyle w:val="Wyrnienieintensywne"/>
          <w:lang w:val="pl-PL"/>
        </w:rPr>
        <w:t>2,6</w:t>
      </w:r>
      <w:r w:rsidR="0029181F" w:rsidRPr="0029181F">
        <w:rPr>
          <w:rStyle w:val="Wyrnienieintensywne"/>
          <w:lang w:val="pl-PL"/>
        </w:rPr>
        <w:t xml:space="preserve"> </w:t>
      </w:r>
      <w:r w:rsidR="005A6209">
        <w:rPr>
          <w:rStyle w:val="Wyrnienieintensywne"/>
          <w:lang w:val="pl-PL"/>
        </w:rPr>
        <w:t>mld zł (</w:t>
      </w:r>
      <w:r w:rsidR="00AF60F7">
        <w:rPr>
          <w:rStyle w:val="Wyrnienieintensywne"/>
          <w:lang w:val="pl-PL"/>
        </w:rPr>
        <w:t>0,3</w:t>
      </w:r>
      <w:r w:rsidRPr="00D850FB">
        <w:rPr>
          <w:rStyle w:val="Wyrnienieintensywne"/>
          <w:lang w:val="pl-PL"/>
        </w:rPr>
        <w:t>% PKB)</w:t>
      </w:r>
      <w:r w:rsidRPr="00413A13">
        <w:rPr>
          <w:rStyle w:val="Wyrnienieintensywne"/>
          <w:color w:val="auto"/>
          <w:lang w:val="pl-PL"/>
        </w:rPr>
        <w:t>.</w:t>
      </w:r>
    </w:p>
    <w:p w14:paraId="447DDFA6" w14:textId="708A196B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ujęciu roku płynnego deficyt wyniósł </w:t>
      </w:r>
      <w:r w:rsidR="0029181F" w:rsidRPr="00C25FEC">
        <w:rPr>
          <w:rStyle w:val="Wyrnienieintensywne"/>
          <w:lang w:val="pl-PL"/>
        </w:rPr>
        <w:t>4</w:t>
      </w:r>
      <w:r w:rsidR="00AF60F7">
        <w:rPr>
          <w:rStyle w:val="Wyrnienieintensywne"/>
          <w:lang w:val="pl-PL"/>
        </w:rPr>
        <w:t>,9</w:t>
      </w:r>
      <w:r w:rsidRPr="009C2F53">
        <w:rPr>
          <w:rStyle w:val="Wyrnienieintensywne"/>
          <w:lang w:val="pl-PL"/>
        </w:rPr>
        <w:t>%</w:t>
      </w:r>
      <w:r w:rsidRPr="00D850FB">
        <w:rPr>
          <w:rStyle w:val="Wyrnienieintensywne"/>
          <w:lang w:val="pl-PL"/>
        </w:rPr>
        <w:t xml:space="preserve"> PKB</w:t>
      </w:r>
      <w:r w:rsidRPr="002302CF">
        <w:rPr>
          <w:lang w:val="pl-PL"/>
        </w:rPr>
        <w:t>.</w:t>
      </w:r>
    </w:p>
    <w:p w14:paraId="2BF9ADB6" w14:textId="2604DCF4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wyrównany sezonowo (SA) wyniósł </w:t>
      </w:r>
      <w:r w:rsidRPr="00D850FB">
        <w:rPr>
          <w:rStyle w:val="Wyrnienieintensywne"/>
          <w:lang w:val="pl-PL"/>
        </w:rPr>
        <w:t xml:space="preserve"> </w:t>
      </w:r>
      <w:r w:rsidR="009167E0">
        <w:rPr>
          <w:rStyle w:val="Wyrnienieintensywne"/>
          <w:lang w:val="pl-PL"/>
        </w:rPr>
        <w:t xml:space="preserve">1,8 </w:t>
      </w:r>
      <w:r w:rsidRPr="00D850FB">
        <w:rPr>
          <w:rStyle w:val="Wyrnienieintensywne"/>
          <w:lang w:val="pl-PL"/>
        </w:rPr>
        <w:t>% PKB</w:t>
      </w:r>
      <w:r w:rsidRPr="002302CF">
        <w:rPr>
          <w:lang w:val="pl-PL"/>
        </w:rPr>
        <w:t>.</w:t>
      </w:r>
    </w:p>
    <w:p w14:paraId="2489E0C2" w14:textId="1BAC6F23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Unii Europejskiej wyrównany sezonowo deficyt (SA) wyniósł </w:t>
      </w:r>
      <w:r w:rsidRPr="00D850FB">
        <w:rPr>
          <w:rStyle w:val="Wyrnienieintensywne"/>
          <w:lang w:val="pl-PL"/>
        </w:rPr>
        <w:t xml:space="preserve"> </w:t>
      </w:r>
      <w:r w:rsidR="009167E0">
        <w:rPr>
          <w:rStyle w:val="Wyrnienieintensywne"/>
          <w:lang w:val="pl-PL"/>
        </w:rPr>
        <w:t xml:space="preserve">3,0 </w:t>
      </w:r>
      <w:r w:rsidRPr="00D850FB">
        <w:rPr>
          <w:rStyle w:val="Wyrnienieintensywne"/>
          <w:lang w:val="pl-PL"/>
        </w:rPr>
        <w:t>% PKB</w:t>
      </w:r>
      <w:r w:rsidRPr="002302CF">
        <w:rPr>
          <w:lang w:val="pl-PL"/>
        </w:rPr>
        <w:t>.</w:t>
      </w:r>
    </w:p>
    <w:p w14:paraId="58802A72" w14:textId="78420987" w:rsid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27 krajach UE deficyt (NSA) wyniósł </w:t>
      </w:r>
      <w:r w:rsidRPr="003545C1">
        <w:rPr>
          <w:rStyle w:val="Wyrnienieintensywne"/>
          <w:lang w:val="pl-PL"/>
        </w:rPr>
        <w:t xml:space="preserve"> </w:t>
      </w:r>
      <w:r w:rsidR="009167E0">
        <w:rPr>
          <w:rStyle w:val="Wyrnienieintensywne"/>
          <w:lang w:val="pl-PL"/>
        </w:rPr>
        <w:t xml:space="preserve">3,8 </w:t>
      </w:r>
      <w:r w:rsidRPr="003545C1">
        <w:rPr>
          <w:rStyle w:val="Wyrnienieintensywne"/>
          <w:lang w:val="pl-PL"/>
        </w:rPr>
        <w:t>%</w:t>
      </w:r>
      <w:r w:rsidRPr="00D850FB">
        <w:rPr>
          <w:rStyle w:val="Wyrnienieintensywne"/>
          <w:lang w:val="pl-PL"/>
        </w:rPr>
        <w:t xml:space="preserve"> PKB</w:t>
      </w:r>
      <w:r w:rsidRPr="002302CF">
        <w:rPr>
          <w:lang w:val="pl-PL"/>
        </w:rPr>
        <w:t>.</w:t>
      </w:r>
    </w:p>
    <w:p w14:paraId="5C044EE4" w14:textId="181CABB6" w:rsidR="002302CF" w:rsidRPr="005E7339" w:rsidRDefault="002302CF" w:rsidP="00546DF9">
      <w:pPr>
        <w:pStyle w:val="Akapitzlist"/>
        <w:spacing w:before="1200"/>
        <w:ind w:left="714" w:hanging="357"/>
        <w:rPr>
          <w:lang w:val="pl-PL"/>
        </w:rPr>
      </w:pPr>
      <w:r w:rsidRPr="002302CF">
        <w:rPr>
          <w:lang w:val="pl-PL"/>
        </w:rPr>
        <w:t xml:space="preserve">Dług EDP na koniec I kw. 2022 r. wyniósł </w:t>
      </w:r>
      <w:r w:rsidR="001A6240" w:rsidRPr="001A6240">
        <w:rPr>
          <w:rStyle w:val="Wyrnienieintensywne"/>
          <w:lang w:val="pl-PL"/>
        </w:rPr>
        <w:t xml:space="preserve"> </w:t>
      </w:r>
      <w:r w:rsidR="009167E0">
        <w:rPr>
          <w:rStyle w:val="Wyrnienieintensywne"/>
          <w:lang w:val="pl-PL"/>
        </w:rPr>
        <w:t xml:space="preserve">1.771,8 </w:t>
      </w:r>
      <w:r w:rsidRPr="005E7339">
        <w:rPr>
          <w:rStyle w:val="Wyrnienieintensywne"/>
          <w:lang w:val="pl-PL"/>
        </w:rPr>
        <w:t>mld zł (</w:t>
      </w:r>
      <w:r w:rsidR="009167E0">
        <w:rPr>
          <w:rStyle w:val="Wyrnienieintensywne"/>
          <w:lang w:val="pl-PL"/>
        </w:rPr>
        <w:t xml:space="preserve">51,4 </w:t>
      </w:r>
      <w:r w:rsidRPr="005E7339">
        <w:rPr>
          <w:rStyle w:val="Wyrnienieintensywne"/>
          <w:lang w:val="pl-PL"/>
        </w:rPr>
        <w:t>% PKB)</w:t>
      </w:r>
      <w:r w:rsidRPr="005E7339">
        <w:rPr>
          <w:lang w:val="pl-PL"/>
        </w:rPr>
        <w:t>.</w:t>
      </w:r>
    </w:p>
    <w:p w14:paraId="2C536589" w14:textId="3AF25632" w:rsid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Unii Europejskiej dług na koniec </w:t>
      </w:r>
      <w:r w:rsidR="00BE6D95">
        <w:rPr>
          <w:lang w:val="pl-PL"/>
        </w:rPr>
        <w:t>mar</w:t>
      </w:r>
      <w:r w:rsidR="005E7339">
        <w:rPr>
          <w:lang w:val="pl-PL"/>
        </w:rPr>
        <w:t>ca</w:t>
      </w:r>
      <w:r w:rsidRPr="002302CF">
        <w:rPr>
          <w:lang w:val="pl-PL"/>
        </w:rPr>
        <w:t xml:space="preserve"> wyniósł </w:t>
      </w:r>
      <w:r w:rsidR="009167E0" w:rsidRPr="003019AF">
        <w:rPr>
          <w:rStyle w:val="Wyrnienieintensywne"/>
          <w:lang w:val="pl-PL"/>
        </w:rPr>
        <w:t>82,0</w:t>
      </w:r>
      <w:r w:rsidR="009167E0">
        <w:rPr>
          <w:lang w:val="pl-PL"/>
        </w:rPr>
        <w:t xml:space="preserve"> </w:t>
      </w:r>
      <w:r w:rsidRPr="00D850FB">
        <w:rPr>
          <w:rStyle w:val="Wyrnienieintensywne"/>
          <w:lang w:val="pl-PL"/>
        </w:rPr>
        <w:t>% PKB</w:t>
      </w:r>
      <w:r w:rsidRPr="002302CF">
        <w:rPr>
          <w:lang w:val="pl-PL"/>
        </w:rPr>
        <w:t>.</w:t>
      </w:r>
    </w:p>
    <w:p w14:paraId="166AF10B" w14:textId="77777777" w:rsidR="00546DF9" w:rsidRPr="002302CF" w:rsidRDefault="00546DF9" w:rsidP="00546DF9">
      <w:pPr>
        <w:pStyle w:val="Akapitzlist"/>
        <w:numPr>
          <w:ilvl w:val="0"/>
          <w:numId w:val="0"/>
        </w:numPr>
        <w:ind w:left="717"/>
        <w:rPr>
          <w:lang w:val="pl-PL"/>
        </w:rPr>
      </w:pPr>
    </w:p>
    <w:p w14:paraId="1FADF649" w14:textId="77777777" w:rsidR="00E36055" w:rsidRPr="00D850FB" w:rsidRDefault="00E36055" w:rsidP="00E36055">
      <w:pPr>
        <w:rPr>
          <w:rFonts w:eastAsiaTheme="majorEastAsia" w:cstheme="majorBidi"/>
          <w:sz w:val="32"/>
          <w:szCs w:val="32"/>
          <w:lang w:val="pl-PL"/>
        </w:rPr>
      </w:pPr>
      <w:r w:rsidRPr="00D850FB">
        <w:rPr>
          <w:lang w:val="pl-PL"/>
        </w:rPr>
        <w:br w:type="page"/>
      </w:r>
    </w:p>
    <w:p w14:paraId="6FCE0657" w14:textId="77777777" w:rsidR="002934AC" w:rsidRDefault="002934AC" w:rsidP="002934AC">
      <w:pPr>
        <w:pStyle w:val="Nagwek1"/>
        <w:rPr>
          <w:lang w:val="pl-PL"/>
        </w:rPr>
      </w:pPr>
      <w:bookmarkStart w:id="2" w:name="_Toc173312074"/>
      <w:r>
        <w:rPr>
          <w:lang w:val="pl-PL"/>
        </w:rPr>
        <w:lastRenderedPageBreak/>
        <w:t>Wstęp</w:t>
      </w:r>
      <w:bookmarkEnd w:id="2"/>
    </w:p>
    <w:p w14:paraId="4DD61DCF" w14:textId="142C20B2" w:rsidR="00D850FB" w:rsidRPr="00D850FB" w:rsidRDefault="00D850FB" w:rsidP="00D850FB">
      <w:pPr>
        <w:rPr>
          <w:lang w:val="pl-PL"/>
        </w:rPr>
      </w:pPr>
      <w:r w:rsidRPr="00D850FB">
        <w:rPr>
          <w:lang w:val="pl-PL"/>
        </w:rPr>
        <w:t xml:space="preserve">Mając na uwadze zasadę jawności i przejrzystości finansów publicznych publikujemy Informację kwartalną o stanie finansów publicznych. Niniejszy numer zawiera informacje dotyczące I kwartału </w:t>
      </w:r>
      <w:r w:rsidR="00B62053">
        <w:rPr>
          <w:lang w:val="pl-PL"/>
        </w:rPr>
        <w:t>202</w:t>
      </w:r>
      <w:r w:rsidR="00AF60F7">
        <w:rPr>
          <w:lang w:val="pl-PL"/>
        </w:rPr>
        <w:t>4</w:t>
      </w:r>
      <w:r w:rsidRPr="00D850FB">
        <w:rPr>
          <w:lang w:val="pl-PL"/>
        </w:rPr>
        <w:t xml:space="preserve"> r. </w:t>
      </w:r>
    </w:p>
    <w:p w14:paraId="2A425EC0" w14:textId="77777777" w:rsidR="00D850FB" w:rsidRPr="00D850FB" w:rsidRDefault="00D850FB" w:rsidP="002934AC">
      <w:pPr>
        <w:spacing w:before="1200"/>
        <w:rPr>
          <w:lang w:val="pl-PL"/>
        </w:rPr>
      </w:pPr>
      <w:r w:rsidRPr="00D850FB">
        <w:rPr>
          <w:lang w:val="pl-PL"/>
        </w:rPr>
        <w:t>Podstawowym celem jest zaprezentowanie informacji na temat sektora finansów publicznych:</w:t>
      </w:r>
    </w:p>
    <w:p w14:paraId="4F39A957" w14:textId="77777777" w:rsidR="00D850FB" w:rsidRPr="00D850FB" w:rsidRDefault="00D850FB" w:rsidP="003615EA">
      <w:pPr>
        <w:pStyle w:val="Akapitzlist"/>
        <w:rPr>
          <w:lang w:val="pl-PL"/>
        </w:rPr>
      </w:pPr>
      <w:r w:rsidRPr="00D850FB">
        <w:rPr>
          <w:lang w:val="pl-PL"/>
        </w:rPr>
        <w:t>dane dotyczące dochodów i wydatków finansów publicznych wg metodyki unijnej (ESA2010) są publikowane przez Eurostat pod linkiem:</w:t>
      </w:r>
      <w:r>
        <w:rPr>
          <w:lang w:val="pl-PL"/>
        </w:rPr>
        <w:t xml:space="preserve"> </w:t>
      </w:r>
      <w:hyperlink r:id="rId8" w:history="1">
        <w:r>
          <w:rPr>
            <w:rStyle w:val="Hipercze"/>
            <w:lang w:val="pl-PL"/>
          </w:rPr>
          <w:t>baza danych Eurostatu</w:t>
        </w:r>
      </w:hyperlink>
      <w:r>
        <w:rPr>
          <w:lang w:val="pl-PL"/>
        </w:rPr>
        <w:t xml:space="preserve">. </w:t>
      </w:r>
      <w:r w:rsidRPr="00D850FB">
        <w:rPr>
          <w:lang w:val="pl-PL"/>
        </w:rPr>
        <w:t>Dane te są pogrupowane w obszary tematyczne. W szczególności strona zawiera następujące zestawy danych:</w:t>
      </w:r>
    </w:p>
    <w:p w14:paraId="72225448" w14:textId="7991453A" w:rsidR="00D850FB" w:rsidRPr="003615EA" w:rsidRDefault="00D850FB" w:rsidP="003615EA">
      <w:pPr>
        <w:pStyle w:val="Akapitzlist"/>
        <w:numPr>
          <w:ilvl w:val="0"/>
          <w:numId w:val="13"/>
        </w:numPr>
      </w:pPr>
      <w:r w:rsidRPr="003615EA">
        <w:rPr>
          <w:lang w:val="pl-PL"/>
        </w:rPr>
        <w:t>dochody, wydatki</w:t>
      </w:r>
      <w:r w:rsidRPr="003615EA">
        <w:t xml:space="preserve"> (Government revenue, expenditure and main aggregates (gov_10a_main))</w:t>
      </w:r>
      <w:r w:rsidR="00A637C7">
        <w:t xml:space="preserve"> </w:t>
      </w:r>
      <w:hyperlink r:id="rId9" w:history="1">
        <w:r w:rsidRPr="003615EA">
          <w:rPr>
            <w:rStyle w:val="Hipercze"/>
            <w:lang w:val="pl-PL"/>
          </w:rPr>
          <w:t>Eurostat dane sektora instytucji rządowych i samorządowych</w:t>
        </w:r>
      </w:hyperlink>
      <w:r w:rsidRPr="003615EA">
        <w:t>;</w:t>
      </w:r>
    </w:p>
    <w:p w14:paraId="2A083AA7" w14:textId="77777777" w:rsidR="00D850FB" w:rsidRPr="003615EA" w:rsidRDefault="00D850FB" w:rsidP="003615EA">
      <w:pPr>
        <w:pStyle w:val="Akapitzlist"/>
        <w:numPr>
          <w:ilvl w:val="0"/>
          <w:numId w:val="13"/>
        </w:numPr>
      </w:pPr>
      <w:proofErr w:type="spellStart"/>
      <w:r w:rsidRPr="00F940F6">
        <w:t>wydatki</w:t>
      </w:r>
      <w:proofErr w:type="spellEnd"/>
      <w:r w:rsidRPr="00F940F6">
        <w:t xml:space="preserve"> </w:t>
      </w:r>
      <w:proofErr w:type="spellStart"/>
      <w:r w:rsidRPr="00F940F6">
        <w:t>wg</w:t>
      </w:r>
      <w:proofErr w:type="spellEnd"/>
      <w:r w:rsidRPr="00F940F6">
        <w:t xml:space="preserve"> </w:t>
      </w:r>
      <w:proofErr w:type="spellStart"/>
      <w:r w:rsidRPr="00F940F6">
        <w:t>funkcji</w:t>
      </w:r>
      <w:proofErr w:type="spellEnd"/>
      <w:r w:rsidRPr="003615EA">
        <w:t xml:space="preserve"> COFOG (General government expenditure by function (COFOG) (gov_10a_exp)) </w:t>
      </w:r>
      <w:hyperlink r:id="rId10" w:history="1">
        <w:r w:rsidRPr="003615EA">
          <w:rPr>
            <w:rStyle w:val="Hipercze"/>
          </w:rPr>
          <w:t xml:space="preserve">Eurostat </w:t>
        </w:r>
        <w:proofErr w:type="spellStart"/>
        <w:r w:rsidRPr="00F940F6">
          <w:rPr>
            <w:rStyle w:val="Hipercze"/>
          </w:rPr>
          <w:t>dane</w:t>
        </w:r>
        <w:proofErr w:type="spellEnd"/>
        <w:r w:rsidRPr="00F940F6">
          <w:rPr>
            <w:rStyle w:val="Hipercze"/>
          </w:rPr>
          <w:t xml:space="preserve"> </w:t>
        </w:r>
        <w:proofErr w:type="spellStart"/>
        <w:r w:rsidRPr="00F940F6">
          <w:rPr>
            <w:rStyle w:val="Hipercze"/>
          </w:rPr>
          <w:t>wg</w:t>
        </w:r>
        <w:proofErr w:type="spellEnd"/>
        <w:r w:rsidRPr="003615EA">
          <w:rPr>
            <w:rStyle w:val="Hipercze"/>
          </w:rPr>
          <w:t xml:space="preserve"> COFOG</w:t>
        </w:r>
      </w:hyperlink>
      <w:r w:rsidRPr="003615EA">
        <w:t>;</w:t>
      </w:r>
    </w:p>
    <w:p w14:paraId="18BEF31C" w14:textId="5924BED4" w:rsidR="00D850FB" w:rsidRPr="00D850FB" w:rsidRDefault="00D850FB" w:rsidP="003615EA">
      <w:pPr>
        <w:pStyle w:val="Akapitzlist"/>
        <w:numPr>
          <w:ilvl w:val="0"/>
          <w:numId w:val="13"/>
        </w:numPr>
        <w:rPr>
          <w:lang w:val="pl-PL"/>
        </w:rPr>
      </w:pPr>
      <w:r w:rsidRPr="003615EA">
        <w:rPr>
          <w:lang w:val="pl-PL"/>
        </w:rPr>
        <w:t>kwartalne rachunki niefinansowe</w:t>
      </w:r>
      <w:r w:rsidRPr="00F940F6">
        <w:rPr>
          <w:lang w:val="pl-PL"/>
        </w:rPr>
        <w:t xml:space="preserve"> (</w:t>
      </w:r>
      <w:proofErr w:type="spellStart"/>
      <w:r w:rsidRPr="00F940F6">
        <w:rPr>
          <w:lang w:val="pl-PL"/>
        </w:rPr>
        <w:t>Quarterly</w:t>
      </w:r>
      <w:proofErr w:type="spellEnd"/>
      <w:r w:rsidRPr="00F940F6">
        <w:rPr>
          <w:lang w:val="pl-PL"/>
        </w:rPr>
        <w:t xml:space="preserve"> non-</w:t>
      </w:r>
      <w:proofErr w:type="spellStart"/>
      <w:r w:rsidRPr="00F940F6">
        <w:rPr>
          <w:lang w:val="pl-PL"/>
        </w:rPr>
        <w:t>financial</w:t>
      </w:r>
      <w:proofErr w:type="spellEnd"/>
      <w:r w:rsidRPr="00F940F6">
        <w:rPr>
          <w:lang w:val="pl-PL"/>
        </w:rPr>
        <w:t xml:space="preserve"> </w:t>
      </w:r>
      <w:proofErr w:type="spellStart"/>
      <w:r w:rsidRPr="00F940F6">
        <w:rPr>
          <w:lang w:val="pl-PL"/>
        </w:rPr>
        <w:t>accounts</w:t>
      </w:r>
      <w:proofErr w:type="spellEnd"/>
      <w:r w:rsidRPr="00F940F6">
        <w:rPr>
          <w:lang w:val="pl-PL"/>
        </w:rPr>
        <w:t xml:space="preserve"> for </w:t>
      </w:r>
      <w:proofErr w:type="spellStart"/>
      <w:r w:rsidRPr="00F940F6">
        <w:rPr>
          <w:lang w:val="pl-PL"/>
        </w:rPr>
        <w:t>general</w:t>
      </w:r>
      <w:proofErr w:type="spellEnd"/>
      <w:r w:rsidRPr="00F940F6">
        <w:rPr>
          <w:lang w:val="pl-PL"/>
        </w:rPr>
        <w:t xml:space="preserve"> </w:t>
      </w:r>
      <w:proofErr w:type="spellStart"/>
      <w:r w:rsidRPr="00F940F6">
        <w:rPr>
          <w:lang w:val="pl-PL"/>
        </w:rPr>
        <w:t>government</w:t>
      </w:r>
      <w:proofErr w:type="spellEnd"/>
      <w:r w:rsidRPr="00F940F6">
        <w:rPr>
          <w:lang w:val="pl-PL"/>
        </w:rPr>
        <w:t xml:space="preserve"> (gov_10q_ggnfa))</w:t>
      </w:r>
      <w:r w:rsidR="00A637C7">
        <w:rPr>
          <w:lang w:val="pl-PL"/>
        </w:rPr>
        <w:t xml:space="preserve"> </w:t>
      </w:r>
      <w:hyperlink r:id="rId11" w:history="1">
        <w:r w:rsidRPr="003615EA">
          <w:rPr>
            <w:rStyle w:val="Hipercze"/>
            <w:lang w:val="pl-PL"/>
          </w:rPr>
          <w:t>Eurostat kwartalne dane sektora instytucji rządowych i samorządowych</w:t>
        </w:r>
      </w:hyperlink>
      <w:r w:rsidRPr="00F940F6">
        <w:rPr>
          <w:rStyle w:val="Hipercze"/>
          <w:lang w:val="pl-PL"/>
        </w:rPr>
        <w:t>.</w:t>
      </w:r>
    </w:p>
    <w:p w14:paraId="708135DC" w14:textId="77777777" w:rsidR="00D850FB" w:rsidRP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standardu Międzynarodowego Funduszu Walutowego GFSM2001 (dane miesięczne obejmujące szczebel centralny, natomiast dane roczne obejmujące cały sektor instytucji rządowych i samorządowych), które są publikowane na stronie MF</w:t>
      </w:r>
      <w:r>
        <w:rPr>
          <w:lang w:val="pl-PL"/>
        </w:rPr>
        <w:t xml:space="preserve"> </w:t>
      </w:r>
      <w:hyperlink r:id="rId12" w:history="1">
        <w:r>
          <w:rPr>
            <w:rStyle w:val="Hipercze"/>
            <w:lang w:val="pl-PL"/>
          </w:rPr>
          <w:t>dane fiskalne na potrzeby nadzoru budżetowego UE</w:t>
        </w:r>
      </w:hyperlink>
    </w:p>
    <w:p w14:paraId="27FC3E12" w14:textId="77777777" w:rsid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przepisów krajowych publikowane na stronie MF</w:t>
      </w:r>
    </w:p>
    <w:p w14:paraId="12E609D7" w14:textId="77777777" w:rsidR="00D850FB" w:rsidRP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t xml:space="preserve">dane miesięczne o budżecie państwa </w:t>
      </w:r>
      <w:hyperlink r:id="rId13" w:history="1">
        <w:r w:rsidRPr="00D850FB">
          <w:rPr>
            <w:rStyle w:val="Hipercze"/>
            <w:lang w:val="pl-PL"/>
          </w:rPr>
          <w:t>szacunkowe wykonanie budżetu państwa</w:t>
        </w:r>
      </w:hyperlink>
      <w:r w:rsidRPr="00D850FB">
        <w:rPr>
          <w:lang w:val="pl-PL"/>
        </w:rPr>
        <w:t xml:space="preserve">; </w:t>
      </w:r>
      <w:hyperlink r:id="rId14" w:history="1">
        <w:r>
          <w:rPr>
            <w:rStyle w:val="Hipercze"/>
            <w:lang w:val="pl-PL"/>
          </w:rPr>
          <w:t>sprawozdania operatywne (miesięczne)</w:t>
        </w:r>
      </w:hyperlink>
    </w:p>
    <w:p w14:paraId="1E1433A8" w14:textId="7D463113" w:rsid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lastRenderedPageBreak/>
        <w:t>kwartalne dane dotyczące jednostek samorządu terytorialnego i ich związków</w:t>
      </w:r>
      <w:r w:rsidR="00A637C7">
        <w:rPr>
          <w:lang w:val="pl-PL"/>
        </w:rPr>
        <w:t xml:space="preserve"> </w:t>
      </w:r>
      <w:hyperlink r:id="rId15" w:history="1">
        <w:r w:rsidR="000D4857">
          <w:rPr>
            <w:rStyle w:val="Hipercze"/>
            <w:lang w:val="pl-PL"/>
          </w:rPr>
          <w:t>finanse JST</w:t>
        </w:r>
      </w:hyperlink>
    </w:p>
    <w:p w14:paraId="270379EA" w14:textId="19821D81" w:rsidR="00095730" w:rsidRDefault="00D850FB" w:rsidP="00D850FB">
      <w:pPr>
        <w:rPr>
          <w:lang w:val="pl-PL"/>
        </w:rPr>
      </w:pPr>
      <w:r w:rsidRPr="00D850FB">
        <w:rPr>
          <w:lang w:val="pl-PL"/>
        </w:rPr>
        <w:t>Ponadto w niniejszym opracowaniu prezentujemy dane dotyczące Funduszu Ubezpieczeń Społecznych, Funduszu Emerytalno-Ren</w:t>
      </w:r>
      <w:r w:rsidR="003545C1">
        <w:rPr>
          <w:lang w:val="pl-PL"/>
        </w:rPr>
        <w:t>towym, Funduszu Pracy, Narodowego</w:t>
      </w:r>
      <w:r w:rsidRPr="00D850FB">
        <w:rPr>
          <w:lang w:val="pl-PL"/>
        </w:rPr>
        <w:t xml:space="preserve"> Funduszu Zdrowia</w:t>
      </w:r>
      <w:r w:rsidR="00413A13">
        <w:rPr>
          <w:lang w:val="pl-PL"/>
        </w:rPr>
        <w:t>.</w:t>
      </w:r>
    </w:p>
    <w:p w14:paraId="080E7081" w14:textId="29F901AB" w:rsidR="00D850FB" w:rsidRPr="00D850FB" w:rsidRDefault="00095730" w:rsidP="00D850FB">
      <w:pPr>
        <w:rPr>
          <w:lang w:val="pl-PL"/>
        </w:rPr>
      </w:pPr>
      <w:r>
        <w:rPr>
          <w:lang w:val="pl-PL"/>
        </w:rPr>
        <w:t xml:space="preserve">Dodatkowo zamieszczamy informacje o </w:t>
      </w:r>
      <w:r w:rsidR="003629EE">
        <w:rPr>
          <w:lang w:val="pl-PL"/>
        </w:rPr>
        <w:t xml:space="preserve">największych funduszach Banku Gospodarstwa Krajowego (BGK): </w:t>
      </w:r>
      <w:r w:rsidR="003629EE" w:rsidRPr="003629EE">
        <w:rPr>
          <w:lang w:val="pl-PL"/>
        </w:rPr>
        <w:t>Krajowy Fundusz Drogowy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Przeciwdziałania COVID-19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Kolejowy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Pomocy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Wsparcia Sił Zbrojnych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Rządowy Fundusz Rozwoju Dróg</w:t>
      </w:r>
      <w:r w:rsidR="003629EE">
        <w:rPr>
          <w:lang w:val="pl-PL"/>
        </w:rPr>
        <w:t>.</w:t>
      </w:r>
    </w:p>
    <w:p w14:paraId="2CFEA861" w14:textId="6FA371FD" w:rsidR="00F577BB" w:rsidRDefault="00D850FB" w:rsidP="0097040B">
      <w:pPr>
        <w:spacing w:before="2640"/>
        <w:rPr>
          <w:lang w:val="pl-PL"/>
        </w:rPr>
      </w:pPr>
      <w:r w:rsidRPr="00D850FB">
        <w:rPr>
          <w:lang w:val="pl-PL"/>
        </w:rPr>
        <w:t>Niniejszy materiał został opracowany wyłącznie w celach informacyjnych i nie może być traktowany jako oferta lub rekomendacja do zawierania jakichkolwiek transakcji. Informacje zawarte w materiale pochodzą z dostępnych, wiarygodnych źródeł, jednak</w:t>
      </w:r>
      <w:r w:rsidR="00A637C7">
        <w:rPr>
          <w:lang w:val="pl-PL"/>
        </w:rPr>
        <w:t xml:space="preserve"> </w:t>
      </w:r>
      <w:r w:rsidRPr="00D850FB">
        <w:rPr>
          <w:lang w:val="pl-PL"/>
        </w:rPr>
        <w:t>Ministerstwo Finansów nie może zagwarantować ich dokładności i pełności. Ministerstwo Finansów nie ponosi odpowiedzialności za skutki decyzji podjętych na podstawie informacji zawartych w niniejszym materiale. Niniejszy materiał może być wykorzystywany do opracowań własnych pod warunkiem powołania się na źródło.</w:t>
      </w:r>
      <w:r w:rsidR="00A637C7">
        <w:rPr>
          <w:lang w:val="pl-PL"/>
        </w:rPr>
        <w:t xml:space="preserve"> </w:t>
      </w:r>
    </w:p>
    <w:p w14:paraId="408E6ED3" w14:textId="77777777" w:rsidR="002934AC" w:rsidRPr="002934AC" w:rsidRDefault="002934AC" w:rsidP="002934AC">
      <w:pPr>
        <w:spacing w:before="2000"/>
        <w:jc w:val="center"/>
        <w:rPr>
          <w:rStyle w:val="Wyrnienieintensywne"/>
          <w:lang w:val="pl-PL"/>
        </w:rPr>
      </w:pPr>
      <w:r w:rsidRPr="002934AC">
        <w:rPr>
          <w:rStyle w:val="Wyrnienieintensywne"/>
          <w:lang w:val="pl-PL"/>
        </w:rPr>
        <w:t>Departament Polityki Makroekonomicznej</w:t>
      </w:r>
    </w:p>
    <w:p w14:paraId="333E6979" w14:textId="77777777" w:rsidR="00F577BB" w:rsidRDefault="002934AC" w:rsidP="002934AC">
      <w:pPr>
        <w:jc w:val="center"/>
        <w:rPr>
          <w:lang w:val="pl-PL"/>
        </w:rPr>
      </w:pPr>
      <w:r w:rsidRPr="002934AC">
        <w:rPr>
          <w:rStyle w:val="Wyrnienieintensywne"/>
          <w:lang w:val="pl-PL"/>
        </w:rPr>
        <w:t>Departament Długu Publicznego</w:t>
      </w:r>
      <w:r w:rsidR="00F577BB">
        <w:rPr>
          <w:lang w:val="pl-PL"/>
        </w:rPr>
        <w:br w:type="page"/>
      </w:r>
    </w:p>
    <w:p w14:paraId="7C61121B" w14:textId="74920F11" w:rsidR="000F4EDC" w:rsidRDefault="000F4EDC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3" w:name="_Toc149128077"/>
      <w:bookmarkStart w:id="4" w:name="_Toc173312075"/>
      <w:r w:rsidRPr="000F4EDC">
        <w:rPr>
          <w:lang w:val="pl-PL"/>
        </w:rPr>
        <w:lastRenderedPageBreak/>
        <w:t>Wynik, dochody oraz wydatki w</w:t>
      </w:r>
      <w:r w:rsidR="00B62053">
        <w:rPr>
          <w:lang w:val="pl-PL"/>
        </w:rPr>
        <w:t xml:space="preserve"> </w:t>
      </w:r>
      <w:r w:rsidR="00CD0A7A">
        <w:rPr>
          <w:lang w:val="pl-PL"/>
        </w:rPr>
        <w:t>I</w:t>
      </w:r>
      <w:r w:rsidR="00B62053">
        <w:rPr>
          <w:lang w:val="pl-PL"/>
        </w:rPr>
        <w:t xml:space="preserve"> kw. 202</w:t>
      </w:r>
      <w:r w:rsidR="00AF60F7">
        <w:rPr>
          <w:lang w:val="pl-PL"/>
        </w:rPr>
        <w:t>4</w:t>
      </w:r>
      <w:r w:rsidRPr="000F4EDC">
        <w:rPr>
          <w:lang w:val="pl-PL"/>
        </w:rPr>
        <w:t xml:space="preserve"> r.</w:t>
      </w:r>
      <w:bookmarkEnd w:id="3"/>
      <w:bookmarkEnd w:id="4"/>
    </w:p>
    <w:p w14:paraId="33009D21" w14:textId="77777777" w:rsidR="000F4EDC" w:rsidRPr="000F4EDC" w:rsidRDefault="000F4EDC" w:rsidP="005E4D22">
      <w:pPr>
        <w:pStyle w:val="Nagwek2"/>
        <w:rPr>
          <w:lang w:val="pl-PL"/>
        </w:rPr>
      </w:pPr>
      <w:bookmarkStart w:id="5" w:name="_Toc173312076"/>
      <w:r w:rsidRPr="000F4EDC">
        <w:rPr>
          <w:lang w:val="pl-PL"/>
        </w:rPr>
        <w:t>1.1. Wynik</w:t>
      </w:r>
      <w:bookmarkEnd w:id="5"/>
      <w:r w:rsidRPr="000F4EDC">
        <w:rPr>
          <w:lang w:val="pl-PL"/>
        </w:rPr>
        <w:t xml:space="preserve"> </w:t>
      </w:r>
    </w:p>
    <w:p w14:paraId="3998D6A0" w14:textId="62C13114" w:rsidR="00D850FB" w:rsidRPr="00CE3197" w:rsidRDefault="000F4EDC" w:rsidP="000F4EDC">
      <w:pPr>
        <w:rPr>
          <w:lang w:val="pl-PL"/>
        </w:rPr>
      </w:pPr>
      <w:r w:rsidRPr="00CE3197">
        <w:rPr>
          <w:lang w:val="pl-PL"/>
        </w:rPr>
        <w:t>Według danych GUS deficyt sektora instytucj</w:t>
      </w:r>
      <w:r w:rsidR="009C2F53" w:rsidRPr="00CE3197">
        <w:rPr>
          <w:lang w:val="pl-PL"/>
        </w:rPr>
        <w:t>i rządowych i samorządowych w I kw. 202</w:t>
      </w:r>
      <w:r w:rsidR="00CE3197" w:rsidRPr="00CE3197">
        <w:rPr>
          <w:lang w:val="pl-PL"/>
        </w:rPr>
        <w:t>4</w:t>
      </w:r>
      <w:r w:rsidR="009C2F53" w:rsidRPr="00CE3197">
        <w:rPr>
          <w:lang w:val="pl-PL"/>
        </w:rPr>
        <w:t xml:space="preserve"> r. wyniósł </w:t>
      </w:r>
      <w:r w:rsidR="00CE3197" w:rsidRPr="00CE3197">
        <w:rPr>
          <w:lang w:val="pl-PL"/>
        </w:rPr>
        <w:t xml:space="preserve">2,6 </w:t>
      </w:r>
      <w:r w:rsidR="009C2F53" w:rsidRPr="00CE3197">
        <w:rPr>
          <w:lang w:val="pl-PL"/>
        </w:rPr>
        <w:t xml:space="preserve">mld zł (tj. </w:t>
      </w:r>
      <w:r w:rsidR="00CE3197" w:rsidRPr="00CE3197">
        <w:rPr>
          <w:lang w:val="pl-PL"/>
        </w:rPr>
        <w:t>0,3</w:t>
      </w:r>
      <w:r w:rsidR="009C2F53" w:rsidRPr="00CE3197">
        <w:rPr>
          <w:lang w:val="pl-PL"/>
        </w:rPr>
        <w:t xml:space="preserve"> % PKB) i w stosunku do </w:t>
      </w:r>
      <w:r w:rsidR="00175555" w:rsidRPr="00CE3197">
        <w:rPr>
          <w:lang w:val="pl-PL"/>
        </w:rPr>
        <w:t>I</w:t>
      </w:r>
      <w:r w:rsidRPr="00CE3197">
        <w:rPr>
          <w:lang w:val="pl-PL"/>
        </w:rPr>
        <w:t xml:space="preserve"> kw. roku poprzednieg</w:t>
      </w:r>
      <w:r w:rsidR="009C2F53" w:rsidRPr="00CE3197">
        <w:rPr>
          <w:lang w:val="pl-PL"/>
        </w:rPr>
        <w:t>o wynik po</w:t>
      </w:r>
      <w:r w:rsidR="00CE3197" w:rsidRPr="00CE3197">
        <w:rPr>
          <w:lang w:val="pl-PL"/>
        </w:rPr>
        <w:t>prawił</w:t>
      </w:r>
      <w:r w:rsidR="009C2F53" w:rsidRPr="00CE3197">
        <w:rPr>
          <w:lang w:val="pl-PL"/>
        </w:rPr>
        <w:t xml:space="preserve"> się o ok. </w:t>
      </w:r>
      <w:r w:rsidR="00CE3197" w:rsidRPr="00CE3197">
        <w:rPr>
          <w:lang w:val="pl-PL"/>
        </w:rPr>
        <w:t>4,7</w:t>
      </w:r>
      <w:r w:rsidR="00231FA8" w:rsidRPr="00CE3197">
        <w:rPr>
          <w:lang w:val="pl-PL"/>
        </w:rPr>
        <w:t xml:space="preserve"> </w:t>
      </w:r>
      <w:r w:rsidRPr="00CE3197">
        <w:rPr>
          <w:lang w:val="pl-PL"/>
        </w:rPr>
        <w:t>mld zł (po</w:t>
      </w:r>
      <w:r w:rsidR="00CE3197" w:rsidRPr="00CE3197">
        <w:rPr>
          <w:lang w:val="pl-PL"/>
        </w:rPr>
        <w:t>prawa</w:t>
      </w:r>
      <w:r w:rsidRPr="00CE3197">
        <w:rPr>
          <w:lang w:val="pl-PL"/>
        </w:rPr>
        <w:t xml:space="preserve"> w relacj</w:t>
      </w:r>
      <w:r w:rsidR="009C2F53" w:rsidRPr="00CE3197">
        <w:rPr>
          <w:lang w:val="pl-PL"/>
        </w:rPr>
        <w:t xml:space="preserve">i o </w:t>
      </w:r>
      <w:r w:rsidR="00CE3197" w:rsidRPr="00CE3197">
        <w:rPr>
          <w:lang w:val="pl-PL"/>
        </w:rPr>
        <w:t>0,6</w:t>
      </w:r>
      <w:r w:rsidRPr="00CE3197">
        <w:rPr>
          <w:lang w:val="pl-PL"/>
        </w:rPr>
        <w:t xml:space="preserve"> pkt. proc. PKB).</w:t>
      </w:r>
    </w:p>
    <w:p w14:paraId="6690B851" w14:textId="3912FD13" w:rsidR="00D73672" w:rsidRPr="00CB4B55" w:rsidRDefault="00D73672" w:rsidP="00CB4B55">
      <w:pPr>
        <w:rPr>
          <w:i/>
          <w:lang w:val="pl-PL"/>
        </w:rPr>
      </w:pPr>
      <w:r w:rsidRPr="00CB4B55">
        <w:rPr>
          <w:lang w:val="pl-PL"/>
        </w:rPr>
        <w:t xml:space="preserve">Wykres </w:t>
      </w:r>
      <w:r w:rsidRPr="00CB4B55">
        <w:rPr>
          <w:i/>
        </w:rPr>
        <w:fldChar w:fldCharType="begin"/>
      </w:r>
      <w:r w:rsidRPr="00CB4B55">
        <w:rPr>
          <w:lang w:val="pl-PL"/>
        </w:rPr>
        <w:instrText xml:space="preserve"> SEQ Wykres \* ARABIC </w:instrText>
      </w:r>
      <w:r w:rsidRPr="00CB4B55">
        <w:rPr>
          <w:i/>
        </w:rPr>
        <w:fldChar w:fldCharType="separate"/>
      </w:r>
      <w:r w:rsidR="00AC664F">
        <w:rPr>
          <w:noProof/>
          <w:lang w:val="pl-PL"/>
        </w:rPr>
        <w:t>1</w:t>
      </w:r>
      <w:r w:rsidRPr="00CB4B55">
        <w:rPr>
          <w:i/>
        </w:rPr>
        <w:fldChar w:fldCharType="end"/>
      </w:r>
      <w:r w:rsidRPr="00CB4B55">
        <w:rPr>
          <w:lang w:val="pl-PL"/>
        </w:rPr>
        <w:t>. Wynik sektora instytucji rządowych i samorządowych ( w % PKB).</w:t>
      </w:r>
    </w:p>
    <w:p w14:paraId="28BA18B4" w14:textId="19755FD1" w:rsidR="001C341D" w:rsidRPr="00AF60F7" w:rsidRDefault="00CB4B55" w:rsidP="000F4EDC">
      <w:pPr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46E98EEC" wp14:editId="678E93DE">
            <wp:extent cx="5745193" cy="3692105"/>
            <wp:effectExtent l="0" t="0" r="8255" b="0"/>
            <wp:docPr id="9" name="Wykres 9" descr="Wykres 1.&#10;Wykres prezentuje wynik sektora instytucji rządowych i samorządowych w % PKB: wynik, wynik wyrównany sezonowo (SA) i wynik w ujęciu roku płynnego w okresie od II kwartału 2021 do I kwartału 2024 roku. Dane szczegółowe dostępne w Aneksie statystycznym, na końcu opracowania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52889C" w14:textId="77777777" w:rsidR="000F4EDC" w:rsidRPr="00C42526" w:rsidRDefault="000F4EDC" w:rsidP="005E4D22">
      <w:pPr>
        <w:pStyle w:val="Nagwek2"/>
        <w:rPr>
          <w:lang w:val="pl-PL"/>
        </w:rPr>
      </w:pPr>
      <w:bookmarkStart w:id="6" w:name="_Toc173312077"/>
      <w:r w:rsidRPr="00C42526">
        <w:rPr>
          <w:lang w:val="pl-PL"/>
        </w:rPr>
        <w:t>1.2. Dochody</w:t>
      </w:r>
      <w:bookmarkEnd w:id="6"/>
    </w:p>
    <w:p w14:paraId="274F8CA2" w14:textId="15E9AAE7" w:rsidR="000F4EDC" w:rsidRPr="00C42526" w:rsidRDefault="00E570F2" w:rsidP="00700C2E">
      <w:pPr>
        <w:spacing w:after="120"/>
        <w:rPr>
          <w:lang w:val="pl-PL"/>
        </w:rPr>
      </w:pPr>
      <w:r w:rsidRPr="00C42526">
        <w:rPr>
          <w:lang w:val="pl-PL"/>
        </w:rPr>
        <w:t>W I kw. 202</w:t>
      </w:r>
      <w:r w:rsidR="00CE3197" w:rsidRPr="00C42526">
        <w:rPr>
          <w:lang w:val="pl-PL"/>
        </w:rPr>
        <w:t>4</w:t>
      </w:r>
      <w:r w:rsidR="000F4EDC" w:rsidRPr="00C42526">
        <w:rPr>
          <w:lang w:val="pl-PL"/>
        </w:rPr>
        <w:t xml:space="preserve"> r. dochody sektora instytucji rządowych i samorz</w:t>
      </w:r>
      <w:r w:rsidRPr="00C42526">
        <w:rPr>
          <w:lang w:val="pl-PL"/>
        </w:rPr>
        <w:t>ądowych (ESA2010) wyniosły 3</w:t>
      </w:r>
      <w:r w:rsidR="00CE3197" w:rsidRPr="00C42526">
        <w:rPr>
          <w:lang w:val="pl-PL"/>
        </w:rPr>
        <w:t>78,5</w:t>
      </w:r>
      <w:r w:rsidR="000F4EDC" w:rsidRPr="00C42526">
        <w:rPr>
          <w:lang w:val="pl-PL"/>
        </w:rPr>
        <w:t xml:space="preserve"> mld z</w:t>
      </w:r>
      <w:r w:rsidRPr="00C42526">
        <w:rPr>
          <w:lang w:val="pl-PL"/>
        </w:rPr>
        <w:t>ł i były nominalnie wyższe o 1</w:t>
      </w:r>
      <w:r w:rsidR="00CE3197" w:rsidRPr="00C42526">
        <w:rPr>
          <w:lang w:val="pl-PL"/>
        </w:rPr>
        <w:t>9,9</w:t>
      </w:r>
      <w:r w:rsidR="000F4EDC" w:rsidRPr="00C42526">
        <w:rPr>
          <w:lang w:val="pl-PL"/>
        </w:rPr>
        <w:t>% r/r</w:t>
      </w:r>
      <w:r w:rsidR="00175555" w:rsidRPr="00C42526">
        <w:rPr>
          <w:lang w:val="pl-PL"/>
        </w:rPr>
        <w:t xml:space="preserve"> i </w:t>
      </w:r>
      <w:r w:rsidR="000F4EDC" w:rsidRPr="00C42526">
        <w:rPr>
          <w:lang w:val="pl-PL"/>
        </w:rPr>
        <w:t>w</w:t>
      </w:r>
      <w:r w:rsidRPr="00C42526">
        <w:rPr>
          <w:lang w:val="pl-PL"/>
        </w:rPr>
        <w:t xml:space="preserve"> relacji do PKB </w:t>
      </w:r>
      <w:r w:rsidR="00175555" w:rsidRPr="00C42526">
        <w:rPr>
          <w:lang w:val="pl-PL"/>
        </w:rPr>
        <w:t>wzrosły</w:t>
      </w:r>
      <w:r w:rsidRPr="00C42526">
        <w:rPr>
          <w:lang w:val="pl-PL"/>
        </w:rPr>
        <w:t xml:space="preserve"> r/r o </w:t>
      </w:r>
      <w:r w:rsidR="00CE3197" w:rsidRPr="00C42526">
        <w:rPr>
          <w:lang w:val="pl-PL"/>
        </w:rPr>
        <w:t>5,9</w:t>
      </w:r>
      <w:r w:rsidR="000F4EDC" w:rsidRPr="00C42526">
        <w:rPr>
          <w:lang w:val="pl-PL"/>
        </w:rPr>
        <w:t xml:space="preserve"> pkt. proc. Dochody podatkowe (ESA2010), mające największy udział w</w:t>
      </w:r>
      <w:r w:rsidR="00B62053" w:rsidRPr="00C42526">
        <w:rPr>
          <w:lang w:val="pl-PL"/>
        </w:rPr>
        <w:t> </w:t>
      </w:r>
      <w:r w:rsidR="000F4EDC" w:rsidRPr="00C42526">
        <w:rPr>
          <w:lang w:val="pl-PL"/>
        </w:rPr>
        <w:t>omawia</w:t>
      </w:r>
      <w:r w:rsidRPr="00C42526">
        <w:rPr>
          <w:lang w:val="pl-PL"/>
        </w:rPr>
        <w:t xml:space="preserve">nej kategorii, nominalnie wzrosły o </w:t>
      </w:r>
      <w:r w:rsidR="00CE3197" w:rsidRPr="00C42526">
        <w:rPr>
          <w:lang w:val="pl-PL"/>
        </w:rPr>
        <w:t>28,2</w:t>
      </w:r>
      <w:r w:rsidR="000F4EDC" w:rsidRPr="00C42526">
        <w:rPr>
          <w:lang w:val="pl-PL"/>
        </w:rPr>
        <w:t>% r/r</w:t>
      </w:r>
      <w:r w:rsidR="00B41BFF" w:rsidRPr="00C42526">
        <w:rPr>
          <w:lang w:val="pl-PL"/>
        </w:rPr>
        <w:t>, na co złożył się wzrost</w:t>
      </w:r>
      <w:r w:rsidR="000F4EDC" w:rsidRPr="00C42526">
        <w:rPr>
          <w:lang w:val="pl-PL"/>
        </w:rPr>
        <w:t xml:space="preserve"> wpływów z podatków </w:t>
      </w:r>
      <w:r w:rsidR="00B41BFF" w:rsidRPr="00C42526">
        <w:rPr>
          <w:lang w:val="pl-PL"/>
        </w:rPr>
        <w:t xml:space="preserve">od produkcji i importu o ok. </w:t>
      </w:r>
      <w:r w:rsidR="00175555" w:rsidRPr="00C42526">
        <w:rPr>
          <w:lang w:val="pl-PL"/>
        </w:rPr>
        <w:t>1</w:t>
      </w:r>
      <w:r w:rsidR="00CE3197" w:rsidRPr="00C42526">
        <w:rPr>
          <w:lang w:val="pl-PL"/>
        </w:rPr>
        <w:t>3,0</w:t>
      </w:r>
      <w:r w:rsidR="000F4EDC" w:rsidRPr="00C42526">
        <w:rPr>
          <w:lang w:val="pl-PL"/>
        </w:rPr>
        <w:t xml:space="preserve">% r/r oraz </w:t>
      </w:r>
      <w:r w:rsidR="00175555" w:rsidRPr="00C42526">
        <w:rPr>
          <w:lang w:val="pl-PL"/>
        </w:rPr>
        <w:t xml:space="preserve">wzrost </w:t>
      </w:r>
      <w:r w:rsidR="000F4EDC" w:rsidRPr="00C42526">
        <w:rPr>
          <w:lang w:val="pl-PL"/>
        </w:rPr>
        <w:t>wpływów z</w:t>
      </w:r>
      <w:r w:rsidR="000C6A78" w:rsidRPr="00C42526">
        <w:rPr>
          <w:lang w:val="pl-PL"/>
        </w:rPr>
        <w:t> </w:t>
      </w:r>
      <w:r w:rsidR="000F4EDC" w:rsidRPr="00C42526">
        <w:rPr>
          <w:lang w:val="pl-PL"/>
        </w:rPr>
        <w:t>pod</w:t>
      </w:r>
      <w:r w:rsidR="00B41BFF" w:rsidRPr="00C42526">
        <w:rPr>
          <w:lang w:val="pl-PL"/>
        </w:rPr>
        <w:t xml:space="preserve">atków od dochodu i majątku </w:t>
      </w:r>
      <w:r w:rsidR="00C42526" w:rsidRPr="00C42526">
        <w:rPr>
          <w:lang w:val="pl-PL"/>
        </w:rPr>
        <w:t xml:space="preserve">aż </w:t>
      </w:r>
      <w:r w:rsidR="00B41BFF" w:rsidRPr="00C42526">
        <w:rPr>
          <w:lang w:val="pl-PL"/>
        </w:rPr>
        <w:t xml:space="preserve">o </w:t>
      </w:r>
      <w:r w:rsidR="00CE3197" w:rsidRPr="00C42526">
        <w:rPr>
          <w:lang w:val="pl-PL"/>
        </w:rPr>
        <w:t>67,0</w:t>
      </w:r>
      <w:r w:rsidR="000F4EDC" w:rsidRPr="00C42526">
        <w:rPr>
          <w:lang w:val="pl-PL"/>
        </w:rPr>
        <w:t xml:space="preserve">% r/r. </w:t>
      </w:r>
    </w:p>
    <w:p w14:paraId="31D2F307" w14:textId="35CCE6E0" w:rsidR="00D850FB" w:rsidRPr="00B75D5F" w:rsidRDefault="000F4EDC" w:rsidP="00700C2E">
      <w:pPr>
        <w:spacing w:after="120"/>
        <w:rPr>
          <w:lang w:val="pl-PL"/>
        </w:rPr>
      </w:pPr>
      <w:r w:rsidRPr="00B75D5F">
        <w:rPr>
          <w:lang w:val="pl-PL"/>
        </w:rPr>
        <w:lastRenderedPageBreak/>
        <w:t>Dochody z tytułu składek na ubezpieczenie społeczne w podsektorze ubezpi</w:t>
      </w:r>
      <w:r w:rsidR="00B41BFF" w:rsidRPr="00B75D5F">
        <w:rPr>
          <w:lang w:val="pl-PL"/>
        </w:rPr>
        <w:t xml:space="preserve">eczeń społecznych (ESA2010) w </w:t>
      </w:r>
      <w:r w:rsidR="00160037" w:rsidRPr="00B75D5F">
        <w:rPr>
          <w:lang w:val="pl-PL"/>
        </w:rPr>
        <w:t>I</w:t>
      </w:r>
      <w:r w:rsidR="00B41BFF" w:rsidRPr="00B75D5F">
        <w:rPr>
          <w:lang w:val="pl-PL"/>
        </w:rPr>
        <w:t xml:space="preserve"> kw. 202</w:t>
      </w:r>
      <w:r w:rsidR="004D116B">
        <w:rPr>
          <w:lang w:val="pl-PL"/>
        </w:rPr>
        <w:t>4</w:t>
      </w:r>
      <w:r w:rsidR="00B41BFF" w:rsidRPr="00B75D5F">
        <w:rPr>
          <w:lang w:val="pl-PL"/>
        </w:rPr>
        <w:t xml:space="preserve"> r. były wyższe o 1</w:t>
      </w:r>
      <w:r w:rsidR="00B75D5F" w:rsidRPr="00B75D5F">
        <w:rPr>
          <w:lang w:val="pl-PL"/>
        </w:rPr>
        <w:t>4,0</w:t>
      </w:r>
      <w:r w:rsidRPr="00B75D5F">
        <w:rPr>
          <w:lang w:val="pl-PL"/>
        </w:rPr>
        <w:t xml:space="preserve">% r/r, tj. ukształtowały się </w:t>
      </w:r>
      <w:r w:rsidR="00B75D5F" w:rsidRPr="00B75D5F">
        <w:rPr>
          <w:lang w:val="pl-PL"/>
        </w:rPr>
        <w:t xml:space="preserve">nieznacznie poniżej </w:t>
      </w:r>
      <w:r w:rsidR="006E327A" w:rsidRPr="00B75D5F">
        <w:rPr>
          <w:lang w:val="pl-PL"/>
        </w:rPr>
        <w:t>tempa</w:t>
      </w:r>
      <w:r w:rsidRPr="00B75D5F">
        <w:rPr>
          <w:lang w:val="pl-PL"/>
        </w:rPr>
        <w:t xml:space="preserve"> wzrostu funduszu wynagrodzeń w gospodarce narodowej (bez tzw. jednos</w:t>
      </w:r>
      <w:r w:rsidR="006E327A" w:rsidRPr="00B75D5F">
        <w:rPr>
          <w:lang w:val="pl-PL"/>
        </w:rPr>
        <w:t>tek małych), które wyniosło 1</w:t>
      </w:r>
      <w:r w:rsidR="00B75D5F" w:rsidRPr="00B75D5F">
        <w:rPr>
          <w:lang w:val="pl-PL"/>
        </w:rPr>
        <w:t>4,6</w:t>
      </w:r>
      <w:r w:rsidRPr="00B75D5F">
        <w:rPr>
          <w:lang w:val="pl-PL"/>
        </w:rPr>
        <w:t>% r/r.</w:t>
      </w:r>
    </w:p>
    <w:p w14:paraId="521669DE" w14:textId="45D72F08" w:rsidR="00731EA3" w:rsidRPr="00731EA3" w:rsidRDefault="00D73672" w:rsidP="00D3562F">
      <w:pPr>
        <w:rPr>
          <w:lang w:val="pl-PL"/>
        </w:rPr>
      </w:pPr>
      <w:r w:rsidRPr="00CB4B55">
        <w:rPr>
          <w:lang w:val="pl-PL"/>
        </w:rPr>
        <w:t xml:space="preserve">Wykres </w:t>
      </w:r>
      <w:r w:rsidRPr="00CB4B55">
        <w:rPr>
          <w:i/>
        </w:rPr>
        <w:fldChar w:fldCharType="begin"/>
      </w:r>
      <w:r w:rsidRPr="00CB4B55">
        <w:rPr>
          <w:lang w:val="pl-PL"/>
        </w:rPr>
        <w:instrText xml:space="preserve"> SEQ Wykres \* ARABIC </w:instrText>
      </w:r>
      <w:r w:rsidRPr="00CB4B55">
        <w:rPr>
          <w:i/>
        </w:rPr>
        <w:fldChar w:fldCharType="separate"/>
      </w:r>
      <w:r w:rsidR="00AC664F">
        <w:rPr>
          <w:noProof/>
          <w:lang w:val="pl-PL"/>
        </w:rPr>
        <w:t>2</w:t>
      </w:r>
      <w:r w:rsidRPr="00CB4B55">
        <w:rPr>
          <w:i/>
        </w:rPr>
        <w:fldChar w:fldCharType="end"/>
      </w:r>
      <w:r w:rsidRPr="00CB4B55">
        <w:rPr>
          <w:lang w:val="pl-PL"/>
        </w:rPr>
        <w:t xml:space="preserve">. Struktura dochodów sektora instytucji rządowych i samorządowych w </w:t>
      </w:r>
      <w:r w:rsidR="009F1463" w:rsidRPr="00CB4B55">
        <w:rPr>
          <w:lang w:val="pl-PL"/>
        </w:rPr>
        <w:t>I</w:t>
      </w:r>
      <w:r w:rsidRPr="00CB4B55">
        <w:rPr>
          <w:lang w:val="pl-PL"/>
        </w:rPr>
        <w:t xml:space="preserve"> kw. 202</w:t>
      </w:r>
      <w:r w:rsidR="00CB4B55">
        <w:rPr>
          <w:i/>
          <w:lang w:val="pl-PL"/>
        </w:rPr>
        <w:t>4</w:t>
      </w:r>
      <w:r w:rsidRPr="00CB4B55">
        <w:rPr>
          <w:lang w:val="pl-PL"/>
        </w:rPr>
        <w:t xml:space="preserve"> r. (w</w:t>
      </w:r>
      <w:r w:rsidR="00E9428E" w:rsidRPr="00CB4B55">
        <w:rPr>
          <w:lang w:val="pl-PL"/>
        </w:rPr>
        <w:t xml:space="preserve"> </w:t>
      </w:r>
      <w:r w:rsidRPr="00CB4B55">
        <w:rPr>
          <w:lang w:val="pl-PL"/>
        </w:rPr>
        <w:t>%).</w:t>
      </w:r>
      <w:r w:rsidR="0031366B">
        <w:rPr>
          <w:noProof/>
        </w:rPr>
        <w:drawing>
          <wp:inline distT="0" distB="0" distL="0" distR="0" wp14:anchorId="4C31CAC1" wp14:editId="0E1F1B3D">
            <wp:extent cx="5759450" cy="3763010"/>
            <wp:effectExtent l="95250" t="57150" r="88900" b="142240"/>
            <wp:docPr id="7" name="Wykres 7" descr="Wykres 2.&#10;Wykres przedstawia strukturę dochodów sektora instytucji rządowych i samorządowych w I kwartale 2024 roku w podziale na: składki na ubezpieczenia społeczne 35,4%, podatki dochodowe 19,5%, VAT 18,2%; pozostałe podatki 15,4%, inne dochody niepodatkowe 11,5%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31EA3" w:rsidRPr="00731EA3">
        <w:rPr>
          <w:lang w:val="pl-PL"/>
        </w:rPr>
        <w:t>Dochody sektora instytucji rządowych i samorządowych z PIT (wg ESA2010 ) w I kw</w:t>
      </w:r>
      <w:r w:rsidR="00413A13">
        <w:rPr>
          <w:lang w:val="pl-PL"/>
        </w:rPr>
        <w:t>.</w:t>
      </w:r>
      <w:r w:rsidR="00731EA3" w:rsidRPr="00731EA3">
        <w:rPr>
          <w:lang w:val="pl-PL"/>
        </w:rPr>
        <w:t xml:space="preserve"> 2024 r. wyniosły 33,3 mld zł i były wyższe o 65,4% w porównaniu z rokiem poprzedzającym. Szacuje się, że nominalne tempo wzrostu przeciętnego funduszu wynagrodzeń w gospodarce narodowej (bez tzw. jednostek małych) oraz emerytur i</w:t>
      </w:r>
      <w:r w:rsidR="00AC42A5">
        <w:rPr>
          <w:lang w:val="pl-PL"/>
        </w:rPr>
        <w:t> </w:t>
      </w:r>
      <w:r w:rsidR="00731EA3" w:rsidRPr="00731EA3">
        <w:rPr>
          <w:lang w:val="pl-PL"/>
        </w:rPr>
        <w:t>rent w I kw</w:t>
      </w:r>
      <w:r w:rsidR="00413A13">
        <w:rPr>
          <w:lang w:val="pl-PL"/>
        </w:rPr>
        <w:t>.</w:t>
      </w:r>
      <w:r w:rsidR="00731EA3" w:rsidRPr="00731EA3">
        <w:rPr>
          <w:lang w:val="pl-PL"/>
        </w:rPr>
        <w:t xml:space="preserve"> 2024 r. wyniosło 15,4% r/r. Wpływy z podatku dochodowego od osób fizycznych rozliczających się według skali podatkowej, stanowiące największą kategorię wpływów z PIT, w I kw</w:t>
      </w:r>
      <w:r w:rsidR="00413A13">
        <w:rPr>
          <w:lang w:val="pl-PL"/>
        </w:rPr>
        <w:t>.</w:t>
      </w:r>
      <w:r w:rsidR="00731EA3" w:rsidRPr="00731EA3">
        <w:rPr>
          <w:lang w:val="pl-PL"/>
        </w:rPr>
        <w:t xml:space="preserve"> 2024 r. wzrosły o 444,3% r/r. Wysokie roczne dynamiki wpływów z podatku na skali podatkowej oraz agregatu wpływów z PIT w</w:t>
      </w:r>
      <w:r w:rsidR="00413A13">
        <w:rPr>
          <w:lang w:val="pl-PL"/>
        </w:rPr>
        <w:t> </w:t>
      </w:r>
      <w:r w:rsidR="00731EA3" w:rsidRPr="00731EA3">
        <w:rPr>
          <w:lang w:val="pl-PL"/>
        </w:rPr>
        <w:t>I</w:t>
      </w:r>
      <w:r w:rsidR="00413A13">
        <w:rPr>
          <w:lang w:val="pl-PL"/>
        </w:rPr>
        <w:t> </w:t>
      </w:r>
      <w:r w:rsidR="00731EA3" w:rsidRPr="00731EA3">
        <w:rPr>
          <w:lang w:val="pl-PL"/>
        </w:rPr>
        <w:t>kw</w:t>
      </w:r>
      <w:r w:rsidR="00413A13">
        <w:rPr>
          <w:lang w:val="pl-PL"/>
        </w:rPr>
        <w:t>.</w:t>
      </w:r>
      <w:r w:rsidR="00731EA3" w:rsidRPr="00731EA3">
        <w:rPr>
          <w:lang w:val="pl-PL"/>
        </w:rPr>
        <w:t xml:space="preserve"> 2024 r. są skutkiem efektu bazy. W </w:t>
      </w:r>
      <w:r w:rsidR="00413A13">
        <w:rPr>
          <w:lang w:val="pl-PL"/>
        </w:rPr>
        <w:t>I kw.</w:t>
      </w:r>
      <w:r w:rsidR="00731EA3" w:rsidRPr="00731EA3">
        <w:rPr>
          <w:lang w:val="pl-PL"/>
        </w:rPr>
        <w:t xml:space="preserve"> 2023 r. zwroty podatku dokonywane </w:t>
      </w:r>
      <w:r w:rsidR="00731EA3" w:rsidRPr="00731EA3">
        <w:rPr>
          <w:lang w:val="pl-PL"/>
        </w:rPr>
        <w:lastRenderedPageBreak/>
        <w:t xml:space="preserve">przez urzędy skarbowe podczas rozliczenia rocznego </w:t>
      </w:r>
      <w:r w:rsidR="008C2607">
        <w:rPr>
          <w:lang w:val="pl-PL"/>
        </w:rPr>
        <w:t xml:space="preserve">(za 2022 r.) </w:t>
      </w:r>
      <w:r w:rsidR="00731EA3" w:rsidRPr="00731EA3">
        <w:rPr>
          <w:lang w:val="pl-PL"/>
        </w:rPr>
        <w:t xml:space="preserve">były jednorazowo zawyżone przez </w:t>
      </w:r>
      <w:r w:rsidR="008C2607">
        <w:rPr>
          <w:lang w:val="pl-PL"/>
        </w:rPr>
        <w:t xml:space="preserve">efekt </w:t>
      </w:r>
      <w:r w:rsidR="00731EA3" w:rsidRPr="00731EA3">
        <w:rPr>
          <w:lang w:val="pl-PL"/>
        </w:rPr>
        <w:t>wprowadzeni</w:t>
      </w:r>
      <w:r w:rsidR="008C2607">
        <w:rPr>
          <w:lang w:val="pl-PL"/>
        </w:rPr>
        <w:t>a</w:t>
      </w:r>
      <w:r w:rsidR="00731EA3" w:rsidRPr="00731EA3">
        <w:rPr>
          <w:lang w:val="pl-PL"/>
        </w:rPr>
        <w:t xml:space="preserve"> reformy Niskie Podatki, obniżającej klin podatkowy, w połowie 2022 r. Podobna sytuacja nie miała już miejsca podczas rozliczenia rocznego </w:t>
      </w:r>
      <w:r w:rsidR="008C2607">
        <w:rPr>
          <w:lang w:val="pl-PL"/>
        </w:rPr>
        <w:t xml:space="preserve">(za 2023 r.) </w:t>
      </w:r>
      <w:r w:rsidR="00731EA3" w:rsidRPr="00731EA3">
        <w:rPr>
          <w:lang w:val="pl-PL"/>
        </w:rPr>
        <w:t>w 2024 r. Jednocześnie w I kwartale 2024 r. dochody podatkowe z podatku liniowego wzrosły o 2,6% r/r, natomiast z ryczałtu od przychodów ewidencjonowanych o 16,9% r/r. Wysoką roczną dynamiką cechowały się również wpływy z ryczałtu od przychodów z odsetek oraz z pozostałych ryczałtów, które wzrosły o 16,0% r/r.</w:t>
      </w:r>
    </w:p>
    <w:p w14:paraId="1AD892FA" w14:textId="6767A99F" w:rsidR="00731EA3" w:rsidRPr="005D179A" w:rsidRDefault="00731EA3" w:rsidP="00731EA3">
      <w:pPr>
        <w:spacing w:after="120"/>
        <w:jc w:val="both"/>
        <w:rPr>
          <w:bCs/>
          <w:lang w:val="pl-PL"/>
        </w:rPr>
      </w:pPr>
      <w:bookmarkStart w:id="7" w:name="_Hlk149216838"/>
      <w:r w:rsidRPr="00731EA3">
        <w:rPr>
          <w:bCs/>
          <w:lang w:val="pl-PL"/>
        </w:rPr>
        <w:t>Dochody sektora instytucji rządowych i samorządowych z CIT (wg zasad ESA2010) w I kw. 2024 r. wyniosły 36,7 mld zł i były wyższe o 81,7% r/r. Wynik finansowy brutto przedsiębiorstw niefinansowych spadł o 35,8% r/r, a zysk brutto tych podmiotów spadł o 23,4% r/r</w:t>
      </w:r>
      <w:r w:rsidRPr="00D3562F">
        <w:rPr>
          <w:bCs/>
          <w:lang w:val="pl-PL"/>
        </w:rPr>
        <w:t xml:space="preserve">. </w:t>
      </w:r>
      <w:r w:rsidR="00D3562F" w:rsidRPr="00D3562F">
        <w:rPr>
          <w:lang w:val="pl-PL"/>
        </w:rPr>
        <w:t>Wynik finansowy brutto banków w I kw. 2024 r. wzrósł o 8,2% r/r. Należy pamiętać, że dane za I kw. są nieporównywalne z poprzednim rokiem. Termin rozliczenia rocznego CIT w 2023 r. (rozliczenie za 2022 r.) przypadał na koniec czerwca 2023 r. W roku bieżącym termin rozliczenia rocznego za 2023 r. przypadał na dzień 2 kwietnia.</w:t>
      </w:r>
    </w:p>
    <w:bookmarkEnd w:id="7"/>
    <w:p w14:paraId="40F0A6A0" w14:textId="3270818F" w:rsidR="00700112" w:rsidRPr="009167E0" w:rsidRDefault="00700112" w:rsidP="00CB4B55">
      <w:pPr>
        <w:rPr>
          <w:i/>
          <w:lang w:val="pl-PL"/>
        </w:rPr>
      </w:pPr>
      <w:r w:rsidRPr="009167E0">
        <w:rPr>
          <w:lang w:val="pl-PL"/>
        </w:rPr>
        <w:t xml:space="preserve">Wykres </w:t>
      </w:r>
      <w:r w:rsidRPr="009167E0">
        <w:rPr>
          <w:i/>
        </w:rPr>
        <w:fldChar w:fldCharType="begin"/>
      </w:r>
      <w:r w:rsidRPr="009167E0">
        <w:rPr>
          <w:lang w:val="pl-PL"/>
        </w:rPr>
        <w:instrText xml:space="preserve"> SEQ Wykres \* ARABIC </w:instrText>
      </w:r>
      <w:r w:rsidRPr="009167E0">
        <w:rPr>
          <w:i/>
        </w:rPr>
        <w:fldChar w:fldCharType="separate"/>
      </w:r>
      <w:r w:rsidR="00AC664F">
        <w:rPr>
          <w:noProof/>
          <w:lang w:val="pl-PL"/>
        </w:rPr>
        <w:t>3</w:t>
      </w:r>
      <w:r w:rsidRPr="009167E0">
        <w:rPr>
          <w:i/>
        </w:rPr>
        <w:fldChar w:fldCharType="end"/>
      </w:r>
      <w:r w:rsidRPr="009167E0">
        <w:rPr>
          <w:lang w:val="pl-PL"/>
        </w:rPr>
        <w:t>. Dynamika memoriałowych wpływów z podatku VAT (r/r).</w:t>
      </w:r>
    </w:p>
    <w:p w14:paraId="6B35234F" w14:textId="0EFE9059" w:rsidR="00700112" w:rsidRPr="00AF60F7" w:rsidRDefault="00CB4B55" w:rsidP="00700112">
      <w:pPr>
        <w:spacing w:after="120"/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56F46BCA" wp14:editId="0C6119AC">
            <wp:extent cx="5660021" cy="3368233"/>
            <wp:effectExtent l="0" t="0" r="0" b="0"/>
            <wp:docPr id="12" name="Wykres 12" descr="Wykres 3. &#10;Wykres prezentuje dynamikę memoriałowych wpływów z podatku VAT i VAT w ujęciu roku płynnego r/r  w okresie od I kwartału 2021 do I kwartału 2024 roku. Dane szczegółowe dostępne w Aneksie statystycznym, na końcu opracowania.&#10;">
              <a:extLst xmlns:a="http://schemas.openxmlformats.org/drawingml/2006/main">
                <a:ext uri="{FF2B5EF4-FFF2-40B4-BE49-F238E27FC236}">
                  <a16:creationId xmlns:a16="http://schemas.microsoft.com/office/drawing/2014/main" id="{B0064784-C713-49F8-B6B1-663817B1C0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7049BBF" w14:textId="7B9F8F58" w:rsidR="00731EA3" w:rsidRPr="00731EA3" w:rsidRDefault="00731EA3" w:rsidP="00413A13">
      <w:pPr>
        <w:spacing w:after="120"/>
        <w:rPr>
          <w:bCs/>
          <w:lang w:val="pl-PL"/>
        </w:rPr>
      </w:pPr>
      <w:r w:rsidRPr="00731EA3">
        <w:rPr>
          <w:bCs/>
          <w:lang w:val="pl-PL"/>
        </w:rPr>
        <w:lastRenderedPageBreak/>
        <w:t>Dochody z tytułu podatku VAT, wg zasad ESA2010, w I kw. 2024 r. były o 17,0% wyższe niż w analogicznym okresie 2023 r. i wyniosły ok. 68,7 mld zł. W I kw. 2024 r. nastąpił nominalny wzrost sprzedaży detalicznej, który wyniósł 5,8% r/r, natomiast produkcja przemysłowa w I kw. 2024 r. spadła nominalnie o 10,3% r/r. W I kw. 2024 r. obowiązująca tarcza antyinflacyjna była mniejsza i obejmowała tylko produkty żywnościowe, zaś w analogicznym okresie 2023 r</w:t>
      </w:r>
      <w:r w:rsidR="008C2607">
        <w:rPr>
          <w:bCs/>
          <w:lang w:val="pl-PL"/>
        </w:rPr>
        <w:t>.</w:t>
      </w:r>
      <w:r w:rsidRPr="00731EA3">
        <w:rPr>
          <w:bCs/>
          <w:lang w:val="pl-PL"/>
        </w:rPr>
        <w:t xml:space="preserve"> obejmowała ona szerszą grupę produktów. </w:t>
      </w:r>
      <w:r w:rsidR="00D3562F" w:rsidRPr="00731EA3">
        <w:rPr>
          <w:bCs/>
          <w:lang w:val="pl-PL"/>
        </w:rPr>
        <w:t xml:space="preserve">Stosunkowo niskie zwroty VAT, </w:t>
      </w:r>
      <w:r w:rsidR="00D3562F" w:rsidRPr="00D3562F">
        <w:rPr>
          <w:bCs/>
          <w:lang w:val="pl-PL"/>
        </w:rPr>
        <w:t>mniejsze negatywne dla VAT efekty tarcz antyinflacyjnych, a także optymistyczne</w:t>
      </w:r>
      <w:r w:rsidR="00D3562F" w:rsidRPr="00731EA3">
        <w:rPr>
          <w:bCs/>
          <w:lang w:val="pl-PL"/>
        </w:rPr>
        <w:t xml:space="preserve"> dane dotyczące sprzedaży detalicznej w I kw. 2024 r. miały pozytywny wpływ na dynamikę wzrostu dochodów z tytułu podatku VAT</w:t>
      </w:r>
    </w:p>
    <w:p w14:paraId="16D7C6F4" w14:textId="44370106" w:rsidR="00731EA3" w:rsidRDefault="00731EA3" w:rsidP="00413A13">
      <w:pPr>
        <w:spacing w:after="120"/>
        <w:rPr>
          <w:lang w:val="pl-PL"/>
        </w:rPr>
      </w:pPr>
      <w:r w:rsidRPr="00731EA3">
        <w:rPr>
          <w:lang w:val="pl-PL"/>
        </w:rPr>
        <w:t>Dochody z akcyzy (wg zasad ESA2010) w I kw. 2024 r. były wyższe o 12,8% r/ i wyniosły ok. 20,2 mld zł. Dochody, od wyrobów tytoniowych wzrosły o 16,0% r/r, od alkoholu etylowego wzrosły o 21,0% r/r, od piwa spadły o 15,4% r/r, od wina wzrosły o</w:t>
      </w:r>
      <w:r w:rsidR="00AC42A5">
        <w:rPr>
          <w:lang w:val="pl-PL"/>
        </w:rPr>
        <w:t> </w:t>
      </w:r>
      <w:r w:rsidRPr="00731EA3">
        <w:rPr>
          <w:lang w:val="pl-PL"/>
        </w:rPr>
        <w:t>7,3% r/r, od samochodów osobowych wzrosły o 29,3% r/r, od paliw silnikowych wzrosły o 9,0% r/r, a od energii elektrycznej wzrosły o 64,1% r/r.</w:t>
      </w:r>
    </w:p>
    <w:p w14:paraId="7FC5C5EC" w14:textId="65902672" w:rsidR="000F4EDC" w:rsidRDefault="000F4EDC" w:rsidP="00700C2E">
      <w:pPr>
        <w:spacing w:after="120"/>
        <w:rPr>
          <w:lang w:val="pl-PL"/>
        </w:rPr>
      </w:pPr>
      <w:r w:rsidRPr="002B66F8">
        <w:rPr>
          <w:lang w:val="pl-PL"/>
        </w:rPr>
        <w:t>Pozostałe dochody sektora instytucji rządowych i samorządowyc</w:t>
      </w:r>
      <w:r w:rsidR="000165BF" w:rsidRPr="002B66F8">
        <w:rPr>
          <w:lang w:val="pl-PL"/>
        </w:rPr>
        <w:t xml:space="preserve">h w I kw. </w:t>
      </w:r>
      <w:r w:rsidR="00B62053" w:rsidRPr="002B66F8">
        <w:rPr>
          <w:lang w:val="pl-PL"/>
        </w:rPr>
        <w:t>202</w:t>
      </w:r>
      <w:r w:rsidR="002E65EA" w:rsidRPr="002B66F8">
        <w:rPr>
          <w:lang w:val="pl-PL"/>
        </w:rPr>
        <w:t>4</w:t>
      </w:r>
      <w:r w:rsidR="00B62053" w:rsidRPr="002B66F8">
        <w:rPr>
          <w:lang w:val="pl-PL"/>
        </w:rPr>
        <w:t xml:space="preserve"> r. wzrosły nominalnie </w:t>
      </w:r>
      <w:r w:rsidR="003A4003">
        <w:rPr>
          <w:lang w:val="pl-PL"/>
        </w:rPr>
        <w:t xml:space="preserve">zaledwie </w:t>
      </w:r>
      <w:r w:rsidR="00B62053" w:rsidRPr="002B66F8">
        <w:rPr>
          <w:lang w:val="pl-PL"/>
        </w:rPr>
        <w:t>o</w:t>
      </w:r>
      <w:r w:rsidR="00A402C9" w:rsidRPr="002B66F8">
        <w:rPr>
          <w:lang w:val="pl-PL"/>
        </w:rPr>
        <w:t xml:space="preserve"> </w:t>
      </w:r>
      <w:r w:rsidR="002E65EA" w:rsidRPr="002B66F8">
        <w:rPr>
          <w:lang w:val="pl-PL"/>
        </w:rPr>
        <w:t>4,4</w:t>
      </w:r>
      <w:r w:rsidRPr="002B66F8">
        <w:rPr>
          <w:lang w:val="pl-PL"/>
        </w:rPr>
        <w:t>% r/r.</w:t>
      </w:r>
      <w:r w:rsidR="003A4003">
        <w:rPr>
          <w:lang w:val="pl-PL"/>
        </w:rPr>
        <w:t xml:space="preserve"> </w:t>
      </w:r>
    </w:p>
    <w:p w14:paraId="6146D862" w14:textId="77777777" w:rsidR="000F4EDC" w:rsidRPr="005F1F5E" w:rsidRDefault="000F4EDC" w:rsidP="005E4D22">
      <w:pPr>
        <w:pStyle w:val="Nagwek2"/>
        <w:rPr>
          <w:lang w:val="pl-PL"/>
        </w:rPr>
      </w:pPr>
      <w:bookmarkStart w:id="8" w:name="_Toc173312078"/>
      <w:r w:rsidRPr="005F1F5E">
        <w:rPr>
          <w:lang w:val="pl-PL"/>
        </w:rPr>
        <w:t>1.3. Wydatki</w:t>
      </w:r>
      <w:bookmarkEnd w:id="8"/>
    </w:p>
    <w:p w14:paraId="75E805EF" w14:textId="2BB13746" w:rsidR="000F4EDC" w:rsidRPr="008B59FD" w:rsidRDefault="003900DE" w:rsidP="00700C2E">
      <w:pPr>
        <w:spacing w:after="120"/>
        <w:rPr>
          <w:lang w:val="pl-PL"/>
        </w:rPr>
      </w:pPr>
      <w:r w:rsidRPr="008B59FD">
        <w:rPr>
          <w:lang w:val="pl-PL"/>
        </w:rPr>
        <w:t xml:space="preserve">W </w:t>
      </w:r>
      <w:r w:rsidR="00FE7CDD" w:rsidRPr="008B59FD">
        <w:rPr>
          <w:lang w:val="pl-PL"/>
        </w:rPr>
        <w:t>I</w:t>
      </w:r>
      <w:r w:rsidRPr="008B59FD">
        <w:rPr>
          <w:lang w:val="pl-PL"/>
        </w:rPr>
        <w:t xml:space="preserve"> kw. 202</w:t>
      </w:r>
      <w:r w:rsidR="004D116B" w:rsidRPr="008B59FD">
        <w:rPr>
          <w:lang w:val="pl-PL"/>
        </w:rPr>
        <w:t>4</w:t>
      </w:r>
      <w:r w:rsidR="000F4EDC" w:rsidRPr="008B59FD">
        <w:rPr>
          <w:lang w:val="pl-PL"/>
        </w:rPr>
        <w:t xml:space="preserve"> r. wydatki sektora instytucji rządowych i samorządowych (ESA2010) wyniosły </w:t>
      </w:r>
      <w:r w:rsidR="004D116B" w:rsidRPr="008B59FD">
        <w:rPr>
          <w:lang w:val="pl-PL"/>
        </w:rPr>
        <w:t>381,1</w:t>
      </w:r>
      <w:r w:rsidR="000F4EDC" w:rsidRPr="008B59FD">
        <w:rPr>
          <w:lang w:val="pl-PL"/>
        </w:rPr>
        <w:t xml:space="preserve"> mld zł</w:t>
      </w:r>
      <w:r w:rsidRPr="008B59FD">
        <w:rPr>
          <w:lang w:val="pl-PL"/>
        </w:rPr>
        <w:t xml:space="preserve"> i były nominalnie wyższe o </w:t>
      </w:r>
      <w:r w:rsidR="004D116B" w:rsidRPr="008B59FD">
        <w:rPr>
          <w:lang w:val="pl-PL"/>
        </w:rPr>
        <w:t>18,0</w:t>
      </w:r>
      <w:r w:rsidR="000F4EDC" w:rsidRPr="008B59FD">
        <w:rPr>
          <w:lang w:val="pl-PL"/>
        </w:rPr>
        <w:t>% r/r (w</w:t>
      </w:r>
      <w:r w:rsidRPr="008B59FD">
        <w:rPr>
          <w:lang w:val="pl-PL"/>
        </w:rPr>
        <w:t xml:space="preserve">zrost w relacji do PKB r/r o </w:t>
      </w:r>
      <w:r w:rsidR="00FA7521" w:rsidRPr="008B59FD">
        <w:rPr>
          <w:lang w:val="pl-PL"/>
        </w:rPr>
        <w:t>5,</w:t>
      </w:r>
      <w:r w:rsidR="004D116B" w:rsidRPr="008B59FD">
        <w:rPr>
          <w:lang w:val="pl-PL"/>
        </w:rPr>
        <w:t>3</w:t>
      </w:r>
      <w:r w:rsidR="000F4EDC" w:rsidRPr="008B59FD">
        <w:rPr>
          <w:lang w:val="pl-PL"/>
        </w:rPr>
        <w:t xml:space="preserve"> pkt. proc.)</w:t>
      </w:r>
      <w:r w:rsidR="00700112" w:rsidRPr="008B59FD">
        <w:rPr>
          <w:lang w:val="pl-PL"/>
        </w:rPr>
        <w:t>.</w:t>
      </w:r>
    </w:p>
    <w:p w14:paraId="65EAF41B" w14:textId="02B92D26" w:rsidR="00700112" w:rsidRPr="00FA05DB" w:rsidRDefault="00700112" w:rsidP="00700112">
      <w:pPr>
        <w:spacing w:after="120"/>
        <w:rPr>
          <w:lang w:val="pl-PL"/>
        </w:rPr>
      </w:pPr>
      <w:r w:rsidRPr="00FA05DB">
        <w:rPr>
          <w:lang w:val="pl-PL"/>
        </w:rPr>
        <w:t xml:space="preserve">Istotny </w:t>
      </w:r>
      <w:r w:rsidR="00FA05DB" w:rsidRPr="00FA05DB">
        <w:rPr>
          <w:lang w:val="pl-PL"/>
        </w:rPr>
        <w:t xml:space="preserve">spadek </w:t>
      </w:r>
      <w:r w:rsidRPr="00FA05DB">
        <w:rPr>
          <w:lang w:val="pl-PL"/>
        </w:rPr>
        <w:t>wydatków</w:t>
      </w:r>
      <w:r w:rsidR="00FA05DB" w:rsidRPr="00FA05DB">
        <w:rPr>
          <w:lang w:val="pl-PL"/>
        </w:rPr>
        <w:t xml:space="preserve"> miał miejsce</w:t>
      </w:r>
      <w:r w:rsidRPr="00FA05DB">
        <w:rPr>
          <w:lang w:val="pl-PL"/>
        </w:rPr>
        <w:t xml:space="preserve"> w kategorii dotacje (dla przedsiębiorców) tj. </w:t>
      </w:r>
      <w:r w:rsidR="00FA05DB" w:rsidRPr="00FA05DB">
        <w:rPr>
          <w:lang w:val="pl-PL"/>
        </w:rPr>
        <w:t>spadek</w:t>
      </w:r>
      <w:r w:rsidRPr="00FA05DB">
        <w:rPr>
          <w:lang w:val="pl-PL"/>
        </w:rPr>
        <w:t xml:space="preserve"> o </w:t>
      </w:r>
      <w:r w:rsidR="00FA05DB" w:rsidRPr="00FA05DB">
        <w:rPr>
          <w:lang w:val="pl-PL"/>
        </w:rPr>
        <w:t>17</w:t>
      </w:r>
      <w:r w:rsidRPr="00FA05DB">
        <w:rPr>
          <w:lang w:val="pl-PL"/>
        </w:rPr>
        <w:t xml:space="preserve">,8% r/r, co </w:t>
      </w:r>
      <w:r w:rsidR="00FA05DB" w:rsidRPr="00FA05DB">
        <w:rPr>
          <w:lang w:val="pl-PL"/>
        </w:rPr>
        <w:t xml:space="preserve">można powiązać z wygaszaniem </w:t>
      </w:r>
      <w:r w:rsidRPr="00FA05DB">
        <w:rPr>
          <w:lang w:val="pl-PL"/>
        </w:rPr>
        <w:t xml:space="preserve">działań osłonowych </w:t>
      </w:r>
      <w:r w:rsidR="00E10C03">
        <w:rPr>
          <w:lang w:val="pl-PL"/>
        </w:rPr>
        <w:t xml:space="preserve">łagodzących </w:t>
      </w:r>
      <w:r w:rsidRPr="00FA05DB">
        <w:rPr>
          <w:lang w:val="pl-PL"/>
        </w:rPr>
        <w:t>wzrost cen nośników energii.</w:t>
      </w:r>
      <w:r w:rsidR="00FA05DB" w:rsidRPr="00FA05DB">
        <w:rPr>
          <w:lang w:val="pl-PL"/>
        </w:rPr>
        <w:t xml:space="preserve"> W poprzednich kwartałach mieliśmy do czynienia z bezprecedensowym wzrostem w </w:t>
      </w:r>
      <w:r w:rsidR="00FA05DB">
        <w:rPr>
          <w:lang w:val="pl-PL"/>
        </w:rPr>
        <w:t>w/w</w:t>
      </w:r>
      <w:r w:rsidR="00FA05DB" w:rsidRPr="00FA05DB">
        <w:rPr>
          <w:lang w:val="pl-PL"/>
        </w:rPr>
        <w:t xml:space="preserve"> kategorii.</w:t>
      </w:r>
      <w:r w:rsidR="00E10C03">
        <w:rPr>
          <w:lang w:val="pl-PL"/>
        </w:rPr>
        <w:t xml:space="preserve"> Zgodnie z </w:t>
      </w:r>
      <w:r w:rsidR="003A4003">
        <w:rPr>
          <w:lang w:val="pl-PL"/>
        </w:rPr>
        <w:t xml:space="preserve">prognozą opublikowaną w </w:t>
      </w:r>
      <w:r w:rsidR="00E10C03" w:rsidRPr="003A4003">
        <w:rPr>
          <w:i/>
          <w:iCs/>
          <w:lang w:val="pl-PL"/>
        </w:rPr>
        <w:t>Wieloletnim Plan</w:t>
      </w:r>
      <w:r w:rsidR="003A4003" w:rsidRPr="003A4003">
        <w:rPr>
          <w:i/>
          <w:iCs/>
          <w:lang w:val="pl-PL"/>
        </w:rPr>
        <w:t>i</w:t>
      </w:r>
      <w:r w:rsidR="00E10C03" w:rsidRPr="003A4003">
        <w:rPr>
          <w:i/>
          <w:iCs/>
          <w:lang w:val="pl-PL"/>
        </w:rPr>
        <w:t>e Finansowym Państwa na lata</w:t>
      </w:r>
      <w:r w:rsidR="003A4003" w:rsidRPr="003A4003">
        <w:rPr>
          <w:i/>
          <w:iCs/>
          <w:lang w:val="pl-PL"/>
        </w:rPr>
        <w:t xml:space="preserve"> </w:t>
      </w:r>
      <w:r w:rsidR="00E10C03" w:rsidRPr="003A4003">
        <w:rPr>
          <w:i/>
          <w:iCs/>
          <w:lang w:val="pl-PL"/>
        </w:rPr>
        <w:t>2024-2027</w:t>
      </w:r>
      <w:r w:rsidR="00E10C03">
        <w:rPr>
          <w:lang w:val="pl-PL"/>
        </w:rPr>
        <w:t xml:space="preserve"> wydatki związane z działaniami osłonowymi spadną z 1,5% PKB w 2023 r. do </w:t>
      </w:r>
      <w:r w:rsidR="0059058E">
        <w:rPr>
          <w:lang w:val="pl-PL"/>
        </w:rPr>
        <w:t>0,8% PKB w</w:t>
      </w:r>
      <w:r w:rsidR="003A4003">
        <w:rPr>
          <w:lang w:val="pl-PL"/>
        </w:rPr>
        <w:t> </w:t>
      </w:r>
      <w:r w:rsidR="0059058E">
        <w:rPr>
          <w:lang w:val="pl-PL"/>
        </w:rPr>
        <w:t>2024</w:t>
      </w:r>
      <w:r w:rsidR="003A4003">
        <w:rPr>
          <w:lang w:val="pl-PL"/>
        </w:rPr>
        <w:t> </w:t>
      </w:r>
      <w:r w:rsidR="0059058E">
        <w:rPr>
          <w:lang w:val="pl-PL"/>
        </w:rPr>
        <w:t>r.</w:t>
      </w:r>
    </w:p>
    <w:p w14:paraId="01A392DE" w14:textId="114E4A92" w:rsidR="00700112" w:rsidRPr="0059058E" w:rsidRDefault="003A4003" w:rsidP="00700112">
      <w:pPr>
        <w:spacing w:after="120"/>
        <w:rPr>
          <w:lang w:val="pl-PL"/>
        </w:rPr>
      </w:pPr>
      <w:r>
        <w:rPr>
          <w:lang w:val="pl-PL"/>
        </w:rPr>
        <w:lastRenderedPageBreak/>
        <w:t xml:space="preserve">Największy wzrost </w:t>
      </w:r>
      <w:r w:rsidR="00700112" w:rsidRPr="0059058E">
        <w:rPr>
          <w:lang w:val="pl-PL"/>
        </w:rPr>
        <w:t xml:space="preserve">wydatków </w:t>
      </w:r>
      <w:r w:rsidRPr="0059058E">
        <w:rPr>
          <w:lang w:val="pl-PL"/>
        </w:rPr>
        <w:t xml:space="preserve">o 60,9% r/r </w:t>
      </w:r>
      <w:r w:rsidR="004E5DEB">
        <w:rPr>
          <w:lang w:val="pl-PL"/>
        </w:rPr>
        <w:t xml:space="preserve">(w relacji do PKB o 0,7 pp.) </w:t>
      </w:r>
      <w:r w:rsidR="00700112" w:rsidRPr="0059058E">
        <w:rPr>
          <w:lang w:val="pl-PL"/>
        </w:rPr>
        <w:t xml:space="preserve">nastąpił w pozycji </w:t>
      </w:r>
      <w:r>
        <w:rPr>
          <w:lang w:val="pl-PL"/>
        </w:rPr>
        <w:t>„</w:t>
      </w:r>
      <w:r w:rsidR="00700112" w:rsidRPr="0059058E">
        <w:rPr>
          <w:lang w:val="pl-PL"/>
        </w:rPr>
        <w:t>odsetki</w:t>
      </w:r>
      <w:r>
        <w:rPr>
          <w:lang w:val="pl-PL"/>
        </w:rPr>
        <w:t>”</w:t>
      </w:r>
      <w:r w:rsidR="00700112" w:rsidRPr="0059058E">
        <w:rPr>
          <w:lang w:val="pl-PL"/>
        </w:rPr>
        <w:t xml:space="preserve"> </w:t>
      </w:r>
      <w:r>
        <w:rPr>
          <w:lang w:val="pl-PL"/>
        </w:rPr>
        <w:t xml:space="preserve">odzwierciedlającej koszty obsługi zadłużenia całego sektora </w:t>
      </w:r>
      <w:r w:rsidRPr="00C42526">
        <w:rPr>
          <w:lang w:val="pl-PL"/>
        </w:rPr>
        <w:t>instytucji rządowych i</w:t>
      </w:r>
      <w:r w:rsidR="004E5DEB">
        <w:rPr>
          <w:lang w:val="pl-PL"/>
        </w:rPr>
        <w:t> </w:t>
      </w:r>
      <w:r w:rsidRPr="00C42526">
        <w:rPr>
          <w:lang w:val="pl-PL"/>
        </w:rPr>
        <w:t>samorządowych (ESA2010)</w:t>
      </w:r>
      <w:r>
        <w:rPr>
          <w:lang w:val="pl-PL"/>
        </w:rPr>
        <w:t>.</w:t>
      </w:r>
    </w:p>
    <w:p w14:paraId="73653052" w14:textId="3C8EA558" w:rsidR="00700112" w:rsidRPr="00CC7BA5" w:rsidRDefault="00700112" w:rsidP="00700112">
      <w:pPr>
        <w:spacing w:after="120"/>
        <w:rPr>
          <w:lang w:val="pl-PL"/>
        </w:rPr>
      </w:pPr>
      <w:r w:rsidRPr="00CC7BA5">
        <w:rPr>
          <w:lang w:val="pl-PL"/>
        </w:rPr>
        <w:t>W I kw. 202</w:t>
      </w:r>
      <w:r w:rsidR="00CC7BA5" w:rsidRPr="00CC7BA5">
        <w:rPr>
          <w:lang w:val="pl-PL"/>
        </w:rPr>
        <w:t>4</w:t>
      </w:r>
      <w:r w:rsidRPr="00CC7BA5">
        <w:rPr>
          <w:lang w:val="pl-PL"/>
        </w:rPr>
        <w:t xml:space="preserve"> r. świadczenia socjalne wzrosły nominalnie o </w:t>
      </w:r>
      <w:r w:rsidR="00CC7BA5" w:rsidRPr="00CC7BA5">
        <w:rPr>
          <w:lang w:val="pl-PL"/>
        </w:rPr>
        <w:t>18,8</w:t>
      </w:r>
      <w:r w:rsidRPr="00CC7BA5">
        <w:rPr>
          <w:lang w:val="pl-PL"/>
        </w:rPr>
        <w:t>% r/r</w:t>
      </w:r>
      <w:r w:rsidR="004E5DEB">
        <w:rPr>
          <w:lang w:val="pl-PL"/>
        </w:rPr>
        <w:t xml:space="preserve"> (w relacji do PKB o 2,3 pp.)</w:t>
      </w:r>
      <w:r w:rsidRPr="00CC7BA5">
        <w:rPr>
          <w:lang w:val="pl-PL"/>
        </w:rPr>
        <w:t xml:space="preserve"> tj. powyżej tempa wzrostu przeciętnego kwartalnego funduszu emerytur i</w:t>
      </w:r>
      <w:r w:rsidR="002C6208">
        <w:rPr>
          <w:lang w:val="pl-PL"/>
        </w:rPr>
        <w:t> </w:t>
      </w:r>
      <w:r w:rsidRPr="00CC7BA5">
        <w:rPr>
          <w:lang w:val="pl-PL"/>
        </w:rPr>
        <w:t>rent, które wyniosło 1</w:t>
      </w:r>
      <w:r w:rsidR="00CC7BA5" w:rsidRPr="00CC7BA5">
        <w:rPr>
          <w:lang w:val="pl-PL"/>
        </w:rPr>
        <w:t>7,4</w:t>
      </w:r>
      <w:r w:rsidRPr="00CC7BA5">
        <w:rPr>
          <w:lang w:val="pl-PL"/>
        </w:rPr>
        <w:t>% r/r.</w:t>
      </w:r>
      <w:r w:rsidR="004E5DEB">
        <w:rPr>
          <w:lang w:val="pl-PL"/>
        </w:rPr>
        <w:t xml:space="preserve"> </w:t>
      </w:r>
    </w:p>
    <w:p w14:paraId="0BFB9FB2" w14:textId="6B39ACFA" w:rsidR="00700112" w:rsidRPr="00481372" w:rsidRDefault="00700112" w:rsidP="00700112">
      <w:pPr>
        <w:spacing w:after="120"/>
        <w:rPr>
          <w:lang w:val="pl-PL"/>
        </w:rPr>
      </w:pPr>
      <w:r w:rsidRPr="00481372">
        <w:rPr>
          <w:lang w:val="pl-PL"/>
        </w:rPr>
        <w:t>W I kw. 202</w:t>
      </w:r>
      <w:r w:rsidR="00481372" w:rsidRPr="00481372">
        <w:rPr>
          <w:lang w:val="pl-PL"/>
        </w:rPr>
        <w:t>4</w:t>
      </w:r>
      <w:r w:rsidRPr="00481372">
        <w:rPr>
          <w:lang w:val="pl-PL"/>
        </w:rPr>
        <w:t xml:space="preserve"> r. odnotowano nominalny wzrost spożycia publicznego o 1</w:t>
      </w:r>
      <w:r w:rsidR="00481372" w:rsidRPr="00481372">
        <w:rPr>
          <w:lang w:val="pl-PL"/>
        </w:rPr>
        <w:t>6,0</w:t>
      </w:r>
      <w:r w:rsidRPr="00481372">
        <w:rPr>
          <w:lang w:val="pl-PL"/>
        </w:rPr>
        <w:t xml:space="preserve">% r/r, na co wpływ miał głównie wzrost kosztów pracy o </w:t>
      </w:r>
      <w:r w:rsidR="00481372" w:rsidRPr="00481372">
        <w:rPr>
          <w:lang w:val="pl-PL"/>
        </w:rPr>
        <w:t>20</w:t>
      </w:r>
      <w:r w:rsidRPr="00481372">
        <w:rPr>
          <w:lang w:val="pl-PL"/>
        </w:rPr>
        <w:t xml:space="preserve">,4% r/r. </w:t>
      </w:r>
      <w:r w:rsidR="00F45B2A" w:rsidRPr="00F45B2A">
        <w:rPr>
          <w:lang w:val="pl-PL"/>
        </w:rPr>
        <w:t xml:space="preserve">Zgodnie z ustawą budżetową na 2024 </w:t>
      </w:r>
      <w:r w:rsidR="002C6208">
        <w:rPr>
          <w:lang w:val="pl-PL"/>
        </w:rPr>
        <w:t xml:space="preserve">r. </w:t>
      </w:r>
      <w:r w:rsidR="00F45B2A" w:rsidRPr="00F45B2A">
        <w:rPr>
          <w:lang w:val="pl-PL"/>
        </w:rPr>
        <w:t>podwyższone zostały wynagrodzenia nauczycieli o 30% ( a w przypadku nauczycieli początkujących o 33%), natomiast wynagrodzenia państwowej sfery budżetowej o 20%.</w:t>
      </w:r>
    </w:p>
    <w:p w14:paraId="57E043A8" w14:textId="450D3B70" w:rsidR="00D73672" w:rsidRPr="00CB4B55" w:rsidRDefault="00D73672" w:rsidP="00CB4B55">
      <w:pPr>
        <w:rPr>
          <w:i/>
          <w:lang w:val="pl-PL"/>
        </w:rPr>
      </w:pPr>
      <w:r w:rsidRPr="00CB4B55">
        <w:rPr>
          <w:lang w:val="pl-PL"/>
        </w:rPr>
        <w:t xml:space="preserve">Wykres </w:t>
      </w:r>
      <w:r w:rsidRPr="00CB4B55">
        <w:rPr>
          <w:i/>
        </w:rPr>
        <w:fldChar w:fldCharType="begin"/>
      </w:r>
      <w:r w:rsidRPr="00CB4B55">
        <w:rPr>
          <w:lang w:val="pl-PL"/>
        </w:rPr>
        <w:instrText xml:space="preserve"> SEQ Wykres \* ARABIC </w:instrText>
      </w:r>
      <w:r w:rsidRPr="00CB4B55">
        <w:rPr>
          <w:i/>
        </w:rPr>
        <w:fldChar w:fldCharType="separate"/>
      </w:r>
      <w:r w:rsidR="00AC664F">
        <w:rPr>
          <w:noProof/>
          <w:lang w:val="pl-PL"/>
        </w:rPr>
        <w:t>4</w:t>
      </w:r>
      <w:r w:rsidRPr="00CB4B55">
        <w:rPr>
          <w:i/>
        </w:rPr>
        <w:fldChar w:fldCharType="end"/>
      </w:r>
      <w:r w:rsidRPr="00CB4B55">
        <w:rPr>
          <w:lang w:val="pl-PL"/>
        </w:rPr>
        <w:t xml:space="preserve">. Struktura wydatków sektora instytucji rządowych i samorządowych w </w:t>
      </w:r>
      <w:r w:rsidR="00700112" w:rsidRPr="00CB4B55">
        <w:rPr>
          <w:lang w:val="pl-PL"/>
        </w:rPr>
        <w:t>I</w:t>
      </w:r>
      <w:r w:rsidRPr="00CB4B55">
        <w:rPr>
          <w:lang w:val="pl-PL"/>
        </w:rPr>
        <w:t xml:space="preserve"> kw. 202</w:t>
      </w:r>
      <w:r w:rsidR="00CB4B55">
        <w:rPr>
          <w:i/>
          <w:lang w:val="pl-PL"/>
        </w:rPr>
        <w:t>4</w:t>
      </w:r>
      <w:r w:rsidRPr="00CB4B55">
        <w:rPr>
          <w:lang w:val="pl-PL"/>
        </w:rPr>
        <w:t xml:space="preserve"> r. (w</w:t>
      </w:r>
      <w:r w:rsidR="00E9428E" w:rsidRPr="00CB4B55">
        <w:rPr>
          <w:lang w:val="pl-PL"/>
        </w:rPr>
        <w:t xml:space="preserve"> </w:t>
      </w:r>
      <w:r w:rsidRPr="00CB4B55">
        <w:rPr>
          <w:lang w:val="pl-PL"/>
        </w:rPr>
        <w:t>%).</w:t>
      </w:r>
      <w:r w:rsidR="00AC42A5">
        <w:rPr>
          <w:noProof/>
        </w:rPr>
        <w:drawing>
          <wp:inline distT="0" distB="0" distL="0" distR="0" wp14:anchorId="311F844B" wp14:editId="08906A15">
            <wp:extent cx="5753460" cy="3652209"/>
            <wp:effectExtent l="95250" t="57150" r="95250" b="158115"/>
            <wp:docPr id="2" name="Wykres 2" descr="Wykres 4.&#10;Wykres przedstawia strukturę wydatków sektora instytucji rządowych i samorządowych w I kwartale 2024 roku w podziale na: świadczenia socjale 42,5%, koszty pracy 23,7%, zużycie pośrednie 12,8%, inwestycje 6,1%, odsetki 4,6% i pozostałe 10,3%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86337E1" w14:textId="45964E60" w:rsidR="000F4EDC" w:rsidRDefault="003900DE" w:rsidP="00700C2E">
      <w:pPr>
        <w:spacing w:after="120"/>
        <w:rPr>
          <w:lang w:val="pl-PL"/>
        </w:rPr>
      </w:pPr>
      <w:r w:rsidRPr="00741FB2">
        <w:rPr>
          <w:lang w:val="pl-PL"/>
        </w:rPr>
        <w:lastRenderedPageBreak/>
        <w:t>W I</w:t>
      </w:r>
      <w:r w:rsidR="000F4EDC" w:rsidRPr="00741FB2">
        <w:rPr>
          <w:lang w:val="pl-PL"/>
        </w:rPr>
        <w:t xml:space="preserve"> kw. br. nastąpił </w:t>
      </w:r>
      <w:r w:rsidR="0014705F">
        <w:rPr>
          <w:lang w:val="pl-PL"/>
        </w:rPr>
        <w:t xml:space="preserve">nominalny </w:t>
      </w:r>
      <w:r w:rsidR="000F4EDC" w:rsidRPr="00741FB2">
        <w:rPr>
          <w:lang w:val="pl-PL"/>
        </w:rPr>
        <w:t xml:space="preserve">wzrost wydatków inwestycyjnych sektora instytucji </w:t>
      </w:r>
      <w:r w:rsidRPr="00741FB2">
        <w:rPr>
          <w:lang w:val="pl-PL"/>
        </w:rPr>
        <w:t xml:space="preserve">rządowych </w:t>
      </w:r>
      <w:r w:rsidRPr="00BB4181">
        <w:rPr>
          <w:lang w:val="pl-PL"/>
        </w:rPr>
        <w:t>i</w:t>
      </w:r>
      <w:r w:rsidR="00B62053" w:rsidRPr="00BB4181">
        <w:rPr>
          <w:lang w:val="pl-PL"/>
        </w:rPr>
        <w:t> </w:t>
      </w:r>
      <w:r w:rsidRPr="00BB4181">
        <w:rPr>
          <w:lang w:val="pl-PL"/>
        </w:rPr>
        <w:t xml:space="preserve">samorządowych o </w:t>
      </w:r>
      <w:r w:rsidR="00F45B2A" w:rsidRPr="00BB4181">
        <w:rPr>
          <w:lang w:val="pl-PL"/>
        </w:rPr>
        <w:t>16,4</w:t>
      </w:r>
      <w:r w:rsidR="007C1C55" w:rsidRPr="00BB4181">
        <w:rPr>
          <w:lang w:val="pl-PL"/>
        </w:rPr>
        <w:t xml:space="preserve"> </w:t>
      </w:r>
      <w:r w:rsidR="000F4EDC" w:rsidRPr="00BB4181">
        <w:rPr>
          <w:lang w:val="pl-PL"/>
        </w:rPr>
        <w:t>% r/r</w:t>
      </w:r>
      <w:r w:rsidR="002C6208">
        <w:rPr>
          <w:lang w:val="pl-PL"/>
        </w:rPr>
        <w:t xml:space="preserve"> (w relacji do PKB o 0,3 pp.)</w:t>
      </w:r>
      <w:r w:rsidR="000F4EDC" w:rsidRPr="00BB4181">
        <w:rPr>
          <w:lang w:val="pl-PL"/>
        </w:rPr>
        <w:t xml:space="preserve">, </w:t>
      </w:r>
      <w:r w:rsidR="002C6208">
        <w:rPr>
          <w:lang w:val="pl-PL"/>
        </w:rPr>
        <w:t>wynikający w</w:t>
      </w:r>
      <w:r w:rsidR="0014705F">
        <w:rPr>
          <w:lang w:val="pl-PL"/>
        </w:rPr>
        <w:t> </w:t>
      </w:r>
      <w:r w:rsidR="002C6208">
        <w:rPr>
          <w:lang w:val="pl-PL"/>
        </w:rPr>
        <w:t xml:space="preserve">większym stopniu ze wzrostu wydatków jednostek sektora rządowego, gdyż </w:t>
      </w:r>
      <w:r w:rsidR="000F4EDC" w:rsidRPr="00BB4181">
        <w:rPr>
          <w:lang w:val="pl-PL"/>
        </w:rPr>
        <w:t xml:space="preserve">wydatki inwestycyjne realizowane przez samorządy </w:t>
      </w:r>
      <w:r w:rsidR="006E327A" w:rsidRPr="00BB4181">
        <w:rPr>
          <w:lang w:val="pl-PL"/>
        </w:rPr>
        <w:t>w ujęciu kasowym</w:t>
      </w:r>
      <w:r w:rsidR="00237EBC" w:rsidRPr="00BB4181">
        <w:rPr>
          <w:lang w:val="pl-PL"/>
        </w:rPr>
        <w:t xml:space="preserve"> wzrosły jedynie </w:t>
      </w:r>
      <w:r w:rsidR="006E327A" w:rsidRPr="00BB4181">
        <w:rPr>
          <w:lang w:val="pl-PL"/>
        </w:rPr>
        <w:t xml:space="preserve">o </w:t>
      </w:r>
      <w:r w:rsidR="002C6208">
        <w:rPr>
          <w:lang w:val="pl-PL"/>
        </w:rPr>
        <w:t xml:space="preserve">ok. </w:t>
      </w:r>
      <w:r w:rsidR="00BB4181" w:rsidRPr="00BB4181">
        <w:rPr>
          <w:lang w:val="pl-PL"/>
        </w:rPr>
        <w:t>7,0</w:t>
      </w:r>
      <w:r w:rsidR="000F4EDC" w:rsidRPr="00BB4181">
        <w:rPr>
          <w:lang w:val="pl-PL"/>
        </w:rPr>
        <w:t>%</w:t>
      </w:r>
      <w:r w:rsidR="002C6208">
        <w:rPr>
          <w:lang w:val="pl-PL"/>
        </w:rPr>
        <w:t> </w:t>
      </w:r>
      <w:r w:rsidR="000F4EDC" w:rsidRPr="00BB4181">
        <w:rPr>
          <w:lang w:val="pl-PL"/>
        </w:rPr>
        <w:t>r/r.</w:t>
      </w:r>
    </w:p>
    <w:p w14:paraId="316360AC" w14:textId="77777777" w:rsidR="000F4EDC" w:rsidRDefault="000F4EDC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4C806739" w14:textId="77777777" w:rsidR="005E4D22" w:rsidRPr="005E4D22" w:rsidRDefault="005E4D22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9" w:name="_Toc173312079"/>
      <w:r w:rsidRPr="005E4D22">
        <w:rPr>
          <w:lang w:val="pl-PL"/>
        </w:rPr>
        <w:lastRenderedPageBreak/>
        <w:t>Dług publiczny oraz potrzeby pożyczkowe</w:t>
      </w:r>
      <w:bookmarkEnd w:id="9"/>
    </w:p>
    <w:p w14:paraId="7504CD25" w14:textId="77777777" w:rsidR="000F4EDC" w:rsidRPr="000F4EDC" w:rsidRDefault="000F4EDC" w:rsidP="005E4D22">
      <w:pPr>
        <w:pStyle w:val="Nagwek2"/>
        <w:rPr>
          <w:lang w:val="pl-PL"/>
        </w:rPr>
      </w:pPr>
      <w:bookmarkStart w:id="10" w:name="_Toc173312080"/>
      <w:r>
        <w:rPr>
          <w:lang w:val="pl-PL"/>
        </w:rPr>
        <w:t>2</w:t>
      </w:r>
      <w:r w:rsidRPr="000F4EDC">
        <w:rPr>
          <w:lang w:val="pl-PL"/>
        </w:rPr>
        <w:t>.1. Dług sektora instytucji rządowych i samorządowych (wg definicji UE)</w:t>
      </w:r>
      <w:bookmarkEnd w:id="10"/>
    </w:p>
    <w:p w14:paraId="5D5EAFA6" w14:textId="77777777" w:rsidR="00731EA3" w:rsidRDefault="00731EA3" w:rsidP="00731EA3">
      <w:pPr>
        <w:spacing w:after="120"/>
        <w:rPr>
          <w:lang w:val="pl-PL"/>
        </w:rPr>
      </w:pPr>
      <w:r w:rsidRPr="0029181F">
        <w:rPr>
          <w:lang w:val="pl-PL"/>
        </w:rPr>
        <w:t>Na koniec I kw. 202</w:t>
      </w:r>
      <w:r>
        <w:rPr>
          <w:lang w:val="pl-PL"/>
        </w:rPr>
        <w:t>4</w:t>
      </w:r>
      <w:r w:rsidRPr="0029181F">
        <w:rPr>
          <w:lang w:val="pl-PL"/>
        </w:rPr>
        <w:t xml:space="preserve"> r. dług sektora instytucji rządowych i samorządowych (dług EDP) stanowiący jeden z elementów kryterium fiskalnego z </w:t>
      </w:r>
      <w:proofErr w:type="spellStart"/>
      <w:r w:rsidRPr="0029181F">
        <w:rPr>
          <w:lang w:val="pl-PL"/>
        </w:rPr>
        <w:t>Maastricht</w:t>
      </w:r>
      <w:proofErr w:type="spellEnd"/>
      <w:r w:rsidRPr="0029181F">
        <w:rPr>
          <w:lang w:val="pl-PL"/>
        </w:rPr>
        <w:t xml:space="preserve"> wyniósł 1.</w:t>
      </w:r>
      <w:r>
        <w:rPr>
          <w:lang w:val="pl-PL"/>
        </w:rPr>
        <w:t>771</w:t>
      </w:r>
      <w:r w:rsidRPr="0029181F">
        <w:rPr>
          <w:lang w:val="pl-PL"/>
        </w:rPr>
        <w:t>,</w:t>
      </w:r>
      <w:r>
        <w:rPr>
          <w:lang w:val="pl-PL"/>
        </w:rPr>
        <w:t>8</w:t>
      </w:r>
      <w:r w:rsidRPr="0029181F">
        <w:rPr>
          <w:lang w:val="pl-PL"/>
        </w:rPr>
        <w:t xml:space="preserve"> mld zł, co oznaczało wzrost o </w:t>
      </w:r>
      <w:r>
        <w:rPr>
          <w:lang w:val="pl-PL"/>
        </w:rPr>
        <w:t>80</w:t>
      </w:r>
      <w:r w:rsidRPr="0029181F">
        <w:rPr>
          <w:lang w:val="pl-PL"/>
        </w:rPr>
        <w:t>,</w:t>
      </w:r>
      <w:r>
        <w:rPr>
          <w:lang w:val="pl-PL"/>
        </w:rPr>
        <w:t>6</w:t>
      </w:r>
      <w:r w:rsidRPr="0029181F">
        <w:rPr>
          <w:lang w:val="pl-PL"/>
        </w:rPr>
        <w:t xml:space="preserve"> mld zł (+</w:t>
      </w:r>
      <w:r>
        <w:rPr>
          <w:lang w:val="pl-PL"/>
        </w:rPr>
        <w:t>4,8</w:t>
      </w:r>
      <w:r w:rsidRPr="0029181F">
        <w:rPr>
          <w:lang w:val="pl-PL"/>
        </w:rPr>
        <w:t>%) w porównaniu z końcem poprzedniego kwartału.</w:t>
      </w:r>
    </w:p>
    <w:p w14:paraId="05871CDB" w14:textId="0A54E6B9" w:rsidR="00D73672" w:rsidRPr="00731EA3" w:rsidRDefault="00D73672" w:rsidP="00D3562F">
      <w:pPr>
        <w:rPr>
          <w:i/>
          <w:lang w:val="pl-PL"/>
        </w:rPr>
      </w:pPr>
      <w:r w:rsidRPr="00731EA3">
        <w:rPr>
          <w:lang w:val="pl-PL"/>
        </w:rPr>
        <w:t xml:space="preserve">Wykres </w:t>
      </w:r>
      <w:r w:rsidRPr="00731EA3">
        <w:rPr>
          <w:i/>
        </w:rPr>
        <w:fldChar w:fldCharType="begin"/>
      </w:r>
      <w:r w:rsidRPr="00731EA3">
        <w:rPr>
          <w:lang w:val="pl-PL"/>
        </w:rPr>
        <w:instrText xml:space="preserve"> SEQ Wykres \* ARABIC </w:instrText>
      </w:r>
      <w:r w:rsidRPr="00731EA3">
        <w:rPr>
          <w:i/>
        </w:rPr>
        <w:fldChar w:fldCharType="separate"/>
      </w:r>
      <w:r w:rsidR="00AC664F">
        <w:rPr>
          <w:noProof/>
          <w:lang w:val="pl-PL"/>
        </w:rPr>
        <w:t>5</w:t>
      </w:r>
      <w:r w:rsidRPr="00731EA3">
        <w:rPr>
          <w:i/>
        </w:rPr>
        <w:fldChar w:fldCharType="end"/>
      </w:r>
      <w:r w:rsidRPr="00731EA3">
        <w:rPr>
          <w:lang w:val="pl-PL"/>
        </w:rPr>
        <w:t>. Dług EDP (w mld zł i % PKB</w:t>
      </w:r>
    </w:p>
    <w:p w14:paraId="184A6297" w14:textId="0EA53BA9" w:rsidR="001C341D" w:rsidRPr="00AF60F7" w:rsidRDefault="00731EA3" w:rsidP="000B05E6">
      <w:pPr>
        <w:spacing w:after="120"/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73EE8C1F" wp14:editId="23CC6067">
            <wp:extent cx="5619750" cy="3343275"/>
            <wp:effectExtent l="0" t="0" r="0" b="0"/>
            <wp:docPr id="5" name="Wykres 5" descr="Wykres 5.&#10;Wykres prezentuje poziom długu sektora instytucji rządowych i samorządowych EDP w mld zł i w relacji do PKB w latach 2013- 2023 oraz na koniec marca 2024 r. Dane szczegółowe dostępne w Aneksie statystycznym, na końcu opracowania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1AE895B" w14:textId="77777777" w:rsidR="00731EA3" w:rsidRPr="005E4D22" w:rsidRDefault="00731EA3" w:rsidP="00731EA3">
      <w:pPr>
        <w:spacing w:after="120"/>
        <w:rPr>
          <w:lang w:val="pl-PL"/>
        </w:rPr>
      </w:pPr>
      <w:r w:rsidRPr="005E4D22">
        <w:rPr>
          <w:lang w:val="pl-PL"/>
        </w:rPr>
        <w:t>Na dług EDP złożyło się zadłużenie podsektorów:</w:t>
      </w:r>
    </w:p>
    <w:p w14:paraId="6FD81A68" w14:textId="77777777" w:rsidR="00731EA3" w:rsidRPr="005E4D22" w:rsidRDefault="00731EA3" w:rsidP="00731EA3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rządowego 1.</w:t>
      </w:r>
      <w:r>
        <w:rPr>
          <w:lang w:val="pl-PL"/>
        </w:rPr>
        <w:t>660,4</w:t>
      </w:r>
      <w:r w:rsidRPr="005E4D22">
        <w:rPr>
          <w:lang w:val="pl-PL"/>
        </w:rPr>
        <w:t xml:space="preserve"> mld zł</w:t>
      </w:r>
      <w:r>
        <w:rPr>
          <w:lang w:val="pl-PL"/>
        </w:rPr>
        <w:t xml:space="preserve"> </w:t>
      </w:r>
      <w:r w:rsidRPr="005E4D22">
        <w:rPr>
          <w:lang w:val="pl-PL"/>
        </w:rPr>
        <w:t xml:space="preserve">(wzrost o </w:t>
      </w:r>
      <w:r>
        <w:rPr>
          <w:lang w:val="pl-PL"/>
        </w:rPr>
        <w:t xml:space="preserve">83,2 </w:t>
      </w:r>
      <w:r w:rsidRPr="005E4D22">
        <w:rPr>
          <w:lang w:val="pl-PL"/>
        </w:rPr>
        <w:t>mld zł w I kwartale),</w:t>
      </w:r>
    </w:p>
    <w:p w14:paraId="507A0A61" w14:textId="77777777" w:rsidR="00731EA3" w:rsidRPr="005E4D22" w:rsidRDefault="00731EA3" w:rsidP="00731EA3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 xml:space="preserve">samorządowego </w:t>
      </w:r>
      <w:r>
        <w:rPr>
          <w:lang w:val="pl-PL"/>
        </w:rPr>
        <w:t>111,4</w:t>
      </w:r>
      <w:r w:rsidRPr="005E4D22">
        <w:rPr>
          <w:lang w:val="pl-PL"/>
        </w:rPr>
        <w:t xml:space="preserve"> mld zł (</w:t>
      </w:r>
      <w:r>
        <w:rPr>
          <w:lang w:val="pl-PL"/>
        </w:rPr>
        <w:t>spadek</w:t>
      </w:r>
      <w:r w:rsidRPr="005E4D22">
        <w:rPr>
          <w:lang w:val="pl-PL"/>
        </w:rPr>
        <w:t xml:space="preserve"> o </w:t>
      </w:r>
      <w:r>
        <w:rPr>
          <w:lang w:val="pl-PL"/>
        </w:rPr>
        <w:t>2,6</w:t>
      </w:r>
      <w:r w:rsidRPr="005E4D22">
        <w:rPr>
          <w:lang w:val="pl-PL"/>
        </w:rPr>
        <w:t xml:space="preserve"> mld zł w </w:t>
      </w:r>
      <w:r>
        <w:rPr>
          <w:lang w:val="pl-PL"/>
        </w:rPr>
        <w:t>I</w:t>
      </w:r>
      <w:r w:rsidRPr="005E4D22">
        <w:rPr>
          <w:lang w:val="pl-PL"/>
        </w:rPr>
        <w:t xml:space="preserve"> kwartale),</w:t>
      </w:r>
    </w:p>
    <w:p w14:paraId="74ED1C27" w14:textId="77777777" w:rsidR="00731EA3" w:rsidRPr="005E4D22" w:rsidRDefault="00731EA3" w:rsidP="00731EA3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podsektor funduszy ubezpieczeń nie posiadał zadłużenia.</w:t>
      </w:r>
    </w:p>
    <w:p w14:paraId="475DFA1B" w14:textId="77777777" w:rsidR="00731EA3" w:rsidRPr="005E4D22" w:rsidRDefault="00731EA3" w:rsidP="00731EA3">
      <w:pPr>
        <w:spacing w:after="120"/>
        <w:rPr>
          <w:lang w:val="pl-PL"/>
        </w:rPr>
      </w:pPr>
      <w:r w:rsidRPr="005E4D22">
        <w:rPr>
          <w:lang w:val="pl-PL"/>
        </w:rPr>
        <w:t xml:space="preserve">Zmiana długu EDP w </w:t>
      </w:r>
      <w:r>
        <w:rPr>
          <w:lang w:val="pl-PL"/>
        </w:rPr>
        <w:t xml:space="preserve">I kw. </w:t>
      </w:r>
      <w:r w:rsidRPr="005E4D22">
        <w:rPr>
          <w:lang w:val="pl-PL"/>
        </w:rPr>
        <w:t>202</w:t>
      </w:r>
      <w:r>
        <w:rPr>
          <w:lang w:val="pl-PL"/>
        </w:rPr>
        <w:t>4</w:t>
      </w:r>
      <w:r w:rsidRPr="005E4D22">
        <w:rPr>
          <w:lang w:val="pl-PL"/>
        </w:rPr>
        <w:t xml:space="preserve"> r. wynikała głównie ze zmian zadłużenia SP. Ponadto innymi znaczącymi czynnikami były:</w:t>
      </w:r>
    </w:p>
    <w:p w14:paraId="7B50B40C" w14:textId="77777777" w:rsidR="00731EA3" w:rsidRPr="00F97536" w:rsidRDefault="00731EA3" w:rsidP="00731EA3">
      <w:pPr>
        <w:pStyle w:val="Akapitzlist"/>
        <w:rPr>
          <w:lang w:val="pl-PL"/>
        </w:rPr>
      </w:pPr>
      <w:r w:rsidRPr="00F97536">
        <w:rPr>
          <w:lang w:val="pl-PL"/>
        </w:rPr>
        <w:t>wzrost skonsolidowanego zadłużenia Funduszu Przeciwdziałania COVID-19</w:t>
      </w:r>
      <w:r>
        <w:rPr>
          <w:lang w:val="pl-PL"/>
        </w:rPr>
        <w:t xml:space="preserve"> </w:t>
      </w:r>
      <w:r w:rsidRPr="00F97536">
        <w:rPr>
          <w:lang w:val="pl-PL"/>
        </w:rPr>
        <w:t xml:space="preserve">o </w:t>
      </w:r>
      <w:r>
        <w:rPr>
          <w:lang w:val="pl-PL"/>
        </w:rPr>
        <w:t>10,</w:t>
      </w:r>
      <w:r w:rsidRPr="00F97536">
        <w:rPr>
          <w:lang w:val="pl-PL"/>
        </w:rPr>
        <w:t>3 ml</w:t>
      </w:r>
      <w:r>
        <w:rPr>
          <w:lang w:val="pl-PL"/>
        </w:rPr>
        <w:t>d</w:t>
      </w:r>
      <w:r w:rsidRPr="00F97536">
        <w:rPr>
          <w:lang w:val="pl-PL"/>
        </w:rPr>
        <w:t xml:space="preserve"> zł,</w:t>
      </w:r>
    </w:p>
    <w:p w14:paraId="6218332F" w14:textId="77777777" w:rsidR="00731EA3" w:rsidRPr="00362069" w:rsidRDefault="00731EA3" w:rsidP="00731EA3">
      <w:pPr>
        <w:pStyle w:val="Akapitzlist"/>
        <w:rPr>
          <w:lang w:val="pl-PL"/>
        </w:rPr>
      </w:pPr>
      <w:r w:rsidRPr="00F97536">
        <w:rPr>
          <w:lang w:val="pl-PL"/>
        </w:rPr>
        <w:lastRenderedPageBreak/>
        <w:t xml:space="preserve">wzrost zadłużenia Funduszu Pomocy o </w:t>
      </w:r>
      <w:r>
        <w:rPr>
          <w:lang w:val="pl-PL"/>
        </w:rPr>
        <w:t>1,0</w:t>
      </w:r>
      <w:r w:rsidRPr="00F97536">
        <w:rPr>
          <w:lang w:val="pl-PL"/>
        </w:rPr>
        <w:t xml:space="preserve"> ml</w:t>
      </w:r>
      <w:r>
        <w:rPr>
          <w:lang w:val="pl-PL"/>
        </w:rPr>
        <w:t>d</w:t>
      </w:r>
      <w:r w:rsidRPr="00F97536">
        <w:rPr>
          <w:lang w:val="pl-PL"/>
        </w:rPr>
        <w:t xml:space="preserve"> zł,</w:t>
      </w:r>
    </w:p>
    <w:p w14:paraId="5570719B" w14:textId="77777777" w:rsidR="00731EA3" w:rsidRDefault="00731EA3" w:rsidP="00731EA3">
      <w:pPr>
        <w:pStyle w:val="Akapitzlist"/>
        <w:rPr>
          <w:lang w:val="pl-PL"/>
        </w:rPr>
      </w:pPr>
      <w:r w:rsidRPr="00F97536">
        <w:rPr>
          <w:lang w:val="pl-PL"/>
        </w:rPr>
        <w:t>wzrost stanu depozytów na rachunku MF i posiadanych skarbowych papierów wartościowych przez fundusze umiejscowione w BGK o 2</w:t>
      </w:r>
      <w:r>
        <w:rPr>
          <w:lang w:val="pl-PL"/>
        </w:rPr>
        <w:t>,3</w:t>
      </w:r>
      <w:r w:rsidRPr="00F97536">
        <w:rPr>
          <w:lang w:val="pl-PL"/>
        </w:rPr>
        <w:t xml:space="preserve"> ml</w:t>
      </w:r>
      <w:r>
        <w:rPr>
          <w:lang w:val="pl-PL"/>
        </w:rPr>
        <w:t>d</w:t>
      </w:r>
      <w:r w:rsidRPr="00F97536">
        <w:rPr>
          <w:lang w:val="pl-PL"/>
        </w:rPr>
        <w:t xml:space="preserve"> zł, </w:t>
      </w:r>
      <w:r w:rsidRPr="00362069">
        <w:rPr>
          <w:lang w:val="pl-PL"/>
        </w:rPr>
        <w:t>co przełożyło spadek długu EDP w wyniku wzrostu konsolidacji wzajemnych zobowiązań</w:t>
      </w:r>
      <w:r>
        <w:rPr>
          <w:lang w:val="pl-PL"/>
        </w:rPr>
        <w:t>,</w:t>
      </w:r>
    </w:p>
    <w:p w14:paraId="55C337DA" w14:textId="77777777" w:rsidR="00731EA3" w:rsidRPr="00382EFA" w:rsidRDefault="00731EA3" w:rsidP="00731EA3">
      <w:pPr>
        <w:pStyle w:val="Akapitzlist"/>
        <w:rPr>
          <w:lang w:val="pl-PL"/>
        </w:rPr>
      </w:pPr>
      <w:r w:rsidRPr="00362069">
        <w:rPr>
          <w:lang w:val="pl-PL"/>
        </w:rPr>
        <w:t>spadek zadłużenia Polskiego Funduszu Rozwoju związanego z finansowaniem Tarczy Finansowej w wysokości 16</w:t>
      </w:r>
      <w:r>
        <w:rPr>
          <w:lang w:val="pl-PL"/>
        </w:rPr>
        <w:t>,</w:t>
      </w:r>
      <w:r w:rsidRPr="00362069">
        <w:rPr>
          <w:lang w:val="pl-PL"/>
        </w:rPr>
        <w:t>3 ml</w:t>
      </w:r>
      <w:r>
        <w:rPr>
          <w:lang w:val="pl-PL"/>
        </w:rPr>
        <w:t>d</w:t>
      </w:r>
      <w:r w:rsidRPr="00362069">
        <w:rPr>
          <w:lang w:val="pl-PL"/>
        </w:rPr>
        <w:t xml:space="preserve"> zł w wyniku wykupu obligacji PFR0324</w:t>
      </w:r>
      <w:r>
        <w:rPr>
          <w:lang w:val="pl-PL"/>
        </w:rPr>
        <w:t>.</w:t>
      </w:r>
    </w:p>
    <w:p w14:paraId="3D42794B" w14:textId="77777777" w:rsidR="00731EA3" w:rsidRPr="005E4D22" w:rsidRDefault="00731EA3" w:rsidP="00731EA3">
      <w:pPr>
        <w:spacing w:after="120"/>
        <w:rPr>
          <w:lang w:val="pl-PL"/>
        </w:rPr>
      </w:pPr>
      <w:r w:rsidRPr="005E4D22">
        <w:rPr>
          <w:lang w:val="pl-PL"/>
        </w:rPr>
        <w:t>Największy udział w długu sektora instytucji rządowych i samorządowych miał dług Skarbu Państwa (SP).</w:t>
      </w:r>
    </w:p>
    <w:p w14:paraId="3A33F695" w14:textId="77777777" w:rsidR="00731EA3" w:rsidRPr="00FA250C" w:rsidRDefault="00731EA3" w:rsidP="00731EA3">
      <w:pPr>
        <w:spacing w:after="120"/>
        <w:rPr>
          <w:lang w:val="pl-PL"/>
        </w:rPr>
      </w:pPr>
      <w:r w:rsidRPr="00FA250C">
        <w:rPr>
          <w:lang w:val="pl-PL"/>
        </w:rPr>
        <w:t>Na koniec I kw. 202</w:t>
      </w:r>
      <w:r>
        <w:rPr>
          <w:lang w:val="pl-PL"/>
        </w:rPr>
        <w:t>4</w:t>
      </w:r>
      <w:r w:rsidRPr="00FA250C">
        <w:rPr>
          <w:lang w:val="pl-PL"/>
        </w:rPr>
        <w:t xml:space="preserve"> r. dług SP wyniósł 1.</w:t>
      </w:r>
      <w:r>
        <w:rPr>
          <w:lang w:val="pl-PL"/>
        </w:rPr>
        <w:t>430,3</w:t>
      </w:r>
      <w:r w:rsidRPr="00FA250C">
        <w:rPr>
          <w:lang w:val="pl-PL"/>
        </w:rPr>
        <w:t xml:space="preserve"> mld zł, co oznaczało wzrost o </w:t>
      </w:r>
      <w:r>
        <w:rPr>
          <w:lang w:val="pl-PL"/>
        </w:rPr>
        <w:t>84,1</w:t>
      </w:r>
      <w:r w:rsidRPr="00FA250C">
        <w:rPr>
          <w:lang w:val="pl-PL"/>
        </w:rPr>
        <w:t xml:space="preserve"> mld zł (+</w:t>
      </w:r>
      <w:r>
        <w:rPr>
          <w:lang w:val="pl-PL"/>
        </w:rPr>
        <w:t>6,3</w:t>
      </w:r>
      <w:r w:rsidRPr="00FA250C">
        <w:rPr>
          <w:lang w:val="pl-PL"/>
        </w:rPr>
        <w:t>%) względem poprzedniego kwartału.</w:t>
      </w:r>
    </w:p>
    <w:p w14:paraId="76877EC7" w14:textId="77777777" w:rsidR="00731EA3" w:rsidRPr="00FA250C" w:rsidRDefault="00731EA3" w:rsidP="00731EA3">
      <w:pPr>
        <w:spacing w:after="120"/>
        <w:rPr>
          <w:lang w:val="pl-PL"/>
        </w:rPr>
      </w:pPr>
      <w:r w:rsidRPr="00FA250C">
        <w:rPr>
          <w:lang w:val="pl-PL"/>
        </w:rPr>
        <w:t>Wzrost długu SP w I kw. był przede wszystkim wypadkową:</w:t>
      </w:r>
    </w:p>
    <w:p w14:paraId="47179187" w14:textId="77777777" w:rsidR="00731EA3" w:rsidRPr="00FA250C" w:rsidRDefault="00731EA3" w:rsidP="00731EA3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 xml:space="preserve">potrzeb pożyczkowych netto budżetu państwa </w:t>
      </w:r>
      <w:r w:rsidRPr="00362069">
        <w:rPr>
          <w:lang w:val="pl-PL"/>
        </w:rPr>
        <w:t>(+20,7</w:t>
      </w:r>
      <w:r>
        <w:rPr>
          <w:lang w:val="pl-PL"/>
        </w:rPr>
        <w:t xml:space="preserve"> </w:t>
      </w:r>
      <w:r w:rsidRPr="00FA250C">
        <w:rPr>
          <w:lang w:val="pl-PL"/>
        </w:rPr>
        <w:t>mld zł),</w:t>
      </w:r>
    </w:p>
    <w:p w14:paraId="6E36BDFC" w14:textId="77777777" w:rsidR="00731EA3" w:rsidRPr="00362069" w:rsidRDefault="00731EA3" w:rsidP="00731EA3">
      <w:pPr>
        <w:pStyle w:val="Akapitzlist"/>
        <w:spacing w:after="120"/>
        <w:rPr>
          <w:lang w:val="pl-PL"/>
        </w:rPr>
      </w:pPr>
      <w:r w:rsidRPr="00362069">
        <w:rPr>
          <w:lang w:val="pl-PL"/>
        </w:rPr>
        <w:t>zwiększenia stanu środków na rachunkach budżetowych (+65,3</w:t>
      </w:r>
      <w:r>
        <w:rPr>
          <w:lang w:val="pl-PL"/>
        </w:rPr>
        <w:t xml:space="preserve"> </w:t>
      </w:r>
      <w:r w:rsidRPr="00362069">
        <w:rPr>
          <w:lang w:val="pl-PL"/>
        </w:rPr>
        <w:t>mld zł),</w:t>
      </w:r>
    </w:p>
    <w:p w14:paraId="45235380" w14:textId="77777777" w:rsidR="00731EA3" w:rsidRPr="00FA250C" w:rsidRDefault="00731EA3" w:rsidP="00731EA3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>zmiany pozostałego długo Skarbu Państwa (-4,</w:t>
      </w:r>
      <w:r>
        <w:rPr>
          <w:lang w:val="pl-PL"/>
        </w:rPr>
        <w:t>5</w:t>
      </w:r>
      <w:r w:rsidRPr="00FA250C">
        <w:rPr>
          <w:lang w:val="pl-PL"/>
        </w:rPr>
        <w:t xml:space="preserve"> mld zł),</w:t>
      </w:r>
    </w:p>
    <w:p w14:paraId="77471F27" w14:textId="77777777" w:rsidR="00731EA3" w:rsidRPr="00FA250C" w:rsidRDefault="00731EA3" w:rsidP="00731EA3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>różnic kursowych (</w:t>
      </w:r>
      <w:r>
        <w:rPr>
          <w:lang w:val="pl-PL"/>
        </w:rPr>
        <w:t>-</w:t>
      </w:r>
      <w:r w:rsidRPr="00FA250C">
        <w:rPr>
          <w:lang w:val="pl-PL"/>
        </w:rPr>
        <w:t>1,</w:t>
      </w:r>
      <w:r>
        <w:rPr>
          <w:lang w:val="pl-PL"/>
        </w:rPr>
        <w:t>8</w:t>
      </w:r>
      <w:r w:rsidRPr="00FA250C">
        <w:rPr>
          <w:lang w:val="pl-PL"/>
        </w:rPr>
        <w:t xml:space="preserve"> mld zł).</w:t>
      </w:r>
    </w:p>
    <w:p w14:paraId="7E830A35" w14:textId="77777777" w:rsidR="00731EA3" w:rsidRPr="005E4D22" w:rsidRDefault="00731EA3" w:rsidP="00731EA3">
      <w:pPr>
        <w:spacing w:after="120"/>
        <w:rPr>
          <w:lang w:val="pl-PL"/>
        </w:rPr>
      </w:pPr>
      <w:r w:rsidRPr="00FA250C">
        <w:rPr>
          <w:lang w:val="pl-PL"/>
        </w:rPr>
        <w:t>Na koniec I kw. 202</w:t>
      </w:r>
      <w:r>
        <w:rPr>
          <w:lang w:val="pl-PL"/>
        </w:rPr>
        <w:t>4</w:t>
      </w:r>
      <w:r w:rsidRPr="00FA250C">
        <w:rPr>
          <w:lang w:val="pl-PL"/>
        </w:rPr>
        <w:t xml:space="preserve"> r. udział długu w walutach </w:t>
      </w:r>
      <w:r w:rsidRPr="005E4D22">
        <w:rPr>
          <w:lang w:val="pl-PL"/>
        </w:rPr>
        <w:t>obcych w całym długu SP wyniósł 2</w:t>
      </w:r>
      <w:r>
        <w:rPr>
          <w:lang w:val="pl-PL"/>
        </w:rPr>
        <w:t>3,3</w:t>
      </w:r>
      <w:r w:rsidRPr="005E4D22">
        <w:rPr>
          <w:lang w:val="pl-PL"/>
        </w:rPr>
        <w:t xml:space="preserve">%, tj. </w:t>
      </w:r>
      <w:r>
        <w:rPr>
          <w:lang w:val="pl-PL"/>
        </w:rPr>
        <w:t>wzrósł</w:t>
      </w:r>
      <w:r w:rsidRPr="005E4D22">
        <w:rPr>
          <w:lang w:val="pl-PL"/>
        </w:rPr>
        <w:t xml:space="preserve"> o 0,</w:t>
      </w:r>
      <w:r>
        <w:rPr>
          <w:lang w:val="pl-PL"/>
        </w:rPr>
        <w:t>7</w:t>
      </w:r>
      <w:r w:rsidRPr="005E4D22">
        <w:rPr>
          <w:lang w:val="pl-PL"/>
        </w:rPr>
        <w:t xml:space="preserve"> pp. w stosunku do poprzedniego kwartału.</w:t>
      </w:r>
    </w:p>
    <w:p w14:paraId="042B9AF4" w14:textId="77777777" w:rsidR="00731EA3" w:rsidRPr="00D558CC" w:rsidRDefault="00731EA3" w:rsidP="00731EA3">
      <w:pPr>
        <w:spacing w:after="120"/>
        <w:rPr>
          <w:lang w:val="pl-PL"/>
        </w:rPr>
      </w:pPr>
      <w:r w:rsidRPr="005E4D22">
        <w:rPr>
          <w:lang w:val="pl-PL"/>
        </w:rPr>
        <w:t xml:space="preserve">Udział długu wobec nierezydentów w długu ogółem na koniec </w:t>
      </w:r>
      <w:r>
        <w:rPr>
          <w:lang w:val="pl-PL"/>
        </w:rPr>
        <w:t>I</w:t>
      </w:r>
      <w:r w:rsidRPr="005E4D22">
        <w:rPr>
          <w:lang w:val="pl-PL"/>
        </w:rPr>
        <w:t xml:space="preserve"> kw. 202</w:t>
      </w:r>
      <w:r>
        <w:rPr>
          <w:lang w:val="pl-PL"/>
        </w:rPr>
        <w:t>4</w:t>
      </w:r>
      <w:r w:rsidRPr="005E4D22">
        <w:rPr>
          <w:lang w:val="pl-PL"/>
        </w:rPr>
        <w:t xml:space="preserve"> r. wyniósł 3</w:t>
      </w:r>
      <w:r>
        <w:rPr>
          <w:lang w:val="pl-PL"/>
        </w:rPr>
        <w:t>1,1% wobec 30,7</w:t>
      </w:r>
      <w:r w:rsidRPr="005E4D22">
        <w:rPr>
          <w:lang w:val="pl-PL"/>
        </w:rPr>
        <w:t>% na koniec poprzedniego kwartału.</w:t>
      </w:r>
    </w:p>
    <w:p w14:paraId="7B451901" w14:textId="56BE00FC" w:rsidR="005E4D22" w:rsidRPr="005E4D22" w:rsidRDefault="005E4D22" w:rsidP="0097040B">
      <w:pPr>
        <w:pStyle w:val="Nagwek2"/>
        <w:spacing w:before="360"/>
        <w:rPr>
          <w:lang w:val="pl-PL"/>
        </w:rPr>
      </w:pPr>
      <w:bookmarkStart w:id="11" w:name="_Toc173312081"/>
      <w:r w:rsidRPr="005E4D22">
        <w:rPr>
          <w:lang w:val="pl-PL"/>
        </w:rPr>
        <w:t>3.2. Potrzeby pożyczkowe budżetu państwa</w:t>
      </w:r>
      <w:r w:rsidR="00972F87">
        <w:rPr>
          <w:lang w:val="pl-PL"/>
        </w:rPr>
        <w:t xml:space="preserve"> </w:t>
      </w:r>
      <w:r w:rsidRPr="005E4D22">
        <w:rPr>
          <w:lang w:val="pl-PL"/>
        </w:rPr>
        <w:t>i ich finansowanie w I kw</w:t>
      </w:r>
      <w:r w:rsidR="00CF3B72">
        <w:rPr>
          <w:lang w:val="pl-PL"/>
        </w:rPr>
        <w:t xml:space="preserve">. </w:t>
      </w:r>
      <w:r w:rsidRPr="005E4D22">
        <w:rPr>
          <w:lang w:val="pl-PL"/>
        </w:rPr>
        <w:t>202</w:t>
      </w:r>
      <w:r w:rsidR="00AF60F7">
        <w:rPr>
          <w:lang w:val="pl-PL"/>
        </w:rPr>
        <w:t>4</w:t>
      </w:r>
      <w:r w:rsidRPr="005E4D22">
        <w:rPr>
          <w:lang w:val="pl-PL"/>
        </w:rPr>
        <w:t xml:space="preserve"> r.</w:t>
      </w:r>
      <w:bookmarkEnd w:id="11"/>
    </w:p>
    <w:p w14:paraId="7362F1A6" w14:textId="77777777" w:rsidR="00AF60F7" w:rsidRPr="00285E12" w:rsidRDefault="00AF60F7" w:rsidP="00AF60F7">
      <w:pPr>
        <w:spacing w:after="120"/>
        <w:rPr>
          <w:lang w:val="pl-PL"/>
        </w:rPr>
      </w:pPr>
      <w:r w:rsidRPr="002F12DD">
        <w:rPr>
          <w:lang w:val="pl-PL"/>
        </w:rPr>
        <w:t xml:space="preserve">Potrzeby pożyczkowe netto budżetu państwa ukształtowały się na poziomie </w:t>
      </w:r>
      <w:r w:rsidRPr="00285E12">
        <w:rPr>
          <w:lang w:val="pl-PL"/>
        </w:rPr>
        <w:t>20,7 mld zł. Było to wypadkową:</w:t>
      </w:r>
    </w:p>
    <w:p w14:paraId="35DD6FAE" w14:textId="77777777" w:rsidR="00AF60F7" w:rsidRPr="00285E12" w:rsidRDefault="00AF60F7" w:rsidP="00AF60F7">
      <w:pPr>
        <w:pStyle w:val="Akapitzlist"/>
        <w:spacing w:after="120"/>
        <w:rPr>
          <w:lang w:val="pl-PL"/>
        </w:rPr>
      </w:pPr>
      <w:r w:rsidRPr="00285E12">
        <w:rPr>
          <w:lang w:val="pl-PL"/>
        </w:rPr>
        <w:t xml:space="preserve">deficytu budżetu państwa (24,5 mld zł), potrzeb z tytułu zarządzania płynnością sektora finansów publicznych (2,0 mld zł), deficytu budżetu środków </w:t>
      </w:r>
      <w:r w:rsidRPr="00285E12">
        <w:rPr>
          <w:lang w:val="pl-PL"/>
        </w:rPr>
        <w:lastRenderedPageBreak/>
        <w:t xml:space="preserve">europejskich (0,1 mld zł) i płatności związanych z udziałami Skarbu Państwa w międzynarodowych instytucjach finansowych (0,1 mld zł), </w:t>
      </w:r>
    </w:p>
    <w:p w14:paraId="0B124227" w14:textId="77777777" w:rsidR="00AF60F7" w:rsidRPr="00285E12" w:rsidRDefault="00AF60F7" w:rsidP="00AF60F7">
      <w:pPr>
        <w:pStyle w:val="Akapitzlist"/>
        <w:spacing w:after="120"/>
        <w:rPr>
          <w:lang w:val="pl-PL"/>
        </w:rPr>
      </w:pPr>
      <w:r w:rsidRPr="00285E12">
        <w:rPr>
          <w:lang w:val="pl-PL"/>
        </w:rPr>
        <w:t>oraz pomniejszenia potrzeb w wysokości 5,9 mld zł w wyniku dodatniego salda z tytułu: zarządzania środkami europejskimi (5,4 mld zł) i pozostałych pozycji (0,5 mld zł).</w:t>
      </w:r>
    </w:p>
    <w:p w14:paraId="568080C6" w14:textId="7EF4335F" w:rsidR="00AF60F7" w:rsidRDefault="00AF60F7" w:rsidP="00AF60F7">
      <w:pPr>
        <w:spacing w:after="120"/>
        <w:rPr>
          <w:lang w:val="pl-PL"/>
        </w:rPr>
      </w:pPr>
      <w:r w:rsidRPr="00285E12">
        <w:rPr>
          <w:lang w:val="pl-PL"/>
        </w:rPr>
        <w:t>Wykres 6. Rentowności SPW – rynek wtórny</w:t>
      </w:r>
    </w:p>
    <w:p w14:paraId="26B2E6CC" w14:textId="4F3A8A8D" w:rsidR="000D4857" w:rsidRDefault="00AF60F7" w:rsidP="000B05E6">
      <w:pPr>
        <w:spacing w:after="120"/>
        <w:rPr>
          <w:lang w:val="pl-PL"/>
        </w:rPr>
      </w:pPr>
      <w:r>
        <w:rPr>
          <w:noProof/>
        </w:rPr>
        <w:drawing>
          <wp:inline distT="0" distB="0" distL="0" distR="0" wp14:anchorId="13E23365" wp14:editId="1EBAF231">
            <wp:extent cx="5816279" cy="3813859"/>
            <wp:effectExtent l="0" t="0" r="0" b="0"/>
            <wp:docPr id="4" name="Wykres 4" descr="Wykres 6.&#10;Wykres przedstawia rentowności skarbowych papierów wartościowych na rynku wtórnym w podziale na 2-letnie, 5-letnie i 10-letnie, w okresie od kwietnia 2022 do marca 2024 roku. Dane szczegółowe dostępne w Aneksie statystycznym, na końcu opracowania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AAD709E" w14:textId="77777777" w:rsidR="00AF60F7" w:rsidRPr="002477AC" w:rsidRDefault="00AF60F7" w:rsidP="00AF60F7">
      <w:pPr>
        <w:spacing w:after="120"/>
        <w:rPr>
          <w:lang w:val="pl-PL"/>
        </w:rPr>
      </w:pPr>
      <w:r w:rsidRPr="002477AC">
        <w:rPr>
          <w:lang w:val="pl-PL"/>
        </w:rPr>
        <w:t>Wartość długu przypadającego do wykupu w omawianym okresie wyniosła wg kapitału 46,1 mld zł, w tym krajowego 29,1 mld zł i zagranicznego 17,1 mld zł. Potrzeby pożyczkowe brutto, tj. suma potrzeb netto i długu przypadającego do wykupu, wyniosły 66,9 mld zł. Po uwzględnieniu odkupów, wykup długu wyniósł 49,7 mld zł (w tym krajowego 32,6 mld zł i zagranicznego 17,1 mld zł).</w:t>
      </w:r>
    </w:p>
    <w:p w14:paraId="5AC62A59" w14:textId="77777777" w:rsidR="00AF60F7" w:rsidRPr="002477AC" w:rsidRDefault="00AF60F7" w:rsidP="00AF60F7">
      <w:pPr>
        <w:spacing w:after="120"/>
        <w:rPr>
          <w:lang w:val="pl-PL"/>
        </w:rPr>
      </w:pPr>
      <w:r w:rsidRPr="002477AC">
        <w:rPr>
          <w:lang w:val="pl-PL"/>
        </w:rPr>
        <w:t xml:space="preserve">Finansowanie potrzeb pożyczkowych w I kwartale było następujące: </w:t>
      </w:r>
    </w:p>
    <w:p w14:paraId="7F538713" w14:textId="77777777" w:rsidR="00AF60F7" w:rsidRPr="00B77D5A" w:rsidRDefault="00AF60F7" w:rsidP="00AF60F7">
      <w:pPr>
        <w:pStyle w:val="Akapitzlist"/>
        <w:spacing w:after="120"/>
        <w:rPr>
          <w:lang w:val="pl-PL"/>
        </w:rPr>
      </w:pPr>
      <w:r w:rsidRPr="00B77D5A">
        <w:rPr>
          <w:lang w:val="pl-PL"/>
        </w:rPr>
        <w:t>na rynku krajowym środki pozyskano z emisji:</w:t>
      </w:r>
    </w:p>
    <w:p w14:paraId="4271CF93" w14:textId="77777777" w:rsidR="00AF60F7" w:rsidRPr="00B77D5A" w:rsidRDefault="00AF60F7" w:rsidP="00AF60F7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77D5A">
        <w:rPr>
          <w:lang w:val="pl-PL"/>
        </w:rPr>
        <w:t xml:space="preserve">obligacji hurtowych: 72,7 mld zł, </w:t>
      </w:r>
    </w:p>
    <w:p w14:paraId="233514FE" w14:textId="77777777" w:rsidR="00AF60F7" w:rsidRPr="00B77D5A" w:rsidRDefault="00AF60F7" w:rsidP="00AF60F7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77D5A">
        <w:rPr>
          <w:lang w:val="pl-PL"/>
        </w:rPr>
        <w:lastRenderedPageBreak/>
        <w:t>obligacji detalicznych: 15,4 mld zł (bez obligacji sprzedanych i wykupionych w 2024 r.),</w:t>
      </w:r>
    </w:p>
    <w:p w14:paraId="46731EE7" w14:textId="77777777" w:rsidR="00AF60F7" w:rsidRPr="00B77D5A" w:rsidRDefault="00AF60F7" w:rsidP="00AF60F7">
      <w:pPr>
        <w:pStyle w:val="Akapitzlist"/>
        <w:spacing w:after="120"/>
        <w:rPr>
          <w:lang w:val="pl-PL"/>
        </w:rPr>
      </w:pPr>
      <w:r w:rsidRPr="00B77D5A">
        <w:rPr>
          <w:lang w:val="pl-PL"/>
        </w:rPr>
        <w:t>na rynkach zagranicznych środki pozyskano z:</w:t>
      </w:r>
    </w:p>
    <w:p w14:paraId="49755A76" w14:textId="77777777" w:rsidR="00AF60F7" w:rsidRPr="00B77D5A" w:rsidRDefault="00AF60F7" w:rsidP="00AF60F7">
      <w:pPr>
        <w:pStyle w:val="Akapitzlist"/>
        <w:numPr>
          <w:ilvl w:val="0"/>
          <w:numId w:val="18"/>
        </w:numPr>
        <w:rPr>
          <w:lang w:val="pl-PL"/>
        </w:rPr>
      </w:pPr>
      <w:r w:rsidRPr="00B77D5A">
        <w:rPr>
          <w:lang w:val="pl-PL"/>
        </w:rPr>
        <w:t>emisji obligacji denominowanych w euro: 16,1 mld zł (3,7 mld EUR) oraz dolarach: 31,1 mld zł (7,9 mld USD),</w:t>
      </w:r>
    </w:p>
    <w:p w14:paraId="361C32D7" w14:textId="77777777" w:rsidR="00AF60F7" w:rsidRPr="00B77D5A" w:rsidRDefault="00AF60F7" w:rsidP="00AF60F7">
      <w:pPr>
        <w:pStyle w:val="Akapitzlist"/>
        <w:numPr>
          <w:ilvl w:val="0"/>
          <w:numId w:val="18"/>
        </w:numPr>
        <w:rPr>
          <w:lang w:val="pl-PL"/>
        </w:rPr>
      </w:pPr>
      <w:r w:rsidRPr="00B77D5A">
        <w:rPr>
          <w:lang w:val="pl-PL"/>
        </w:rPr>
        <w:t>kredytów w międzynarodowych instytucjach finansowych: 0,2 mld zł (0,1 mld EUR).</w:t>
      </w:r>
    </w:p>
    <w:p w14:paraId="72D73101" w14:textId="77777777" w:rsidR="00AF60F7" w:rsidRPr="00A44ADE" w:rsidRDefault="00AF60F7" w:rsidP="00AF60F7">
      <w:pPr>
        <w:spacing w:after="120"/>
        <w:rPr>
          <w:lang w:val="pl-PL"/>
        </w:rPr>
      </w:pPr>
      <w:r w:rsidRPr="00224DBE">
        <w:rPr>
          <w:lang w:val="pl-PL"/>
        </w:rPr>
        <w:t xml:space="preserve">W I kw. 2024 r. </w:t>
      </w:r>
      <w:r w:rsidRPr="00A44ADE">
        <w:rPr>
          <w:lang w:val="pl-PL"/>
        </w:rPr>
        <w:t>nastąpił:</w:t>
      </w:r>
    </w:p>
    <w:p w14:paraId="447FD778" w14:textId="77777777" w:rsidR="00AF60F7" w:rsidRPr="00A44ADE" w:rsidRDefault="00AF60F7" w:rsidP="00AF60F7">
      <w:pPr>
        <w:pStyle w:val="Akapitzlist"/>
        <w:spacing w:after="120"/>
        <w:rPr>
          <w:lang w:val="pl-PL"/>
        </w:rPr>
      </w:pPr>
      <w:r w:rsidRPr="00A44ADE">
        <w:rPr>
          <w:lang w:val="pl-PL"/>
        </w:rPr>
        <w:t>w zakresie sytuacji płynnościowej budżetu państwa:</w:t>
      </w:r>
    </w:p>
    <w:p w14:paraId="7779E3D7" w14:textId="77777777" w:rsidR="00AF60F7" w:rsidRPr="00A44ADE" w:rsidRDefault="00AF60F7" w:rsidP="00AF60F7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 w:rsidRPr="00A44ADE">
        <w:rPr>
          <w:lang w:val="pl-PL"/>
        </w:rPr>
        <w:t xml:space="preserve">wzrost  środków na rachunkach budżetowych o 65,4 mld zł do 166,8 mld zł, </w:t>
      </w:r>
    </w:p>
    <w:p w14:paraId="1A26B9BA" w14:textId="77777777" w:rsidR="00AF60F7" w:rsidRPr="0062010F" w:rsidRDefault="00AF60F7" w:rsidP="00AF60F7">
      <w:pPr>
        <w:pStyle w:val="Akapitzlist"/>
        <w:spacing w:after="120"/>
        <w:rPr>
          <w:lang w:val="pl-PL"/>
        </w:rPr>
      </w:pPr>
      <w:r w:rsidRPr="0062010F">
        <w:rPr>
          <w:lang w:val="pl-PL"/>
        </w:rPr>
        <w:t>w zakresie struktury podmiotowej zadłużenia na rynku krajowym:</w:t>
      </w:r>
    </w:p>
    <w:p w14:paraId="5AAFC98B" w14:textId="77777777" w:rsidR="00AF60F7" w:rsidRPr="0062010F" w:rsidRDefault="00AF60F7" w:rsidP="00AF60F7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 w:rsidRPr="0062010F">
        <w:rPr>
          <w:lang w:val="pl-PL"/>
        </w:rPr>
        <w:t xml:space="preserve">wzrost zadłużenia wobec banków o 42,6 mld zł i krajowego sektora </w:t>
      </w:r>
      <w:proofErr w:type="spellStart"/>
      <w:r w:rsidRPr="0062010F">
        <w:rPr>
          <w:lang w:val="pl-PL"/>
        </w:rPr>
        <w:t>pozabankowego</w:t>
      </w:r>
      <w:proofErr w:type="spellEnd"/>
      <w:r w:rsidRPr="0062010F">
        <w:rPr>
          <w:lang w:val="pl-PL"/>
        </w:rPr>
        <w:t xml:space="preserve"> o 17,1 mld zł, przy </w:t>
      </w:r>
      <w:r>
        <w:rPr>
          <w:lang w:val="pl-PL"/>
        </w:rPr>
        <w:t xml:space="preserve">niewielkim </w:t>
      </w:r>
      <w:r w:rsidRPr="0062010F">
        <w:rPr>
          <w:lang w:val="pl-PL"/>
        </w:rPr>
        <w:t xml:space="preserve">spadku zadłużenia wobec nierezydentów (o 6,4 mln zł), </w:t>
      </w:r>
    </w:p>
    <w:p w14:paraId="24D3C372" w14:textId="77777777" w:rsidR="00AF60F7" w:rsidRPr="00B50240" w:rsidRDefault="00AF60F7" w:rsidP="00AF60F7">
      <w:pPr>
        <w:pStyle w:val="Akapitzlist"/>
        <w:spacing w:after="120"/>
        <w:rPr>
          <w:lang w:val="pl-PL"/>
        </w:rPr>
      </w:pPr>
      <w:r w:rsidRPr="00B50240">
        <w:rPr>
          <w:lang w:val="pl-PL"/>
        </w:rPr>
        <w:t>na rynku polskich obligacji:</w:t>
      </w:r>
    </w:p>
    <w:p w14:paraId="6AFDC01B" w14:textId="77777777" w:rsidR="00AF60F7" w:rsidRPr="00D84F7D" w:rsidRDefault="00AF60F7" w:rsidP="00AF60F7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50240">
        <w:rPr>
          <w:lang w:val="pl-PL"/>
        </w:rPr>
        <w:t>na rynku krajowym: wzrost rentowności obligacji na całej długości krzywej - na koniec kwartału rentowności</w:t>
      </w:r>
      <w:r w:rsidRPr="00B50240" w:rsidDel="0064738C">
        <w:rPr>
          <w:lang w:val="pl-PL"/>
        </w:rPr>
        <w:t xml:space="preserve"> </w:t>
      </w:r>
      <w:r w:rsidRPr="00B50240">
        <w:rPr>
          <w:lang w:val="pl-PL"/>
        </w:rPr>
        <w:t xml:space="preserve">obligacji 2-, 5- i 10-letnich wyniosły odpowiednio </w:t>
      </w:r>
      <w:r w:rsidRPr="00D84F7D">
        <w:rPr>
          <w:lang w:val="pl-PL"/>
        </w:rPr>
        <w:t>5,2% (+0,1 pp.), 5,3% (+0,3 pp.) oraz 5,4% (+0,3 pp.),</w:t>
      </w:r>
    </w:p>
    <w:p w14:paraId="23BFC7E4" w14:textId="77777777" w:rsidR="00AF60F7" w:rsidRDefault="00AF60F7" w:rsidP="00AF60F7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D84F7D">
        <w:rPr>
          <w:lang w:val="pl-PL"/>
        </w:rPr>
        <w:t>na rynku obligacji w euro: wzrost rentowności obligacji wzdłuż całej krzywej - na koniec kwartału rentowności obligacji 2</w:t>
      </w:r>
      <w:r w:rsidRPr="00D84F7D">
        <w:rPr>
          <w:lang w:val="pl-PL"/>
        </w:rPr>
        <w:noBreakHyphen/>
        <w:t>, 5- i 10</w:t>
      </w:r>
      <w:r w:rsidRPr="00D84F7D">
        <w:rPr>
          <w:lang w:val="pl-PL"/>
        </w:rPr>
        <w:noBreakHyphen/>
        <w:t>letnich wyniosły odpowie</w:t>
      </w:r>
      <w:r w:rsidRPr="00D84F7D">
        <w:rPr>
          <w:lang w:val="pl-PL"/>
        </w:rPr>
        <w:softHyphen/>
        <w:t xml:space="preserve">dnio 3,4% (+0,6 pp.), 3,0% (+0,5 pp.) oraz 3,7% (+0,4 pp.).  </w:t>
      </w:r>
    </w:p>
    <w:p w14:paraId="7A35DD4A" w14:textId="77777777" w:rsidR="00206279" w:rsidRPr="007E5680" w:rsidRDefault="00206279" w:rsidP="00206279">
      <w:pPr>
        <w:pStyle w:val="Akapitzlist"/>
        <w:numPr>
          <w:ilvl w:val="0"/>
          <w:numId w:val="0"/>
        </w:numPr>
        <w:spacing w:after="120"/>
        <w:ind w:left="1068"/>
        <w:rPr>
          <w:lang w:val="pl-PL"/>
        </w:rPr>
      </w:pPr>
    </w:p>
    <w:p w14:paraId="76C80C6B" w14:textId="77777777" w:rsidR="00F940F6" w:rsidRDefault="00F940F6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739149DF" w14:textId="77777777" w:rsidR="005E4D22" w:rsidRDefault="005E4D22" w:rsidP="00DA5077">
      <w:pPr>
        <w:jc w:val="center"/>
        <w:rPr>
          <w:lang w:val="pl-PL"/>
        </w:rPr>
      </w:pPr>
    </w:p>
    <w:p w14:paraId="27CBEA85" w14:textId="77777777" w:rsidR="000201C9" w:rsidRPr="00565B16" w:rsidRDefault="00DA5077" w:rsidP="002447E3">
      <w:pPr>
        <w:pStyle w:val="Nagwek1"/>
        <w:spacing w:before="1200"/>
        <w:jc w:val="center"/>
        <w:rPr>
          <w:color w:val="FFFFFF" w:themeColor="background1"/>
          <w:lang w:val="pl-PL"/>
        </w:rPr>
      </w:pPr>
      <w:bookmarkStart w:id="12" w:name="_Toc173312082"/>
      <w:r w:rsidRPr="00565B16">
        <w:rPr>
          <w:color w:val="FFFFFF" w:themeColor="background1"/>
          <w:lang w:val="pl-PL"/>
        </w:rPr>
        <w:t>ANEKS STATYSTYCZNY</w:t>
      </w:r>
      <w:bookmarkEnd w:id="12"/>
    </w:p>
    <w:sectPr w:rsidR="000201C9" w:rsidRPr="00565B16" w:rsidSect="003B1A30">
      <w:headerReference w:type="default" r:id="rId22"/>
      <w:footerReference w:type="default" r:id="rId23"/>
      <w:headerReference w:type="first" r:id="rId24"/>
      <w:pgSz w:w="11906" w:h="16838"/>
      <w:pgMar w:top="1701" w:right="1418" w:bottom="1418" w:left="1418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B90C3" w14:textId="77777777" w:rsidR="00D46979" w:rsidRDefault="00D46979" w:rsidP="005745E4">
      <w:r>
        <w:separator/>
      </w:r>
    </w:p>
  </w:endnote>
  <w:endnote w:type="continuationSeparator" w:id="0">
    <w:p w14:paraId="2ADAE990" w14:textId="77777777" w:rsidR="00D46979" w:rsidRDefault="00D46979" w:rsidP="0057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0A0F" w14:textId="1EB05056" w:rsidR="0033111E" w:rsidRPr="0097040B" w:rsidRDefault="0097040B" w:rsidP="005745E4">
    <w:pPr>
      <w:pStyle w:val="Stopka"/>
      <w:rPr>
        <w:lang w:val="pl-PL"/>
      </w:rPr>
    </w:pPr>
    <w:r>
      <w:rPr>
        <w:lang w:val="pl-PL"/>
      </w:rPr>
      <w:t xml:space="preserve">Informacja kwartalna </w:t>
    </w:r>
    <w:r w:rsidR="00CD0A7A">
      <w:rPr>
        <w:lang w:val="pl-PL"/>
      </w:rPr>
      <w:t>I</w:t>
    </w:r>
    <w:r>
      <w:rPr>
        <w:lang w:val="pl-PL"/>
      </w:rPr>
      <w:t xml:space="preserve"> kw. 202</w:t>
    </w:r>
    <w:r w:rsidR="00BE6D95">
      <w:rPr>
        <w:lang w:val="pl-PL"/>
      </w:rPr>
      <w:t>4</w:t>
    </w:r>
    <w:r>
      <w:rPr>
        <w:lang w:val="pl-PL"/>
      </w:rPr>
      <w:t xml:space="preserve"> r.</w:t>
    </w:r>
    <w:r w:rsidRPr="0097040B">
      <w:rPr>
        <w:lang w:val="pl-PL"/>
      </w:rPr>
      <w:ptab w:relativeTo="margin" w:alignment="center" w:leader="none"/>
    </w:r>
    <w:r w:rsidRPr="0097040B">
      <w:rPr>
        <w:lang w:val="pl-PL"/>
      </w:rPr>
      <w:ptab w:relativeTo="margin" w:alignment="right" w:leader="none"/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t xml:space="preserve">str. </w:t>
    </w:r>
    <w:r w:rsidRPr="0097040B">
      <w:rPr>
        <w:rFonts w:asciiTheme="minorHAnsi" w:eastAsiaTheme="minorEastAsia" w:hAnsiTheme="minorHAnsi"/>
        <w:sz w:val="22"/>
        <w:lang w:val="pl-PL"/>
      </w:rPr>
      <w:fldChar w:fldCharType="begin"/>
    </w:r>
    <w:r w:rsidRPr="0097040B">
      <w:rPr>
        <w:lang w:val="pl-PL"/>
      </w:rPr>
      <w:instrText>PAGE    \* MERGEFORMAT</w:instrText>
    </w:r>
    <w:r w:rsidRPr="0097040B">
      <w:rPr>
        <w:rFonts w:asciiTheme="minorHAnsi" w:eastAsiaTheme="minorEastAsia" w:hAnsiTheme="minorHAnsi"/>
        <w:sz w:val="22"/>
        <w:lang w:val="pl-PL"/>
      </w:rPr>
      <w:fldChar w:fldCharType="separate"/>
    </w:r>
    <w:r w:rsidR="006B1D5C" w:rsidRPr="006B1D5C">
      <w:rPr>
        <w:rFonts w:asciiTheme="majorHAnsi" w:eastAsiaTheme="majorEastAsia" w:hAnsiTheme="majorHAnsi" w:cstheme="majorBidi"/>
        <w:noProof/>
        <w:sz w:val="28"/>
        <w:szCs w:val="28"/>
        <w:lang w:val="pl-PL"/>
      </w:rPr>
      <w:t>10</w:t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14492" w14:textId="77777777" w:rsidR="00D46979" w:rsidRDefault="00D46979" w:rsidP="005745E4">
      <w:r>
        <w:separator/>
      </w:r>
    </w:p>
  </w:footnote>
  <w:footnote w:type="continuationSeparator" w:id="0">
    <w:p w14:paraId="20A66678" w14:textId="77777777" w:rsidR="00D46979" w:rsidRDefault="00D46979" w:rsidP="00574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473F" w14:textId="7E1384DE" w:rsidR="0097040B" w:rsidRDefault="0097040B">
    <w:pPr>
      <w:pStyle w:val="Nagwek"/>
      <w:jc w:val="right"/>
    </w:pPr>
  </w:p>
  <w:p w14:paraId="6A471524" w14:textId="77777777" w:rsidR="0097040B" w:rsidRDefault="009704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715B0" w14:textId="7988A6D6" w:rsidR="0033111E" w:rsidRDefault="00FD1A60" w:rsidP="005745E4">
    <w:pPr>
      <w:pStyle w:val="Nagwek"/>
    </w:pPr>
    <w:r w:rsidRPr="009C0B1C">
      <w:rPr>
        <w:noProof/>
        <w:lang w:val="pl-PL" w:eastAsia="pl-PL"/>
      </w:rPr>
      <w:drawing>
        <wp:inline distT="0" distB="0" distL="0" distR="0" wp14:anchorId="0A7553BC" wp14:editId="71D6A2DA">
          <wp:extent cx="1333500" cy="656648"/>
          <wp:effectExtent l="0" t="0" r="0" b="0"/>
          <wp:docPr id="1" name="Obraz 1" title="Logo Ministerstwa Finas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560" cy="663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CE6"/>
    <w:multiLevelType w:val="hybridMultilevel"/>
    <w:tmpl w:val="D07E215C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56D08"/>
    <w:multiLevelType w:val="hybridMultilevel"/>
    <w:tmpl w:val="565C9C46"/>
    <w:lvl w:ilvl="0" w:tplc="090EE0C6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288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3E515D"/>
    <w:multiLevelType w:val="hybridMultilevel"/>
    <w:tmpl w:val="24B0F3A8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672EA"/>
    <w:multiLevelType w:val="hybridMultilevel"/>
    <w:tmpl w:val="3B385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F06"/>
    <w:multiLevelType w:val="hybridMultilevel"/>
    <w:tmpl w:val="FC8E7BC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3741"/>
    <w:multiLevelType w:val="hybridMultilevel"/>
    <w:tmpl w:val="366E6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51E72"/>
    <w:multiLevelType w:val="hybridMultilevel"/>
    <w:tmpl w:val="555294FA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D7625"/>
    <w:multiLevelType w:val="hybridMultilevel"/>
    <w:tmpl w:val="7D967954"/>
    <w:lvl w:ilvl="0" w:tplc="090EE0C6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color w:val="B5121B"/>
      </w:rPr>
    </w:lvl>
    <w:lvl w:ilvl="1" w:tplc="0415000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447E4A2E"/>
    <w:multiLevelType w:val="hybridMultilevel"/>
    <w:tmpl w:val="9AA07D58"/>
    <w:lvl w:ilvl="0" w:tplc="090EE0C6">
      <w:start w:val="1"/>
      <w:numFmt w:val="bullet"/>
      <w:pStyle w:val="Akapitzlist"/>
      <w:lvlText w:val=""/>
      <w:lvlJc w:val="left"/>
      <w:pPr>
        <w:ind w:left="717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AD74AE"/>
    <w:multiLevelType w:val="hybridMultilevel"/>
    <w:tmpl w:val="F0B4AAFA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96FFA"/>
    <w:multiLevelType w:val="hybridMultilevel"/>
    <w:tmpl w:val="22D22D5C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6074CA"/>
    <w:multiLevelType w:val="hybridMultilevel"/>
    <w:tmpl w:val="3E8CD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577F4"/>
    <w:multiLevelType w:val="hybridMultilevel"/>
    <w:tmpl w:val="51441264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FF1"/>
    <w:multiLevelType w:val="hybridMultilevel"/>
    <w:tmpl w:val="E4901F78"/>
    <w:lvl w:ilvl="0" w:tplc="F936242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7C15B8"/>
    <w:multiLevelType w:val="hybridMultilevel"/>
    <w:tmpl w:val="E2E0643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144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D55C8"/>
    <w:multiLevelType w:val="hybridMultilevel"/>
    <w:tmpl w:val="C480E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65B56"/>
    <w:multiLevelType w:val="hybridMultilevel"/>
    <w:tmpl w:val="966A05CC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A479D"/>
    <w:multiLevelType w:val="hybridMultilevel"/>
    <w:tmpl w:val="3B7ED1BE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4"/>
  </w:num>
  <w:num w:numId="5">
    <w:abstractNumId w:val="16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17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3"/>
  </w:num>
  <w:num w:numId="17">
    <w:abstractNumId w:val="15"/>
  </w:num>
  <w:num w:numId="18">
    <w:abstractNumId w:val="7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F50"/>
    <w:rsid w:val="00015B8F"/>
    <w:rsid w:val="000165BF"/>
    <w:rsid w:val="000201C9"/>
    <w:rsid w:val="00032D08"/>
    <w:rsid w:val="00051143"/>
    <w:rsid w:val="0007023D"/>
    <w:rsid w:val="00095730"/>
    <w:rsid w:val="000A336D"/>
    <w:rsid w:val="000B05E6"/>
    <w:rsid w:val="000C6A78"/>
    <w:rsid w:val="000D2E61"/>
    <w:rsid w:val="000D4857"/>
    <w:rsid w:val="000F4EDC"/>
    <w:rsid w:val="00104700"/>
    <w:rsid w:val="0014705F"/>
    <w:rsid w:val="00147CD6"/>
    <w:rsid w:val="00160037"/>
    <w:rsid w:val="00172F8E"/>
    <w:rsid w:val="00175555"/>
    <w:rsid w:val="00177244"/>
    <w:rsid w:val="00192521"/>
    <w:rsid w:val="001A6240"/>
    <w:rsid w:val="001A6801"/>
    <w:rsid w:val="001C341D"/>
    <w:rsid w:val="001C43E4"/>
    <w:rsid w:val="001C606E"/>
    <w:rsid w:val="001D28E4"/>
    <w:rsid w:val="001D2F50"/>
    <w:rsid w:val="001E6450"/>
    <w:rsid w:val="00201367"/>
    <w:rsid w:val="00206279"/>
    <w:rsid w:val="002302CF"/>
    <w:rsid w:val="00231C6E"/>
    <w:rsid w:val="00231FA8"/>
    <w:rsid w:val="00237EBC"/>
    <w:rsid w:val="0024027B"/>
    <w:rsid w:val="002447E3"/>
    <w:rsid w:val="0029181F"/>
    <w:rsid w:val="002934AC"/>
    <w:rsid w:val="002A3CD2"/>
    <w:rsid w:val="002B66F8"/>
    <w:rsid w:val="002C6208"/>
    <w:rsid w:val="002D0255"/>
    <w:rsid w:val="002D1DBE"/>
    <w:rsid w:val="002E02E8"/>
    <w:rsid w:val="002E2938"/>
    <w:rsid w:val="002E65EA"/>
    <w:rsid w:val="002E76C7"/>
    <w:rsid w:val="003019AF"/>
    <w:rsid w:val="00307666"/>
    <w:rsid w:val="0031366B"/>
    <w:rsid w:val="0033111E"/>
    <w:rsid w:val="00347556"/>
    <w:rsid w:val="003537E0"/>
    <w:rsid w:val="003545C1"/>
    <w:rsid w:val="003615EA"/>
    <w:rsid w:val="003629EE"/>
    <w:rsid w:val="003718B3"/>
    <w:rsid w:val="00373BB5"/>
    <w:rsid w:val="003813D9"/>
    <w:rsid w:val="003900DE"/>
    <w:rsid w:val="003A2907"/>
    <w:rsid w:val="003A4003"/>
    <w:rsid w:val="003B1A30"/>
    <w:rsid w:val="003C09B6"/>
    <w:rsid w:val="003D524A"/>
    <w:rsid w:val="003F73D3"/>
    <w:rsid w:val="003F7DC9"/>
    <w:rsid w:val="00413A13"/>
    <w:rsid w:val="00422932"/>
    <w:rsid w:val="0043376D"/>
    <w:rsid w:val="00481372"/>
    <w:rsid w:val="004A0776"/>
    <w:rsid w:val="004A0A8C"/>
    <w:rsid w:val="004A4A9B"/>
    <w:rsid w:val="004B0C67"/>
    <w:rsid w:val="004D116B"/>
    <w:rsid w:val="004E5DEB"/>
    <w:rsid w:val="004F4226"/>
    <w:rsid w:val="00511B31"/>
    <w:rsid w:val="00534637"/>
    <w:rsid w:val="00541173"/>
    <w:rsid w:val="00546DF9"/>
    <w:rsid w:val="00565B16"/>
    <w:rsid w:val="005745E4"/>
    <w:rsid w:val="00577E65"/>
    <w:rsid w:val="005815D9"/>
    <w:rsid w:val="005877CD"/>
    <w:rsid w:val="0059058E"/>
    <w:rsid w:val="00596738"/>
    <w:rsid w:val="005A6209"/>
    <w:rsid w:val="005B3200"/>
    <w:rsid w:val="005C3049"/>
    <w:rsid w:val="005C5B52"/>
    <w:rsid w:val="005D179A"/>
    <w:rsid w:val="005E4D22"/>
    <w:rsid w:val="005E7339"/>
    <w:rsid w:val="005F1F5E"/>
    <w:rsid w:val="00610CFB"/>
    <w:rsid w:val="006336FD"/>
    <w:rsid w:val="00641E69"/>
    <w:rsid w:val="006934FD"/>
    <w:rsid w:val="006B1D5C"/>
    <w:rsid w:val="006B55FE"/>
    <w:rsid w:val="006B5D5C"/>
    <w:rsid w:val="006B69DB"/>
    <w:rsid w:val="006C15AF"/>
    <w:rsid w:val="006E327A"/>
    <w:rsid w:val="00700112"/>
    <w:rsid w:val="00700C2E"/>
    <w:rsid w:val="007116A9"/>
    <w:rsid w:val="00712C7A"/>
    <w:rsid w:val="00731EA3"/>
    <w:rsid w:val="00733234"/>
    <w:rsid w:val="0073390A"/>
    <w:rsid w:val="00741FB2"/>
    <w:rsid w:val="007502E4"/>
    <w:rsid w:val="007708B3"/>
    <w:rsid w:val="007843A9"/>
    <w:rsid w:val="007C1C55"/>
    <w:rsid w:val="00816ED1"/>
    <w:rsid w:val="008216F8"/>
    <w:rsid w:val="00842D18"/>
    <w:rsid w:val="008B4157"/>
    <w:rsid w:val="008B59FD"/>
    <w:rsid w:val="008C2607"/>
    <w:rsid w:val="008D3A26"/>
    <w:rsid w:val="008D4421"/>
    <w:rsid w:val="00907B52"/>
    <w:rsid w:val="00913DA5"/>
    <w:rsid w:val="009167E0"/>
    <w:rsid w:val="00935724"/>
    <w:rsid w:val="0097040B"/>
    <w:rsid w:val="00972F87"/>
    <w:rsid w:val="0098499A"/>
    <w:rsid w:val="00997CF8"/>
    <w:rsid w:val="009C0B1C"/>
    <w:rsid w:val="009C2F53"/>
    <w:rsid w:val="009D48E1"/>
    <w:rsid w:val="009E1E89"/>
    <w:rsid w:val="009F1463"/>
    <w:rsid w:val="00A04F3F"/>
    <w:rsid w:val="00A12D17"/>
    <w:rsid w:val="00A216F3"/>
    <w:rsid w:val="00A402C9"/>
    <w:rsid w:val="00A41220"/>
    <w:rsid w:val="00A56C6D"/>
    <w:rsid w:val="00A637C7"/>
    <w:rsid w:val="00A77757"/>
    <w:rsid w:val="00A806F9"/>
    <w:rsid w:val="00AC42A5"/>
    <w:rsid w:val="00AC664F"/>
    <w:rsid w:val="00AC7E37"/>
    <w:rsid w:val="00AD4080"/>
    <w:rsid w:val="00AF3A1A"/>
    <w:rsid w:val="00AF60F7"/>
    <w:rsid w:val="00B11397"/>
    <w:rsid w:val="00B41BFF"/>
    <w:rsid w:val="00B56D9D"/>
    <w:rsid w:val="00B62053"/>
    <w:rsid w:val="00B662B0"/>
    <w:rsid w:val="00B67B44"/>
    <w:rsid w:val="00B75D5F"/>
    <w:rsid w:val="00B803D1"/>
    <w:rsid w:val="00B96A54"/>
    <w:rsid w:val="00BA61B2"/>
    <w:rsid w:val="00BB4181"/>
    <w:rsid w:val="00BC60E4"/>
    <w:rsid w:val="00BD0DAB"/>
    <w:rsid w:val="00BE6D95"/>
    <w:rsid w:val="00BF735D"/>
    <w:rsid w:val="00C21A63"/>
    <w:rsid w:val="00C25FEC"/>
    <w:rsid w:val="00C335D3"/>
    <w:rsid w:val="00C42526"/>
    <w:rsid w:val="00C55B0C"/>
    <w:rsid w:val="00C61A6C"/>
    <w:rsid w:val="00CA7362"/>
    <w:rsid w:val="00CB4B55"/>
    <w:rsid w:val="00CC318E"/>
    <w:rsid w:val="00CC4589"/>
    <w:rsid w:val="00CC7BA5"/>
    <w:rsid w:val="00CD0A7A"/>
    <w:rsid w:val="00CE3197"/>
    <w:rsid w:val="00CE5253"/>
    <w:rsid w:val="00CF3B72"/>
    <w:rsid w:val="00D071A5"/>
    <w:rsid w:val="00D22485"/>
    <w:rsid w:val="00D3383D"/>
    <w:rsid w:val="00D33902"/>
    <w:rsid w:val="00D3562F"/>
    <w:rsid w:val="00D40321"/>
    <w:rsid w:val="00D46979"/>
    <w:rsid w:val="00D542AD"/>
    <w:rsid w:val="00D62402"/>
    <w:rsid w:val="00D7288E"/>
    <w:rsid w:val="00D73672"/>
    <w:rsid w:val="00D850FB"/>
    <w:rsid w:val="00D92AAD"/>
    <w:rsid w:val="00DA5077"/>
    <w:rsid w:val="00DB4588"/>
    <w:rsid w:val="00DD7187"/>
    <w:rsid w:val="00DE04FA"/>
    <w:rsid w:val="00DE5427"/>
    <w:rsid w:val="00E10C03"/>
    <w:rsid w:val="00E36055"/>
    <w:rsid w:val="00E514EF"/>
    <w:rsid w:val="00E554DD"/>
    <w:rsid w:val="00E570F2"/>
    <w:rsid w:val="00E679BB"/>
    <w:rsid w:val="00E83E89"/>
    <w:rsid w:val="00E9428E"/>
    <w:rsid w:val="00EB44EA"/>
    <w:rsid w:val="00EE7BC3"/>
    <w:rsid w:val="00F031E8"/>
    <w:rsid w:val="00F45B2A"/>
    <w:rsid w:val="00F577BB"/>
    <w:rsid w:val="00F64A72"/>
    <w:rsid w:val="00F940F6"/>
    <w:rsid w:val="00FA05DB"/>
    <w:rsid w:val="00FA7521"/>
    <w:rsid w:val="00FD1A60"/>
    <w:rsid w:val="00FE26A2"/>
    <w:rsid w:val="00FE4A7A"/>
    <w:rsid w:val="00FE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766D84"/>
  <w15:chartTrackingRefBased/>
  <w15:docId w15:val="{095308EA-E459-46AA-96E9-316369DA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6055"/>
    <w:pPr>
      <w:spacing w:after="240" w:line="360" w:lineRule="auto"/>
    </w:pPr>
    <w:rPr>
      <w:rFonts w:ascii="Lato" w:hAnsi="Lato"/>
      <w:sz w:val="24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E4D22"/>
    <w:pPr>
      <w:keepNext/>
      <w:keepLines/>
      <w:spacing w:before="360" w:after="120"/>
      <w:jc w:val="both"/>
      <w:outlineLvl w:val="0"/>
    </w:pPr>
    <w:rPr>
      <w:rFonts w:eastAsiaTheme="majorEastAsia" w:cstheme="majorBidi"/>
      <w:b/>
      <w:color w:val="B5121B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06F9"/>
    <w:pPr>
      <w:keepNext/>
      <w:keepLines/>
      <w:spacing w:before="40" w:after="120"/>
      <w:outlineLvl w:val="1"/>
    </w:pPr>
    <w:rPr>
      <w:rFonts w:eastAsiaTheme="majorEastAsia" w:cstheme="majorBidi"/>
      <w:b/>
      <w:color w:val="B5121B"/>
      <w:sz w:val="28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CE525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5114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1143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542AD"/>
    <w:pPr>
      <w:spacing w:after="0" w:line="240" w:lineRule="auto"/>
      <w:contextualSpacing/>
    </w:pPr>
    <w:rPr>
      <w:rFonts w:eastAsiaTheme="majorEastAsia" w:cstheme="majorBidi"/>
      <w:b/>
      <w:color w:val="B5121B"/>
      <w:spacing w:val="-10"/>
      <w:kern w:val="28"/>
      <w:sz w:val="6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42AD"/>
    <w:rPr>
      <w:rFonts w:ascii="Lato" w:eastAsiaTheme="majorEastAsia" w:hAnsi="Lato" w:cstheme="majorBidi"/>
      <w:b/>
      <w:color w:val="B5121B"/>
      <w:spacing w:val="-10"/>
      <w:kern w:val="28"/>
      <w:sz w:val="68"/>
      <w:szCs w:val="56"/>
      <w:lang w:val="en-GB"/>
    </w:rPr>
  </w:style>
  <w:style w:type="paragraph" w:customStyle="1" w:styleId="Objanieniapodatkowe">
    <w:name w:val="Objaśnienia podatkowe"/>
    <w:basedOn w:val="Tytu"/>
    <w:qFormat/>
    <w:rsid w:val="002E76C7"/>
    <w:rPr>
      <w:rFonts w:ascii="Calibri" w:hAnsi="Calibri"/>
      <w:b w:val="0"/>
      <w:sz w:val="72"/>
    </w:rPr>
  </w:style>
  <w:style w:type="paragraph" w:customStyle="1" w:styleId="dataobjanienia">
    <w:name w:val="data objaśnienia"/>
    <w:basedOn w:val="Objanieniapodatkowe"/>
    <w:autoRedefine/>
    <w:qFormat/>
    <w:rsid w:val="003B1A30"/>
    <w:rPr>
      <w:rFonts w:asciiTheme="majorHAnsi" w:hAnsiTheme="majorHAnsi"/>
      <w:b/>
    </w:rPr>
  </w:style>
  <w:style w:type="paragraph" w:customStyle="1" w:styleId="Objanianezagadnienie">
    <w:name w:val="Objaśniane zagadnienie"/>
    <w:basedOn w:val="dataobjanienia"/>
    <w:autoRedefine/>
    <w:qFormat/>
    <w:rsid w:val="007843A9"/>
    <w:rPr>
      <w:rFonts w:asciiTheme="minorHAnsi" w:hAnsiTheme="minorHAnsi"/>
      <w:b w:val="0"/>
      <w:color w:val="auto"/>
      <w:sz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E4D22"/>
    <w:rPr>
      <w:rFonts w:ascii="Lato" w:eastAsiaTheme="majorEastAsia" w:hAnsi="Lato" w:cstheme="majorBidi"/>
      <w:b/>
      <w:color w:val="B5121B"/>
      <w:sz w:val="36"/>
      <w:szCs w:val="36"/>
      <w:lang w:val="en-GB"/>
    </w:rPr>
  </w:style>
  <w:style w:type="paragraph" w:customStyle="1" w:styleId="Objanienia-nagwek1">
    <w:name w:val="Objaśnienia - nagłówek 1"/>
    <w:basedOn w:val="Nagwek1"/>
    <w:rsid w:val="00AF3A1A"/>
    <w:rPr>
      <w:rFonts w:asciiTheme="minorHAnsi" w:hAnsiTheme="minorHAnsi"/>
      <w:b w:val="0"/>
    </w:rPr>
  </w:style>
  <w:style w:type="character" w:customStyle="1" w:styleId="Nagwek2Znak">
    <w:name w:val="Nagłówek 2 Znak"/>
    <w:basedOn w:val="Domylnaczcionkaakapitu"/>
    <w:link w:val="Nagwek2"/>
    <w:uiPriority w:val="9"/>
    <w:rsid w:val="00A806F9"/>
    <w:rPr>
      <w:rFonts w:ascii="Lato" w:eastAsiaTheme="majorEastAsia" w:hAnsi="Lato" w:cstheme="majorBidi"/>
      <w:b/>
      <w:color w:val="B5121B"/>
      <w:sz w:val="28"/>
      <w:szCs w:val="26"/>
      <w:lang w:val="en-GB"/>
    </w:rPr>
  </w:style>
  <w:style w:type="paragraph" w:customStyle="1" w:styleId="Objanienia-Nagwek2">
    <w:name w:val="Objaśnienia - Nagłówek 2"/>
    <w:basedOn w:val="Nagwek2"/>
    <w:rsid w:val="004A0A8C"/>
    <w:rPr>
      <w:rFonts w:asciiTheme="minorHAnsi" w:hAnsiTheme="minorHAnsi"/>
    </w:rPr>
  </w:style>
  <w:style w:type="paragraph" w:styleId="Akapitzlist">
    <w:name w:val="List Paragraph"/>
    <w:basedOn w:val="Normalny"/>
    <w:uiPriority w:val="34"/>
    <w:qFormat/>
    <w:rsid w:val="003615EA"/>
    <w:pPr>
      <w:numPr>
        <w:numId w:val="9"/>
      </w:numPr>
      <w:contextualSpacing/>
    </w:pPr>
  </w:style>
  <w:style w:type="character" w:styleId="Wyrnienieintensywne">
    <w:name w:val="Intense Emphasis"/>
    <w:aliases w:val="Objaśnienia - Tekst wyróżniony,przykład,szczególny przypadek"/>
    <w:basedOn w:val="Domylnaczcionkaakapitu"/>
    <w:uiPriority w:val="21"/>
    <w:qFormat/>
    <w:rsid w:val="005745E4"/>
    <w:rPr>
      <w:b/>
      <w:i w:val="0"/>
      <w:iCs/>
      <w:color w:val="B5121B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1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1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01C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11E"/>
  </w:style>
  <w:style w:type="paragraph" w:styleId="Stopka">
    <w:name w:val="footer"/>
    <w:basedOn w:val="Normalny"/>
    <w:link w:val="Stopka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11E"/>
  </w:style>
  <w:style w:type="paragraph" w:styleId="Nagwekspisutreci">
    <w:name w:val="TOC Heading"/>
    <w:basedOn w:val="Nagwek1"/>
    <w:next w:val="Normalny"/>
    <w:uiPriority w:val="39"/>
    <w:unhideWhenUsed/>
    <w:qFormat/>
    <w:rsid w:val="004A0A8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A0A8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A0A8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4A0A8C"/>
    <w:rPr>
      <w:color w:val="0563C1" w:themeColor="hyperlink"/>
      <w:u w:val="single"/>
    </w:rPr>
  </w:style>
  <w:style w:type="paragraph" w:customStyle="1" w:styleId="Objanienia-nagwek3">
    <w:name w:val="Objaśnienia - nagłówek 3"/>
    <w:basedOn w:val="Normalny"/>
    <w:link w:val="Objanienia-nagwek3Znak"/>
    <w:rsid w:val="004A0A8C"/>
    <w:pPr>
      <w:spacing w:after="0"/>
      <w:jc w:val="both"/>
    </w:pPr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CE5253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Objanienia-nagwek3Znak">
    <w:name w:val="Objaśnienia - nagłówek 3 Znak"/>
    <w:basedOn w:val="Domylnaczcionkaakapitu"/>
    <w:link w:val="Objanienia-nagwek3"/>
    <w:rsid w:val="004A0A8C"/>
    <w:rPr>
      <w:b/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CE5253"/>
    <w:pPr>
      <w:spacing w:after="100"/>
      <w:ind w:left="440"/>
    </w:pPr>
  </w:style>
  <w:style w:type="paragraph" w:customStyle="1" w:styleId="Objanienia-przypisdolny">
    <w:name w:val="Objaśnienia - przypis dolny"/>
    <w:basedOn w:val="Tekstprzypisudolnego"/>
    <w:link w:val="Objanienia-przypisdolnyZnak"/>
    <w:autoRedefine/>
    <w:qFormat/>
    <w:rsid w:val="00733234"/>
    <w:pPr>
      <w:jc w:val="both"/>
    </w:pPr>
  </w:style>
  <w:style w:type="character" w:customStyle="1" w:styleId="Objanienia-przypisdolnyZnak">
    <w:name w:val="Objaśnienia - przypis dolny Znak"/>
    <w:basedOn w:val="TekstprzypisudolnegoZnak"/>
    <w:link w:val="Objanienia-przypisdolny"/>
    <w:rsid w:val="00733234"/>
    <w:rPr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02CF"/>
    <w:pPr>
      <w:numPr>
        <w:ilvl w:val="1"/>
      </w:numPr>
      <w:spacing w:before="360" w:after="160"/>
    </w:pPr>
    <w:rPr>
      <w:rFonts w:eastAsiaTheme="minorEastAsia"/>
      <w:b/>
      <w:color w:val="000000" w:themeColor="text1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02CF"/>
    <w:rPr>
      <w:rFonts w:ascii="Lato" w:eastAsiaTheme="minorEastAsia" w:hAnsi="Lato"/>
      <w:b/>
      <w:color w:val="000000" w:themeColor="text1"/>
      <w:spacing w:val="15"/>
      <w:sz w:val="28"/>
      <w:lang w:val="en-GB"/>
    </w:rPr>
  </w:style>
  <w:style w:type="character" w:styleId="Odwoanieintensywne">
    <w:name w:val="Intense Reference"/>
    <w:basedOn w:val="Domylnaczcionkaakapitu"/>
    <w:uiPriority w:val="32"/>
    <w:qFormat/>
    <w:rsid w:val="0098499A"/>
    <w:rPr>
      <w:b/>
      <w:bCs/>
      <w:smallCaps/>
      <w:color w:val="5B9BD5" w:themeColor="accent1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C2E"/>
    <w:rPr>
      <w:rFonts w:ascii="Segoe UI" w:hAnsi="Segoe UI" w:cs="Segoe UI"/>
      <w:sz w:val="18"/>
      <w:szCs w:val="18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38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38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383D"/>
    <w:rPr>
      <w:rFonts w:ascii="Lato" w:hAnsi="Lato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38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383D"/>
    <w:rPr>
      <w:rFonts w:ascii="Lato" w:hAnsi="Lato"/>
      <w:b/>
      <w:bCs/>
      <w:sz w:val="20"/>
      <w:szCs w:val="20"/>
      <w:lang w:val="en-GB"/>
    </w:rPr>
  </w:style>
  <w:style w:type="paragraph" w:styleId="Legenda">
    <w:name w:val="caption"/>
    <w:basedOn w:val="Normalny"/>
    <w:next w:val="Normalny"/>
    <w:uiPriority w:val="35"/>
    <w:unhideWhenUsed/>
    <w:qFormat/>
    <w:rsid w:val="00D736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C26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eurostat/data/database" TargetMode="External"/><Relationship Id="rId13" Type="http://schemas.openxmlformats.org/officeDocument/2006/relationships/hyperlink" Target="https://www.gov.pl/web/finanse/szacunkowe-wykonanie-budzetu" TargetMode="External"/><Relationship Id="rId18" Type="http://schemas.openxmlformats.org/officeDocument/2006/relationships/chart" Target="charts/chart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www.gov.pl/web/finanse/dane-fiskalne-na-potrzeby-nadzoru-budzetowego-ue" TargetMode="External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eurostat/databrowser/view/gov_10q_ggnfa/default/table?lang=en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finanse/budzety-js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ec.europa.eu/eurostat/databrowser/view/gov_10a_exp/default/table?lang=en" TargetMode="Externa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https://ec.europa.eu/eurostat/databrowser/view/gov_10a_main/default/table?lang=en" TargetMode="External"/><Relationship Id="rId14" Type="http://schemas.openxmlformats.org/officeDocument/2006/relationships/hyperlink" Target="https://www.gov.pl/web/finanse/sprawozdania-operatywne-miesieczne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ABV\Desktop\Obja&#347;nienia%20podatkowe%20-%20og&#243;lny%20szablon%20MF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200668896321072E-2"/>
          <c:y val="2.6177046317957673E-2"/>
          <c:w val="0.93979933110367897"/>
          <c:h val="0.7996261396310503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Arkusz1!$M$2</c:f>
              <c:strCache>
                <c:ptCount val="1"/>
                <c:pt idx="0">
                  <c:v>wynik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Arkusz1!$K$3:$L$14</c:f>
              <c:multiLvlStrCache>
                <c:ptCount val="12"/>
                <c:lvl>
                  <c:pt idx="0">
                    <c:v>II kw.</c:v>
                  </c:pt>
                  <c:pt idx="1">
                    <c:v>III kw.</c:v>
                  </c:pt>
                  <c:pt idx="2">
                    <c:v>IV kw.</c:v>
                  </c:pt>
                  <c:pt idx="3">
                    <c:v>I kw.</c:v>
                  </c:pt>
                  <c:pt idx="4">
                    <c:v>II kw.</c:v>
                  </c:pt>
                  <c:pt idx="5">
                    <c:v>III kw.</c:v>
                  </c:pt>
                  <c:pt idx="6">
                    <c:v>IV kw.</c:v>
                  </c:pt>
                  <c:pt idx="7">
                    <c:v>I kw.</c:v>
                  </c:pt>
                  <c:pt idx="8">
                    <c:v>II kw.</c:v>
                  </c:pt>
                  <c:pt idx="9">
                    <c:v>III kw.</c:v>
                  </c:pt>
                  <c:pt idx="10">
                    <c:v>IV kw.</c:v>
                  </c:pt>
                  <c:pt idx="11">
                    <c:v>I kw.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  <c:pt idx="7">
                    <c:v>2023</c:v>
                  </c:pt>
                  <c:pt idx="11">
                    <c:v>2024</c:v>
                  </c:pt>
                </c:lvl>
              </c:multiLvlStrCache>
            </c:multiLvlStrRef>
          </c:cat>
          <c:val>
            <c:numRef>
              <c:f>Arkusz1!$M$3:$M$14</c:f>
              <c:numCache>
                <c:formatCode>#\ ##0.0</c:formatCode>
                <c:ptCount val="12"/>
                <c:pt idx="0">
                  <c:v>-0.9</c:v>
                </c:pt>
                <c:pt idx="1">
                  <c:v>0.5</c:v>
                </c:pt>
                <c:pt idx="2">
                  <c:v>-5.4</c:v>
                </c:pt>
                <c:pt idx="3">
                  <c:v>0.4</c:v>
                </c:pt>
                <c:pt idx="4">
                  <c:v>-0.7</c:v>
                </c:pt>
                <c:pt idx="5">
                  <c:v>-2.6</c:v>
                </c:pt>
                <c:pt idx="6">
                  <c:v>-9.5</c:v>
                </c:pt>
                <c:pt idx="7">
                  <c:v>-0.9</c:v>
                </c:pt>
                <c:pt idx="8">
                  <c:v>-3.5</c:v>
                </c:pt>
                <c:pt idx="9">
                  <c:v>-5.4</c:v>
                </c:pt>
                <c:pt idx="10">
                  <c:v>-9.8000000000000007</c:v>
                </c:pt>
                <c:pt idx="11">
                  <c:v>-0.3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7-4EF0-A32D-F54F7C06B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632112"/>
        <c:axId val="904624272"/>
      </c:barChart>
      <c:lineChart>
        <c:grouping val="standard"/>
        <c:varyColors val="0"/>
        <c:ser>
          <c:idx val="4"/>
          <c:order val="1"/>
          <c:tx>
            <c:strRef>
              <c:f>Arkusz1!$N$2</c:f>
              <c:strCache>
                <c:ptCount val="1"/>
                <c:pt idx="0">
                  <c:v>wynik pierwotny</c:v>
                </c:pt>
              </c:strCache>
            </c:strRef>
          </c:tx>
          <c:spPr>
            <a:ln w="44450">
              <a:solidFill>
                <a:srgbClr val="00863D"/>
              </a:solidFill>
              <a:prstDash val="solid"/>
            </a:ln>
          </c:spPr>
          <c:marker>
            <c:symbol val="none"/>
          </c:marker>
          <c:cat>
            <c:multiLvlStrRef>
              <c:f>[2]dane!$A$60:$B$71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1">
                    <c:v>2013</c:v>
                  </c:pt>
                  <c:pt idx="3">
                    <c:v>2013</c:v>
                  </c:pt>
                  <c:pt idx="7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Arkusz1!$N$3:$N$14</c:f>
              <c:numCache>
                <c:formatCode>#\ ##0.0</c:formatCode>
                <c:ptCount val="12"/>
                <c:pt idx="0">
                  <c:v>0.34620281819716708</c:v>
                </c:pt>
                <c:pt idx="1">
                  <c:v>1.7099283285679432</c:v>
                </c:pt>
                <c:pt idx="2">
                  <c:v>-4.4845393909894682</c:v>
                </c:pt>
                <c:pt idx="3">
                  <c:v>1.440694224650561</c:v>
                </c:pt>
                <c:pt idx="4">
                  <c:v>0.70256114595835195</c:v>
                </c:pt>
                <c:pt idx="5">
                  <c:v>-1.010902328278694</c:v>
                </c:pt>
                <c:pt idx="6">
                  <c:v>-7.4977292327153577</c:v>
                </c:pt>
                <c:pt idx="7">
                  <c:v>0.44926861546572489</c:v>
                </c:pt>
                <c:pt idx="8">
                  <c:v>-1.1940176597229415</c:v>
                </c:pt>
                <c:pt idx="9">
                  <c:v>-3.4518644396330682</c:v>
                </c:pt>
                <c:pt idx="10">
                  <c:v>-7.1016949350293848</c:v>
                </c:pt>
                <c:pt idx="11">
                  <c:v>1.7947794040511387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37-4EF0-A32D-F54F7C06B285}"/>
            </c:ext>
          </c:extLst>
        </c:ser>
        <c:ser>
          <c:idx val="5"/>
          <c:order val="2"/>
          <c:tx>
            <c:strRef>
              <c:f>Arkusz1!$O$2</c:f>
              <c:strCache>
                <c:ptCount val="1"/>
                <c:pt idx="0">
                  <c:v>wynik w ujęciu roku płynnego</c:v>
                </c:pt>
              </c:strCache>
            </c:strRef>
          </c:tx>
          <c:spPr>
            <a:ln w="4445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[2]dane!$A$60:$B$71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1">
                    <c:v>2013</c:v>
                  </c:pt>
                  <c:pt idx="3">
                    <c:v>2013</c:v>
                  </c:pt>
                  <c:pt idx="7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Arkusz1!$O$3:$O$14</c:f>
              <c:numCache>
                <c:formatCode>#\ ##0.0</c:formatCode>
                <c:ptCount val="12"/>
                <c:pt idx="0">
                  <c:v>-2.9523574418059981</c:v>
                </c:pt>
                <c:pt idx="1">
                  <c:v>-1.9999257699519597</c:v>
                </c:pt>
                <c:pt idx="2">
                  <c:v>-1.8333888761765522</c:v>
                </c:pt>
                <c:pt idx="3">
                  <c:v>-1.4508567680204134</c:v>
                </c:pt>
                <c:pt idx="4">
                  <c:v>-1.3940450987194188</c:v>
                </c:pt>
                <c:pt idx="5">
                  <c:v>-2.1333541994020937</c:v>
                </c:pt>
                <c:pt idx="6">
                  <c:v>-3.4438030148578198</c:v>
                </c:pt>
                <c:pt idx="7">
                  <c:v>-3.6402895852327677</c:v>
                </c:pt>
                <c:pt idx="8">
                  <c:v>-4.2474232958975549</c:v>
                </c:pt>
                <c:pt idx="9">
                  <c:v>-4.9358965825819565</c:v>
                </c:pt>
                <c:pt idx="10">
                  <c:v>-5.0975085601412147</c:v>
                </c:pt>
                <c:pt idx="11">
                  <c:v>-4.9099645293695424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37-4EF0-A32D-F54F7C06B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4632112"/>
        <c:axId val="904624272"/>
      </c:lineChart>
      <c:catAx>
        <c:axId val="904632112"/>
        <c:scaling>
          <c:orientation val="minMax"/>
        </c:scaling>
        <c:delete val="0"/>
        <c:axPos val="b"/>
        <c:numFmt formatCode="mm/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904624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04624272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904632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1199300347590856E-2"/>
          <c:y val="0.64000322945526833"/>
          <c:w val="0.51789709172259513"/>
          <c:h val="0.1356754230299333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>
              <a:latin typeface="Lato" panose="020F0502020204030203" pitchFamily="34" charset="-18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+mj-lt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891968600404568E-2"/>
          <c:y val="1.5316811084321163E-2"/>
          <c:w val="0.94114393418943443"/>
          <c:h val="0.975232198142414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B547"/>
              </a:solidFill>
            </c:spPr>
            <c:extLst>
              <c:ext xmlns:c16="http://schemas.microsoft.com/office/drawing/2014/chart" uri="{C3380CC4-5D6E-409C-BE32-E72D297353CC}">
                <c16:uniqueId val="{00000001-9107-4320-9FF3-082A2D22A01A}"/>
              </c:ext>
            </c:extLst>
          </c:dPt>
          <c:dPt>
            <c:idx val="1"/>
            <c:invertIfNegative val="0"/>
            <c:bubble3D val="0"/>
            <c:spPr>
              <a:solidFill>
                <a:srgbClr val="ADAFB2"/>
              </a:solidFill>
            </c:spPr>
            <c:extLst>
              <c:ext xmlns:c16="http://schemas.microsoft.com/office/drawing/2014/chart" uri="{C3380CC4-5D6E-409C-BE32-E72D297353CC}">
                <c16:uniqueId val="{00000003-9107-4320-9FF3-082A2D22A01A}"/>
              </c:ext>
            </c:extLst>
          </c:dPt>
          <c:dPt>
            <c:idx val="2"/>
            <c:invertIfNegative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5-9107-4320-9FF3-082A2D22A01A}"/>
              </c:ext>
            </c:extLst>
          </c:dPt>
          <c:dPt>
            <c:idx val="3"/>
            <c:invertIfNegative val="0"/>
            <c:bubble3D val="0"/>
            <c:spPr>
              <a:solidFill>
                <a:srgbClr val="E31837"/>
              </a:solidFill>
            </c:spPr>
            <c:extLst>
              <c:ext xmlns:c16="http://schemas.microsoft.com/office/drawing/2014/chart" uri="{C3380CC4-5D6E-409C-BE32-E72D297353CC}">
                <c16:uniqueId val="{00000007-9107-4320-9FF3-082A2D22A01A}"/>
              </c:ext>
            </c:extLst>
          </c:dPt>
          <c:dPt>
            <c:idx val="5"/>
            <c:invertIfNegative val="0"/>
            <c:bubble3D val="0"/>
            <c:spPr>
              <a:solidFill>
                <a:srgbClr val="9999FF"/>
              </a:solidFill>
            </c:spPr>
            <c:extLst>
              <c:ext xmlns:c16="http://schemas.microsoft.com/office/drawing/2014/chart" uri="{C3380CC4-5D6E-409C-BE32-E72D297353CC}">
                <c16:uniqueId val="{00000009-9107-4320-9FF3-082A2D22A01A}"/>
              </c:ext>
            </c:extLst>
          </c:dPt>
          <c:cat>
            <c:strRef>
              <c:f>Arkusz1!$M$50:$M$54</c:f>
              <c:strCache>
                <c:ptCount val="5"/>
                <c:pt idx="0">
                  <c:v>składki na ubezpieczenia społeczne</c:v>
                </c:pt>
                <c:pt idx="1">
                  <c:v>podatki dochodowe</c:v>
                </c:pt>
                <c:pt idx="2">
                  <c:v>VAT</c:v>
                </c:pt>
                <c:pt idx="3">
                  <c:v>pozostałe podatki</c:v>
                </c:pt>
                <c:pt idx="4">
                  <c:v>inne dochody niepodatkowe</c:v>
                </c:pt>
              </c:strCache>
            </c:strRef>
          </c:cat>
          <c:val>
            <c:numRef>
              <c:f>Arkusz1!$N$50:$N$54</c:f>
              <c:numCache>
                <c:formatCode>0.0%</c:formatCode>
                <c:ptCount val="5"/>
                <c:pt idx="0">
                  <c:v>0.35366021187224272</c:v>
                </c:pt>
                <c:pt idx="1">
                  <c:v>0.1950439859456318</c:v>
                </c:pt>
                <c:pt idx="2">
                  <c:v>0.18241883073996779</c:v>
                </c:pt>
                <c:pt idx="3">
                  <c:v>0.15361794309565949</c:v>
                </c:pt>
                <c:pt idx="4">
                  <c:v>0.1152590283464983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07-4320-9FF3-082A2D22A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4628976"/>
        <c:axId val="904633288"/>
      </c:barChart>
      <c:catAx>
        <c:axId val="90462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33288"/>
        <c:crosses val="autoZero"/>
        <c:auto val="1"/>
        <c:lblAlgn val="ctr"/>
        <c:lblOffset val="100"/>
        <c:noMultiLvlLbl val="0"/>
      </c:catAx>
      <c:valAx>
        <c:axId val="90463328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904628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739294333174799E-2"/>
          <c:y val="6.3257135452037816E-2"/>
          <c:w val="0.90635451505016718"/>
          <c:h val="0.70370370370370372"/>
        </c:manualLayout>
      </c:layout>
      <c:lineChart>
        <c:grouping val="standard"/>
        <c:varyColors val="0"/>
        <c:ser>
          <c:idx val="1"/>
          <c:order val="0"/>
          <c:tx>
            <c:v>VAT</c:v>
          </c:tx>
          <c:spPr>
            <a:ln w="2540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'baza VAT'!$C$108:$D$120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'baza VAT'!$I$108:$I$120</c:f>
              <c:numCache>
                <c:formatCode>0.0%</c:formatCode>
                <c:ptCount val="13"/>
                <c:pt idx="0">
                  <c:v>1.3561024024287007</c:v>
                </c:pt>
                <c:pt idx="1">
                  <c:v>1.2397526629791551</c:v>
                </c:pt>
                <c:pt idx="2">
                  <c:v>1.1139091012990971</c:v>
                </c:pt>
                <c:pt idx="3">
                  <c:v>1.1915132853584278</c:v>
                </c:pt>
                <c:pt idx="4">
                  <c:v>1.004661190263906</c:v>
                </c:pt>
                <c:pt idx="5">
                  <c:v>1.0457305137479296</c:v>
                </c:pt>
                <c:pt idx="6">
                  <c:v>1.0128600543715587</c:v>
                </c:pt>
                <c:pt idx="7">
                  <c:v>0.92652381777508352</c:v>
                </c:pt>
                <c:pt idx="8">
                  <c:v>1.2546349455202896</c:v>
                </c:pt>
                <c:pt idx="9">
                  <c:v>1.0668065708945309</c:v>
                </c:pt>
                <c:pt idx="10">
                  <c:v>1.0976695388320896</c:v>
                </c:pt>
                <c:pt idx="11">
                  <c:v>1.080086546569325</c:v>
                </c:pt>
                <c:pt idx="12">
                  <c:v>1.1739501682121694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6-47D8-87B0-8E0E71BD5169}"/>
            </c:ext>
          </c:extLst>
        </c:ser>
        <c:ser>
          <c:idx val="2"/>
          <c:order val="1"/>
          <c:tx>
            <c:v>VAT w ujęciu roku płynnego</c:v>
          </c:tx>
          <c:spPr>
            <a:ln w="2540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multiLvlStrRef>
              <c:f>'baza VAT'!$C$108:$D$120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'baza VAT'!$J$108:$J$120</c:f>
              <c:numCache>
                <c:formatCode>0.0%</c:formatCode>
                <c:ptCount val="13"/>
                <c:pt idx="0">
                  <c:v>1.1012114476243402</c:v>
                </c:pt>
                <c:pt idx="1">
                  <c:v>1.1924051068121391</c:v>
                </c:pt>
                <c:pt idx="2">
                  <c:v>1.1842326543708441</c:v>
                </c:pt>
                <c:pt idx="3">
                  <c:v>1.2106644296745606</c:v>
                </c:pt>
                <c:pt idx="4">
                  <c:v>1.1372281417565338</c:v>
                </c:pt>
                <c:pt idx="5">
                  <c:v>1.0942613513162156</c:v>
                </c:pt>
                <c:pt idx="6">
                  <c:v>1.0672062773852358</c:v>
                </c:pt>
                <c:pt idx="7">
                  <c:v>0.99224844380434396</c:v>
                </c:pt>
                <c:pt idx="8">
                  <c:v>1.0440312675952801</c:v>
                </c:pt>
                <c:pt idx="9">
                  <c:v>1.0490168209950712</c:v>
                </c:pt>
                <c:pt idx="10">
                  <c:v>1.0708857241820435</c:v>
                </c:pt>
                <c:pt idx="11">
                  <c:v>1.1180250553469744</c:v>
                </c:pt>
                <c:pt idx="12">
                  <c:v>1.1048444478650192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B6-47D8-87B0-8E0E71BD5169}"/>
            </c:ext>
          </c:extLst>
        </c:ser>
        <c:ser>
          <c:idx val="0"/>
          <c:order val="2"/>
          <c:tx>
            <c:v>Seria 1</c:v>
          </c:tx>
          <c:spPr>
            <a:ln w="19050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'baza VAT'!$C$108:$D$120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'baza VAT'!$K$108:$K$120</c:f>
              <c:numCache>
                <c:formatCode>0.0%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B6-47D8-87B0-8E0E71BD51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711007"/>
        <c:axId val="1"/>
      </c:lineChart>
      <c:catAx>
        <c:axId val="103711007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0"/>
        <c:tickMarkSkip val="1"/>
        <c:noMultiLvlLbl val="0"/>
      </c:catAx>
      <c:valAx>
        <c:axId val="1"/>
        <c:scaling>
          <c:orientation val="minMax"/>
          <c:max val="1.4"/>
          <c:min val="0.9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03711007"/>
        <c:crosses val="autoZero"/>
        <c:crossBetween val="between"/>
        <c:majorUnit val="0.1"/>
      </c:valAx>
      <c:spPr>
        <a:solidFill>
          <a:srgbClr val="FFFFFF"/>
        </a:solidFill>
        <a:ln w="25400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33927316641798094"/>
          <c:y val="5.2920721866288455E-2"/>
          <c:w val="0.63382125197998851"/>
          <c:h val="0.16510881791949919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Lato" panose="020F0502020204030203" pitchFamily="34" charset="-18"/>
          <a:ea typeface="Garamond"/>
          <a:cs typeface="Garamond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964086465128485E-2"/>
          <c:y val="0"/>
          <c:w val="0.93583735678643609"/>
          <c:h val="0.950282474817045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9EDB-4A87-87AC-C60AA22922AE}"/>
              </c:ext>
            </c:extLst>
          </c:dPt>
          <c:dPt>
            <c:idx val="1"/>
            <c:invertIfNegative val="0"/>
            <c:bubble3D val="0"/>
            <c:spPr>
              <a:solidFill>
                <a:srgbClr val="E31837"/>
              </a:solidFill>
            </c:spPr>
            <c:extLst>
              <c:ext xmlns:c16="http://schemas.microsoft.com/office/drawing/2014/chart" uri="{C3380CC4-5D6E-409C-BE32-E72D297353CC}">
                <c16:uniqueId val="{00000003-9EDB-4A87-87AC-C60AA22922AE}"/>
              </c:ext>
            </c:extLst>
          </c:dPt>
          <c:dPt>
            <c:idx val="2"/>
            <c:invertIfNegative val="0"/>
            <c:bubble3D val="0"/>
            <c:spPr>
              <a:solidFill>
                <a:srgbClr val="ADAFB2"/>
              </a:solidFill>
            </c:spPr>
            <c:extLst>
              <c:ext xmlns:c16="http://schemas.microsoft.com/office/drawing/2014/chart" uri="{C3380CC4-5D6E-409C-BE32-E72D297353CC}">
                <c16:uniqueId val="{00000005-9EDB-4A87-87AC-C60AA22922AE}"/>
              </c:ext>
            </c:extLst>
          </c:dPt>
          <c:dPt>
            <c:idx val="3"/>
            <c:invertIfNegative val="0"/>
            <c:bubble3D val="0"/>
            <c:spPr>
              <a:solidFill>
                <a:srgbClr val="660066"/>
              </a:solidFill>
            </c:spPr>
            <c:extLst>
              <c:ext xmlns:c16="http://schemas.microsoft.com/office/drawing/2014/chart" uri="{C3380CC4-5D6E-409C-BE32-E72D297353CC}">
                <c16:uniqueId val="{00000007-9EDB-4A87-87AC-C60AA22922AE}"/>
              </c:ext>
            </c:extLst>
          </c:dPt>
          <c:dPt>
            <c:idx val="4"/>
            <c:invertIfNegative val="0"/>
            <c:bubble3D val="0"/>
            <c:spPr>
              <a:solidFill>
                <a:srgbClr val="FFB547"/>
              </a:solidFill>
            </c:spPr>
            <c:extLst>
              <c:ext xmlns:c16="http://schemas.microsoft.com/office/drawing/2014/chart" uri="{C3380CC4-5D6E-409C-BE32-E72D297353CC}">
                <c16:uniqueId val="{00000009-9EDB-4A87-87AC-C60AA22922AE}"/>
              </c:ext>
            </c:extLst>
          </c:dPt>
          <c:dPt>
            <c:idx val="5"/>
            <c:invertIfNegative val="0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B-9EDB-4A87-87AC-C60AA22922AE}"/>
              </c:ext>
            </c:extLst>
          </c:dPt>
          <c:cat>
            <c:strRef>
              <c:f>Arkusz1!$Q$50:$Q$55</c:f>
              <c:strCache>
                <c:ptCount val="6"/>
                <c:pt idx="0">
                  <c:v>świadczenia socjalne</c:v>
                </c:pt>
                <c:pt idx="1">
                  <c:v>koszty pracy</c:v>
                </c:pt>
                <c:pt idx="2">
                  <c:v>zużycie pośrednie</c:v>
                </c:pt>
                <c:pt idx="3">
                  <c:v>inwestycje</c:v>
                </c:pt>
                <c:pt idx="4">
                  <c:v>odsetki</c:v>
                </c:pt>
                <c:pt idx="5">
                  <c:v>pozostałe</c:v>
                </c:pt>
              </c:strCache>
            </c:strRef>
          </c:cat>
          <c:val>
            <c:numRef>
              <c:f>Arkusz1!$R$50:$R$55</c:f>
              <c:numCache>
                <c:formatCode>0.0%</c:formatCode>
                <c:ptCount val="6"/>
                <c:pt idx="0">
                  <c:v>0.42494751758161015</c:v>
                </c:pt>
                <c:pt idx="1">
                  <c:v>0.23714967985724783</c:v>
                </c:pt>
                <c:pt idx="2">
                  <c:v>0.12786554004408524</c:v>
                </c:pt>
                <c:pt idx="3">
                  <c:v>6.1065917917497645E-2</c:v>
                </c:pt>
                <c:pt idx="4">
                  <c:v>4.5929988453867955E-2</c:v>
                </c:pt>
                <c:pt idx="5">
                  <c:v>0.10304135614569121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EDB-4A87-87AC-C60AA2292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4625056"/>
        <c:axId val="904634072"/>
      </c:barChart>
      <c:catAx>
        <c:axId val="90462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34072"/>
        <c:crosses val="autoZero"/>
        <c:auto val="1"/>
        <c:lblAlgn val="ctr"/>
        <c:lblOffset val="100"/>
        <c:noMultiLvlLbl val="0"/>
      </c:catAx>
      <c:valAx>
        <c:axId val="90463407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25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3715377174383746E-2"/>
          <c:y val="3.2364206450431102E-2"/>
          <c:w val="0.81701143289292233"/>
          <c:h val="0.82625419685787138"/>
        </c:manualLayout>
      </c:layout>
      <c:barChart>
        <c:barDir val="col"/>
        <c:grouping val="stacked"/>
        <c:varyColors val="0"/>
        <c:ser>
          <c:idx val="3"/>
          <c:order val="1"/>
          <c:tx>
            <c:strRef>
              <c:f>dane!$A$3</c:f>
              <c:strCache>
                <c:ptCount val="1"/>
                <c:pt idx="0">
                  <c:v>mld zł</c:v>
                </c:pt>
              </c:strCache>
            </c:strRef>
          </c:tx>
          <c:spPr>
            <a:solidFill>
              <a:srgbClr val="E31837"/>
            </a:solidFill>
            <a:ln w="25400">
              <a:noFill/>
            </a:ln>
          </c:spPr>
          <c:invertIfNegative val="0"/>
          <c:cat>
            <c:strRef>
              <c:f>dane!$B$1:$M$1</c:f>
              <c:strCach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I kw.
2024</c:v>
                </c:pt>
              </c:strCache>
            </c:strRef>
          </c:cat>
          <c:val>
            <c:numRef>
              <c:f>dane!$B$3:$M$3</c:f>
              <c:numCache>
                <c:formatCode>0.0</c:formatCode>
                <c:ptCount val="12"/>
                <c:pt idx="0">
                  <c:v>931.06058173142731</c:v>
                </c:pt>
                <c:pt idx="1">
                  <c:v>873.90875876114706</c:v>
                </c:pt>
                <c:pt idx="2">
                  <c:v>923.41650733267954</c:v>
                </c:pt>
                <c:pt idx="3">
                  <c:v>1010.0218675759083</c:v>
                </c:pt>
                <c:pt idx="4">
                  <c:v>1007.1996172899171</c:v>
                </c:pt>
                <c:pt idx="5">
                  <c:v>1035.7982763932662</c:v>
                </c:pt>
                <c:pt idx="6">
                  <c:v>1046.0208371711699</c:v>
                </c:pt>
                <c:pt idx="7">
                  <c:v>1337.0381032803743</c:v>
                </c:pt>
                <c:pt idx="8">
                  <c:v>1410.961089797943</c:v>
                </c:pt>
                <c:pt idx="9">
                  <c:v>1512.7727018135563</c:v>
                </c:pt>
                <c:pt idx="10">
                  <c:v>1691.2324293933643</c:v>
                </c:pt>
                <c:pt idx="11">
                  <c:v>1771.8162575984713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07-4D9B-8067-4017148BF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414294496"/>
        <c:axId val="414305080"/>
      </c:barChart>
      <c:lineChart>
        <c:grouping val="standard"/>
        <c:varyColors val="0"/>
        <c:ser>
          <c:idx val="1"/>
          <c:order val="0"/>
          <c:tx>
            <c:strRef>
              <c:f>dane!$A$2</c:f>
              <c:strCache>
                <c:ptCount val="1"/>
                <c:pt idx="0">
                  <c:v>% PKB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strRef>
              <c:f>dane!$B$1:$M$1</c:f>
              <c:strCach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I kw.
2024</c:v>
                </c:pt>
              </c:strCache>
            </c:strRef>
          </c:cat>
          <c:val>
            <c:numRef>
              <c:f>dane!$B$2:$M$2</c:f>
              <c:numCache>
                <c:formatCode>0.0%</c:formatCode>
                <c:ptCount val="12"/>
                <c:pt idx="0">
                  <c:v>0.57115865996335691</c:v>
                </c:pt>
                <c:pt idx="1">
                  <c:v>0.51389701966893186</c:v>
                </c:pt>
                <c:pt idx="2">
                  <c:v>0.51344542820587658</c:v>
                </c:pt>
                <c:pt idx="3">
                  <c:v>0.54501359648677206</c:v>
                </c:pt>
                <c:pt idx="4">
                  <c:v>0.50796987346639</c:v>
                </c:pt>
                <c:pt idx="5">
                  <c:v>0.487089165442601</c:v>
                </c:pt>
                <c:pt idx="6">
                  <c:v>0.45707869137707635</c:v>
                </c:pt>
                <c:pt idx="7">
                  <c:v>0.57195292242091422</c:v>
                </c:pt>
                <c:pt idx="8">
                  <c:v>0.53622162571068643</c:v>
                </c:pt>
                <c:pt idx="9">
                  <c:v>0.49199085761640704</c:v>
                </c:pt>
                <c:pt idx="10">
                  <c:v>0.49594273701166047</c:v>
                </c:pt>
                <c:pt idx="11">
                  <c:v>0.51446823601513814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07-4D9B-8067-4017148BF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292928"/>
        <c:axId val="414294888"/>
      </c:lineChart>
      <c:catAx>
        <c:axId val="41429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305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4305080"/>
        <c:scaling>
          <c:orientation val="minMax"/>
          <c:max val="1800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294496"/>
        <c:crosses val="autoZero"/>
        <c:crossBetween val="between"/>
        <c:majorUnit val="200"/>
      </c:valAx>
      <c:catAx>
        <c:axId val="414292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14294888"/>
        <c:crosses val="autoZero"/>
        <c:auto val="1"/>
        <c:lblAlgn val="ctr"/>
        <c:lblOffset val="100"/>
        <c:noMultiLvlLbl val="0"/>
      </c:catAx>
      <c:valAx>
        <c:axId val="414294888"/>
        <c:scaling>
          <c:orientation val="minMax"/>
          <c:max val="1"/>
        </c:scaling>
        <c:delete val="0"/>
        <c:axPos val="r"/>
        <c:numFmt formatCode="0%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292928"/>
        <c:crosses val="max"/>
        <c:crossBetween val="between"/>
        <c:maj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3768646121725854E-2"/>
          <c:y val="3.6921756296044404E-2"/>
          <c:w val="0.41030827226334843"/>
          <c:h val="8.004626241938422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4616251827581951E-2"/>
          <c:y val="3.4542360526612498E-2"/>
          <c:w val="0.90296499850270395"/>
          <c:h val="0.82661039747653919"/>
        </c:manualLayout>
      </c:layout>
      <c:lineChart>
        <c:grouping val="standard"/>
        <c:varyColors val="0"/>
        <c:ser>
          <c:idx val="0"/>
          <c:order val="0"/>
          <c:tx>
            <c:v>2L</c:v>
          </c:tx>
          <c:spPr>
            <a:ln w="2540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dane!$A$212:$B$235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2022</c:v>
                  </c:pt>
                  <c:pt idx="9">
                    <c:v>2023</c:v>
                  </c:pt>
                  <c:pt idx="21">
                    <c:v>2024</c:v>
                  </c:pt>
                </c:lvl>
              </c:multiLvlStrCache>
            </c:multiLvlStrRef>
          </c:cat>
          <c:val>
            <c:numRef>
              <c:f>dzienne!$I$3341:$I$3844</c:f>
              <c:numCache>
                <c:formatCode>0.00%</c:formatCode>
                <c:ptCount val="504"/>
                <c:pt idx="0">
                  <c:v>5.6600000000000004E-2</c:v>
                </c:pt>
                <c:pt idx="1">
                  <c:v>5.6500000000000002E-2</c:v>
                </c:pt>
                <c:pt idx="2">
                  <c:v>5.7500000000000002E-2</c:v>
                </c:pt>
                <c:pt idx="3">
                  <c:v>5.9400000000000001E-2</c:v>
                </c:pt>
                <c:pt idx="4">
                  <c:v>6.25E-2</c:v>
                </c:pt>
                <c:pt idx="5">
                  <c:v>6.4600000000000005E-2</c:v>
                </c:pt>
                <c:pt idx="6">
                  <c:v>6.6699999999999995E-2</c:v>
                </c:pt>
                <c:pt idx="7">
                  <c:v>6.5700000000000008E-2</c:v>
                </c:pt>
                <c:pt idx="8">
                  <c:v>6.1799999999999994E-2</c:v>
                </c:pt>
                <c:pt idx="9">
                  <c:v>6.2199999999999998E-2</c:v>
                </c:pt>
                <c:pt idx="10">
                  <c:v>6.3700000000000007E-2</c:v>
                </c:pt>
                <c:pt idx="11">
                  <c:v>6.480000000000001E-2</c:v>
                </c:pt>
                <c:pt idx="12">
                  <c:v>6.4100000000000004E-2</c:v>
                </c:pt>
                <c:pt idx="13">
                  <c:v>6.4500000000000002E-2</c:v>
                </c:pt>
                <c:pt idx="14">
                  <c:v>6.7299999999999999E-2</c:v>
                </c:pt>
                <c:pt idx="15">
                  <c:v>6.5199999999999994E-2</c:v>
                </c:pt>
                <c:pt idx="16">
                  <c:v>6.4399999999999999E-2</c:v>
                </c:pt>
                <c:pt idx="17">
                  <c:v>6.5799999999999997E-2</c:v>
                </c:pt>
                <c:pt idx="18">
                  <c:v>6.5700000000000008E-2</c:v>
                </c:pt>
                <c:pt idx="19">
                  <c:v>6.6100000000000006E-2</c:v>
                </c:pt>
                <c:pt idx="20">
                  <c:v>6.7099999999999993E-2</c:v>
                </c:pt>
                <c:pt idx="21">
                  <c:v>6.7599999999999993E-2</c:v>
                </c:pt>
                <c:pt idx="22">
                  <c:v>6.8150000000000002E-2</c:v>
                </c:pt>
                <c:pt idx="23">
                  <c:v>6.7199999999999996E-2</c:v>
                </c:pt>
                <c:pt idx="24">
                  <c:v>6.7599999999999993E-2</c:v>
                </c:pt>
                <c:pt idx="25">
                  <c:v>6.7799999999999999E-2</c:v>
                </c:pt>
                <c:pt idx="26">
                  <c:v>6.7400000000000002E-2</c:v>
                </c:pt>
                <c:pt idx="27">
                  <c:v>6.5099999999999991E-2</c:v>
                </c:pt>
                <c:pt idx="28">
                  <c:v>6.4500000000000002E-2</c:v>
                </c:pt>
                <c:pt idx="29">
                  <c:v>6.3500000000000001E-2</c:v>
                </c:pt>
                <c:pt idx="30">
                  <c:v>6.3E-2</c:v>
                </c:pt>
                <c:pt idx="31">
                  <c:v>6.3E-2</c:v>
                </c:pt>
                <c:pt idx="32">
                  <c:v>6.1699999999999998E-2</c:v>
                </c:pt>
                <c:pt idx="33">
                  <c:v>6.2899999999999998E-2</c:v>
                </c:pt>
                <c:pt idx="34">
                  <c:v>6.3200000000000006E-2</c:v>
                </c:pt>
                <c:pt idx="35">
                  <c:v>6.3200000000000006E-2</c:v>
                </c:pt>
                <c:pt idx="36">
                  <c:v>6.2800000000000009E-2</c:v>
                </c:pt>
                <c:pt idx="37">
                  <c:v>6.3799999999999996E-2</c:v>
                </c:pt>
                <c:pt idx="38">
                  <c:v>6.5199999999999994E-2</c:v>
                </c:pt>
                <c:pt idx="39">
                  <c:v>6.5099999999999991E-2</c:v>
                </c:pt>
                <c:pt idx="40">
                  <c:v>6.6799999999999998E-2</c:v>
                </c:pt>
                <c:pt idx="41">
                  <c:v>6.5799999999999997E-2</c:v>
                </c:pt>
                <c:pt idx="42">
                  <c:v>6.7599999999999993E-2</c:v>
                </c:pt>
                <c:pt idx="43">
                  <c:v>6.8000000000000005E-2</c:v>
                </c:pt>
                <c:pt idx="44">
                  <c:v>6.8099999999999994E-2</c:v>
                </c:pt>
                <c:pt idx="45">
                  <c:v>6.8499999999999991E-2</c:v>
                </c:pt>
                <c:pt idx="46">
                  <c:v>6.9400000000000003E-2</c:v>
                </c:pt>
                <c:pt idx="47">
                  <c:v>6.9900000000000004E-2</c:v>
                </c:pt>
                <c:pt idx="48">
                  <c:v>7.2000000000000008E-2</c:v>
                </c:pt>
                <c:pt idx="49">
                  <c:v>7.8299999999999995E-2</c:v>
                </c:pt>
                <c:pt idx="50">
                  <c:v>7.8729999999999994E-2</c:v>
                </c:pt>
                <c:pt idx="51">
                  <c:v>0.08</c:v>
                </c:pt>
                <c:pt idx="52">
                  <c:v>8.09E-2</c:v>
                </c:pt>
                <c:pt idx="53">
                  <c:v>8.3229999999999998E-2</c:v>
                </c:pt>
                <c:pt idx="54">
                  <c:v>8.2500000000000004E-2</c:v>
                </c:pt>
                <c:pt idx="55">
                  <c:v>7.9199999999999993E-2</c:v>
                </c:pt>
                <c:pt idx="56">
                  <c:v>7.7300000000000008E-2</c:v>
                </c:pt>
                <c:pt idx="57">
                  <c:v>7.7800000000000008E-2</c:v>
                </c:pt>
                <c:pt idx="58">
                  <c:v>7.980000000000001E-2</c:v>
                </c:pt>
                <c:pt idx="59">
                  <c:v>8.1099999999999992E-2</c:v>
                </c:pt>
                <c:pt idx="60">
                  <c:v>0.08</c:v>
                </c:pt>
                <c:pt idx="61">
                  <c:v>7.9049999999999995E-2</c:v>
                </c:pt>
                <c:pt idx="62">
                  <c:v>7.6299999999999993E-2</c:v>
                </c:pt>
                <c:pt idx="63">
                  <c:v>7.690000000000001E-2</c:v>
                </c:pt>
                <c:pt idx="64">
                  <c:v>7.7600000000000002E-2</c:v>
                </c:pt>
                <c:pt idx="65">
                  <c:v>7.7950000000000005E-2</c:v>
                </c:pt>
                <c:pt idx="66">
                  <c:v>7.9500000000000001E-2</c:v>
                </c:pt>
                <c:pt idx="67">
                  <c:v>7.7199999999999991E-2</c:v>
                </c:pt>
                <c:pt idx="68">
                  <c:v>7.46E-2</c:v>
                </c:pt>
                <c:pt idx="69">
                  <c:v>7.6600000000000001E-2</c:v>
                </c:pt>
                <c:pt idx="70">
                  <c:v>7.9000000000000001E-2</c:v>
                </c:pt>
                <c:pt idx="71">
                  <c:v>7.9899999999999999E-2</c:v>
                </c:pt>
                <c:pt idx="72">
                  <c:v>7.8399999999999997E-2</c:v>
                </c:pt>
                <c:pt idx="73">
                  <c:v>7.6799999999999993E-2</c:v>
                </c:pt>
                <c:pt idx="74">
                  <c:v>7.6799999999999993E-2</c:v>
                </c:pt>
                <c:pt idx="75">
                  <c:v>7.5499999999999998E-2</c:v>
                </c:pt>
                <c:pt idx="76">
                  <c:v>7.2400000000000006E-2</c:v>
                </c:pt>
                <c:pt idx="77">
                  <c:v>7.0999999999999994E-2</c:v>
                </c:pt>
                <c:pt idx="78">
                  <c:v>6.9199999999999998E-2</c:v>
                </c:pt>
                <c:pt idx="79">
                  <c:v>6.7500000000000004E-2</c:v>
                </c:pt>
                <c:pt idx="80">
                  <c:v>6.8199999999999997E-2</c:v>
                </c:pt>
                <c:pt idx="81">
                  <c:v>6.9199999999999998E-2</c:v>
                </c:pt>
                <c:pt idx="82">
                  <c:v>6.7099999999999993E-2</c:v>
                </c:pt>
                <c:pt idx="83">
                  <c:v>6.6400000000000001E-2</c:v>
                </c:pt>
                <c:pt idx="84">
                  <c:v>6.7400000000000002E-2</c:v>
                </c:pt>
                <c:pt idx="85">
                  <c:v>7.0400000000000004E-2</c:v>
                </c:pt>
                <c:pt idx="86">
                  <c:v>6.83E-2</c:v>
                </c:pt>
                <c:pt idx="87">
                  <c:v>6.59E-2</c:v>
                </c:pt>
                <c:pt idx="88">
                  <c:v>6.59E-2</c:v>
                </c:pt>
                <c:pt idx="89">
                  <c:v>6.6400000000000001E-2</c:v>
                </c:pt>
                <c:pt idx="90">
                  <c:v>6.5799999999999997E-2</c:v>
                </c:pt>
                <c:pt idx="91">
                  <c:v>6.5000000000000002E-2</c:v>
                </c:pt>
                <c:pt idx="92">
                  <c:v>6.4500000000000002E-2</c:v>
                </c:pt>
                <c:pt idx="93">
                  <c:v>6.59E-2</c:v>
                </c:pt>
                <c:pt idx="94">
                  <c:v>6.8400000000000002E-2</c:v>
                </c:pt>
                <c:pt idx="95">
                  <c:v>6.7699999999999996E-2</c:v>
                </c:pt>
                <c:pt idx="96">
                  <c:v>6.8499999999999991E-2</c:v>
                </c:pt>
                <c:pt idx="97">
                  <c:v>7.0499999999999993E-2</c:v>
                </c:pt>
                <c:pt idx="98">
                  <c:v>7.0900000000000005E-2</c:v>
                </c:pt>
                <c:pt idx="99">
                  <c:v>7.1800000000000003E-2</c:v>
                </c:pt>
                <c:pt idx="100">
                  <c:v>7.1800000000000003E-2</c:v>
                </c:pt>
                <c:pt idx="101">
                  <c:v>7.3300000000000004E-2</c:v>
                </c:pt>
                <c:pt idx="102">
                  <c:v>7.4299999999999991E-2</c:v>
                </c:pt>
                <c:pt idx="103">
                  <c:v>7.0800000000000002E-2</c:v>
                </c:pt>
                <c:pt idx="104">
                  <c:v>7.1099999999999997E-2</c:v>
                </c:pt>
                <c:pt idx="105">
                  <c:v>7.0699999999999999E-2</c:v>
                </c:pt>
                <c:pt idx="106">
                  <c:v>6.8499999999999991E-2</c:v>
                </c:pt>
                <c:pt idx="107">
                  <c:v>6.8499999999999991E-2</c:v>
                </c:pt>
                <c:pt idx="108">
                  <c:v>6.7900000000000002E-2</c:v>
                </c:pt>
                <c:pt idx="109">
                  <c:v>6.7400000000000002E-2</c:v>
                </c:pt>
                <c:pt idx="110">
                  <c:v>6.6699999999999995E-2</c:v>
                </c:pt>
                <c:pt idx="111">
                  <c:v>6.6400000000000001E-2</c:v>
                </c:pt>
                <c:pt idx="112">
                  <c:v>6.3299999999999995E-2</c:v>
                </c:pt>
                <c:pt idx="113">
                  <c:v>6.3399999999999998E-2</c:v>
                </c:pt>
                <c:pt idx="114">
                  <c:v>6.54E-2</c:v>
                </c:pt>
                <c:pt idx="115">
                  <c:v>6.6299999999999998E-2</c:v>
                </c:pt>
                <c:pt idx="116">
                  <c:v>6.6100000000000006E-2</c:v>
                </c:pt>
                <c:pt idx="117">
                  <c:v>6.59E-2</c:v>
                </c:pt>
                <c:pt idx="118">
                  <c:v>6.6000000000000003E-2</c:v>
                </c:pt>
                <c:pt idx="119">
                  <c:v>6.5000000000000002E-2</c:v>
                </c:pt>
                <c:pt idx="120">
                  <c:v>6.6799999999999998E-2</c:v>
                </c:pt>
                <c:pt idx="121">
                  <c:v>6.6799999999999998E-2</c:v>
                </c:pt>
                <c:pt idx="122">
                  <c:v>6.8499999999999991E-2</c:v>
                </c:pt>
                <c:pt idx="123">
                  <c:v>6.8900000000000003E-2</c:v>
                </c:pt>
                <c:pt idx="124">
                  <c:v>7.1099999999999997E-2</c:v>
                </c:pt>
                <c:pt idx="125">
                  <c:v>7.3370000000000005E-2</c:v>
                </c:pt>
                <c:pt idx="126">
                  <c:v>7.4299999999999991E-2</c:v>
                </c:pt>
                <c:pt idx="127">
                  <c:v>7.4499999999999997E-2</c:v>
                </c:pt>
                <c:pt idx="128">
                  <c:v>7.3399999999999993E-2</c:v>
                </c:pt>
                <c:pt idx="129">
                  <c:v>7.2999999999999995E-2</c:v>
                </c:pt>
                <c:pt idx="130">
                  <c:v>7.3499999999999996E-2</c:v>
                </c:pt>
                <c:pt idx="131">
                  <c:v>7.3800000000000004E-2</c:v>
                </c:pt>
                <c:pt idx="132">
                  <c:v>7.5700000000000003E-2</c:v>
                </c:pt>
                <c:pt idx="133">
                  <c:v>7.8100000000000003E-2</c:v>
                </c:pt>
                <c:pt idx="134">
                  <c:v>8.1500000000000003E-2</c:v>
                </c:pt>
                <c:pt idx="135">
                  <c:v>7.9299999999999995E-2</c:v>
                </c:pt>
                <c:pt idx="136">
                  <c:v>8.14E-2</c:v>
                </c:pt>
                <c:pt idx="137">
                  <c:v>8.4100000000000008E-2</c:v>
                </c:pt>
                <c:pt idx="138">
                  <c:v>8.6500000000000007E-2</c:v>
                </c:pt>
                <c:pt idx="139">
                  <c:v>8.7599999999999997E-2</c:v>
                </c:pt>
                <c:pt idx="140">
                  <c:v>9.01E-2</c:v>
                </c:pt>
                <c:pt idx="141">
                  <c:v>9.0999999999999998E-2</c:v>
                </c:pt>
                <c:pt idx="142">
                  <c:v>8.6300000000000002E-2</c:v>
                </c:pt>
                <c:pt idx="143">
                  <c:v>8.3499999999999991E-2</c:v>
                </c:pt>
                <c:pt idx="144">
                  <c:v>8.2200000000000009E-2</c:v>
                </c:pt>
                <c:pt idx="145">
                  <c:v>8.14E-2</c:v>
                </c:pt>
                <c:pt idx="146">
                  <c:v>8.3800000000000013E-2</c:v>
                </c:pt>
                <c:pt idx="147">
                  <c:v>8.6400000000000005E-2</c:v>
                </c:pt>
                <c:pt idx="148">
                  <c:v>8.6599999999999996E-2</c:v>
                </c:pt>
                <c:pt idx="149">
                  <c:v>8.4499999999999992E-2</c:v>
                </c:pt>
                <c:pt idx="150">
                  <c:v>8.2100000000000006E-2</c:v>
                </c:pt>
                <c:pt idx="151">
                  <c:v>8.09E-2</c:v>
                </c:pt>
                <c:pt idx="152">
                  <c:v>8.0199999999999994E-2</c:v>
                </c:pt>
                <c:pt idx="153">
                  <c:v>7.8E-2</c:v>
                </c:pt>
                <c:pt idx="154">
                  <c:v>7.3700000000000002E-2</c:v>
                </c:pt>
                <c:pt idx="155">
                  <c:v>7.2099999999999997E-2</c:v>
                </c:pt>
                <c:pt idx="156">
                  <c:v>7.0599999999999996E-2</c:v>
                </c:pt>
                <c:pt idx="157">
                  <c:v>7.1399999999999991E-2</c:v>
                </c:pt>
                <c:pt idx="158">
                  <c:v>7.2999999999999995E-2</c:v>
                </c:pt>
                <c:pt idx="159">
                  <c:v>7.3200000000000001E-2</c:v>
                </c:pt>
                <c:pt idx="160">
                  <c:v>7.2700000000000001E-2</c:v>
                </c:pt>
                <c:pt idx="161">
                  <c:v>7.1099999999999997E-2</c:v>
                </c:pt>
                <c:pt idx="162">
                  <c:v>7.1399999999999991E-2</c:v>
                </c:pt>
                <c:pt idx="163">
                  <c:v>6.9900000000000004E-2</c:v>
                </c:pt>
                <c:pt idx="164">
                  <c:v>7.2099999999999997E-2</c:v>
                </c:pt>
                <c:pt idx="165">
                  <c:v>7.0999999999999994E-2</c:v>
                </c:pt>
                <c:pt idx="166">
                  <c:v>7.0699999999999999E-2</c:v>
                </c:pt>
                <c:pt idx="167">
                  <c:v>7.0499999999999993E-2</c:v>
                </c:pt>
                <c:pt idx="168">
                  <c:v>6.8199999999999997E-2</c:v>
                </c:pt>
                <c:pt idx="169">
                  <c:v>6.7900000000000002E-2</c:v>
                </c:pt>
                <c:pt idx="170">
                  <c:v>6.9900000000000004E-2</c:v>
                </c:pt>
                <c:pt idx="171">
                  <c:v>6.9199999999999998E-2</c:v>
                </c:pt>
                <c:pt idx="172">
                  <c:v>6.83E-2</c:v>
                </c:pt>
                <c:pt idx="173">
                  <c:v>6.8099999999999994E-2</c:v>
                </c:pt>
                <c:pt idx="174">
                  <c:v>6.8199999999999997E-2</c:v>
                </c:pt>
                <c:pt idx="175">
                  <c:v>6.9699999999999998E-2</c:v>
                </c:pt>
                <c:pt idx="176">
                  <c:v>6.8400000000000002E-2</c:v>
                </c:pt>
                <c:pt idx="177">
                  <c:v>6.8099999999999994E-2</c:v>
                </c:pt>
                <c:pt idx="178">
                  <c:v>6.8199999999999997E-2</c:v>
                </c:pt>
                <c:pt idx="179">
                  <c:v>6.93E-2</c:v>
                </c:pt>
                <c:pt idx="180">
                  <c:v>7.0099999999999996E-2</c:v>
                </c:pt>
                <c:pt idx="181">
                  <c:v>6.8199999999999997E-2</c:v>
                </c:pt>
                <c:pt idx="182">
                  <c:v>6.7000000000000004E-2</c:v>
                </c:pt>
                <c:pt idx="183">
                  <c:v>6.7799999999999999E-2</c:v>
                </c:pt>
                <c:pt idx="184">
                  <c:v>6.7799999999999999E-2</c:v>
                </c:pt>
                <c:pt idx="185">
                  <c:v>6.7400000000000002E-2</c:v>
                </c:pt>
                <c:pt idx="186">
                  <c:v>6.7199999999999996E-2</c:v>
                </c:pt>
                <c:pt idx="187">
                  <c:v>6.8000000000000005E-2</c:v>
                </c:pt>
                <c:pt idx="188">
                  <c:v>6.8000000000000005E-2</c:v>
                </c:pt>
                <c:pt idx="189">
                  <c:v>6.6299999999999998E-2</c:v>
                </c:pt>
                <c:pt idx="190">
                  <c:v>6.4899999999999999E-2</c:v>
                </c:pt>
                <c:pt idx="191">
                  <c:v>6.3299999999999995E-2</c:v>
                </c:pt>
                <c:pt idx="192">
                  <c:v>6.2100000000000002E-2</c:v>
                </c:pt>
                <c:pt idx="193">
                  <c:v>5.9800000000000006E-2</c:v>
                </c:pt>
                <c:pt idx="194">
                  <c:v>6.0199999999999997E-2</c:v>
                </c:pt>
                <c:pt idx="195">
                  <c:v>5.8700000000000002E-2</c:v>
                </c:pt>
                <c:pt idx="196">
                  <c:v>5.8600000000000006E-2</c:v>
                </c:pt>
                <c:pt idx="197">
                  <c:v>5.9500000000000004E-2</c:v>
                </c:pt>
                <c:pt idx="198">
                  <c:v>5.9500000000000004E-2</c:v>
                </c:pt>
                <c:pt idx="199">
                  <c:v>5.9200000000000003E-2</c:v>
                </c:pt>
                <c:pt idx="200">
                  <c:v>5.8099999999999999E-2</c:v>
                </c:pt>
                <c:pt idx="201">
                  <c:v>5.91E-2</c:v>
                </c:pt>
                <c:pt idx="202">
                  <c:v>5.9900000000000002E-2</c:v>
                </c:pt>
                <c:pt idx="203">
                  <c:v>6.1100000000000002E-2</c:v>
                </c:pt>
                <c:pt idx="204">
                  <c:v>6.1100000000000002E-2</c:v>
                </c:pt>
                <c:pt idx="205">
                  <c:v>5.9800000000000006E-2</c:v>
                </c:pt>
                <c:pt idx="206">
                  <c:v>6.0400000000000002E-2</c:v>
                </c:pt>
                <c:pt idx="207">
                  <c:v>5.96E-2</c:v>
                </c:pt>
                <c:pt idx="208">
                  <c:v>6.0299999999999999E-2</c:v>
                </c:pt>
                <c:pt idx="209">
                  <c:v>6.0899999999999996E-2</c:v>
                </c:pt>
                <c:pt idx="210">
                  <c:v>6.0400000000000002E-2</c:v>
                </c:pt>
                <c:pt idx="211">
                  <c:v>5.91E-2</c:v>
                </c:pt>
                <c:pt idx="212">
                  <c:v>5.8600000000000006E-2</c:v>
                </c:pt>
                <c:pt idx="213">
                  <c:v>6.0499999999999998E-2</c:v>
                </c:pt>
                <c:pt idx="214">
                  <c:v>6.2100000000000002E-2</c:v>
                </c:pt>
                <c:pt idx="215">
                  <c:v>6.13E-2</c:v>
                </c:pt>
                <c:pt idx="216">
                  <c:v>6.0899999999999996E-2</c:v>
                </c:pt>
                <c:pt idx="217">
                  <c:v>6.2699999999999992E-2</c:v>
                </c:pt>
                <c:pt idx="218">
                  <c:v>6.2300000000000001E-2</c:v>
                </c:pt>
                <c:pt idx="219">
                  <c:v>6.2800000000000009E-2</c:v>
                </c:pt>
                <c:pt idx="220">
                  <c:v>6.2800000000000009E-2</c:v>
                </c:pt>
                <c:pt idx="221">
                  <c:v>6.4299999999999996E-2</c:v>
                </c:pt>
                <c:pt idx="222">
                  <c:v>6.3799999999999996E-2</c:v>
                </c:pt>
                <c:pt idx="223">
                  <c:v>6.4399999999999999E-2</c:v>
                </c:pt>
                <c:pt idx="224">
                  <c:v>6.4600000000000005E-2</c:v>
                </c:pt>
                <c:pt idx="225">
                  <c:v>6.4399999999999999E-2</c:v>
                </c:pt>
                <c:pt idx="226">
                  <c:v>6.3799999999999996E-2</c:v>
                </c:pt>
                <c:pt idx="227">
                  <c:v>6.3700000000000007E-2</c:v>
                </c:pt>
                <c:pt idx="228">
                  <c:v>6.3200000000000006E-2</c:v>
                </c:pt>
                <c:pt idx="229">
                  <c:v>6.2699999999999992E-2</c:v>
                </c:pt>
                <c:pt idx="230">
                  <c:v>6.3200000000000006E-2</c:v>
                </c:pt>
                <c:pt idx="231">
                  <c:v>6.480000000000001E-2</c:v>
                </c:pt>
                <c:pt idx="232">
                  <c:v>6.3600000000000004E-2</c:v>
                </c:pt>
                <c:pt idx="233">
                  <c:v>6.2800000000000009E-2</c:v>
                </c:pt>
                <c:pt idx="234">
                  <c:v>6.3099999999999989E-2</c:v>
                </c:pt>
                <c:pt idx="235">
                  <c:v>6.1900000000000004E-2</c:v>
                </c:pt>
                <c:pt idx="236">
                  <c:v>6.2100000000000002E-2</c:v>
                </c:pt>
                <c:pt idx="237">
                  <c:v>6.1600000000000002E-2</c:v>
                </c:pt>
                <c:pt idx="238">
                  <c:v>0.06</c:v>
                </c:pt>
                <c:pt idx="239">
                  <c:v>6.0599999999999994E-2</c:v>
                </c:pt>
                <c:pt idx="240">
                  <c:v>0.06</c:v>
                </c:pt>
                <c:pt idx="241">
                  <c:v>5.8799999999999998E-2</c:v>
                </c:pt>
                <c:pt idx="242">
                  <c:v>5.96E-2</c:v>
                </c:pt>
                <c:pt idx="243">
                  <c:v>5.8400000000000001E-2</c:v>
                </c:pt>
                <c:pt idx="244">
                  <c:v>5.8799999999999998E-2</c:v>
                </c:pt>
                <c:pt idx="245">
                  <c:v>5.91E-2</c:v>
                </c:pt>
                <c:pt idx="246">
                  <c:v>5.9500000000000004E-2</c:v>
                </c:pt>
                <c:pt idx="247">
                  <c:v>5.96E-2</c:v>
                </c:pt>
                <c:pt idx="248">
                  <c:v>6.0299999999999999E-2</c:v>
                </c:pt>
                <c:pt idx="249">
                  <c:v>6.0599999999999994E-2</c:v>
                </c:pt>
                <c:pt idx="250">
                  <c:v>6.08E-2</c:v>
                </c:pt>
                <c:pt idx="251">
                  <c:v>6.0599999999999994E-2</c:v>
                </c:pt>
                <c:pt idx="252">
                  <c:v>6.1200000000000004E-2</c:v>
                </c:pt>
                <c:pt idx="253">
                  <c:v>6.1200000000000004E-2</c:v>
                </c:pt>
                <c:pt idx="254">
                  <c:v>6.2100000000000002E-2</c:v>
                </c:pt>
                <c:pt idx="255">
                  <c:v>6.08E-2</c:v>
                </c:pt>
                <c:pt idx="256">
                  <c:v>6.1399999999999996E-2</c:v>
                </c:pt>
                <c:pt idx="257">
                  <c:v>6.0670000000000002E-2</c:v>
                </c:pt>
                <c:pt idx="258">
                  <c:v>6.1500000000000006E-2</c:v>
                </c:pt>
                <c:pt idx="259">
                  <c:v>6.2199999999999998E-2</c:v>
                </c:pt>
                <c:pt idx="260">
                  <c:v>6.2199999999999998E-2</c:v>
                </c:pt>
                <c:pt idx="261">
                  <c:v>6.1699999999999998E-2</c:v>
                </c:pt>
                <c:pt idx="262">
                  <c:v>6.1900000000000004E-2</c:v>
                </c:pt>
                <c:pt idx="263">
                  <c:v>6.1799999999999994E-2</c:v>
                </c:pt>
                <c:pt idx="264">
                  <c:v>6.2E-2</c:v>
                </c:pt>
                <c:pt idx="265">
                  <c:v>6.1500000000000006E-2</c:v>
                </c:pt>
                <c:pt idx="266">
                  <c:v>6.13E-2</c:v>
                </c:pt>
                <c:pt idx="267">
                  <c:v>6.0700000000000004E-2</c:v>
                </c:pt>
                <c:pt idx="268">
                  <c:v>5.9900000000000002E-2</c:v>
                </c:pt>
                <c:pt idx="269">
                  <c:v>5.9800000000000006E-2</c:v>
                </c:pt>
                <c:pt idx="270">
                  <c:v>5.9200000000000003E-2</c:v>
                </c:pt>
                <c:pt idx="271">
                  <c:v>5.8600000000000006E-2</c:v>
                </c:pt>
                <c:pt idx="272">
                  <c:v>5.8600000000000006E-2</c:v>
                </c:pt>
                <c:pt idx="273">
                  <c:v>5.8099999999999999E-2</c:v>
                </c:pt>
                <c:pt idx="274">
                  <c:v>5.79E-2</c:v>
                </c:pt>
                <c:pt idx="275">
                  <c:v>5.7599999999999998E-2</c:v>
                </c:pt>
                <c:pt idx="276">
                  <c:v>5.79E-2</c:v>
                </c:pt>
                <c:pt idx="277">
                  <c:v>5.7800000000000004E-2</c:v>
                </c:pt>
                <c:pt idx="278">
                  <c:v>5.7800000000000004E-2</c:v>
                </c:pt>
                <c:pt idx="279">
                  <c:v>5.7800000000000004E-2</c:v>
                </c:pt>
                <c:pt idx="280">
                  <c:v>5.8799999999999998E-2</c:v>
                </c:pt>
                <c:pt idx="281">
                  <c:v>5.9000000000000004E-2</c:v>
                </c:pt>
                <c:pt idx="282">
                  <c:v>5.9000000000000004E-2</c:v>
                </c:pt>
                <c:pt idx="283">
                  <c:v>6.0299999999999999E-2</c:v>
                </c:pt>
                <c:pt idx="284">
                  <c:v>5.9699999999999996E-2</c:v>
                </c:pt>
                <c:pt idx="285">
                  <c:v>0.06</c:v>
                </c:pt>
                <c:pt idx="286">
                  <c:v>6.0299999999999999E-2</c:v>
                </c:pt>
                <c:pt idx="287">
                  <c:v>6.0199999999999997E-2</c:v>
                </c:pt>
                <c:pt idx="288">
                  <c:v>6.08E-2</c:v>
                </c:pt>
                <c:pt idx="289">
                  <c:v>6.0899999999999996E-2</c:v>
                </c:pt>
                <c:pt idx="290">
                  <c:v>6.0499999999999998E-2</c:v>
                </c:pt>
                <c:pt idx="291">
                  <c:v>5.9299999999999999E-2</c:v>
                </c:pt>
                <c:pt idx="292">
                  <c:v>5.9699999999999996E-2</c:v>
                </c:pt>
                <c:pt idx="293">
                  <c:v>5.9800000000000006E-2</c:v>
                </c:pt>
                <c:pt idx="294">
                  <c:v>6.0199999999999997E-2</c:v>
                </c:pt>
                <c:pt idx="295">
                  <c:v>5.9699999999999996E-2</c:v>
                </c:pt>
                <c:pt idx="296">
                  <c:v>5.9500000000000004E-2</c:v>
                </c:pt>
                <c:pt idx="297">
                  <c:v>5.96E-2</c:v>
                </c:pt>
                <c:pt idx="298">
                  <c:v>5.9500000000000004E-2</c:v>
                </c:pt>
                <c:pt idx="299">
                  <c:v>5.9299999999999999E-2</c:v>
                </c:pt>
                <c:pt idx="300">
                  <c:v>5.9200000000000003E-2</c:v>
                </c:pt>
                <c:pt idx="301">
                  <c:v>0.06</c:v>
                </c:pt>
                <c:pt idx="302">
                  <c:v>5.9900000000000002E-2</c:v>
                </c:pt>
                <c:pt idx="303">
                  <c:v>6.0100000000000001E-2</c:v>
                </c:pt>
                <c:pt idx="304">
                  <c:v>5.9900000000000002E-2</c:v>
                </c:pt>
                <c:pt idx="305">
                  <c:v>5.96E-2</c:v>
                </c:pt>
                <c:pt idx="306">
                  <c:v>5.9500000000000004E-2</c:v>
                </c:pt>
                <c:pt idx="307">
                  <c:v>5.9400000000000001E-2</c:v>
                </c:pt>
                <c:pt idx="308">
                  <c:v>5.9200000000000003E-2</c:v>
                </c:pt>
                <c:pt idx="309">
                  <c:v>5.8499999999999996E-2</c:v>
                </c:pt>
                <c:pt idx="310">
                  <c:v>5.8400000000000001E-2</c:v>
                </c:pt>
                <c:pt idx="311">
                  <c:v>5.9299999999999999E-2</c:v>
                </c:pt>
                <c:pt idx="312">
                  <c:v>5.9299999999999999E-2</c:v>
                </c:pt>
                <c:pt idx="313">
                  <c:v>5.8400000000000001E-2</c:v>
                </c:pt>
                <c:pt idx="314">
                  <c:v>5.8099999999999999E-2</c:v>
                </c:pt>
                <c:pt idx="315">
                  <c:v>5.7599999999999998E-2</c:v>
                </c:pt>
                <c:pt idx="316">
                  <c:v>5.7999999999999996E-2</c:v>
                </c:pt>
                <c:pt idx="317">
                  <c:v>5.96E-2</c:v>
                </c:pt>
                <c:pt idx="318">
                  <c:v>5.8400000000000001E-2</c:v>
                </c:pt>
                <c:pt idx="319">
                  <c:v>5.6500000000000002E-2</c:v>
                </c:pt>
                <c:pt idx="320">
                  <c:v>5.5999999999999994E-2</c:v>
                </c:pt>
                <c:pt idx="321">
                  <c:v>5.4299999999999994E-2</c:v>
                </c:pt>
                <c:pt idx="322">
                  <c:v>5.2300000000000006E-2</c:v>
                </c:pt>
                <c:pt idx="323">
                  <c:v>5.33E-2</c:v>
                </c:pt>
                <c:pt idx="324">
                  <c:v>5.2600000000000001E-2</c:v>
                </c:pt>
                <c:pt idx="325">
                  <c:v>5.2600000000000001E-2</c:v>
                </c:pt>
                <c:pt idx="326">
                  <c:v>5.3899999999999997E-2</c:v>
                </c:pt>
                <c:pt idx="327">
                  <c:v>5.4400000000000004E-2</c:v>
                </c:pt>
                <c:pt idx="328">
                  <c:v>5.45E-2</c:v>
                </c:pt>
                <c:pt idx="329">
                  <c:v>5.4000000000000006E-2</c:v>
                </c:pt>
                <c:pt idx="330">
                  <c:v>5.4699999999999999E-2</c:v>
                </c:pt>
                <c:pt idx="331">
                  <c:v>5.4900000000000004E-2</c:v>
                </c:pt>
                <c:pt idx="332">
                  <c:v>5.4699999999999999E-2</c:v>
                </c:pt>
                <c:pt idx="333">
                  <c:v>5.45E-2</c:v>
                </c:pt>
                <c:pt idx="334">
                  <c:v>5.4000000000000006E-2</c:v>
                </c:pt>
                <c:pt idx="335">
                  <c:v>5.45E-2</c:v>
                </c:pt>
                <c:pt idx="336">
                  <c:v>5.4600000000000003E-2</c:v>
                </c:pt>
                <c:pt idx="337">
                  <c:v>5.5500000000000001E-2</c:v>
                </c:pt>
                <c:pt idx="338">
                  <c:v>5.45E-2</c:v>
                </c:pt>
                <c:pt idx="339">
                  <c:v>5.4299999999999994E-2</c:v>
                </c:pt>
                <c:pt idx="340">
                  <c:v>5.3899999999999997E-2</c:v>
                </c:pt>
                <c:pt idx="341">
                  <c:v>5.3540000000000004E-2</c:v>
                </c:pt>
                <c:pt idx="342">
                  <c:v>5.3600000000000002E-2</c:v>
                </c:pt>
                <c:pt idx="343">
                  <c:v>5.3899999999999997E-2</c:v>
                </c:pt>
                <c:pt idx="344">
                  <c:v>5.4199999999999998E-2</c:v>
                </c:pt>
                <c:pt idx="345">
                  <c:v>5.4299999999999994E-2</c:v>
                </c:pt>
                <c:pt idx="346">
                  <c:v>5.4800000000000001E-2</c:v>
                </c:pt>
                <c:pt idx="347">
                  <c:v>5.4600000000000003E-2</c:v>
                </c:pt>
                <c:pt idx="348">
                  <c:v>5.4600000000000003E-2</c:v>
                </c:pt>
                <c:pt idx="349">
                  <c:v>5.3800000000000001E-2</c:v>
                </c:pt>
                <c:pt idx="350">
                  <c:v>5.3399999999999996E-2</c:v>
                </c:pt>
                <c:pt idx="351">
                  <c:v>5.3600000000000002E-2</c:v>
                </c:pt>
                <c:pt idx="352">
                  <c:v>5.4000000000000006E-2</c:v>
                </c:pt>
                <c:pt idx="353">
                  <c:v>5.4100000000000002E-2</c:v>
                </c:pt>
                <c:pt idx="354">
                  <c:v>5.3800000000000001E-2</c:v>
                </c:pt>
                <c:pt idx="355">
                  <c:v>5.3099999999999994E-2</c:v>
                </c:pt>
                <c:pt idx="356">
                  <c:v>5.4100000000000002E-2</c:v>
                </c:pt>
                <c:pt idx="357">
                  <c:v>5.3200000000000004E-2</c:v>
                </c:pt>
                <c:pt idx="358">
                  <c:v>5.3600000000000002E-2</c:v>
                </c:pt>
                <c:pt idx="359">
                  <c:v>5.3600000000000002E-2</c:v>
                </c:pt>
                <c:pt idx="360">
                  <c:v>5.2400000000000002E-2</c:v>
                </c:pt>
                <c:pt idx="361">
                  <c:v>5.0999999999999997E-2</c:v>
                </c:pt>
                <c:pt idx="362">
                  <c:v>4.87E-2</c:v>
                </c:pt>
                <c:pt idx="363">
                  <c:v>4.7300000000000002E-2</c:v>
                </c:pt>
                <c:pt idx="364">
                  <c:v>4.7699999999999992E-2</c:v>
                </c:pt>
                <c:pt idx="365">
                  <c:v>4.8300000000000003E-2</c:v>
                </c:pt>
                <c:pt idx="366">
                  <c:v>4.8899999999999999E-2</c:v>
                </c:pt>
                <c:pt idx="367">
                  <c:v>4.87E-2</c:v>
                </c:pt>
                <c:pt idx="368">
                  <c:v>4.8899999999999999E-2</c:v>
                </c:pt>
                <c:pt idx="369">
                  <c:v>4.9400000000000006E-2</c:v>
                </c:pt>
                <c:pt idx="370">
                  <c:v>5.0199999999999995E-2</c:v>
                </c:pt>
                <c:pt idx="371">
                  <c:v>5.1500000000000004E-2</c:v>
                </c:pt>
                <c:pt idx="372">
                  <c:v>5.0999999999999997E-2</c:v>
                </c:pt>
                <c:pt idx="373">
                  <c:v>5.0799999999999998E-2</c:v>
                </c:pt>
                <c:pt idx="374">
                  <c:v>5.0799999999999998E-2</c:v>
                </c:pt>
                <c:pt idx="375">
                  <c:v>5.0199999999999995E-2</c:v>
                </c:pt>
                <c:pt idx="376">
                  <c:v>5.1799999999999999E-2</c:v>
                </c:pt>
                <c:pt idx="377">
                  <c:v>5.0700000000000002E-2</c:v>
                </c:pt>
                <c:pt idx="378">
                  <c:v>5.0300000000000004E-2</c:v>
                </c:pt>
                <c:pt idx="379">
                  <c:v>4.9699999999999994E-2</c:v>
                </c:pt>
                <c:pt idx="380">
                  <c:v>5.2000000000000005E-2</c:v>
                </c:pt>
                <c:pt idx="381">
                  <c:v>5.1799999999999999E-2</c:v>
                </c:pt>
                <c:pt idx="382">
                  <c:v>5.2400000000000002E-2</c:v>
                </c:pt>
                <c:pt idx="383">
                  <c:v>5.2499999999999998E-2</c:v>
                </c:pt>
                <c:pt idx="384">
                  <c:v>5.1900000000000002E-2</c:v>
                </c:pt>
                <c:pt idx="385">
                  <c:v>5.21E-2</c:v>
                </c:pt>
                <c:pt idx="386">
                  <c:v>5.28E-2</c:v>
                </c:pt>
                <c:pt idx="387">
                  <c:v>5.28E-2</c:v>
                </c:pt>
                <c:pt idx="388">
                  <c:v>5.4600000000000003E-2</c:v>
                </c:pt>
                <c:pt idx="389">
                  <c:v>5.3600000000000002E-2</c:v>
                </c:pt>
                <c:pt idx="390">
                  <c:v>5.28E-2</c:v>
                </c:pt>
                <c:pt idx="391">
                  <c:v>5.2999999999999999E-2</c:v>
                </c:pt>
                <c:pt idx="392">
                  <c:v>5.3200000000000004E-2</c:v>
                </c:pt>
                <c:pt idx="393">
                  <c:v>5.3499999999999999E-2</c:v>
                </c:pt>
                <c:pt idx="394">
                  <c:v>5.33E-2</c:v>
                </c:pt>
                <c:pt idx="395">
                  <c:v>5.2000000000000005E-2</c:v>
                </c:pt>
                <c:pt idx="396">
                  <c:v>5.2000000000000005E-2</c:v>
                </c:pt>
                <c:pt idx="397">
                  <c:v>5.2400000000000002E-2</c:v>
                </c:pt>
                <c:pt idx="398">
                  <c:v>5.2300000000000006E-2</c:v>
                </c:pt>
                <c:pt idx="399">
                  <c:v>5.1500000000000004E-2</c:v>
                </c:pt>
                <c:pt idx="400">
                  <c:v>5.1699999999999996E-2</c:v>
                </c:pt>
                <c:pt idx="401">
                  <c:v>5.2199999999999996E-2</c:v>
                </c:pt>
                <c:pt idx="402">
                  <c:v>5.2000000000000005E-2</c:v>
                </c:pt>
                <c:pt idx="403">
                  <c:v>5.2000000000000005E-2</c:v>
                </c:pt>
                <c:pt idx="404">
                  <c:v>5.28E-2</c:v>
                </c:pt>
                <c:pt idx="405">
                  <c:v>5.3699999999999998E-2</c:v>
                </c:pt>
                <c:pt idx="406">
                  <c:v>5.3600000000000002E-2</c:v>
                </c:pt>
                <c:pt idx="407">
                  <c:v>5.45E-2</c:v>
                </c:pt>
                <c:pt idx="408">
                  <c:v>5.3899999999999997E-2</c:v>
                </c:pt>
                <c:pt idx="409">
                  <c:v>5.4199999999999998E-2</c:v>
                </c:pt>
                <c:pt idx="410">
                  <c:v>5.3200000000000004E-2</c:v>
                </c:pt>
                <c:pt idx="411">
                  <c:v>5.33E-2</c:v>
                </c:pt>
                <c:pt idx="412">
                  <c:v>5.3800000000000001E-2</c:v>
                </c:pt>
                <c:pt idx="413">
                  <c:v>5.4299999999999994E-2</c:v>
                </c:pt>
                <c:pt idx="414">
                  <c:v>5.3699999999999998E-2</c:v>
                </c:pt>
                <c:pt idx="415">
                  <c:v>5.5199999999999999E-2</c:v>
                </c:pt>
                <c:pt idx="416">
                  <c:v>5.4299999999999994E-2</c:v>
                </c:pt>
                <c:pt idx="417">
                  <c:v>5.4100000000000002E-2</c:v>
                </c:pt>
                <c:pt idx="418">
                  <c:v>5.3699999999999998E-2</c:v>
                </c:pt>
                <c:pt idx="419">
                  <c:v>5.3399999999999996E-2</c:v>
                </c:pt>
                <c:pt idx="420">
                  <c:v>5.3699999999999998E-2</c:v>
                </c:pt>
                <c:pt idx="421">
                  <c:v>5.3699999999999998E-2</c:v>
                </c:pt>
                <c:pt idx="422">
                  <c:v>5.3600000000000002E-2</c:v>
                </c:pt>
                <c:pt idx="423">
                  <c:v>5.3200000000000004E-2</c:v>
                </c:pt>
                <c:pt idx="424">
                  <c:v>5.2900000000000003E-2</c:v>
                </c:pt>
                <c:pt idx="425">
                  <c:v>5.16E-2</c:v>
                </c:pt>
                <c:pt idx="426">
                  <c:v>5.2400000000000002E-2</c:v>
                </c:pt>
                <c:pt idx="427">
                  <c:v>5.2400000000000002E-2</c:v>
                </c:pt>
                <c:pt idx="428">
                  <c:v>5.0599999999999999E-2</c:v>
                </c:pt>
                <c:pt idx="429">
                  <c:v>5.1399999999999994E-2</c:v>
                </c:pt>
                <c:pt idx="430">
                  <c:v>5.0499999999999996E-2</c:v>
                </c:pt>
                <c:pt idx="431">
                  <c:v>5.0499999999999996E-2</c:v>
                </c:pt>
                <c:pt idx="432">
                  <c:v>5.04E-2</c:v>
                </c:pt>
                <c:pt idx="433">
                  <c:v>5.0199999999999995E-2</c:v>
                </c:pt>
                <c:pt idx="434">
                  <c:v>4.9400000000000006E-2</c:v>
                </c:pt>
                <c:pt idx="435">
                  <c:v>5.1399999999999994E-2</c:v>
                </c:pt>
                <c:pt idx="436">
                  <c:v>5.0700000000000002E-2</c:v>
                </c:pt>
                <c:pt idx="437">
                  <c:v>5.0799999999999998E-2</c:v>
                </c:pt>
                <c:pt idx="438">
                  <c:v>5.0999999999999997E-2</c:v>
                </c:pt>
                <c:pt idx="439">
                  <c:v>5.0799999999999998E-2</c:v>
                </c:pt>
                <c:pt idx="440">
                  <c:v>5.1799999999999999E-2</c:v>
                </c:pt>
                <c:pt idx="441">
                  <c:v>5.0900000000000001E-2</c:v>
                </c:pt>
                <c:pt idx="442">
                  <c:v>5.0599999999999999E-2</c:v>
                </c:pt>
                <c:pt idx="443">
                  <c:v>4.99E-2</c:v>
                </c:pt>
                <c:pt idx="444">
                  <c:v>4.9100000000000005E-2</c:v>
                </c:pt>
                <c:pt idx="445">
                  <c:v>4.8600000000000004E-2</c:v>
                </c:pt>
                <c:pt idx="446">
                  <c:v>4.9299999999999997E-2</c:v>
                </c:pt>
                <c:pt idx="447">
                  <c:v>4.9800000000000004E-2</c:v>
                </c:pt>
                <c:pt idx="448">
                  <c:v>4.9500000000000002E-2</c:v>
                </c:pt>
                <c:pt idx="449">
                  <c:v>5.1699999999999996E-2</c:v>
                </c:pt>
                <c:pt idx="450">
                  <c:v>5.0999999999999997E-2</c:v>
                </c:pt>
                <c:pt idx="451">
                  <c:v>5.1200000000000002E-2</c:v>
                </c:pt>
                <c:pt idx="452">
                  <c:v>5.1100000000000007E-2</c:v>
                </c:pt>
                <c:pt idx="453">
                  <c:v>5.0849999999999999E-2</c:v>
                </c:pt>
                <c:pt idx="454">
                  <c:v>5.0499999999999996E-2</c:v>
                </c:pt>
                <c:pt idx="455">
                  <c:v>5.0300000000000004E-2</c:v>
                </c:pt>
                <c:pt idx="456">
                  <c:v>5.0799999999999998E-2</c:v>
                </c:pt>
                <c:pt idx="457">
                  <c:v>5.1299999999999998E-2</c:v>
                </c:pt>
                <c:pt idx="458">
                  <c:v>5.1299999999999998E-2</c:v>
                </c:pt>
                <c:pt idx="459">
                  <c:v>5.1299999999999998E-2</c:v>
                </c:pt>
                <c:pt idx="460">
                  <c:v>5.1299999999999998E-2</c:v>
                </c:pt>
                <c:pt idx="461">
                  <c:v>5.16E-2</c:v>
                </c:pt>
                <c:pt idx="462">
                  <c:v>5.1799999999999999E-2</c:v>
                </c:pt>
                <c:pt idx="463">
                  <c:v>5.1299999999999998E-2</c:v>
                </c:pt>
                <c:pt idx="464">
                  <c:v>5.1399999999999994E-2</c:v>
                </c:pt>
                <c:pt idx="465">
                  <c:v>5.1500000000000004E-2</c:v>
                </c:pt>
                <c:pt idx="466">
                  <c:v>5.1500000000000004E-2</c:v>
                </c:pt>
                <c:pt idx="467">
                  <c:v>5.1699999999999996E-2</c:v>
                </c:pt>
                <c:pt idx="468">
                  <c:v>5.0700000000000002E-2</c:v>
                </c:pt>
                <c:pt idx="469">
                  <c:v>0.05</c:v>
                </c:pt>
                <c:pt idx="470">
                  <c:v>0.05</c:v>
                </c:pt>
                <c:pt idx="471">
                  <c:v>5.0700000000000002E-2</c:v>
                </c:pt>
                <c:pt idx="472">
                  <c:v>5.0300000000000004E-2</c:v>
                </c:pt>
                <c:pt idx="473">
                  <c:v>5.0499999999999996E-2</c:v>
                </c:pt>
                <c:pt idx="474">
                  <c:v>5.0300000000000004E-2</c:v>
                </c:pt>
                <c:pt idx="475">
                  <c:v>4.99E-2</c:v>
                </c:pt>
                <c:pt idx="476">
                  <c:v>4.99E-2</c:v>
                </c:pt>
                <c:pt idx="477">
                  <c:v>5.0099999999999999E-2</c:v>
                </c:pt>
                <c:pt idx="478">
                  <c:v>4.99E-2</c:v>
                </c:pt>
                <c:pt idx="479">
                  <c:v>0.05</c:v>
                </c:pt>
                <c:pt idx="480">
                  <c:v>5.0199999999999995E-2</c:v>
                </c:pt>
                <c:pt idx="481">
                  <c:v>5.0300000000000004E-2</c:v>
                </c:pt>
                <c:pt idx="482">
                  <c:v>5.0700000000000002E-2</c:v>
                </c:pt>
                <c:pt idx="483">
                  <c:v>5.0700000000000002E-2</c:v>
                </c:pt>
                <c:pt idx="484">
                  <c:v>5.0199999999999995E-2</c:v>
                </c:pt>
                <c:pt idx="485">
                  <c:v>5.0199999999999995E-2</c:v>
                </c:pt>
                <c:pt idx="486">
                  <c:v>5.0599999999999999E-2</c:v>
                </c:pt>
                <c:pt idx="487">
                  <c:v>5.0900000000000001E-2</c:v>
                </c:pt>
                <c:pt idx="488">
                  <c:v>5.0999999999999997E-2</c:v>
                </c:pt>
                <c:pt idx="489">
                  <c:v>5.04E-2</c:v>
                </c:pt>
                <c:pt idx="490">
                  <c:v>5.0999999999999997E-2</c:v>
                </c:pt>
                <c:pt idx="491">
                  <c:v>5.1299999999999998E-2</c:v>
                </c:pt>
                <c:pt idx="492">
                  <c:v>5.16E-2</c:v>
                </c:pt>
                <c:pt idx="493">
                  <c:v>5.1200000000000002E-2</c:v>
                </c:pt>
                <c:pt idx="494">
                  <c:v>5.1699999999999996E-2</c:v>
                </c:pt>
                <c:pt idx="495">
                  <c:v>5.1699999999999996E-2</c:v>
                </c:pt>
                <c:pt idx="496">
                  <c:v>5.16E-2</c:v>
                </c:pt>
                <c:pt idx="497">
                  <c:v>5.1500000000000004E-2</c:v>
                </c:pt>
                <c:pt idx="498">
                  <c:v>5.2400000000000002E-2</c:v>
                </c:pt>
                <c:pt idx="499">
                  <c:v>5.2499999999999998E-2</c:v>
                </c:pt>
                <c:pt idx="500">
                  <c:v>5.2300000000000006E-2</c:v>
                </c:pt>
                <c:pt idx="501">
                  <c:v>5.16E-2</c:v>
                </c:pt>
                <c:pt idx="502">
                  <c:v>5.1699999999999996E-2</c:v>
                </c:pt>
                <c:pt idx="503">
                  <c:v>5.167999999999999E-2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69-4E89-A9FB-3B3860021427}"/>
            </c:ext>
          </c:extLst>
        </c:ser>
        <c:ser>
          <c:idx val="4"/>
          <c:order val="1"/>
          <c:tx>
            <c:v>5L</c:v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none"/>
          </c:marker>
          <c:cat>
            <c:multiLvlStrRef>
              <c:f>dane!$A$212:$B$235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2022</c:v>
                  </c:pt>
                  <c:pt idx="9">
                    <c:v>2023</c:v>
                  </c:pt>
                  <c:pt idx="21">
                    <c:v>2024</c:v>
                  </c:pt>
                </c:lvl>
              </c:multiLvlStrCache>
            </c:multiLvlStrRef>
          </c:cat>
          <c:val>
            <c:numRef>
              <c:f>dzienne!$H$3341:$H$3844</c:f>
              <c:numCache>
                <c:formatCode>0.00%</c:formatCode>
                <c:ptCount val="504"/>
                <c:pt idx="0">
                  <c:v>5.8099999999999999E-2</c:v>
                </c:pt>
                <c:pt idx="1">
                  <c:v>5.8200000000000002E-2</c:v>
                </c:pt>
                <c:pt idx="2">
                  <c:v>5.8799999999999998E-2</c:v>
                </c:pt>
                <c:pt idx="3">
                  <c:v>6.0999999999999999E-2</c:v>
                </c:pt>
                <c:pt idx="4">
                  <c:v>6.4000000000000001E-2</c:v>
                </c:pt>
                <c:pt idx="5">
                  <c:v>6.6400000000000001E-2</c:v>
                </c:pt>
                <c:pt idx="6">
                  <c:v>6.83E-2</c:v>
                </c:pt>
                <c:pt idx="7">
                  <c:v>6.7599999999999993E-2</c:v>
                </c:pt>
                <c:pt idx="8">
                  <c:v>6.3399999999999998E-2</c:v>
                </c:pt>
                <c:pt idx="9">
                  <c:v>6.5099999999999991E-2</c:v>
                </c:pt>
                <c:pt idx="10">
                  <c:v>6.4839999999999995E-2</c:v>
                </c:pt>
                <c:pt idx="11">
                  <c:v>6.8000000000000005E-2</c:v>
                </c:pt>
                <c:pt idx="12">
                  <c:v>6.6400000000000001E-2</c:v>
                </c:pt>
                <c:pt idx="13">
                  <c:v>6.6699999999999995E-2</c:v>
                </c:pt>
                <c:pt idx="14">
                  <c:v>6.8900000000000003E-2</c:v>
                </c:pt>
                <c:pt idx="15">
                  <c:v>6.6699999999999995E-2</c:v>
                </c:pt>
                <c:pt idx="16">
                  <c:v>6.54E-2</c:v>
                </c:pt>
                <c:pt idx="17">
                  <c:v>6.6699999999999995E-2</c:v>
                </c:pt>
                <c:pt idx="18">
                  <c:v>6.7000000000000004E-2</c:v>
                </c:pt>
                <c:pt idx="19">
                  <c:v>6.88E-2</c:v>
                </c:pt>
                <c:pt idx="20">
                  <c:v>6.9500000000000006E-2</c:v>
                </c:pt>
                <c:pt idx="21">
                  <c:v>7.0900000000000005E-2</c:v>
                </c:pt>
                <c:pt idx="22">
                  <c:v>7.1360000000000007E-2</c:v>
                </c:pt>
                <c:pt idx="23">
                  <c:v>7.2900000000000006E-2</c:v>
                </c:pt>
                <c:pt idx="24">
                  <c:v>7.400000000000001E-2</c:v>
                </c:pt>
                <c:pt idx="25">
                  <c:v>7.3700000000000002E-2</c:v>
                </c:pt>
                <c:pt idx="26">
                  <c:v>7.3099999999999998E-2</c:v>
                </c:pt>
                <c:pt idx="27">
                  <c:v>7.1099999999999997E-2</c:v>
                </c:pt>
                <c:pt idx="28">
                  <c:v>7.1199999999999999E-2</c:v>
                </c:pt>
                <c:pt idx="29">
                  <c:v>6.9599999999999995E-2</c:v>
                </c:pt>
                <c:pt idx="30">
                  <c:v>6.8499999999999991E-2</c:v>
                </c:pt>
                <c:pt idx="31">
                  <c:v>6.8400000000000002E-2</c:v>
                </c:pt>
                <c:pt idx="32">
                  <c:v>6.7599999999999993E-2</c:v>
                </c:pt>
                <c:pt idx="33">
                  <c:v>6.7699999999999996E-2</c:v>
                </c:pt>
                <c:pt idx="34">
                  <c:v>6.7699999999999996E-2</c:v>
                </c:pt>
                <c:pt idx="35">
                  <c:v>6.7799999999999999E-2</c:v>
                </c:pt>
                <c:pt idx="36">
                  <c:v>6.7699999999999996E-2</c:v>
                </c:pt>
                <c:pt idx="37">
                  <c:v>6.88E-2</c:v>
                </c:pt>
                <c:pt idx="38">
                  <c:v>6.9099999999999995E-2</c:v>
                </c:pt>
                <c:pt idx="39">
                  <c:v>6.9000000000000006E-2</c:v>
                </c:pt>
                <c:pt idx="40">
                  <c:v>6.9699999999999998E-2</c:v>
                </c:pt>
                <c:pt idx="41">
                  <c:v>6.8600000000000008E-2</c:v>
                </c:pt>
                <c:pt idx="42">
                  <c:v>7.0199999999999999E-2</c:v>
                </c:pt>
                <c:pt idx="43">
                  <c:v>7.0900000000000005E-2</c:v>
                </c:pt>
                <c:pt idx="44">
                  <c:v>7.0499999999999993E-2</c:v>
                </c:pt>
                <c:pt idx="45">
                  <c:v>7.0199999999999999E-2</c:v>
                </c:pt>
                <c:pt idx="46">
                  <c:v>7.1099999999999997E-2</c:v>
                </c:pt>
                <c:pt idx="47">
                  <c:v>7.2099999999999997E-2</c:v>
                </c:pt>
                <c:pt idx="48">
                  <c:v>7.4299999999999991E-2</c:v>
                </c:pt>
                <c:pt idx="49">
                  <c:v>7.9500000000000001E-2</c:v>
                </c:pt>
                <c:pt idx="50">
                  <c:v>8.022E-2</c:v>
                </c:pt>
                <c:pt idx="51">
                  <c:v>8.1300000000000011E-2</c:v>
                </c:pt>
                <c:pt idx="52">
                  <c:v>8.199999999999999E-2</c:v>
                </c:pt>
                <c:pt idx="53">
                  <c:v>8.4430000000000019E-2</c:v>
                </c:pt>
                <c:pt idx="54">
                  <c:v>8.1000000000000003E-2</c:v>
                </c:pt>
                <c:pt idx="55">
                  <c:v>7.6299999999999993E-2</c:v>
                </c:pt>
                <c:pt idx="56">
                  <c:v>7.3200000000000001E-2</c:v>
                </c:pt>
                <c:pt idx="57">
                  <c:v>7.3599999999999999E-2</c:v>
                </c:pt>
                <c:pt idx="58">
                  <c:v>7.671E-2</c:v>
                </c:pt>
                <c:pt idx="59">
                  <c:v>7.6600000000000001E-2</c:v>
                </c:pt>
                <c:pt idx="60">
                  <c:v>7.5469999999999995E-2</c:v>
                </c:pt>
                <c:pt idx="61">
                  <c:v>7.3690000000000005E-2</c:v>
                </c:pt>
                <c:pt idx="62">
                  <c:v>6.9699999999999998E-2</c:v>
                </c:pt>
                <c:pt idx="63">
                  <c:v>7.0199999999999999E-2</c:v>
                </c:pt>
                <c:pt idx="64">
                  <c:v>7.2300000000000003E-2</c:v>
                </c:pt>
                <c:pt idx="65">
                  <c:v>7.1970000000000006E-2</c:v>
                </c:pt>
                <c:pt idx="66">
                  <c:v>7.1989999999999998E-2</c:v>
                </c:pt>
                <c:pt idx="67">
                  <c:v>7.1199999999999999E-2</c:v>
                </c:pt>
                <c:pt idx="68">
                  <c:v>6.8600000000000008E-2</c:v>
                </c:pt>
                <c:pt idx="69">
                  <c:v>7.0499999999999993E-2</c:v>
                </c:pt>
                <c:pt idx="70">
                  <c:v>7.22E-2</c:v>
                </c:pt>
                <c:pt idx="71">
                  <c:v>7.2800000000000004E-2</c:v>
                </c:pt>
                <c:pt idx="72">
                  <c:v>7.1599999999999997E-2</c:v>
                </c:pt>
                <c:pt idx="73">
                  <c:v>7.0699999999999999E-2</c:v>
                </c:pt>
                <c:pt idx="74">
                  <c:v>7.0800000000000002E-2</c:v>
                </c:pt>
                <c:pt idx="75">
                  <c:v>6.9699999999999998E-2</c:v>
                </c:pt>
                <c:pt idx="76">
                  <c:v>6.59E-2</c:v>
                </c:pt>
                <c:pt idx="77">
                  <c:v>6.2129999999999998E-2</c:v>
                </c:pt>
                <c:pt idx="78">
                  <c:v>6.2E-2</c:v>
                </c:pt>
                <c:pt idx="79">
                  <c:v>6.13E-2</c:v>
                </c:pt>
                <c:pt idx="80">
                  <c:v>6.2300000000000001E-2</c:v>
                </c:pt>
                <c:pt idx="81">
                  <c:v>6.25E-2</c:v>
                </c:pt>
                <c:pt idx="82">
                  <c:v>5.9660000000000005E-2</c:v>
                </c:pt>
                <c:pt idx="83">
                  <c:v>5.8700000000000002E-2</c:v>
                </c:pt>
                <c:pt idx="84">
                  <c:v>6.0700000000000004E-2</c:v>
                </c:pt>
                <c:pt idx="85">
                  <c:v>6.3500000000000001E-2</c:v>
                </c:pt>
                <c:pt idx="86">
                  <c:v>6.1399999999999996E-2</c:v>
                </c:pt>
                <c:pt idx="87">
                  <c:v>6.0299999999999999E-2</c:v>
                </c:pt>
                <c:pt idx="88">
                  <c:v>5.9699999999999996E-2</c:v>
                </c:pt>
                <c:pt idx="89">
                  <c:v>6.0599999999999994E-2</c:v>
                </c:pt>
                <c:pt idx="90">
                  <c:v>5.96E-2</c:v>
                </c:pt>
                <c:pt idx="91">
                  <c:v>5.79E-2</c:v>
                </c:pt>
                <c:pt idx="92">
                  <c:v>5.7099999999999998E-2</c:v>
                </c:pt>
                <c:pt idx="93">
                  <c:v>5.8499999999999996E-2</c:v>
                </c:pt>
                <c:pt idx="94">
                  <c:v>6.0700000000000004E-2</c:v>
                </c:pt>
                <c:pt idx="95">
                  <c:v>6.1699999999999998E-2</c:v>
                </c:pt>
                <c:pt idx="96">
                  <c:v>6.3399999999999998E-2</c:v>
                </c:pt>
                <c:pt idx="97">
                  <c:v>6.5000000000000002E-2</c:v>
                </c:pt>
                <c:pt idx="98">
                  <c:v>6.6400000000000001E-2</c:v>
                </c:pt>
                <c:pt idx="99">
                  <c:v>6.7400000000000002E-2</c:v>
                </c:pt>
                <c:pt idx="100">
                  <c:v>6.6600000000000006E-2</c:v>
                </c:pt>
                <c:pt idx="101">
                  <c:v>6.7000000000000004E-2</c:v>
                </c:pt>
                <c:pt idx="102">
                  <c:v>6.8600000000000008E-2</c:v>
                </c:pt>
                <c:pt idx="103">
                  <c:v>6.6600000000000006E-2</c:v>
                </c:pt>
                <c:pt idx="104">
                  <c:v>6.7199999999999996E-2</c:v>
                </c:pt>
                <c:pt idx="105">
                  <c:v>6.7099999999999993E-2</c:v>
                </c:pt>
                <c:pt idx="106">
                  <c:v>6.5700000000000008E-2</c:v>
                </c:pt>
                <c:pt idx="107">
                  <c:v>6.6699999999999995E-2</c:v>
                </c:pt>
                <c:pt idx="108">
                  <c:v>6.6699999999999995E-2</c:v>
                </c:pt>
                <c:pt idx="109">
                  <c:v>6.5700000000000008E-2</c:v>
                </c:pt>
                <c:pt idx="110">
                  <c:v>6.4699999999999994E-2</c:v>
                </c:pt>
                <c:pt idx="111">
                  <c:v>6.4000000000000001E-2</c:v>
                </c:pt>
                <c:pt idx="112">
                  <c:v>6.25E-2</c:v>
                </c:pt>
                <c:pt idx="113">
                  <c:v>6.2600000000000003E-2</c:v>
                </c:pt>
                <c:pt idx="114">
                  <c:v>6.4000000000000001E-2</c:v>
                </c:pt>
                <c:pt idx="115">
                  <c:v>6.5299999999999997E-2</c:v>
                </c:pt>
                <c:pt idx="116">
                  <c:v>6.5099999999999991E-2</c:v>
                </c:pt>
                <c:pt idx="117">
                  <c:v>6.5299999999999997E-2</c:v>
                </c:pt>
                <c:pt idx="118">
                  <c:v>6.54E-2</c:v>
                </c:pt>
                <c:pt idx="119">
                  <c:v>6.4699999999999994E-2</c:v>
                </c:pt>
                <c:pt idx="120">
                  <c:v>6.5799999999999997E-2</c:v>
                </c:pt>
                <c:pt idx="121">
                  <c:v>6.7699999999999996E-2</c:v>
                </c:pt>
                <c:pt idx="122">
                  <c:v>7.1099999999999997E-2</c:v>
                </c:pt>
                <c:pt idx="123">
                  <c:v>7.1599999999999997E-2</c:v>
                </c:pt>
                <c:pt idx="124">
                  <c:v>7.2800000000000004E-2</c:v>
                </c:pt>
                <c:pt idx="125">
                  <c:v>7.4679999999999996E-2</c:v>
                </c:pt>
                <c:pt idx="126">
                  <c:v>7.3899999999999993E-2</c:v>
                </c:pt>
                <c:pt idx="127">
                  <c:v>7.2999999999999995E-2</c:v>
                </c:pt>
                <c:pt idx="128">
                  <c:v>7.1800000000000003E-2</c:v>
                </c:pt>
                <c:pt idx="129">
                  <c:v>7.3399999999999993E-2</c:v>
                </c:pt>
                <c:pt idx="130">
                  <c:v>7.400000000000001E-2</c:v>
                </c:pt>
                <c:pt idx="131">
                  <c:v>7.5700000000000003E-2</c:v>
                </c:pt>
                <c:pt idx="132">
                  <c:v>7.7300000000000008E-2</c:v>
                </c:pt>
                <c:pt idx="133">
                  <c:v>0.08</c:v>
                </c:pt>
                <c:pt idx="134">
                  <c:v>8.3199999999999996E-2</c:v>
                </c:pt>
                <c:pt idx="135">
                  <c:v>8.0199999999999994E-2</c:v>
                </c:pt>
                <c:pt idx="136">
                  <c:v>0.08</c:v>
                </c:pt>
                <c:pt idx="137">
                  <c:v>8.2599999999999993E-2</c:v>
                </c:pt>
                <c:pt idx="138">
                  <c:v>8.48E-2</c:v>
                </c:pt>
                <c:pt idx="139">
                  <c:v>8.6800000000000002E-2</c:v>
                </c:pt>
                <c:pt idx="140">
                  <c:v>8.8599999999999998E-2</c:v>
                </c:pt>
                <c:pt idx="141">
                  <c:v>9.0399999999999994E-2</c:v>
                </c:pt>
                <c:pt idx="142">
                  <c:v>8.5900000000000004E-2</c:v>
                </c:pt>
                <c:pt idx="143">
                  <c:v>8.2799999999999999E-2</c:v>
                </c:pt>
                <c:pt idx="144">
                  <c:v>8.1900000000000001E-2</c:v>
                </c:pt>
                <c:pt idx="145">
                  <c:v>8.14E-2</c:v>
                </c:pt>
                <c:pt idx="146">
                  <c:v>8.3599999999999994E-2</c:v>
                </c:pt>
                <c:pt idx="147">
                  <c:v>8.6300000000000002E-2</c:v>
                </c:pt>
                <c:pt idx="148">
                  <c:v>8.5800000000000001E-2</c:v>
                </c:pt>
                <c:pt idx="149">
                  <c:v>8.5699999999999998E-2</c:v>
                </c:pt>
                <c:pt idx="150">
                  <c:v>8.4600000000000009E-2</c:v>
                </c:pt>
                <c:pt idx="151">
                  <c:v>8.2299999999999998E-2</c:v>
                </c:pt>
                <c:pt idx="152">
                  <c:v>8.1099999999999992E-2</c:v>
                </c:pt>
                <c:pt idx="153">
                  <c:v>7.9699999999999993E-2</c:v>
                </c:pt>
                <c:pt idx="154">
                  <c:v>7.7100000000000002E-2</c:v>
                </c:pt>
                <c:pt idx="155">
                  <c:v>7.4800000000000005E-2</c:v>
                </c:pt>
                <c:pt idx="156">
                  <c:v>7.2499999999999995E-2</c:v>
                </c:pt>
                <c:pt idx="157">
                  <c:v>7.2599999999999998E-2</c:v>
                </c:pt>
                <c:pt idx="158">
                  <c:v>7.400000000000001E-2</c:v>
                </c:pt>
                <c:pt idx="159">
                  <c:v>7.3499999999999996E-2</c:v>
                </c:pt>
                <c:pt idx="160">
                  <c:v>7.3399999999999993E-2</c:v>
                </c:pt>
                <c:pt idx="161">
                  <c:v>7.0800000000000002E-2</c:v>
                </c:pt>
                <c:pt idx="162">
                  <c:v>7.1300000000000002E-2</c:v>
                </c:pt>
                <c:pt idx="163">
                  <c:v>6.9599999999999995E-2</c:v>
                </c:pt>
                <c:pt idx="164">
                  <c:v>7.22E-2</c:v>
                </c:pt>
                <c:pt idx="165">
                  <c:v>7.0900000000000005E-2</c:v>
                </c:pt>
                <c:pt idx="166">
                  <c:v>7.0199999999999999E-2</c:v>
                </c:pt>
                <c:pt idx="167">
                  <c:v>6.9699999999999998E-2</c:v>
                </c:pt>
                <c:pt idx="168">
                  <c:v>6.6900000000000001E-2</c:v>
                </c:pt>
                <c:pt idx="169">
                  <c:v>6.6799999999999998E-2</c:v>
                </c:pt>
                <c:pt idx="170">
                  <c:v>6.9599999999999995E-2</c:v>
                </c:pt>
                <c:pt idx="171">
                  <c:v>6.83E-2</c:v>
                </c:pt>
                <c:pt idx="172">
                  <c:v>6.6900000000000001E-2</c:v>
                </c:pt>
                <c:pt idx="173">
                  <c:v>6.6199999999999995E-2</c:v>
                </c:pt>
                <c:pt idx="174">
                  <c:v>6.6199999999999995E-2</c:v>
                </c:pt>
                <c:pt idx="175">
                  <c:v>6.6600000000000006E-2</c:v>
                </c:pt>
                <c:pt idx="176">
                  <c:v>6.6199999999999995E-2</c:v>
                </c:pt>
                <c:pt idx="177">
                  <c:v>6.5299999999999997E-2</c:v>
                </c:pt>
                <c:pt idx="178">
                  <c:v>6.6299999999999998E-2</c:v>
                </c:pt>
                <c:pt idx="179">
                  <c:v>6.8000000000000005E-2</c:v>
                </c:pt>
                <c:pt idx="180">
                  <c:v>6.9199999999999998E-2</c:v>
                </c:pt>
                <c:pt idx="181">
                  <c:v>6.8900000000000003E-2</c:v>
                </c:pt>
                <c:pt idx="182">
                  <c:v>6.7299999999999999E-2</c:v>
                </c:pt>
                <c:pt idx="183">
                  <c:v>6.8400000000000002E-2</c:v>
                </c:pt>
                <c:pt idx="184">
                  <c:v>6.8699999999999997E-2</c:v>
                </c:pt>
                <c:pt idx="185">
                  <c:v>6.8499999999999991E-2</c:v>
                </c:pt>
                <c:pt idx="186">
                  <c:v>6.8699999999999997E-2</c:v>
                </c:pt>
                <c:pt idx="187">
                  <c:v>6.9599999999999995E-2</c:v>
                </c:pt>
                <c:pt idx="188">
                  <c:v>6.9199999999999998E-2</c:v>
                </c:pt>
                <c:pt idx="189">
                  <c:v>6.7299999999999999E-2</c:v>
                </c:pt>
                <c:pt idx="190">
                  <c:v>6.5599999999999992E-2</c:v>
                </c:pt>
                <c:pt idx="191">
                  <c:v>6.3200000000000006E-2</c:v>
                </c:pt>
                <c:pt idx="192">
                  <c:v>6.1200000000000004E-2</c:v>
                </c:pt>
                <c:pt idx="193">
                  <c:v>5.7099999999999998E-2</c:v>
                </c:pt>
                <c:pt idx="194">
                  <c:v>5.9400000000000001E-2</c:v>
                </c:pt>
                <c:pt idx="195">
                  <c:v>5.8700000000000002E-2</c:v>
                </c:pt>
                <c:pt idx="196">
                  <c:v>5.8099999999999999E-2</c:v>
                </c:pt>
                <c:pt idx="197">
                  <c:v>5.96E-2</c:v>
                </c:pt>
                <c:pt idx="198">
                  <c:v>5.9900000000000002E-2</c:v>
                </c:pt>
                <c:pt idx="199">
                  <c:v>0.06</c:v>
                </c:pt>
                <c:pt idx="200">
                  <c:v>5.7500000000000002E-2</c:v>
                </c:pt>
                <c:pt idx="201">
                  <c:v>5.8600000000000006E-2</c:v>
                </c:pt>
                <c:pt idx="202">
                  <c:v>5.9400000000000001E-2</c:v>
                </c:pt>
                <c:pt idx="203">
                  <c:v>6.0299999999999999E-2</c:v>
                </c:pt>
                <c:pt idx="204">
                  <c:v>6.0199999999999997E-2</c:v>
                </c:pt>
                <c:pt idx="205">
                  <c:v>5.9299999999999999E-2</c:v>
                </c:pt>
                <c:pt idx="206">
                  <c:v>5.9200000000000003E-2</c:v>
                </c:pt>
                <c:pt idx="207">
                  <c:v>5.8299999999999998E-2</c:v>
                </c:pt>
                <c:pt idx="208">
                  <c:v>5.9000000000000004E-2</c:v>
                </c:pt>
                <c:pt idx="209">
                  <c:v>5.9800000000000006E-2</c:v>
                </c:pt>
                <c:pt idx="210">
                  <c:v>5.9000000000000004E-2</c:v>
                </c:pt>
                <c:pt idx="211">
                  <c:v>5.6900000000000006E-2</c:v>
                </c:pt>
                <c:pt idx="212">
                  <c:v>5.6299999999999996E-2</c:v>
                </c:pt>
                <c:pt idx="213">
                  <c:v>5.8700000000000002E-2</c:v>
                </c:pt>
                <c:pt idx="214">
                  <c:v>6.0199999999999997E-2</c:v>
                </c:pt>
                <c:pt idx="215">
                  <c:v>5.96E-2</c:v>
                </c:pt>
                <c:pt idx="216">
                  <c:v>5.8499999999999996E-2</c:v>
                </c:pt>
                <c:pt idx="217">
                  <c:v>6.0499999999999998E-2</c:v>
                </c:pt>
                <c:pt idx="218">
                  <c:v>6.1500000000000006E-2</c:v>
                </c:pt>
                <c:pt idx="219">
                  <c:v>6.1600000000000002E-2</c:v>
                </c:pt>
                <c:pt idx="220">
                  <c:v>6.1399999999999996E-2</c:v>
                </c:pt>
                <c:pt idx="221">
                  <c:v>6.4000000000000001E-2</c:v>
                </c:pt>
                <c:pt idx="222">
                  <c:v>6.4600000000000005E-2</c:v>
                </c:pt>
                <c:pt idx="223">
                  <c:v>6.5299999999999997E-2</c:v>
                </c:pt>
                <c:pt idx="224">
                  <c:v>6.7199999999999996E-2</c:v>
                </c:pt>
                <c:pt idx="225">
                  <c:v>6.6299999999999998E-2</c:v>
                </c:pt>
                <c:pt idx="226">
                  <c:v>6.5799999999999997E-2</c:v>
                </c:pt>
                <c:pt idx="227">
                  <c:v>6.5700000000000008E-2</c:v>
                </c:pt>
                <c:pt idx="228">
                  <c:v>6.5099999999999991E-2</c:v>
                </c:pt>
                <c:pt idx="229">
                  <c:v>6.4600000000000005E-2</c:v>
                </c:pt>
                <c:pt idx="230">
                  <c:v>6.54E-2</c:v>
                </c:pt>
                <c:pt idx="231">
                  <c:v>6.6600000000000006E-2</c:v>
                </c:pt>
                <c:pt idx="232">
                  <c:v>6.5500000000000003E-2</c:v>
                </c:pt>
                <c:pt idx="233">
                  <c:v>6.4399999999999999E-2</c:v>
                </c:pt>
                <c:pt idx="234">
                  <c:v>6.4100000000000004E-2</c:v>
                </c:pt>
                <c:pt idx="235">
                  <c:v>6.3099999999999989E-2</c:v>
                </c:pt>
                <c:pt idx="236">
                  <c:v>6.25E-2</c:v>
                </c:pt>
                <c:pt idx="237">
                  <c:v>6.1699999999999998E-2</c:v>
                </c:pt>
                <c:pt idx="238">
                  <c:v>5.9900000000000002E-2</c:v>
                </c:pt>
                <c:pt idx="239">
                  <c:v>6.1699999999999998E-2</c:v>
                </c:pt>
                <c:pt idx="240">
                  <c:v>6.0400000000000002E-2</c:v>
                </c:pt>
                <c:pt idx="241">
                  <c:v>5.9200000000000003E-2</c:v>
                </c:pt>
                <c:pt idx="242">
                  <c:v>5.91E-2</c:v>
                </c:pt>
                <c:pt idx="243">
                  <c:v>5.8499999999999996E-2</c:v>
                </c:pt>
                <c:pt idx="244">
                  <c:v>5.9299999999999999E-2</c:v>
                </c:pt>
                <c:pt idx="245">
                  <c:v>5.9299999999999999E-2</c:v>
                </c:pt>
                <c:pt idx="246">
                  <c:v>5.9200000000000003E-2</c:v>
                </c:pt>
                <c:pt idx="247">
                  <c:v>5.9299999999999999E-2</c:v>
                </c:pt>
                <c:pt idx="248">
                  <c:v>5.9900000000000002E-2</c:v>
                </c:pt>
                <c:pt idx="249">
                  <c:v>6.0499999999999998E-2</c:v>
                </c:pt>
                <c:pt idx="250">
                  <c:v>0.06</c:v>
                </c:pt>
                <c:pt idx="251">
                  <c:v>5.9900000000000002E-2</c:v>
                </c:pt>
                <c:pt idx="252">
                  <c:v>5.9800000000000006E-2</c:v>
                </c:pt>
                <c:pt idx="253">
                  <c:v>0.06</c:v>
                </c:pt>
                <c:pt idx="254">
                  <c:v>6.1200000000000004E-2</c:v>
                </c:pt>
                <c:pt idx="255">
                  <c:v>6.08E-2</c:v>
                </c:pt>
                <c:pt idx="256">
                  <c:v>6.0700000000000004E-2</c:v>
                </c:pt>
                <c:pt idx="257">
                  <c:v>6.0220000000000003E-2</c:v>
                </c:pt>
                <c:pt idx="258">
                  <c:v>6.1200000000000004E-2</c:v>
                </c:pt>
                <c:pt idx="259">
                  <c:v>6.1600000000000002E-2</c:v>
                </c:pt>
                <c:pt idx="260">
                  <c:v>6.1900000000000004E-2</c:v>
                </c:pt>
                <c:pt idx="261">
                  <c:v>6.1799999999999994E-2</c:v>
                </c:pt>
                <c:pt idx="262">
                  <c:v>6.1399999999999996E-2</c:v>
                </c:pt>
                <c:pt idx="263">
                  <c:v>6.1399999999999996E-2</c:v>
                </c:pt>
                <c:pt idx="264">
                  <c:v>6.1699999999999998E-2</c:v>
                </c:pt>
                <c:pt idx="265">
                  <c:v>6.1399999999999996E-2</c:v>
                </c:pt>
                <c:pt idx="266">
                  <c:v>6.0899999999999996E-2</c:v>
                </c:pt>
                <c:pt idx="267">
                  <c:v>6.0299999999999999E-2</c:v>
                </c:pt>
                <c:pt idx="268">
                  <c:v>5.9500000000000004E-2</c:v>
                </c:pt>
                <c:pt idx="269">
                  <c:v>5.9699999999999996E-2</c:v>
                </c:pt>
                <c:pt idx="270">
                  <c:v>5.9800000000000006E-2</c:v>
                </c:pt>
                <c:pt idx="271">
                  <c:v>5.8799999999999998E-2</c:v>
                </c:pt>
                <c:pt idx="272">
                  <c:v>5.8600000000000006E-2</c:v>
                </c:pt>
                <c:pt idx="273">
                  <c:v>5.8299999999999998E-2</c:v>
                </c:pt>
                <c:pt idx="274">
                  <c:v>5.8499999999999996E-2</c:v>
                </c:pt>
                <c:pt idx="275">
                  <c:v>5.7999999999999996E-2</c:v>
                </c:pt>
                <c:pt idx="276">
                  <c:v>5.7500000000000002E-2</c:v>
                </c:pt>
                <c:pt idx="277">
                  <c:v>5.7500000000000002E-2</c:v>
                </c:pt>
                <c:pt idx="278">
                  <c:v>5.7599999999999998E-2</c:v>
                </c:pt>
                <c:pt idx="279">
                  <c:v>5.7200000000000001E-2</c:v>
                </c:pt>
                <c:pt idx="280">
                  <c:v>5.8600000000000006E-2</c:v>
                </c:pt>
                <c:pt idx="281">
                  <c:v>5.9500000000000004E-2</c:v>
                </c:pt>
                <c:pt idx="282">
                  <c:v>5.9200000000000003E-2</c:v>
                </c:pt>
                <c:pt idx="283">
                  <c:v>5.9800000000000006E-2</c:v>
                </c:pt>
                <c:pt idx="284">
                  <c:v>5.9299999999999999E-2</c:v>
                </c:pt>
                <c:pt idx="285">
                  <c:v>6.0100000000000001E-2</c:v>
                </c:pt>
                <c:pt idx="286">
                  <c:v>6.0400000000000002E-2</c:v>
                </c:pt>
                <c:pt idx="287">
                  <c:v>6.0299999999999999E-2</c:v>
                </c:pt>
                <c:pt idx="288">
                  <c:v>6.1399999999999996E-2</c:v>
                </c:pt>
                <c:pt idx="289">
                  <c:v>6.13E-2</c:v>
                </c:pt>
                <c:pt idx="290">
                  <c:v>6.0700000000000004E-2</c:v>
                </c:pt>
                <c:pt idx="291">
                  <c:v>6.0199999999999997E-2</c:v>
                </c:pt>
                <c:pt idx="292">
                  <c:v>5.9200000000000003E-2</c:v>
                </c:pt>
                <c:pt idx="293">
                  <c:v>5.7999999999999996E-2</c:v>
                </c:pt>
                <c:pt idx="294">
                  <c:v>5.8499999999999996E-2</c:v>
                </c:pt>
                <c:pt idx="295">
                  <c:v>5.79E-2</c:v>
                </c:pt>
                <c:pt idx="296">
                  <c:v>5.7800000000000004E-2</c:v>
                </c:pt>
                <c:pt idx="297">
                  <c:v>5.8499999999999996E-2</c:v>
                </c:pt>
                <c:pt idx="298">
                  <c:v>5.7300000000000004E-2</c:v>
                </c:pt>
                <c:pt idx="299">
                  <c:v>5.7800000000000004E-2</c:v>
                </c:pt>
                <c:pt idx="300">
                  <c:v>5.8200000000000002E-2</c:v>
                </c:pt>
                <c:pt idx="301">
                  <c:v>5.8799999999999998E-2</c:v>
                </c:pt>
                <c:pt idx="302">
                  <c:v>5.9299999999999999E-2</c:v>
                </c:pt>
                <c:pt idx="303">
                  <c:v>5.9400000000000001E-2</c:v>
                </c:pt>
                <c:pt idx="304">
                  <c:v>5.9299999999999999E-2</c:v>
                </c:pt>
                <c:pt idx="305">
                  <c:v>5.8700000000000002E-2</c:v>
                </c:pt>
                <c:pt idx="306">
                  <c:v>5.8700000000000002E-2</c:v>
                </c:pt>
                <c:pt idx="307">
                  <c:v>5.8299999999999998E-2</c:v>
                </c:pt>
                <c:pt idx="308">
                  <c:v>5.7200000000000001E-2</c:v>
                </c:pt>
                <c:pt idx="309">
                  <c:v>5.6399999999999999E-2</c:v>
                </c:pt>
                <c:pt idx="310">
                  <c:v>5.6299999999999996E-2</c:v>
                </c:pt>
                <c:pt idx="311">
                  <c:v>5.7300000000000004E-2</c:v>
                </c:pt>
                <c:pt idx="312">
                  <c:v>5.7099999999999998E-2</c:v>
                </c:pt>
                <c:pt idx="313">
                  <c:v>5.6500000000000002E-2</c:v>
                </c:pt>
                <c:pt idx="314">
                  <c:v>5.6100000000000004E-2</c:v>
                </c:pt>
                <c:pt idx="315">
                  <c:v>5.5899999999999998E-2</c:v>
                </c:pt>
                <c:pt idx="316">
                  <c:v>5.5999999999999994E-2</c:v>
                </c:pt>
                <c:pt idx="317">
                  <c:v>5.8299999999999998E-2</c:v>
                </c:pt>
                <c:pt idx="318">
                  <c:v>5.7500000000000002E-2</c:v>
                </c:pt>
                <c:pt idx="319">
                  <c:v>5.5999999999999994E-2</c:v>
                </c:pt>
                <c:pt idx="320">
                  <c:v>5.5899999999999998E-2</c:v>
                </c:pt>
                <c:pt idx="321">
                  <c:v>5.4100000000000002E-2</c:v>
                </c:pt>
                <c:pt idx="322">
                  <c:v>5.2999999999999999E-2</c:v>
                </c:pt>
                <c:pt idx="323">
                  <c:v>5.33E-2</c:v>
                </c:pt>
                <c:pt idx="324">
                  <c:v>5.2400000000000002E-2</c:v>
                </c:pt>
                <c:pt idx="325">
                  <c:v>5.1399999999999994E-2</c:v>
                </c:pt>
                <c:pt idx="326">
                  <c:v>5.2300000000000006E-2</c:v>
                </c:pt>
                <c:pt idx="327">
                  <c:v>5.3499999999999999E-2</c:v>
                </c:pt>
                <c:pt idx="328">
                  <c:v>5.2999999999999999E-2</c:v>
                </c:pt>
                <c:pt idx="329">
                  <c:v>5.2600000000000001E-2</c:v>
                </c:pt>
                <c:pt idx="330">
                  <c:v>5.28E-2</c:v>
                </c:pt>
                <c:pt idx="331">
                  <c:v>5.3499999999999999E-2</c:v>
                </c:pt>
                <c:pt idx="332">
                  <c:v>5.2900000000000003E-2</c:v>
                </c:pt>
                <c:pt idx="333">
                  <c:v>5.3499999999999999E-2</c:v>
                </c:pt>
                <c:pt idx="334">
                  <c:v>5.2999999999999999E-2</c:v>
                </c:pt>
                <c:pt idx="335">
                  <c:v>5.3399999999999996E-2</c:v>
                </c:pt>
                <c:pt idx="336">
                  <c:v>5.3399999999999996E-2</c:v>
                </c:pt>
                <c:pt idx="337">
                  <c:v>5.4600000000000003E-2</c:v>
                </c:pt>
                <c:pt idx="338">
                  <c:v>5.3600000000000002E-2</c:v>
                </c:pt>
                <c:pt idx="339">
                  <c:v>5.3699999999999998E-2</c:v>
                </c:pt>
                <c:pt idx="340">
                  <c:v>5.28E-2</c:v>
                </c:pt>
                <c:pt idx="341">
                  <c:v>5.289E-2</c:v>
                </c:pt>
                <c:pt idx="342">
                  <c:v>5.2600000000000001E-2</c:v>
                </c:pt>
                <c:pt idx="343">
                  <c:v>5.2900000000000003E-2</c:v>
                </c:pt>
                <c:pt idx="344">
                  <c:v>5.3600000000000002E-2</c:v>
                </c:pt>
                <c:pt idx="345">
                  <c:v>5.3399999999999996E-2</c:v>
                </c:pt>
                <c:pt idx="346">
                  <c:v>5.4800000000000001E-2</c:v>
                </c:pt>
                <c:pt idx="347">
                  <c:v>5.5099999999999996E-2</c:v>
                </c:pt>
                <c:pt idx="348">
                  <c:v>5.5599999999999997E-2</c:v>
                </c:pt>
                <c:pt idx="349">
                  <c:v>5.5399999999999998E-2</c:v>
                </c:pt>
                <c:pt idx="350">
                  <c:v>5.45E-2</c:v>
                </c:pt>
                <c:pt idx="351">
                  <c:v>5.4000000000000006E-2</c:v>
                </c:pt>
                <c:pt idx="352">
                  <c:v>5.4600000000000003E-2</c:v>
                </c:pt>
                <c:pt idx="353">
                  <c:v>5.5E-2</c:v>
                </c:pt>
                <c:pt idx="354">
                  <c:v>5.45E-2</c:v>
                </c:pt>
                <c:pt idx="355">
                  <c:v>5.33E-2</c:v>
                </c:pt>
                <c:pt idx="356">
                  <c:v>5.3699999999999998E-2</c:v>
                </c:pt>
                <c:pt idx="357">
                  <c:v>5.3800000000000001E-2</c:v>
                </c:pt>
                <c:pt idx="358">
                  <c:v>5.3899999999999997E-2</c:v>
                </c:pt>
                <c:pt idx="359">
                  <c:v>5.3399999999999996E-2</c:v>
                </c:pt>
                <c:pt idx="360">
                  <c:v>5.357E-2</c:v>
                </c:pt>
                <c:pt idx="361">
                  <c:v>5.3399999999999996E-2</c:v>
                </c:pt>
                <c:pt idx="362">
                  <c:v>5.1200000000000002E-2</c:v>
                </c:pt>
                <c:pt idx="363">
                  <c:v>5.0199999999999995E-2</c:v>
                </c:pt>
                <c:pt idx="364">
                  <c:v>5.1200000000000002E-2</c:v>
                </c:pt>
                <c:pt idx="365">
                  <c:v>5.1699999999999996E-2</c:v>
                </c:pt>
                <c:pt idx="366">
                  <c:v>5.1500000000000004E-2</c:v>
                </c:pt>
                <c:pt idx="367">
                  <c:v>5.1399999999999994E-2</c:v>
                </c:pt>
                <c:pt idx="368">
                  <c:v>5.16E-2</c:v>
                </c:pt>
                <c:pt idx="369">
                  <c:v>5.1699999999999996E-2</c:v>
                </c:pt>
                <c:pt idx="370">
                  <c:v>5.1799999999999999E-2</c:v>
                </c:pt>
                <c:pt idx="371">
                  <c:v>5.2699999999999997E-2</c:v>
                </c:pt>
                <c:pt idx="372">
                  <c:v>5.2600000000000001E-2</c:v>
                </c:pt>
                <c:pt idx="373">
                  <c:v>5.2499999999999998E-2</c:v>
                </c:pt>
                <c:pt idx="374">
                  <c:v>5.2199999999999996E-2</c:v>
                </c:pt>
                <c:pt idx="375">
                  <c:v>5.1900000000000002E-2</c:v>
                </c:pt>
                <c:pt idx="376">
                  <c:v>5.3099999999999994E-2</c:v>
                </c:pt>
                <c:pt idx="377">
                  <c:v>5.2600000000000001E-2</c:v>
                </c:pt>
                <c:pt idx="378">
                  <c:v>5.2300000000000006E-2</c:v>
                </c:pt>
                <c:pt idx="379">
                  <c:v>5.21E-2</c:v>
                </c:pt>
                <c:pt idx="380">
                  <c:v>5.3699999999999998E-2</c:v>
                </c:pt>
                <c:pt idx="381">
                  <c:v>5.4400000000000004E-2</c:v>
                </c:pt>
                <c:pt idx="382">
                  <c:v>5.4800000000000001E-2</c:v>
                </c:pt>
                <c:pt idx="383">
                  <c:v>5.4800000000000001E-2</c:v>
                </c:pt>
                <c:pt idx="384">
                  <c:v>5.4199999999999998E-2</c:v>
                </c:pt>
                <c:pt idx="385">
                  <c:v>5.4000000000000006E-2</c:v>
                </c:pt>
                <c:pt idx="386">
                  <c:v>5.4199999999999998E-2</c:v>
                </c:pt>
                <c:pt idx="387">
                  <c:v>5.4199999999999998E-2</c:v>
                </c:pt>
                <c:pt idx="388">
                  <c:v>5.3800000000000001E-2</c:v>
                </c:pt>
                <c:pt idx="389">
                  <c:v>5.4100000000000002E-2</c:v>
                </c:pt>
                <c:pt idx="390">
                  <c:v>5.4100000000000002E-2</c:v>
                </c:pt>
                <c:pt idx="391">
                  <c:v>5.57E-2</c:v>
                </c:pt>
                <c:pt idx="392">
                  <c:v>5.5999999999999994E-2</c:v>
                </c:pt>
                <c:pt idx="393">
                  <c:v>5.7200000000000001E-2</c:v>
                </c:pt>
                <c:pt idx="394">
                  <c:v>5.6100000000000004E-2</c:v>
                </c:pt>
                <c:pt idx="395">
                  <c:v>5.5599999999999997E-2</c:v>
                </c:pt>
                <c:pt idx="396">
                  <c:v>5.4600000000000003E-2</c:v>
                </c:pt>
                <c:pt idx="397">
                  <c:v>5.4100000000000002E-2</c:v>
                </c:pt>
                <c:pt idx="398">
                  <c:v>5.3800000000000001E-2</c:v>
                </c:pt>
                <c:pt idx="399">
                  <c:v>5.2999999999999999E-2</c:v>
                </c:pt>
                <c:pt idx="400">
                  <c:v>5.2400000000000002E-2</c:v>
                </c:pt>
                <c:pt idx="401">
                  <c:v>5.1900000000000002E-2</c:v>
                </c:pt>
                <c:pt idx="402">
                  <c:v>5.2000000000000005E-2</c:v>
                </c:pt>
                <c:pt idx="403">
                  <c:v>5.21E-2</c:v>
                </c:pt>
                <c:pt idx="404">
                  <c:v>5.2699999999999997E-2</c:v>
                </c:pt>
                <c:pt idx="405">
                  <c:v>5.4100000000000002E-2</c:v>
                </c:pt>
                <c:pt idx="406">
                  <c:v>5.45E-2</c:v>
                </c:pt>
                <c:pt idx="407">
                  <c:v>5.5300000000000002E-2</c:v>
                </c:pt>
                <c:pt idx="408">
                  <c:v>5.4000000000000006E-2</c:v>
                </c:pt>
                <c:pt idx="409">
                  <c:v>5.4299999999999994E-2</c:v>
                </c:pt>
                <c:pt idx="410">
                  <c:v>5.3200000000000004E-2</c:v>
                </c:pt>
                <c:pt idx="411">
                  <c:v>5.3099999999999994E-2</c:v>
                </c:pt>
                <c:pt idx="412">
                  <c:v>5.3099999999999994E-2</c:v>
                </c:pt>
                <c:pt idx="413">
                  <c:v>5.2900000000000003E-2</c:v>
                </c:pt>
                <c:pt idx="414">
                  <c:v>5.3600000000000002E-2</c:v>
                </c:pt>
                <c:pt idx="415">
                  <c:v>5.4299999999999994E-2</c:v>
                </c:pt>
                <c:pt idx="416">
                  <c:v>5.4400000000000004E-2</c:v>
                </c:pt>
                <c:pt idx="417">
                  <c:v>5.4299999999999994E-2</c:v>
                </c:pt>
                <c:pt idx="418">
                  <c:v>5.4000000000000006E-2</c:v>
                </c:pt>
                <c:pt idx="419">
                  <c:v>5.3499999999999999E-2</c:v>
                </c:pt>
                <c:pt idx="420">
                  <c:v>5.3600000000000002E-2</c:v>
                </c:pt>
                <c:pt idx="421">
                  <c:v>5.2900000000000003E-2</c:v>
                </c:pt>
                <c:pt idx="422">
                  <c:v>5.2600000000000001E-2</c:v>
                </c:pt>
                <c:pt idx="423">
                  <c:v>5.1399999999999994E-2</c:v>
                </c:pt>
                <c:pt idx="424">
                  <c:v>5.0599999999999999E-2</c:v>
                </c:pt>
                <c:pt idx="425">
                  <c:v>5.04E-2</c:v>
                </c:pt>
                <c:pt idx="426">
                  <c:v>5.0700000000000002E-2</c:v>
                </c:pt>
                <c:pt idx="427">
                  <c:v>5.0900000000000001E-2</c:v>
                </c:pt>
                <c:pt idx="428">
                  <c:v>5.0700000000000002E-2</c:v>
                </c:pt>
                <c:pt idx="429">
                  <c:v>5.0499999999999996E-2</c:v>
                </c:pt>
                <c:pt idx="430">
                  <c:v>4.8899999999999999E-2</c:v>
                </c:pt>
                <c:pt idx="431">
                  <c:v>4.8000000000000001E-2</c:v>
                </c:pt>
                <c:pt idx="432">
                  <c:v>4.8899999999999999E-2</c:v>
                </c:pt>
                <c:pt idx="433">
                  <c:v>4.8099999999999997E-2</c:v>
                </c:pt>
                <c:pt idx="434">
                  <c:v>4.8000000000000001E-2</c:v>
                </c:pt>
                <c:pt idx="435">
                  <c:v>4.9500000000000002E-2</c:v>
                </c:pt>
                <c:pt idx="436">
                  <c:v>4.99E-2</c:v>
                </c:pt>
                <c:pt idx="437">
                  <c:v>0.05</c:v>
                </c:pt>
                <c:pt idx="438">
                  <c:v>5.0099999999999999E-2</c:v>
                </c:pt>
                <c:pt idx="439">
                  <c:v>5.0199999999999995E-2</c:v>
                </c:pt>
                <c:pt idx="440">
                  <c:v>5.1799999999999999E-2</c:v>
                </c:pt>
                <c:pt idx="441">
                  <c:v>5.16E-2</c:v>
                </c:pt>
                <c:pt idx="442">
                  <c:v>5.1200000000000002E-2</c:v>
                </c:pt>
                <c:pt idx="443">
                  <c:v>5.04E-2</c:v>
                </c:pt>
                <c:pt idx="444">
                  <c:v>4.9699999999999994E-2</c:v>
                </c:pt>
                <c:pt idx="445">
                  <c:v>4.8799999999999996E-2</c:v>
                </c:pt>
                <c:pt idx="446">
                  <c:v>4.9599999999999998E-2</c:v>
                </c:pt>
                <c:pt idx="447">
                  <c:v>4.9100000000000005E-2</c:v>
                </c:pt>
                <c:pt idx="448">
                  <c:v>4.87E-2</c:v>
                </c:pt>
                <c:pt idx="449">
                  <c:v>4.99E-2</c:v>
                </c:pt>
                <c:pt idx="450">
                  <c:v>5.0499999999999996E-2</c:v>
                </c:pt>
                <c:pt idx="451">
                  <c:v>5.0700000000000002E-2</c:v>
                </c:pt>
                <c:pt idx="452">
                  <c:v>5.0599999999999999E-2</c:v>
                </c:pt>
                <c:pt idx="453">
                  <c:v>5.1159999999999997E-2</c:v>
                </c:pt>
                <c:pt idx="454">
                  <c:v>5.04E-2</c:v>
                </c:pt>
                <c:pt idx="455">
                  <c:v>5.0900000000000001E-2</c:v>
                </c:pt>
                <c:pt idx="456">
                  <c:v>5.1799999999999999E-2</c:v>
                </c:pt>
                <c:pt idx="457">
                  <c:v>5.2199999999999996E-2</c:v>
                </c:pt>
                <c:pt idx="458">
                  <c:v>5.2300000000000006E-2</c:v>
                </c:pt>
                <c:pt idx="459">
                  <c:v>5.21E-2</c:v>
                </c:pt>
                <c:pt idx="460">
                  <c:v>5.1500000000000004E-2</c:v>
                </c:pt>
                <c:pt idx="461">
                  <c:v>5.0300000000000004E-2</c:v>
                </c:pt>
                <c:pt idx="462">
                  <c:v>4.99E-2</c:v>
                </c:pt>
                <c:pt idx="463">
                  <c:v>5.0799999999999998E-2</c:v>
                </c:pt>
                <c:pt idx="464">
                  <c:v>5.2199999999999996E-2</c:v>
                </c:pt>
                <c:pt idx="465">
                  <c:v>5.2000000000000005E-2</c:v>
                </c:pt>
                <c:pt idx="466">
                  <c:v>5.2000000000000005E-2</c:v>
                </c:pt>
                <c:pt idx="467">
                  <c:v>5.33E-2</c:v>
                </c:pt>
                <c:pt idx="468">
                  <c:v>5.2400000000000002E-2</c:v>
                </c:pt>
                <c:pt idx="469">
                  <c:v>5.2900000000000003E-2</c:v>
                </c:pt>
                <c:pt idx="470">
                  <c:v>5.2900000000000003E-2</c:v>
                </c:pt>
                <c:pt idx="471">
                  <c:v>5.2600000000000001E-2</c:v>
                </c:pt>
                <c:pt idx="472">
                  <c:v>5.1900000000000002E-2</c:v>
                </c:pt>
                <c:pt idx="473">
                  <c:v>5.2900000000000003E-2</c:v>
                </c:pt>
                <c:pt idx="474">
                  <c:v>5.2900000000000003E-2</c:v>
                </c:pt>
                <c:pt idx="475">
                  <c:v>5.2600000000000001E-2</c:v>
                </c:pt>
                <c:pt idx="476">
                  <c:v>5.2400000000000002E-2</c:v>
                </c:pt>
                <c:pt idx="477">
                  <c:v>5.2000000000000005E-2</c:v>
                </c:pt>
                <c:pt idx="478">
                  <c:v>5.1699999999999996E-2</c:v>
                </c:pt>
                <c:pt idx="479">
                  <c:v>5.16E-2</c:v>
                </c:pt>
                <c:pt idx="480">
                  <c:v>5.21E-2</c:v>
                </c:pt>
                <c:pt idx="481">
                  <c:v>5.2300000000000006E-2</c:v>
                </c:pt>
                <c:pt idx="482">
                  <c:v>5.21E-2</c:v>
                </c:pt>
                <c:pt idx="483">
                  <c:v>5.1900000000000002E-2</c:v>
                </c:pt>
                <c:pt idx="484">
                  <c:v>5.1399999999999994E-2</c:v>
                </c:pt>
                <c:pt idx="485">
                  <c:v>5.1100000000000007E-2</c:v>
                </c:pt>
                <c:pt idx="486">
                  <c:v>5.1200000000000002E-2</c:v>
                </c:pt>
                <c:pt idx="487">
                  <c:v>5.1900000000000002E-2</c:v>
                </c:pt>
                <c:pt idx="488">
                  <c:v>5.1500000000000004E-2</c:v>
                </c:pt>
                <c:pt idx="489">
                  <c:v>5.1699999999999996E-2</c:v>
                </c:pt>
                <c:pt idx="490">
                  <c:v>5.2400000000000002E-2</c:v>
                </c:pt>
                <c:pt idx="491">
                  <c:v>5.2600000000000001E-2</c:v>
                </c:pt>
                <c:pt idx="492">
                  <c:v>5.3200000000000004E-2</c:v>
                </c:pt>
                <c:pt idx="493">
                  <c:v>5.2900000000000003E-2</c:v>
                </c:pt>
                <c:pt idx="494">
                  <c:v>5.3899999999999997E-2</c:v>
                </c:pt>
                <c:pt idx="495">
                  <c:v>5.3600000000000002E-2</c:v>
                </c:pt>
                <c:pt idx="496">
                  <c:v>5.3600000000000002E-2</c:v>
                </c:pt>
                <c:pt idx="497">
                  <c:v>5.3800000000000001E-2</c:v>
                </c:pt>
                <c:pt idx="498">
                  <c:v>5.4299999999999994E-2</c:v>
                </c:pt>
                <c:pt idx="499">
                  <c:v>5.4800000000000001E-2</c:v>
                </c:pt>
                <c:pt idx="500">
                  <c:v>5.4600000000000003E-2</c:v>
                </c:pt>
                <c:pt idx="501">
                  <c:v>5.3899999999999997E-2</c:v>
                </c:pt>
                <c:pt idx="502">
                  <c:v>5.3499999999999999E-2</c:v>
                </c:pt>
                <c:pt idx="503">
                  <c:v>5.3440000000000001E-2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69-4E89-A9FB-3B3860021427}"/>
            </c:ext>
          </c:extLst>
        </c:ser>
        <c:ser>
          <c:idx val="5"/>
          <c:order val="2"/>
          <c:tx>
            <c:v>10L</c:v>
          </c:tx>
          <c:spPr>
            <a:ln w="25400">
              <a:solidFill>
                <a:srgbClr val="9999FF"/>
              </a:solidFill>
              <a:prstDash val="solid"/>
            </a:ln>
          </c:spPr>
          <c:marker>
            <c:symbol val="none"/>
          </c:marker>
          <c:cat>
            <c:multiLvlStrRef>
              <c:f>dane!$A$212:$B$235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2022</c:v>
                  </c:pt>
                  <c:pt idx="9">
                    <c:v>2023</c:v>
                  </c:pt>
                  <c:pt idx="21">
                    <c:v>2024</c:v>
                  </c:pt>
                </c:lvl>
              </c:multiLvlStrCache>
            </c:multiLvlStrRef>
          </c:cat>
          <c:val>
            <c:numRef>
              <c:f>dzienne!$G$3341:$G$3844</c:f>
              <c:numCache>
                <c:formatCode>0.00%</c:formatCode>
                <c:ptCount val="504"/>
                <c:pt idx="0">
                  <c:v>5.4000000000000006E-2</c:v>
                </c:pt>
                <c:pt idx="1">
                  <c:v>5.3899999999999997E-2</c:v>
                </c:pt>
                <c:pt idx="2">
                  <c:v>5.45E-2</c:v>
                </c:pt>
                <c:pt idx="3">
                  <c:v>5.5899999999999998E-2</c:v>
                </c:pt>
                <c:pt idx="4">
                  <c:v>5.8700000000000002E-2</c:v>
                </c:pt>
                <c:pt idx="5">
                  <c:v>6.0700000000000004E-2</c:v>
                </c:pt>
                <c:pt idx="6">
                  <c:v>6.2600000000000003E-2</c:v>
                </c:pt>
                <c:pt idx="7">
                  <c:v>6.1799999999999994E-2</c:v>
                </c:pt>
                <c:pt idx="8">
                  <c:v>5.8400000000000001E-2</c:v>
                </c:pt>
                <c:pt idx="9">
                  <c:v>5.9699999999999996E-2</c:v>
                </c:pt>
                <c:pt idx="10">
                  <c:v>5.96E-2</c:v>
                </c:pt>
                <c:pt idx="11">
                  <c:v>6.3E-2</c:v>
                </c:pt>
                <c:pt idx="12">
                  <c:v>6.13E-2</c:v>
                </c:pt>
                <c:pt idx="13">
                  <c:v>6.1699999999999998E-2</c:v>
                </c:pt>
                <c:pt idx="14">
                  <c:v>6.4000000000000001E-2</c:v>
                </c:pt>
                <c:pt idx="15">
                  <c:v>6.2400000000000004E-2</c:v>
                </c:pt>
                <c:pt idx="16">
                  <c:v>6.0999999999999999E-2</c:v>
                </c:pt>
                <c:pt idx="17">
                  <c:v>6.1900000000000004E-2</c:v>
                </c:pt>
                <c:pt idx="18">
                  <c:v>6.2199999999999998E-2</c:v>
                </c:pt>
                <c:pt idx="19">
                  <c:v>6.4199999999999993E-2</c:v>
                </c:pt>
                <c:pt idx="20">
                  <c:v>6.4299999999999996E-2</c:v>
                </c:pt>
                <c:pt idx="21">
                  <c:v>6.59E-2</c:v>
                </c:pt>
                <c:pt idx="22">
                  <c:v>6.5869999999999998E-2</c:v>
                </c:pt>
                <c:pt idx="23">
                  <c:v>6.83E-2</c:v>
                </c:pt>
                <c:pt idx="24">
                  <c:v>6.9900000000000004E-2</c:v>
                </c:pt>
                <c:pt idx="25">
                  <c:v>6.9400000000000003E-2</c:v>
                </c:pt>
                <c:pt idx="26">
                  <c:v>6.93E-2</c:v>
                </c:pt>
                <c:pt idx="27">
                  <c:v>6.7400000000000002E-2</c:v>
                </c:pt>
                <c:pt idx="28">
                  <c:v>6.8099999999999994E-2</c:v>
                </c:pt>
                <c:pt idx="29">
                  <c:v>6.7299999999999999E-2</c:v>
                </c:pt>
                <c:pt idx="30">
                  <c:v>6.6600000000000006E-2</c:v>
                </c:pt>
                <c:pt idx="31">
                  <c:v>6.6500000000000004E-2</c:v>
                </c:pt>
                <c:pt idx="32">
                  <c:v>6.5700000000000008E-2</c:v>
                </c:pt>
                <c:pt idx="33">
                  <c:v>6.5599999999999992E-2</c:v>
                </c:pt>
                <c:pt idx="34">
                  <c:v>6.5599999999999992E-2</c:v>
                </c:pt>
                <c:pt idx="35">
                  <c:v>6.59E-2</c:v>
                </c:pt>
                <c:pt idx="36">
                  <c:v>6.5500000000000003E-2</c:v>
                </c:pt>
                <c:pt idx="37">
                  <c:v>6.6500000000000004E-2</c:v>
                </c:pt>
                <c:pt idx="38">
                  <c:v>6.7000000000000004E-2</c:v>
                </c:pt>
                <c:pt idx="39">
                  <c:v>6.6600000000000006E-2</c:v>
                </c:pt>
                <c:pt idx="40">
                  <c:v>6.6199999999999995E-2</c:v>
                </c:pt>
                <c:pt idx="41">
                  <c:v>6.4899999999999999E-2</c:v>
                </c:pt>
                <c:pt idx="42">
                  <c:v>6.6100000000000006E-2</c:v>
                </c:pt>
                <c:pt idx="43">
                  <c:v>6.6600000000000006E-2</c:v>
                </c:pt>
                <c:pt idx="44">
                  <c:v>6.6100000000000006E-2</c:v>
                </c:pt>
                <c:pt idx="45">
                  <c:v>6.6000000000000003E-2</c:v>
                </c:pt>
                <c:pt idx="46">
                  <c:v>6.7799999999999999E-2</c:v>
                </c:pt>
                <c:pt idx="47">
                  <c:v>6.9800000000000001E-2</c:v>
                </c:pt>
                <c:pt idx="48">
                  <c:v>7.22E-2</c:v>
                </c:pt>
                <c:pt idx="49">
                  <c:v>7.7100000000000002E-2</c:v>
                </c:pt>
                <c:pt idx="50">
                  <c:v>7.7979999999999994E-2</c:v>
                </c:pt>
                <c:pt idx="51">
                  <c:v>7.9000000000000001E-2</c:v>
                </c:pt>
                <c:pt idx="52">
                  <c:v>7.8700000000000006E-2</c:v>
                </c:pt>
                <c:pt idx="53">
                  <c:v>8.0440000000000011E-2</c:v>
                </c:pt>
                <c:pt idx="54">
                  <c:v>7.7300000000000008E-2</c:v>
                </c:pt>
                <c:pt idx="55">
                  <c:v>7.22E-2</c:v>
                </c:pt>
                <c:pt idx="56">
                  <c:v>6.9500000000000006E-2</c:v>
                </c:pt>
                <c:pt idx="57">
                  <c:v>6.9900000000000004E-2</c:v>
                </c:pt>
                <c:pt idx="58">
                  <c:v>7.2900000000000006E-2</c:v>
                </c:pt>
                <c:pt idx="59">
                  <c:v>7.2900000000000006E-2</c:v>
                </c:pt>
                <c:pt idx="60">
                  <c:v>7.0930000000000007E-2</c:v>
                </c:pt>
                <c:pt idx="61">
                  <c:v>6.948E-2</c:v>
                </c:pt>
                <c:pt idx="62">
                  <c:v>6.5599999999999992E-2</c:v>
                </c:pt>
                <c:pt idx="63">
                  <c:v>6.59E-2</c:v>
                </c:pt>
                <c:pt idx="64">
                  <c:v>6.7400000000000002E-2</c:v>
                </c:pt>
                <c:pt idx="65">
                  <c:v>6.701E-2</c:v>
                </c:pt>
                <c:pt idx="66">
                  <c:v>6.7720000000000002E-2</c:v>
                </c:pt>
                <c:pt idx="67">
                  <c:v>6.7000000000000004E-2</c:v>
                </c:pt>
                <c:pt idx="68">
                  <c:v>6.5500000000000003E-2</c:v>
                </c:pt>
                <c:pt idx="69">
                  <c:v>6.6900000000000001E-2</c:v>
                </c:pt>
                <c:pt idx="70">
                  <c:v>6.8499999999999991E-2</c:v>
                </c:pt>
                <c:pt idx="71">
                  <c:v>6.9199999999999998E-2</c:v>
                </c:pt>
                <c:pt idx="72">
                  <c:v>6.7900000000000002E-2</c:v>
                </c:pt>
                <c:pt idx="73">
                  <c:v>6.7099999999999993E-2</c:v>
                </c:pt>
                <c:pt idx="74">
                  <c:v>6.7099999999999993E-2</c:v>
                </c:pt>
                <c:pt idx="75">
                  <c:v>6.5700000000000008E-2</c:v>
                </c:pt>
                <c:pt idx="76">
                  <c:v>6.2800000000000009E-2</c:v>
                </c:pt>
                <c:pt idx="77">
                  <c:v>5.9500000000000004E-2</c:v>
                </c:pt>
                <c:pt idx="78">
                  <c:v>5.9000000000000004E-2</c:v>
                </c:pt>
                <c:pt idx="79">
                  <c:v>5.7599999999999998E-2</c:v>
                </c:pt>
                <c:pt idx="80">
                  <c:v>5.8600000000000006E-2</c:v>
                </c:pt>
                <c:pt idx="81">
                  <c:v>5.8200000000000002E-2</c:v>
                </c:pt>
                <c:pt idx="82">
                  <c:v>5.5E-2</c:v>
                </c:pt>
                <c:pt idx="83">
                  <c:v>5.3800000000000001E-2</c:v>
                </c:pt>
                <c:pt idx="84">
                  <c:v>5.57E-2</c:v>
                </c:pt>
                <c:pt idx="85">
                  <c:v>5.8299999999999998E-2</c:v>
                </c:pt>
                <c:pt idx="86">
                  <c:v>5.6299999999999996E-2</c:v>
                </c:pt>
                <c:pt idx="87">
                  <c:v>5.5300000000000002E-2</c:v>
                </c:pt>
                <c:pt idx="88">
                  <c:v>5.5099999999999996E-2</c:v>
                </c:pt>
                <c:pt idx="89">
                  <c:v>5.5800000000000002E-2</c:v>
                </c:pt>
                <c:pt idx="90">
                  <c:v>5.5E-2</c:v>
                </c:pt>
                <c:pt idx="91">
                  <c:v>5.4100000000000002E-2</c:v>
                </c:pt>
                <c:pt idx="92">
                  <c:v>5.3800000000000001E-2</c:v>
                </c:pt>
                <c:pt idx="93">
                  <c:v>5.5199999999999999E-2</c:v>
                </c:pt>
                <c:pt idx="94">
                  <c:v>5.7300000000000004E-2</c:v>
                </c:pt>
                <c:pt idx="95">
                  <c:v>5.8299999999999998E-2</c:v>
                </c:pt>
                <c:pt idx="96">
                  <c:v>6.0100000000000001E-2</c:v>
                </c:pt>
                <c:pt idx="97">
                  <c:v>6.1500000000000006E-2</c:v>
                </c:pt>
                <c:pt idx="98">
                  <c:v>6.2899999999999998E-2</c:v>
                </c:pt>
                <c:pt idx="99">
                  <c:v>6.4100000000000004E-2</c:v>
                </c:pt>
                <c:pt idx="100">
                  <c:v>6.25E-2</c:v>
                </c:pt>
                <c:pt idx="101">
                  <c:v>6.2800000000000009E-2</c:v>
                </c:pt>
                <c:pt idx="102">
                  <c:v>6.3500000000000001E-2</c:v>
                </c:pt>
                <c:pt idx="103">
                  <c:v>6.1500000000000006E-2</c:v>
                </c:pt>
                <c:pt idx="104">
                  <c:v>6.1799999999999994E-2</c:v>
                </c:pt>
                <c:pt idx="105">
                  <c:v>6.1500000000000006E-2</c:v>
                </c:pt>
                <c:pt idx="106">
                  <c:v>6.0400000000000002E-2</c:v>
                </c:pt>
                <c:pt idx="107">
                  <c:v>6.1399999999999996E-2</c:v>
                </c:pt>
                <c:pt idx="108">
                  <c:v>6.1900000000000004E-2</c:v>
                </c:pt>
                <c:pt idx="109">
                  <c:v>6.13E-2</c:v>
                </c:pt>
                <c:pt idx="110">
                  <c:v>6.0700000000000004E-2</c:v>
                </c:pt>
                <c:pt idx="111">
                  <c:v>6.0199999999999997E-2</c:v>
                </c:pt>
                <c:pt idx="112">
                  <c:v>5.8700000000000002E-2</c:v>
                </c:pt>
                <c:pt idx="113">
                  <c:v>5.8700000000000002E-2</c:v>
                </c:pt>
                <c:pt idx="114">
                  <c:v>5.9900000000000002E-2</c:v>
                </c:pt>
                <c:pt idx="115">
                  <c:v>6.0299999999999999E-2</c:v>
                </c:pt>
                <c:pt idx="116">
                  <c:v>6.1500000000000006E-2</c:v>
                </c:pt>
                <c:pt idx="117">
                  <c:v>6.1399999999999996E-2</c:v>
                </c:pt>
                <c:pt idx="118">
                  <c:v>6.1900000000000004E-2</c:v>
                </c:pt>
                <c:pt idx="119">
                  <c:v>6.1100000000000002E-2</c:v>
                </c:pt>
                <c:pt idx="120">
                  <c:v>6.2400000000000004E-2</c:v>
                </c:pt>
                <c:pt idx="121">
                  <c:v>6.4500000000000002E-2</c:v>
                </c:pt>
                <c:pt idx="122">
                  <c:v>6.8400000000000002E-2</c:v>
                </c:pt>
                <c:pt idx="123">
                  <c:v>6.8900000000000003E-2</c:v>
                </c:pt>
                <c:pt idx="124">
                  <c:v>7.0499999999999993E-2</c:v>
                </c:pt>
                <c:pt idx="125">
                  <c:v>7.3700000000000002E-2</c:v>
                </c:pt>
                <c:pt idx="126">
                  <c:v>7.1300000000000002E-2</c:v>
                </c:pt>
                <c:pt idx="127">
                  <c:v>7.0099999999999996E-2</c:v>
                </c:pt>
                <c:pt idx="128">
                  <c:v>6.9199999999999998E-2</c:v>
                </c:pt>
                <c:pt idx="129">
                  <c:v>7.1099999999999997E-2</c:v>
                </c:pt>
                <c:pt idx="130">
                  <c:v>7.1800000000000003E-2</c:v>
                </c:pt>
                <c:pt idx="131">
                  <c:v>7.3800000000000004E-2</c:v>
                </c:pt>
                <c:pt idx="132">
                  <c:v>7.5499999999999998E-2</c:v>
                </c:pt>
                <c:pt idx="133">
                  <c:v>7.8200000000000006E-2</c:v>
                </c:pt>
                <c:pt idx="134">
                  <c:v>8.1699999999999995E-2</c:v>
                </c:pt>
                <c:pt idx="135">
                  <c:v>7.8200000000000006E-2</c:v>
                </c:pt>
                <c:pt idx="136">
                  <c:v>7.7600000000000002E-2</c:v>
                </c:pt>
                <c:pt idx="137">
                  <c:v>8.0100000000000005E-2</c:v>
                </c:pt>
                <c:pt idx="138">
                  <c:v>8.1799999999999998E-2</c:v>
                </c:pt>
                <c:pt idx="139">
                  <c:v>8.4199999999999997E-2</c:v>
                </c:pt>
                <c:pt idx="140">
                  <c:v>8.5800000000000001E-2</c:v>
                </c:pt>
                <c:pt idx="141">
                  <c:v>8.8100000000000012E-2</c:v>
                </c:pt>
                <c:pt idx="142">
                  <c:v>8.3199999999999996E-2</c:v>
                </c:pt>
                <c:pt idx="143">
                  <c:v>8.0600000000000005E-2</c:v>
                </c:pt>
                <c:pt idx="144">
                  <c:v>8.0299999999999996E-2</c:v>
                </c:pt>
                <c:pt idx="145">
                  <c:v>7.9299999999999995E-2</c:v>
                </c:pt>
                <c:pt idx="146">
                  <c:v>8.1199999999999994E-2</c:v>
                </c:pt>
                <c:pt idx="147">
                  <c:v>8.3900000000000002E-2</c:v>
                </c:pt>
                <c:pt idx="148">
                  <c:v>8.2899999999999988E-2</c:v>
                </c:pt>
                <c:pt idx="149">
                  <c:v>8.3499999999999991E-2</c:v>
                </c:pt>
                <c:pt idx="150">
                  <c:v>8.2500000000000004E-2</c:v>
                </c:pt>
                <c:pt idx="151">
                  <c:v>7.9600000000000004E-2</c:v>
                </c:pt>
                <c:pt idx="152">
                  <c:v>7.8299999999999995E-2</c:v>
                </c:pt>
                <c:pt idx="153">
                  <c:v>7.7199999999999991E-2</c:v>
                </c:pt>
                <c:pt idx="154">
                  <c:v>7.4299999999999991E-2</c:v>
                </c:pt>
                <c:pt idx="155">
                  <c:v>7.22E-2</c:v>
                </c:pt>
                <c:pt idx="156">
                  <c:v>7.0300000000000001E-2</c:v>
                </c:pt>
                <c:pt idx="157">
                  <c:v>7.0199999999999999E-2</c:v>
                </c:pt>
                <c:pt idx="158">
                  <c:v>7.2099999999999997E-2</c:v>
                </c:pt>
                <c:pt idx="159">
                  <c:v>7.0900000000000005E-2</c:v>
                </c:pt>
                <c:pt idx="160">
                  <c:v>7.0699999999999999E-2</c:v>
                </c:pt>
                <c:pt idx="161">
                  <c:v>6.8499999999999991E-2</c:v>
                </c:pt>
                <c:pt idx="162">
                  <c:v>6.8199999999999997E-2</c:v>
                </c:pt>
                <c:pt idx="163">
                  <c:v>6.6900000000000001E-2</c:v>
                </c:pt>
                <c:pt idx="164">
                  <c:v>6.9500000000000006E-2</c:v>
                </c:pt>
                <c:pt idx="165">
                  <c:v>6.7900000000000002E-2</c:v>
                </c:pt>
                <c:pt idx="166">
                  <c:v>6.7699999999999996E-2</c:v>
                </c:pt>
                <c:pt idx="167">
                  <c:v>6.7099999999999993E-2</c:v>
                </c:pt>
                <c:pt idx="168">
                  <c:v>6.4299999999999996E-2</c:v>
                </c:pt>
                <c:pt idx="169">
                  <c:v>6.4100000000000004E-2</c:v>
                </c:pt>
                <c:pt idx="170">
                  <c:v>6.7199999999999996E-2</c:v>
                </c:pt>
                <c:pt idx="171">
                  <c:v>6.6400000000000001E-2</c:v>
                </c:pt>
                <c:pt idx="172">
                  <c:v>6.54E-2</c:v>
                </c:pt>
                <c:pt idx="173">
                  <c:v>6.4899999999999999E-2</c:v>
                </c:pt>
                <c:pt idx="174">
                  <c:v>6.5099999999999991E-2</c:v>
                </c:pt>
                <c:pt idx="175">
                  <c:v>6.6100000000000006E-2</c:v>
                </c:pt>
                <c:pt idx="176">
                  <c:v>6.5299999999999997E-2</c:v>
                </c:pt>
                <c:pt idx="177">
                  <c:v>6.4500000000000002E-2</c:v>
                </c:pt>
                <c:pt idx="178">
                  <c:v>6.5599999999999992E-2</c:v>
                </c:pt>
                <c:pt idx="179">
                  <c:v>6.7099999999999993E-2</c:v>
                </c:pt>
                <c:pt idx="180">
                  <c:v>6.8499999999999991E-2</c:v>
                </c:pt>
                <c:pt idx="181">
                  <c:v>6.8099999999999994E-2</c:v>
                </c:pt>
                <c:pt idx="182">
                  <c:v>6.59E-2</c:v>
                </c:pt>
                <c:pt idx="183">
                  <c:v>6.7400000000000002E-2</c:v>
                </c:pt>
                <c:pt idx="184">
                  <c:v>6.7900000000000002E-2</c:v>
                </c:pt>
                <c:pt idx="185">
                  <c:v>6.7900000000000002E-2</c:v>
                </c:pt>
                <c:pt idx="186">
                  <c:v>6.7900000000000002E-2</c:v>
                </c:pt>
                <c:pt idx="187">
                  <c:v>6.9500000000000006E-2</c:v>
                </c:pt>
                <c:pt idx="188">
                  <c:v>6.9199999999999998E-2</c:v>
                </c:pt>
                <c:pt idx="189">
                  <c:v>6.7799999999999999E-2</c:v>
                </c:pt>
                <c:pt idx="190">
                  <c:v>6.6000000000000003E-2</c:v>
                </c:pt>
                <c:pt idx="191">
                  <c:v>6.4199999999999993E-2</c:v>
                </c:pt>
                <c:pt idx="192">
                  <c:v>6.2300000000000001E-2</c:v>
                </c:pt>
                <c:pt idx="193">
                  <c:v>5.8700000000000002E-2</c:v>
                </c:pt>
                <c:pt idx="194">
                  <c:v>6.0599999999999994E-2</c:v>
                </c:pt>
                <c:pt idx="195">
                  <c:v>5.9500000000000004E-2</c:v>
                </c:pt>
                <c:pt idx="196">
                  <c:v>5.9299999999999999E-2</c:v>
                </c:pt>
                <c:pt idx="197">
                  <c:v>0.06</c:v>
                </c:pt>
                <c:pt idx="198">
                  <c:v>6.0400000000000002E-2</c:v>
                </c:pt>
                <c:pt idx="199">
                  <c:v>6.0599999999999994E-2</c:v>
                </c:pt>
                <c:pt idx="200">
                  <c:v>5.8099999999999999E-2</c:v>
                </c:pt>
                <c:pt idx="201">
                  <c:v>5.9500000000000004E-2</c:v>
                </c:pt>
                <c:pt idx="202">
                  <c:v>5.9800000000000006E-2</c:v>
                </c:pt>
                <c:pt idx="203">
                  <c:v>6.0499999999999998E-2</c:v>
                </c:pt>
                <c:pt idx="204">
                  <c:v>6.0400000000000002E-2</c:v>
                </c:pt>
                <c:pt idx="205">
                  <c:v>5.9299999999999999E-2</c:v>
                </c:pt>
                <c:pt idx="206">
                  <c:v>5.8899999999999994E-2</c:v>
                </c:pt>
                <c:pt idx="207">
                  <c:v>5.7800000000000004E-2</c:v>
                </c:pt>
                <c:pt idx="208">
                  <c:v>6.0100000000000001E-2</c:v>
                </c:pt>
                <c:pt idx="209">
                  <c:v>6.0599999999999994E-2</c:v>
                </c:pt>
                <c:pt idx="210">
                  <c:v>0.06</c:v>
                </c:pt>
                <c:pt idx="211">
                  <c:v>5.7999999999999996E-2</c:v>
                </c:pt>
                <c:pt idx="212">
                  <c:v>5.74E-2</c:v>
                </c:pt>
                <c:pt idx="213">
                  <c:v>5.9299999999999999E-2</c:v>
                </c:pt>
                <c:pt idx="214">
                  <c:v>6.1200000000000004E-2</c:v>
                </c:pt>
                <c:pt idx="215">
                  <c:v>6.0299999999999999E-2</c:v>
                </c:pt>
                <c:pt idx="216">
                  <c:v>5.8799999999999998E-2</c:v>
                </c:pt>
                <c:pt idx="217">
                  <c:v>6.08E-2</c:v>
                </c:pt>
                <c:pt idx="218">
                  <c:v>6.1399999999999996E-2</c:v>
                </c:pt>
                <c:pt idx="219">
                  <c:v>6.1500000000000006E-2</c:v>
                </c:pt>
                <c:pt idx="220">
                  <c:v>6.1500000000000006E-2</c:v>
                </c:pt>
                <c:pt idx="221">
                  <c:v>6.3700000000000007E-2</c:v>
                </c:pt>
                <c:pt idx="222">
                  <c:v>6.480000000000001E-2</c:v>
                </c:pt>
                <c:pt idx="223">
                  <c:v>6.5700000000000008E-2</c:v>
                </c:pt>
                <c:pt idx="224">
                  <c:v>6.7299999999999999E-2</c:v>
                </c:pt>
                <c:pt idx="225">
                  <c:v>6.6400000000000001E-2</c:v>
                </c:pt>
                <c:pt idx="226">
                  <c:v>6.6299999999999998E-2</c:v>
                </c:pt>
                <c:pt idx="227">
                  <c:v>6.6000000000000003E-2</c:v>
                </c:pt>
                <c:pt idx="228">
                  <c:v>6.5500000000000003E-2</c:v>
                </c:pt>
                <c:pt idx="229">
                  <c:v>6.5299999999999997E-2</c:v>
                </c:pt>
                <c:pt idx="230">
                  <c:v>6.59E-2</c:v>
                </c:pt>
                <c:pt idx="231">
                  <c:v>6.6799999999999998E-2</c:v>
                </c:pt>
                <c:pt idx="232">
                  <c:v>6.54E-2</c:v>
                </c:pt>
                <c:pt idx="233">
                  <c:v>6.4299999999999996E-2</c:v>
                </c:pt>
                <c:pt idx="234">
                  <c:v>6.3899999999999998E-2</c:v>
                </c:pt>
                <c:pt idx="235">
                  <c:v>6.2899999999999998E-2</c:v>
                </c:pt>
                <c:pt idx="236">
                  <c:v>6.2699999999999992E-2</c:v>
                </c:pt>
                <c:pt idx="237">
                  <c:v>6.1600000000000002E-2</c:v>
                </c:pt>
                <c:pt idx="238">
                  <c:v>6.0100000000000001E-2</c:v>
                </c:pt>
                <c:pt idx="239">
                  <c:v>6.2199999999999998E-2</c:v>
                </c:pt>
                <c:pt idx="240">
                  <c:v>6.1200000000000004E-2</c:v>
                </c:pt>
                <c:pt idx="241">
                  <c:v>6.0299999999999999E-2</c:v>
                </c:pt>
                <c:pt idx="242">
                  <c:v>6.0100000000000001E-2</c:v>
                </c:pt>
                <c:pt idx="243">
                  <c:v>5.9400000000000001E-2</c:v>
                </c:pt>
                <c:pt idx="244">
                  <c:v>6.0100000000000001E-2</c:v>
                </c:pt>
                <c:pt idx="245">
                  <c:v>6.0100000000000001E-2</c:v>
                </c:pt>
                <c:pt idx="246">
                  <c:v>5.96E-2</c:v>
                </c:pt>
                <c:pt idx="247">
                  <c:v>5.9800000000000006E-2</c:v>
                </c:pt>
                <c:pt idx="248">
                  <c:v>6.0499999999999998E-2</c:v>
                </c:pt>
                <c:pt idx="249">
                  <c:v>6.0899999999999996E-2</c:v>
                </c:pt>
                <c:pt idx="250">
                  <c:v>6.0700000000000004E-2</c:v>
                </c:pt>
                <c:pt idx="251">
                  <c:v>6.08E-2</c:v>
                </c:pt>
                <c:pt idx="252">
                  <c:v>6.0299999999999999E-2</c:v>
                </c:pt>
                <c:pt idx="253">
                  <c:v>6.0599999999999994E-2</c:v>
                </c:pt>
                <c:pt idx="254">
                  <c:v>6.1100000000000002E-2</c:v>
                </c:pt>
                <c:pt idx="255">
                  <c:v>6.0899999999999996E-2</c:v>
                </c:pt>
                <c:pt idx="256">
                  <c:v>6.08E-2</c:v>
                </c:pt>
                <c:pt idx="257">
                  <c:v>6.0720000000000003E-2</c:v>
                </c:pt>
                <c:pt idx="258">
                  <c:v>6.1600000000000002E-2</c:v>
                </c:pt>
                <c:pt idx="259">
                  <c:v>6.2100000000000002E-2</c:v>
                </c:pt>
                <c:pt idx="260">
                  <c:v>6.2400000000000004E-2</c:v>
                </c:pt>
                <c:pt idx="261">
                  <c:v>6.2E-2</c:v>
                </c:pt>
                <c:pt idx="262">
                  <c:v>6.1900000000000004E-2</c:v>
                </c:pt>
                <c:pt idx="263">
                  <c:v>6.1600000000000002E-2</c:v>
                </c:pt>
                <c:pt idx="264">
                  <c:v>6.1799999999999994E-2</c:v>
                </c:pt>
                <c:pt idx="265">
                  <c:v>6.1200000000000004E-2</c:v>
                </c:pt>
                <c:pt idx="266">
                  <c:v>6.08E-2</c:v>
                </c:pt>
                <c:pt idx="267">
                  <c:v>6.0199999999999997E-2</c:v>
                </c:pt>
                <c:pt idx="268">
                  <c:v>5.9299999999999999E-2</c:v>
                </c:pt>
                <c:pt idx="269">
                  <c:v>5.9699999999999996E-2</c:v>
                </c:pt>
                <c:pt idx="270">
                  <c:v>5.9800000000000006E-2</c:v>
                </c:pt>
                <c:pt idx="271">
                  <c:v>5.8899999999999994E-2</c:v>
                </c:pt>
                <c:pt idx="272">
                  <c:v>5.8499999999999996E-2</c:v>
                </c:pt>
                <c:pt idx="273">
                  <c:v>5.8099999999999999E-2</c:v>
                </c:pt>
                <c:pt idx="274">
                  <c:v>5.8400000000000001E-2</c:v>
                </c:pt>
                <c:pt idx="275">
                  <c:v>5.8400000000000001E-2</c:v>
                </c:pt>
                <c:pt idx="276">
                  <c:v>5.8200000000000002E-2</c:v>
                </c:pt>
                <c:pt idx="277">
                  <c:v>5.79E-2</c:v>
                </c:pt>
                <c:pt idx="278">
                  <c:v>5.7599999999999998E-2</c:v>
                </c:pt>
                <c:pt idx="279">
                  <c:v>5.7500000000000002E-2</c:v>
                </c:pt>
                <c:pt idx="280">
                  <c:v>5.8600000000000006E-2</c:v>
                </c:pt>
                <c:pt idx="281">
                  <c:v>5.9699999999999996E-2</c:v>
                </c:pt>
                <c:pt idx="282">
                  <c:v>5.9400000000000001E-2</c:v>
                </c:pt>
                <c:pt idx="283">
                  <c:v>6.0100000000000001E-2</c:v>
                </c:pt>
                <c:pt idx="284">
                  <c:v>5.9800000000000006E-2</c:v>
                </c:pt>
                <c:pt idx="285">
                  <c:v>6.0599999999999994E-2</c:v>
                </c:pt>
                <c:pt idx="286">
                  <c:v>6.0999999999999999E-2</c:v>
                </c:pt>
                <c:pt idx="287">
                  <c:v>6.0899999999999996E-2</c:v>
                </c:pt>
                <c:pt idx="288">
                  <c:v>6.1699999999999998E-2</c:v>
                </c:pt>
                <c:pt idx="289">
                  <c:v>6.1900000000000004E-2</c:v>
                </c:pt>
                <c:pt idx="290">
                  <c:v>6.0999999999999999E-2</c:v>
                </c:pt>
                <c:pt idx="291">
                  <c:v>6.0700000000000004E-2</c:v>
                </c:pt>
                <c:pt idx="292">
                  <c:v>6.0499999999999998E-2</c:v>
                </c:pt>
                <c:pt idx="293">
                  <c:v>5.9699999999999996E-2</c:v>
                </c:pt>
                <c:pt idx="294">
                  <c:v>0.06</c:v>
                </c:pt>
                <c:pt idx="295">
                  <c:v>5.9500000000000004E-2</c:v>
                </c:pt>
                <c:pt idx="296">
                  <c:v>5.9400000000000001E-2</c:v>
                </c:pt>
                <c:pt idx="297">
                  <c:v>6.0100000000000001E-2</c:v>
                </c:pt>
                <c:pt idx="298">
                  <c:v>5.91E-2</c:v>
                </c:pt>
                <c:pt idx="299">
                  <c:v>5.9400000000000001E-2</c:v>
                </c:pt>
                <c:pt idx="300">
                  <c:v>5.9800000000000006E-2</c:v>
                </c:pt>
                <c:pt idx="301">
                  <c:v>6.0199999999999997E-2</c:v>
                </c:pt>
                <c:pt idx="302">
                  <c:v>6.0700000000000004E-2</c:v>
                </c:pt>
                <c:pt idx="303">
                  <c:v>6.0700000000000004E-2</c:v>
                </c:pt>
                <c:pt idx="304">
                  <c:v>6.0400000000000002E-2</c:v>
                </c:pt>
                <c:pt idx="305">
                  <c:v>5.9800000000000006E-2</c:v>
                </c:pt>
                <c:pt idx="306">
                  <c:v>5.9900000000000002E-2</c:v>
                </c:pt>
                <c:pt idx="307">
                  <c:v>5.9400000000000001E-2</c:v>
                </c:pt>
                <c:pt idx="308">
                  <c:v>5.8299999999999998E-2</c:v>
                </c:pt>
                <c:pt idx="309">
                  <c:v>5.79E-2</c:v>
                </c:pt>
                <c:pt idx="310">
                  <c:v>5.7800000000000004E-2</c:v>
                </c:pt>
                <c:pt idx="311">
                  <c:v>5.8400000000000001E-2</c:v>
                </c:pt>
                <c:pt idx="312">
                  <c:v>5.8200000000000002E-2</c:v>
                </c:pt>
                <c:pt idx="313">
                  <c:v>5.7699999999999994E-2</c:v>
                </c:pt>
                <c:pt idx="314">
                  <c:v>5.7300000000000004E-2</c:v>
                </c:pt>
                <c:pt idx="315">
                  <c:v>5.7099999999999998E-2</c:v>
                </c:pt>
                <c:pt idx="316">
                  <c:v>5.7200000000000001E-2</c:v>
                </c:pt>
                <c:pt idx="317">
                  <c:v>5.9000000000000004E-2</c:v>
                </c:pt>
                <c:pt idx="318">
                  <c:v>5.8299999999999998E-2</c:v>
                </c:pt>
                <c:pt idx="319">
                  <c:v>5.74E-2</c:v>
                </c:pt>
                <c:pt idx="320">
                  <c:v>5.7300000000000004E-2</c:v>
                </c:pt>
                <c:pt idx="321">
                  <c:v>5.6299999999999996E-2</c:v>
                </c:pt>
                <c:pt idx="322">
                  <c:v>5.5599999999999997E-2</c:v>
                </c:pt>
                <c:pt idx="323">
                  <c:v>5.57E-2</c:v>
                </c:pt>
                <c:pt idx="324">
                  <c:v>5.4699999999999999E-2</c:v>
                </c:pt>
                <c:pt idx="325">
                  <c:v>5.3399999999999996E-2</c:v>
                </c:pt>
                <c:pt idx="326">
                  <c:v>5.4199999999999998E-2</c:v>
                </c:pt>
                <c:pt idx="327">
                  <c:v>5.4900000000000004E-2</c:v>
                </c:pt>
                <c:pt idx="328">
                  <c:v>5.45E-2</c:v>
                </c:pt>
                <c:pt idx="329">
                  <c:v>5.4100000000000002E-2</c:v>
                </c:pt>
                <c:pt idx="330">
                  <c:v>5.4299999999999994E-2</c:v>
                </c:pt>
                <c:pt idx="331">
                  <c:v>5.4699999999999999E-2</c:v>
                </c:pt>
                <c:pt idx="332">
                  <c:v>5.4100000000000002E-2</c:v>
                </c:pt>
                <c:pt idx="333">
                  <c:v>5.5099999999999996E-2</c:v>
                </c:pt>
                <c:pt idx="334">
                  <c:v>5.4400000000000004E-2</c:v>
                </c:pt>
                <c:pt idx="335">
                  <c:v>5.4600000000000003E-2</c:v>
                </c:pt>
                <c:pt idx="336">
                  <c:v>5.4800000000000001E-2</c:v>
                </c:pt>
                <c:pt idx="337">
                  <c:v>5.6299999999999996E-2</c:v>
                </c:pt>
                <c:pt idx="338">
                  <c:v>5.5599999999999997E-2</c:v>
                </c:pt>
                <c:pt idx="339">
                  <c:v>5.5999999999999994E-2</c:v>
                </c:pt>
                <c:pt idx="340">
                  <c:v>5.5300000000000002E-2</c:v>
                </c:pt>
                <c:pt idx="341">
                  <c:v>5.5210000000000002E-2</c:v>
                </c:pt>
                <c:pt idx="342">
                  <c:v>5.5099999999999996E-2</c:v>
                </c:pt>
                <c:pt idx="343">
                  <c:v>5.5399999999999998E-2</c:v>
                </c:pt>
                <c:pt idx="344">
                  <c:v>5.5800000000000002E-2</c:v>
                </c:pt>
                <c:pt idx="345">
                  <c:v>5.5599999999999997E-2</c:v>
                </c:pt>
                <c:pt idx="346">
                  <c:v>5.7000000000000002E-2</c:v>
                </c:pt>
                <c:pt idx="347">
                  <c:v>5.7200000000000001E-2</c:v>
                </c:pt>
                <c:pt idx="348">
                  <c:v>5.8099999999999999E-2</c:v>
                </c:pt>
                <c:pt idx="349">
                  <c:v>5.7599999999999998E-2</c:v>
                </c:pt>
                <c:pt idx="350">
                  <c:v>5.67E-2</c:v>
                </c:pt>
                <c:pt idx="351">
                  <c:v>5.62E-2</c:v>
                </c:pt>
                <c:pt idx="352">
                  <c:v>5.7000000000000002E-2</c:v>
                </c:pt>
                <c:pt idx="353">
                  <c:v>5.7500000000000002E-2</c:v>
                </c:pt>
                <c:pt idx="354">
                  <c:v>5.6500000000000002E-2</c:v>
                </c:pt>
                <c:pt idx="355">
                  <c:v>5.5800000000000002E-2</c:v>
                </c:pt>
                <c:pt idx="356">
                  <c:v>5.6100000000000004E-2</c:v>
                </c:pt>
                <c:pt idx="357">
                  <c:v>5.62E-2</c:v>
                </c:pt>
                <c:pt idx="358">
                  <c:v>5.62E-2</c:v>
                </c:pt>
                <c:pt idx="359">
                  <c:v>5.57E-2</c:v>
                </c:pt>
                <c:pt idx="360">
                  <c:v>5.5739999999999998E-2</c:v>
                </c:pt>
                <c:pt idx="361">
                  <c:v>5.74E-2</c:v>
                </c:pt>
                <c:pt idx="362">
                  <c:v>5.5999999999999994E-2</c:v>
                </c:pt>
                <c:pt idx="363">
                  <c:v>5.5399999999999998E-2</c:v>
                </c:pt>
                <c:pt idx="364">
                  <c:v>5.62E-2</c:v>
                </c:pt>
                <c:pt idx="365">
                  <c:v>5.6399999999999999E-2</c:v>
                </c:pt>
                <c:pt idx="366">
                  <c:v>5.6299999999999996E-2</c:v>
                </c:pt>
                <c:pt idx="367">
                  <c:v>5.6100000000000004E-2</c:v>
                </c:pt>
                <c:pt idx="368">
                  <c:v>5.62E-2</c:v>
                </c:pt>
                <c:pt idx="369">
                  <c:v>5.6900000000000006E-2</c:v>
                </c:pt>
                <c:pt idx="370">
                  <c:v>5.67E-2</c:v>
                </c:pt>
                <c:pt idx="371">
                  <c:v>5.8099999999999999E-2</c:v>
                </c:pt>
                <c:pt idx="372">
                  <c:v>5.79E-2</c:v>
                </c:pt>
                <c:pt idx="373">
                  <c:v>5.8299999999999998E-2</c:v>
                </c:pt>
                <c:pt idx="374">
                  <c:v>5.7999999999999996E-2</c:v>
                </c:pt>
                <c:pt idx="375">
                  <c:v>5.8400000000000001E-2</c:v>
                </c:pt>
                <c:pt idx="376">
                  <c:v>5.96E-2</c:v>
                </c:pt>
                <c:pt idx="377">
                  <c:v>5.9000000000000004E-2</c:v>
                </c:pt>
                <c:pt idx="378">
                  <c:v>5.91E-2</c:v>
                </c:pt>
                <c:pt idx="379">
                  <c:v>5.8700000000000002E-2</c:v>
                </c:pt>
                <c:pt idx="380">
                  <c:v>0.06</c:v>
                </c:pt>
                <c:pt idx="381">
                  <c:v>5.9800000000000006E-2</c:v>
                </c:pt>
                <c:pt idx="382">
                  <c:v>6.0100000000000001E-2</c:v>
                </c:pt>
                <c:pt idx="383">
                  <c:v>0.06</c:v>
                </c:pt>
                <c:pt idx="384">
                  <c:v>5.9299999999999999E-2</c:v>
                </c:pt>
                <c:pt idx="385">
                  <c:v>5.79E-2</c:v>
                </c:pt>
                <c:pt idx="386">
                  <c:v>5.79E-2</c:v>
                </c:pt>
                <c:pt idx="387">
                  <c:v>5.8400000000000001E-2</c:v>
                </c:pt>
                <c:pt idx="388">
                  <c:v>5.6600000000000004E-2</c:v>
                </c:pt>
                <c:pt idx="389">
                  <c:v>5.7699999999999994E-2</c:v>
                </c:pt>
                <c:pt idx="390">
                  <c:v>5.7599999999999998E-2</c:v>
                </c:pt>
                <c:pt idx="391">
                  <c:v>5.9200000000000003E-2</c:v>
                </c:pt>
                <c:pt idx="392">
                  <c:v>5.96E-2</c:v>
                </c:pt>
                <c:pt idx="393">
                  <c:v>6.08E-2</c:v>
                </c:pt>
                <c:pt idx="394">
                  <c:v>5.9400000000000001E-2</c:v>
                </c:pt>
                <c:pt idx="395">
                  <c:v>5.9299999999999999E-2</c:v>
                </c:pt>
                <c:pt idx="396">
                  <c:v>5.8200000000000002E-2</c:v>
                </c:pt>
                <c:pt idx="397">
                  <c:v>5.79E-2</c:v>
                </c:pt>
                <c:pt idx="398">
                  <c:v>5.7599999999999998E-2</c:v>
                </c:pt>
                <c:pt idx="399">
                  <c:v>5.67E-2</c:v>
                </c:pt>
                <c:pt idx="400">
                  <c:v>5.5899999999999998E-2</c:v>
                </c:pt>
                <c:pt idx="401">
                  <c:v>5.5300000000000002E-2</c:v>
                </c:pt>
                <c:pt idx="402">
                  <c:v>5.5500000000000001E-2</c:v>
                </c:pt>
                <c:pt idx="403">
                  <c:v>5.5199999999999999E-2</c:v>
                </c:pt>
                <c:pt idx="404">
                  <c:v>5.5E-2</c:v>
                </c:pt>
                <c:pt idx="405">
                  <c:v>5.5999999999999994E-2</c:v>
                </c:pt>
                <c:pt idx="406">
                  <c:v>5.6399999999999999E-2</c:v>
                </c:pt>
                <c:pt idx="407">
                  <c:v>5.74E-2</c:v>
                </c:pt>
                <c:pt idx="408">
                  <c:v>5.62E-2</c:v>
                </c:pt>
                <c:pt idx="409">
                  <c:v>5.5999999999999994E-2</c:v>
                </c:pt>
                <c:pt idx="410">
                  <c:v>5.4699999999999999E-2</c:v>
                </c:pt>
                <c:pt idx="411">
                  <c:v>5.4900000000000004E-2</c:v>
                </c:pt>
                <c:pt idx="412">
                  <c:v>5.5199999999999999E-2</c:v>
                </c:pt>
                <c:pt idx="413">
                  <c:v>5.4800000000000001E-2</c:v>
                </c:pt>
                <c:pt idx="414">
                  <c:v>5.5399999999999998E-2</c:v>
                </c:pt>
                <c:pt idx="415">
                  <c:v>5.5999999999999994E-2</c:v>
                </c:pt>
                <c:pt idx="416">
                  <c:v>5.6299999999999996E-2</c:v>
                </c:pt>
                <c:pt idx="417">
                  <c:v>5.62E-2</c:v>
                </c:pt>
                <c:pt idx="418">
                  <c:v>5.5599999999999997E-2</c:v>
                </c:pt>
                <c:pt idx="419">
                  <c:v>5.4900000000000004E-2</c:v>
                </c:pt>
                <c:pt idx="420">
                  <c:v>5.5199999999999999E-2</c:v>
                </c:pt>
                <c:pt idx="421">
                  <c:v>5.4699999999999999E-2</c:v>
                </c:pt>
                <c:pt idx="422">
                  <c:v>5.4699999999999999E-2</c:v>
                </c:pt>
                <c:pt idx="423">
                  <c:v>5.45E-2</c:v>
                </c:pt>
                <c:pt idx="424">
                  <c:v>5.3499999999999999E-2</c:v>
                </c:pt>
                <c:pt idx="425">
                  <c:v>5.3499999999999999E-2</c:v>
                </c:pt>
                <c:pt idx="426">
                  <c:v>5.3699999999999998E-2</c:v>
                </c:pt>
                <c:pt idx="427">
                  <c:v>5.4000000000000006E-2</c:v>
                </c:pt>
                <c:pt idx="428">
                  <c:v>5.3200000000000004E-2</c:v>
                </c:pt>
                <c:pt idx="429">
                  <c:v>5.3099999999999994E-2</c:v>
                </c:pt>
                <c:pt idx="430">
                  <c:v>5.1399999999999994E-2</c:v>
                </c:pt>
                <c:pt idx="431">
                  <c:v>5.04E-2</c:v>
                </c:pt>
                <c:pt idx="432">
                  <c:v>5.0999999999999997E-2</c:v>
                </c:pt>
                <c:pt idx="433">
                  <c:v>5.0199999999999995E-2</c:v>
                </c:pt>
                <c:pt idx="434">
                  <c:v>5.0099999999999999E-2</c:v>
                </c:pt>
                <c:pt idx="435">
                  <c:v>5.1299999999999998E-2</c:v>
                </c:pt>
                <c:pt idx="436">
                  <c:v>5.1699999999999996E-2</c:v>
                </c:pt>
                <c:pt idx="437">
                  <c:v>5.2000000000000005E-2</c:v>
                </c:pt>
                <c:pt idx="438">
                  <c:v>5.1900000000000002E-2</c:v>
                </c:pt>
                <c:pt idx="439">
                  <c:v>5.1900000000000002E-2</c:v>
                </c:pt>
                <c:pt idx="440">
                  <c:v>5.3099999999999994E-2</c:v>
                </c:pt>
                <c:pt idx="441">
                  <c:v>5.3099999999999994E-2</c:v>
                </c:pt>
                <c:pt idx="442">
                  <c:v>5.2999999999999999E-2</c:v>
                </c:pt>
                <c:pt idx="443">
                  <c:v>5.2600000000000001E-2</c:v>
                </c:pt>
                <c:pt idx="444">
                  <c:v>5.21E-2</c:v>
                </c:pt>
                <c:pt idx="445">
                  <c:v>5.1399999999999994E-2</c:v>
                </c:pt>
                <c:pt idx="446">
                  <c:v>5.1799999999999999E-2</c:v>
                </c:pt>
                <c:pt idx="447">
                  <c:v>5.1100000000000007E-2</c:v>
                </c:pt>
                <c:pt idx="448">
                  <c:v>5.0499999999999996E-2</c:v>
                </c:pt>
                <c:pt idx="449">
                  <c:v>5.1399999999999994E-2</c:v>
                </c:pt>
                <c:pt idx="450">
                  <c:v>5.21E-2</c:v>
                </c:pt>
                <c:pt idx="451">
                  <c:v>5.2600000000000001E-2</c:v>
                </c:pt>
                <c:pt idx="452">
                  <c:v>5.2499999999999998E-2</c:v>
                </c:pt>
                <c:pt idx="453">
                  <c:v>5.3190000000000001E-2</c:v>
                </c:pt>
                <c:pt idx="454">
                  <c:v>5.2499999999999998E-2</c:v>
                </c:pt>
                <c:pt idx="455">
                  <c:v>5.3099999999999994E-2</c:v>
                </c:pt>
                <c:pt idx="456">
                  <c:v>5.4000000000000006E-2</c:v>
                </c:pt>
                <c:pt idx="457">
                  <c:v>5.4100000000000002E-2</c:v>
                </c:pt>
                <c:pt idx="458">
                  <c:v>5.4199999999999998E-2</c:v>
                </c:pt>
                <c:pt idx="459">
                  <c:v>5.4299999999999994E-2</c:v>
                </c:pt>
                <c:pt idx="460">
                  <c:v>5.3699999999999998E-2</c:v>
                </c:pt>
                <c:pt idx="461">
                  <c:v>5.2199999999999996E-2</c:v>
                </c:pt>
                <c:pt idx="462">
                  <c:v>5.16E-2</c:v>
                </c:pt>
                <c:pt idx="463">
                  <c:v>5.2499999999999998E-2</c:v>
                </c:pt>
                <c:pt idx="464">
                  <c:v>5.3600000000000002E-2</c:v>
                </c:pt>
                <c:pt idx="465">
                  <c:v>5.3099999999999994E-2</c:v>
                </c:pt>
                <c:pt idx="466">
                  <c:v>5.3399999999999996E-2</c:v>
                </c:pt>
                <c:pt idx="467">
                  <c:v>5.4400000000000004E-2</c:v>
                </c:pt>
                <c:pt idx="468">
                  <c:v>5.3600000000000002E-2</c:v>
                </c:pt>
                <c:pt idx="469">
                  <c:v>5.4299999999999994E-2</c:v>
                </c:pt>
                <c:pt idx="470">
                  <c:v>5.4699999999999999E-2</c:v>
                </c:pt>
                <c:pt idx="471">
                  <c:v>5.4400000000000004E-2</c:v>
                </c:pt>
                <c:pt idx="472">
                  <c:v>5.3800000000000001E-2</c:v>
                </c:pt>
                <c:pt idx="473">
                  <c:v>5.4600000000000003E-2</c:v>
                </c:pt>
                <c:pt idx="474">
                  <c:v>5.5099999999999996E-2</c:v>
                </c:pt>
                <c:pt idx="475">
                  <c:v>5.45E-2</c:v>
                </c:pt>
                <c:pt idx="476">
                  <c:v>5.4600000000000003E-2</c:v>
                </c:pt>
                <c:pt idx="477">
                  <c:v>5.4000000000000006E-2</c:v>
                </c:pt>
                <c:pt idx="478">
                  <c:v>5.3499999999999999E-2</c:v>
                </c:pt>
                <c:pt idx="479">
                  <c:v>5.33E-2</c:v>
                </c:pt>
                <c:pt idx="480">
                  <c:v>5.3600000000000002E-2</c:v>
                </c:pt>
                <c:pt idx="481">
                  <c:v>5.3600000000000002E-2</c:v>
                </c:pt>
                <c:pt idx="482">
                  <c:v>5.3399999999999996E-2</c:v>
                </c:pt>
                <c:pt idx="483">
                  <c:v>5.28E-2</c:v>
                </c:pt>
                <c:pt idx="484">
                  <c:v>5.2499999999999998E-2</c:v>
                </c:pt>
                <c:pt idx="485">
                  <c:v>5.2300000000000006E-2</c:v>
                </c:pt>
                <c:pt idx="486">
                  <c:v>5.2600000000000001E-2</c:v>
                </c:pt>
                <c:pt idx="487">
                  <c:v>5.3099999999999994E-2</c:v>
                </c:pt>
                <c:pt idx="488">
                  <c:v>5.2699999999999997E-2</c:v>
                </c:pt>
                <c:pt idx="489">
                  <c:v>5.3200000000000004E-2</c:v>
                </c:pt>
                <c:pt idx="490">
                  <c:v>5.4000000000000006E-2</c:v>
                </c:pt>
                <c:pt idx="491">
                  <c:v>5.4199999999999998E-2</c:v>
                </c:pt>
                <c:pt idx="492">
                  <c:v>5.4699999999999999E-2</c:v>
                </c:pt>
                <c:pt idx="493">
                  <c:v>5.45E-2</c:v>
                </c:pt>
                <c:pt idx="494">
                  <c:v>5.5500000000000001E-2</c:v>
                </c:pt>
                <c:pt idx="495">
                  <c:v>5.5099999999999996E-2</c:v>
                </c:pt>
                <c:pt idx="496">
                  <c:v>5.4900000000000004E-2</c:v>
                </c:pt>
                <c:pt idx="497">
                  <c:v>5.4800000000000001E-2</c:v>
                </c:pt>
                <c:pt idx="498">
                  <c:v>5.5399999999999998E-2</c:v>
                </c:pt>
                <c:pt idx="499">
                  <c:v>5.6100000000000004E-2</c:v>
                </c:pt>
                <c:pt idx="500">
                  <c:v>5.5599999999999997E-2</c:v>
                </c:pt>
                <c:pt idx="501">
                  <c:v>5.4900000000000004E-2</c:v>
                </c:pt>
                <c:pt idx="502">
                  <c:v>5.4299999999999994E-2</c:v>
                </c:pt>
                <c:pt idx="503">
                  <c:v>5.4440000000000002E-2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69-4E89-A9FB-3B3860021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6005984"/>
        <c:axId val="816007944"/>
      </c:lineChart>
      <c:catAx>
        <c:axId val="816005984"/>
        <c:scaling>
          <c:orientation val="minMax"/>
        </c:scaling>
        <c:delete val="1"/>
        <c:axPos val="b"/>
        <c:numFmt formatCode="mm/yy" sourceLinked="0"/>
        <c:majorTickMark val="out"/>
        <c:minorTickMark val="none"/>
        <c:tickLblPos val="low"/>
        <c:crossAx val="816007944"/>
        <c:crossesAt val="5.000000000000001E-3"/>
        <c:auto val="1"/>
        <c:lblAlgn val="ctr"/>
        <c:lblOffset val="0"/>
        <c:tickLblSkip val="2"/>
        <c:tickMarkSkip val="1"/>
        <c:noMultiLvlLbl val="0"/>
      </c:catAx>
      <c:valAx>
        <c:axId val="816007944"/>
        <c:scaling>
          <c:orientation val="minMax"/>
          <c:min val="4.0000000000000008E-2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816005984"/>
        <c:crosses val="autoZero"/>
        <c:crossBetween val="between"/>
        <c:majorUnit val="1.0000000000000002E-2"/>
        <c:minorUnit val="5.000000000000001E-3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3170364751337135"/>
          <c:y val="0.78102178757286966"/>
          <c:w val="0.46394017861861225"/>
          <c:h val="6.62864080271338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0.08009</cdr:x>
      <cdr:y>0.85395</cdr:y>
    </cdr:from>
    <cdr:to>
      <cdr:x>1</cdr:x>
      <cdr:y>0.9862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CF9F9F18-8066-4FB1-9640-F934E6F205C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65827" y="3256788"/>
          <a:ext cx="5350138" cy="50437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C387E-C44A-49B9-AB9C-494CD9FF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Objaśnienia podatkowe - ogólny szablon MF</Template>
  <TotalTime>13</TotalTime>
  <Pages>16</Pages>
  <Words>2248</Words>
  <Characters>13490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15707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Madziar Anna</dc:creator>
  <cp:keywords/>
  <dc:description/>
  <cp:lastModifiedBy>Izdebska Agnieszka</cp:lastModifiedBy>
  <cp:revision>5</cp:revision>
  <cp:lastPrinted>2024-07-31T08:14:00Z</cp:lastPrinted>
  <dcterms:created xsi:type="dcterms:W3CDTF">2024-07-31T07:55:00Z</dcterms:created>
  <dcterms:modified xsi:type="dcterms:W3CDTF">2024-07-31T08:16:00Z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UxC4dwLulzfINJ8nQH+xvX5LNGipWa4BRSZhPgxsCvkO5bT1TUXA8pFPPNtbR0eX12nutXzRhxCIpsxUm2MQYQ==</vt:lpwstr>
  </property>
  <property fmtid="{D5CDD505-2E9C-101B-9397-08002B2CF9AE}" pid="4" name="MFClassificationDate">
    <vt:lpwstr>2023-06-02T11:51:01.2985657+02:00</vt:lpwstr>
  </property>
  <property fmtid="{D5CDD505-2E9C-101B-9397-08002B2CF9AE}" pid="5" name="MFClassifiedBySID">
    <vt:lpwstr>UxC4dwLulzfINJ8nQH+xvX5LNGipWa4BRSZhPgxsCvm42mrIC/DSDv0ggS+FjUN/2v1BBotkLlY5aAiEhoi6ue54e+U1VL9VW4cbi+DeQ1VebKfiNeh1KW2i8LH7vszL</vt:lpwstr>
  </property>
  <property fmtid="{D5CDD505-2E9C-101B-9397-08002B2CF9AE}" pid="6" name="MFGRNItemId">
    <vt:lpwstr>GRN-1155d689-b555-40c8-a4d1-f3b6f31e69d1</vt:lpwstr>
  </property>
  <property fmtid="{D5CDD505-2E9C-101B-9397-08002B2CF9AE}" pid="7" name="MFHash">
    <vt:lpwstr>KPeG/+tkC1sCYso7vqKymYBVPFFej05QvoWdLVTm3FY=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