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3312" w14:textId="77777777" w:rsidR="00C37A6C" w:rsidRPr="00877521" w:rsidRDefault="000049A5" w:rsidP="00877521">
      <w:pPr>
        <w:spacing w:before="80"/>
        <w:jc w:val="center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Oświadczenie o stanie kontroli zarządczej</w:t>
      </w:r>
    </w:p>
    <w:p w14:paraId="22B9F9AE" w14:textId="77777777" w:rsidR="00C37A6C" w:rsidRPr="003D6A01" w:rsidRDefault="000049A5" w:rsidP="00877521">
      <w:pPr>
        <w:spacing w:before="80"/>
        <w:jc w:val="center"/>
        <w:rPr>
          <w:rFonts w:ascii="Lato" w:hAnsi="Lato" w:cs="Arial"/>
          <w:b/>
        </w:rPr>
      </w:pPr>
      <w:r w:rsidRPr="00877521">
        <w:rPr>
          <w:rFonts w:ascii="Lato" w:hAnsi="Lato" w:cs="Arial"/>
          <w:b/>
        </w:rPr>
        <w:t>Ministra Aktywów Państwowych</w:t>
      </w:r>
      <w:r w:rsidRPr="00877521">
        <w:rPr>
          <w:rFonts w:ascii="Lato" w:hAnsi="Lato" w:cs="Arial"/>
          <w:b/>
          <w:vertAlign w:val="superscript"/>
        </w:rPr>
        <w:t>1)</w:t>
      </w:r>
      <w:r w:rsidRPr="00877521">
        <w:rPr>
          <w:rFonts w:ascii="Lato" w:hAnsi="Lato" w:cs="Arial"/>
          <w:b/>
        </w:rPr>
        <w:t xml:space="preserve"> za rok </w:t>
      </w:r>
      <w:r w:rsidRPr="003D6A01">
        <w:rPr>
          <w:rFonts w:ascii="Lato" w:hAnsi="Lato" w:cs="Arial"/>
          <w:b/>
        </w:rPr>
        <w:t>20</w:t>
      </w:r>
      <w:r w:rsidR="0007585A" w:rsidRPr="003D6A01">
        <w:rPr>
          <w:rFonts w:ascii="Lato" w:hAnsi="Lato" w:cs="Arial"/>
          <w:b/>
        </w:rPr>
        <w:t>24</w:t>
      </w:r>
    </w:p>
    <w:p w14:paraId="53AC4E45" w14:textId="77777777" w:rsidR="00C37A6C" w:rsidRPr="00877521" w:rsidRDefault="000049A5" w:rsidP="002A15A3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Dział I</w:t>
      </w:r>
      <w:r w:rsidRPr="00877521">
        <w:rPr>
          <w:rFonts w:ascii="Lato" w:hAnsi="Lato" w:cs="Arial"/>
          <w:vertAlign w:val="superscript"/>
        </w:rPr>
        <w:t>2)</w:t>
      </w:r>
    </w:p>
    <w:p w14:paraId="1443808A" w14:textId="77777777" w:rsidR="00C37A6C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7CA6EEF1" w14:textId="77777777" w:rsidR="00D3501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zgodności działalności z przepisami prawa oraz procedurami wewnętrznymi,</w:t>
      </w:r>
    </w:p>
    <w:p w14:paraId="2B299853" w14:textId="77777777" w:rsidR="00D3501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skuteczności i efektywności działania,</w:t>
      </w:r>
    </w:p>
    <w:p w14:paraId="75C57CE5" w14:textId="77777777" w:rsidR="00D3501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wiarygodności sprawozdań,</w:t>
      </w:r>
    </w:p>
    <w:p w14:paraId="345547BE" w14:textId="77777777" w:rsidR="00D3501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ochrony zasobów,</w:t>
      </w:r>
    </w:p>
    <w:p w14:paraId="46AE02E3" w14:textId="77777777" w:rsidR="00D3501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przestrzegania i promowania zasad etycznego postępowania,</w:t>
      </w:r>
    </w:p>
    <w:p w14:paraId="1CB1A784" w14:textId="77777777" w:rsidR="00D3501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efektywności i skuteczności przepływu informacji,</w:t>
      </w:r>
    </w:p>
    <w:p w14:paraId="66743FC1" w14:textId="77777777" w:rsidR="00C37A6C" w:rsidRPr="00877521" w:rsidRDefault="000049A5" w:rsidP="0053775E">
      <w:pPr>
        <w:pStyle w:val="Akapitzlist"/>
        <w:numPr>
          <w:ilvl w:val="0"/>
          <w:numId w:val="3"/>
        </w:numPr>
        <w:tabs>
          <w:tab w:val="left" w:pos="709"/>
        </w:tabs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zarządzania ryzykiem,</w:t>
      </w:r>
    </w:p>
    <w:p w14:paraId="14BEAFEC" w14:textId="77777777" w:rsidR="0020278F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oświadczam, że w kierowanych przeze mnie działach administracji rządowej</w:t>
      </w:r>
      <w:r w:rsidRPr="00877521">
        <w:rPr>
          <w:rFonts w:ascii="Lato" w:hAnsi="Lato" w:cs="Arial"/>
          <w:vertAlign w:val="superscript"/>
        </w:rPr>
        <w:t>3)</w:t>
      </w:r>
      <w:r w:rsidRPr="00877521">
        <w:rPr>
          <w:rFonts w:ascii="Lato" w:hAnsi="Lato" w:cs="Arial"/>
        </w:rPr>
        <w:t>: aktywa państwowe, gospodarka złożami kopalin, łączność</w:t>
      </w:r>
    </w:p>
    <w:p w14:paraId="726FBE48" w14:textId="77777777" w:rsidR="00C37A6C" w:rsidRPr="00877521" w:rsidRDefault="000049A5" w:rsidP="00877521">
      <w:pPr>
        <w:spacing w:before="120"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A</w:t>
      </w:r>
      <w:r w:rsidRPr="00877521">
        <w:rPr>
          <w:rFonts w:ascii="Lato" w:hAnsi="Lato" w:cs="Arial"/>
          <w:vertAlign w:val="superscript"/>
        </w:rPr>
        <w:t>4)</w:t>
      </w:r>
    </w:p>
    <w:p w14:paraId="43E3D049" w14:textId="77777777" w:rsidR="00C37A6C" w:rsidRPr="00877521" w:rsidRDefault="00FE4F5F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74761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9A5" w:rsidRPr="00877521">
            <w:rPr>
              <w:rFonts w:ascii="Segoe UI Symbol" w:eastAsia="MS Gothic" w:hAnsi="Segoe UI Symbol" w:cs="Segoe UI Symbol"/>
            </w:rPr>
            <w:t>☐</w:t>
          </w:r>
        </w:sdtContent>
      </w:sdt>
      <w:r w:rsidR="000049A5" w:rsidRPr="00877521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  <w:strike/>
        </w:rPr>
        <w:t>w wystarczającym stopniu funkcjonowała adekwatna, skuteczna i efektywna kontrola zarządcza</w:t>
      </w:r>
      <w:r w:rsidR="000049A5" w:rsidRPr="00877521">
        <w:rPr>
          <w:rFonts w:ascii="Lato" w:hAnsi="Lato" w:cs="Arial"/>
        </w:rPr>
        <w:t>.</w:t>
      </w:r>
    </w:p>
    <w:p w14:paraId="15BA4B60" w14:textId="77777777" w:rsidR="00C37A6C" w:rsidRPr="00877521" w:rsidRDefault="000049A5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B</w:t>
      </w:r>
      <w:r w:rsidRPr="00877521">
        <w:rPr>
          <w:rFonts w:ascii="Lato" w:hAnsi="Lato" w:cs="Arial"/>
          <w:vertAlign w:val="superscript"/>
        </w:rPr>
        <w:t>5)</w:t>
      </w:r>
    </w:p>
    <w:p w14:paraId="26EA66F6" w14:textId="48EBAAE8" w:rsidR="00C37A6C" w:rsidRPr="00877521" w:rsidRDefault="00FE4F5F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912096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 w:rsidRPr="00877521">
            <w:rPr>
              <w:rFonts w:ascii="Segoe UI Symbol" w:eastAsia="MS Gothic" w:hAnsi="Segoe UI Symbol" w:cs="Segoe UI Symbol"/>
            </w:rPr>
            <w:t>☒</w:t>
          </w:r>
        </w:sdtContent>
      </w:sdt>
      <w:r w:rsidR="000049A5" w:rsidRPr="00877521">
        <w:rPr>
          <w:rFonts w:ascii="Lato" w:hAnsi="Lato" w:cs="Arial"/>
        </w:rPr>
        <w:t xml:space="preserve"> w ograniczonym stopniu funkcjonowała adekwatna, skuteczna i efektywna kontrola zarządcza.</w:t>
      </w:r>
    </w:p>
    <w:p w14:paraId="097CB0FB" w14:textId="77777777" w:rsidR="00C37A6C" w:rsidRPr="00877521" w:rsidRDefault="000049A5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0F9E36D9" w14:textId="77777777" w:rsidR="00C37A6C" w:rsidRPr="00877521" w:rsidRDefault="000049A5" w:rsidP="00877521">
      <w:pPr>
        <w:spacing w:after="120"/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C</w:t>
      </w:r>
      <w:r w:rsidRPr="00877521">
        <w:rPr>
          <w:rFonts w:ascii="Lato" w:hAnsi="Lato" w:cs="Arial"/>
          <w:vertAlign w:val="superscript"/>
        </w:rPr>
        <w:t>6)</w:t>
      </w:r>
    </w:p>
    <w:p w14:paraId="43AAD602" w14:textId="00025C5C" w:rsidR="00C37A6C" w:rsidRPr="00877521" w:rsidRDefault="00FE4F5F" w:rsidP="00877521">
      <w:pPr>
        <w:tabs>
          <w:tab w:val="left" w:pos="426"/>
        </w:tabs>
        <w:spacing w:after="120"/>
        <w:ind w:left="426" w:hanging="426"/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66366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9A5" w:rsidRPr="00877521">
            <w:rPr>
              <w:rFonts w:ascii="Segoe UI Symbol" w:eastAsia="MS Gothic" w:hAnsi="Segoe UI Symbol" w:cs="Segoe UI Symbol"/>
            </w:rPr>
            <w:t>☐</w:t>
          </w:r>
        </w:sdtContent>
      </w:sdt>
      <w:r w:rsidR="000049A5" w:rsidRPr="00877521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  <w:strike/>
        </w:rPr>
        <w:t>nie funkcjonowała adekwatna, skuteczna i efektywna kontrola zarządcza</w:t>
      </w:r>
      <w:r w:rsidR="000049A5" w:rsidRPr="00877521">
        <w:rPr>
          <w:rFonts w:ascii="Lato" w:hAnsi="Lato" w:cs="Arial"/>
        </w:rPr>
        <w:t>.</w:t>
      </w:r>
    </w:p>
    <w:p w14:paraId="0BE0E6E4" w14:textId="77777777" w:rsidR="00C37A6C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  <w:b/>
          <w:bCs/>
        </w:rPr>
        <w:t>Część D</w:t>
      </w:r>
    </w:p>
    <w:p w14:paraId="4E067C57" w14:textId="77777777" w:rsidR="00C37A6C" w:rsidRPr="00877521" w:rsidRDefault="000049A5" w:rsidP="00877521">
      <w:pPr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Niniejsze oświadczenie opiera się na mojej ocenie i informacjach dostępnych w czasie sporządzania niniejszego oświadczenia pochodzących z:</w:t>
      </w:r>
      <w:r w:rsidRPr="00877521">
        <w:rPr>
          <w:rFonts w:ascii="Lato" w:hAnsi="Lato" w:cs="Arial"/>
          <w:vertAlign w:val="superscript"/>
        </w:rPr>
        <w:t>7)</w:t>
      </w:r>
    </w:p>
    <w:p w14:paraId="69DCE254" w14:textId="2B0007AC" w:rsidR="00C37A6C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7866888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monitoringu realizacji celów i zadań,</w:t>
      </w:r>
    </w:p>
    <w:p w14:paraId="59E3B0B7" w14:textId="1B0A1640" w:rsidR="00C37A6C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-934739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samooceny kontroli zarządczej przeprowadzonej z uwzględnieniem standardów kontroli zarządczej dla</w:t>
      </w:r>
      <w:r w:rsidR="000049A5">
        <w:rPr>
          <w:rFonts w:ascii="Lato" w:hAnsi="Lato" w:cs="Arial"/>
        </w:rPr>
        <w:t> </w:t>
      </w:r>
      <w:r w:rsidR="000049A5" w:rsidRPr="00877521">
        <w:rPr>
          <w:rFonts w:ascii="Lato" w:hAnsi="Lato" w:cs="Arial"/>
        </w:rPr>
        <w:t>sektora finansów publicznych</w:t>
      </w:r>
      <w:r w:rsidR="000049A5" w:rsidRPr="00877521">
        <w:rPr>
          <w:rFonts w:ascii="Lato" w:hAnsi="Lato" w:cs="Arial"/>
          <w:vertAlign w:val="superscript"/>
        </w:rPr>
        <w:t>8)</w:t>
      </w:r>
      <w:r w:rsidR="000049A5" w:rsidRPr="00877521">
        <w:rPr>
          <w:rFonts w:ascii="Lato" w:hAnsi="Lato" w:cs="Arial"/>
        </w:rPr>
        <w:t>,</w:t>
      </w:r>
    </w:p>
    <w:p w14:paraId="0EFF5485" w14:textId="2210B090" w:rsidR="00C37A6C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347839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procesu zarządzania ryzykiem,</w:t>
      </w:r>
    </w:p>
    <w:p w14:paraId="745A2557" w14:textId="1AEBE6B7" w:rsidR="00C37A6C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4312522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audytu wewnętrznego,</w:t>
      </w:r>
    </w:p>
    <w:p w14:paraId="41576F32" w14:textId="4F6D2AA8" w:rsidR="00C37A6C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20981998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kontroli wewnętrznych,</w:t>
      </w:r>
    </w:p>
    <w:p w14:paraId="52519CEA" w14:textId="5F308205" w:rsidR="00C37A6C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0880432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kontroli zewnętrznych,</w:t>
      </w:r>
    </w:p>
    <w:p w14:paraId="1FFDAF5A" w14:textId="620E73C8" w:rsidR="00424912" w:rsidRPr="00877521" w:rsidRDefault="00FE4F5F" w:rsidP="00877521">
      <w:pPr>
        <w:tabs>
          <w:tab w:val="left" w:pos="852"/>
        </w:tabs>
        <w:jc w:val="both"/>
        <w:rPr>
          <w:rFonts w:ascii="Lato" w:hAnsi="Lato" w:cs="Arial"/>
        </w:rPr>
      </w:pPr>
      <w:sdt>
        <w:sdtPr>
          <w:rPr>
            <w:rFonts w:ascii="Lato" w:hAnsi="Lato" w:cs="Arial"/>
          </w:rPr>
          <w:id w:val="10521936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49A5">
            <w:rPr>
              <w:rFonts w:ascii="MS Gothic" w:eastAsia="MS Gothic" w:hAnsi="MS Gothic" w:cs="Arial" w:hint="eastAsia"/>
            </w:rPr>
            <w:t>☒</w:t>
          </w:r>
        </w:sdtContent>
      </w:sdt>
      <w:r w:rsidR="000049A5">
        <w:rPr>
          <w:rFonts w:ascii="Lato" w:hAnsi="Lato" w:cs="Arial"/>
        </w:rPr>
        <w:t xml:space="preserve"> </w:t>
      </w:r>
      <w:r w:rsidR="000049A5" w:rsidRPr="00877521">
        <w:rPr>
          <w:rFonts w:ascii="Lato" w:hAnsi="Lato" w:cs="Arial"/>
        </w:rPr>
        <w:t>innych źródeł informacji:</w:t>
      </w:r>
    </w:p>
    <w:p w14:paraId="623CCA36" w14:textId="77777777" w:rsidR="005F696B" w:rsidRDefault="000049A5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sprawozdania z wykonania planu działalności Ministra Aktywów Państwowych za rok </w:t>
      </w:r>
      <w:r w:rsidRPr="003D6A01">
        <w:rPr>
          <w:rFonts w:ascii="Lato" w:hAnsi="Lato" w:cs="Arial"/>
        </w:rPr>
        <w:t>202</w:t>
      </w:r>
      <w:r w:rsidR="00DF6EFC" w:rsidRPr="003D6A01">
        <w:rPr>
          <w:rFonts w:ascii="Lato" w:hAnsi="Lato" w:cs="Arial"/>
        </w:rPr>
        <w:t>4</w:t>
      </w:r>
      <w:r>
        <w:rPr>
          <w:rFonts w:ascii="Lato" w:hAnsi="Lato" w:cs="Arial"/>
        </w:rPr>
        <w:t xml:space="preserve"> dla działów administracji rządowej: aktywa państwowe, gospodarka złożami kopalin, łączność;</w:t>
      </w:r>
    </w:p>
    <w:p w14:paraId="51267480" w14:textId="77777777" w:rsidR="00D3501C" w:rsidRPr="00877521" w:rsidRDefault="000049A5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 xml:space="preserve">oświadczeń o stanie kontroli zarządczej za rok </w:t>
      </w:r>
      <w:r w:rsidRPr="003D6A01">
        <w:rPr>
          <w:rFonts w:ascii="Lato" w:hAnsi="Lato" w:cs="Arial"/>
        </w:rPr>
        <w:t>202</w:t>
      </w:r>
      <w:r w:rsidR="00DF6EFC" w:rsidRPr="003D6A01">
        <w:rPr>
          <w:rFonts w:ascii="Lato" w:hAnsi="Lato" w:cs="Arial"/>
        </w:rPr>
        <w:t>4</w:t>
      </w:r>
      <w:r w:rsidRPr="003D6A01">
        <w:rPr>
          <w:rFonts w:ascii="Lato" w:hAnsi="Lato" w:cs="Arial"/>
        </w:rPr>
        <w:t xml:space="preserve"> złożonych </w:t>
      </w:r>
      <w:r w:rsidRPr="00877521">
        <w:rPr>
          <w:rFonts w:ascii="Lato" w:hAnsi="Lato" w:cs="Arial"/>
        </w:rPr>
        <w:t>przez dyrektorów komórek organizacyjnych Ministerstwa Aktywów Państwowych,</w:t>
      </w:r>
    </w:p>
    <w:p w14:paraId="4B502825" w14:textId="7BEDED52" w:rsidR="00424912" w:rsidRDefault="000049A5" w:rsidP="0053775E">
      <w:pPr>
        <w:numPr>
          <w:ilvl w:val="0"/>
          <w:numId w:val="7"/>
        </w:numPr>
        <w:ind w:left="567" w:hanging="283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wykonania mierników procesu kontroli zarządczej w Ministerstwie Aktywów Państwowych</w:t>
      </w:r>
      <w:r w:rsidR="00B37AB9">
        <w:rPr>
          <w:rFonts w:ascii="Lato" w:hAnsi="Lato" w:cs="Arial"/>
        </w:rPr>
        <w:t>,</w:t>
      </w:r>
    </w:p>
    <w:p w14:paraId="5A956806" w14:textId="13DAF099" w:rsidR="0061525B" w:rsidRDefault="000049A5" w:rsidP="00877521">
      <w:pPr>
        <w:spacing w:after="240"/>
        <w:jc w:val="both"/>
        <w:rPr>
          <w:rFonts w:ascii="Lato" w:hAnsi="Lato" w:cs="Arial"/>
        </w:rPr>
      </w:pPr>
      <w:r w:rsidRPr="00877521">
        <w:rPr>
          <w:rFonts w:ascii="Lato" w:hAnsi="Lato" w:cs="Arial"/>
        </w:rPr>
        <w:t>Jednocześnie oświadczam, że nie są mi znane inne fakty lub okoliczności, które mogłyby wpłynąć na treść niniejszego oświadczenia.</w:t>
      </w:r>
    </w:p>
    <w:p w14:paraId="1E105CBC" w14:textId="1CA5BE42" w:rsidR="00475BCC" w:rsidRPr="00E86CF8" w:rsidRDefault="00475BCC" w:rsidP="00475BCC">
      <w:pPr>
        <w:widowControl/>
        <w:tabs>
          <w:tab w:val="right" w:pos="3578"/>
        </w:tabs>
        <w:autoSpaceDE/>
        <w:autoSpaceDN/>
        <w:adjustRightInd/>
        <w:ind w:left="28"/>
        <w:rPr>
          <w:rFonts w:ascii="Lato" w:hAnsi="Lato" w:cs="Arial"/>
        </w:rPr>
      </w:pPr>
      <w:r w:rsidRPr="00E86CF8">
        <w:rPr>
          <w:rFonts w:ascii="Lato" w:hAnsi="Lato" w:cs="Arial"/>
        </w:rPr>
        <w:t xml:space="preserve">Warszawa, </w:t>
      </w:r>
      <w:bookmarkStart w:id="0" w:name="ezdDataPodpisu"/>
      <w:bookmarkEnd w:id="0"/>
      <w:r w:rsidR="00CB5EB9">
        <w:rPr>
          <w:rFonts w:ascii="Lato" w:hAnsi="Lato" w:cs="Arial"/>
        </w:rPr>
        <w:t xml:space="preserve">28 kwietnia 2025 </w:t>
      </w:r>
      <w:r w:rsidRPr="00E86CF8">
        <w:rPr>
          <w:rFonts w:ascii="Lato" w:hAnsi="Lato" w:cs="Arial"/>
        </w:rPr>
        <w:t>r.</w:t>
      </w:r>
    </w:p>
    <w:p w14:paraId="74C24B3F" w14:textId="77777777" w:rsidR="00475BCC" w:rsidRPr="00877521" w:rsidRDefault="00475BCC" w:rsidP="00475BCC">
      <w:pPr>
        <w:autoSpaceDE/>
        <w:autoSpaceDN/>
        <w:adjustRightInd/>
        <w:ind w:left="23"/>
        <w:jc w:val="both"/>
        <w:rPr>
          <w:rFonts w:ascii="Lato" w:eastAsiaTheme="minorHAnsi" w:hAnsi="Lato" w:cs="Arial"/>
          <w:i/>
          <w:shd w:val="clear" w:color="auto" w:fill="FFFFFF"/>
        </w:rPr>
      </w:pPr>
      <w:r>
        <w:rPr>
          <w:rFonts w:ascii="Lato" w:hAnsi="Lato" w:cs="Arial"/>
          <w:i/>
        </w:rPr>
        <w:t>(</w:t>
      </w:r>
      <w:r w:rsidRPr="00877521">
        <w:rPr>
          <w:rFonts w:ascii="Lato" w:hAnsi="Lato" w:cs="Arial"/>
          <w:i/>
        </w:rPr>
        <w:t>miejscowość, data</w:t>
      </w:r>
      <w:r>
        <w:rPr>
          <w:rFonts w:ascii="Lato" w:hAnsi="Lato" w:cs="Arial"/>
          <w:i/>
        </w:rPr>
        <w:t>)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75BCC" w:rsidRPr="00E86CF8" w14:paraId="0E4A14EC" w14:textId="77777777" w:rsidTr="005F4481">
        <w:tc>
          <w:tcPr>
            <w:tcW w:w="3119" w:type="dxa"/>
            <w:vMerge w:val="restart"/>
          </w:tcPr>
          <w:p w14:paraId="5CCD9D81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5953" w:type="dxa"/>
          </w:tcPr>
          <w:p w14:paraId="5720542D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475BCC" w:rsidRPr="00E86CF8" w14:paraId="3F4AE4DF" w14:textId="77777777" w:rsidTr="005F4481">
        <w:tc>
          <w:tcPr>
            <w:tcW w:w="3119" w:type="dxa"/>
            <w:vMerge/>
          </w:tcPr>
          <w:p w14:paraId="4B115BA7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both"/>
              <w:rPr>
                <w:rFonts w:ascii="Lato" w:eastAsia="Calibri" w:hAnsi="Lato" w:cs="Arial"/>
              </w:rPr>
            </w:pPr>
          </w:p>
        </w:tc>
        <w:tc>
          <w:tcPr>
            <w:tcW w:w="5953" w:type="dxa"/>
          </w:tcPr>
          <w:p w14:paraId="73F5FF2A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b/>
              </w:rPr>
            </w:pPr>
            <w:bookmarkStart w:id="1" w:name="ezdPracownikNazwa"/>
            <w:bookmarkEnd w:id="1"/>
          </w:p>
        </w:tc>
      </w:tr>
      <w:tr w:rsidR="00475BCC" w:rsidRPr="00E86CF8" w14:paraId="785063D7" w14:textId="77777777" w:rsidTr="005F4481">
        <w:tc>
          <w:tcPr>
            <w:tcW w:w="3119" w:type="dxa"/>
            <w:vMerge/>
            <w:vAlign w:val="center"/>
            <w:hideMark/>
          </w:tcPr>
          <w:p w14:paraId="373B072B" w14:textId="77777777" w:rsidR="00475BCC" w:rsidRPr="00E86CF8" w:rsidRDefault="00475BCC" w:rsidP="005F448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14:paraId="6E8ED363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</w:rPr>
            </w:pPr>
            <w:bookmarkStart w:id="2" w:name="ezdPracownikStanowisko"/>
            <w:bookmarkEnd w:id="2"/>
          </w:p>
        </w:tc>
      </w:tr>
      <w:tr w:rsidR="00475BCC" w:rsidRPr="00E86CF8" w14:paraId="5381AAAA" w14:textId="77777777" w:rsidTr="005F4481">
        <w:tc>
          <w:tcPr>
            <w:tcW w:w="3119" w:type="dxa"/>
            <w:vMerge/>
            <w:vAlign w:val="center"/>
            <w:hideMark/>
          </w:tcPr>
          <w:p w14:paraId="3F131815" w14:textId="77777777" w:rsidR="00475BCC" w:rsidRPr="00E86CF8" w:rsidRDefault="00475BCC" w:rsidP="005F448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14:paraId="5A8FA389" w14:textId="77777777" w:rsidR="00475BCC" w:rsidRPr="00E86CF8" w:rsidRDefault="00475BCC" w:rsidP="005F4481">
            <w:pPr>
              <w:widowControl/>
              <w:tabs>
                <w:tab w:val="center" w:pos="6237"/>
              </w:tabs>
              <w:autoSpaceDE/>
              <w:autoSpaceDN/>
              <w:adjustRightInd/>
              <w:jc w:val="center"/>
              <w:rPr>
                <w:rFonts w:ascii="Lato" w:eastAsia="Calibri" w:hAnsi="Lato" w:cs="Arial"/>
                <w:i/>
              </w:rPr>
            </w:pPr>
            <w:bookmarkStart w:id="3" w:name="ezdPracownikWydzialAtrybut1"/>
            <w:bookmarkEnd w:id="3"/>
          </w:p>
        </w:tc>
      </w:tr>
      <w:tr w:rsidR="00475BCC" w:rsidRPr="00E86CF8" w14:paraId="6A5A9783" w14:textId="77777777" w:rsidTr="005F4481">
        <w:tc>
          <w:tcPr>
            <w:tcW w:w="3119" w:type="dxa"/>
            <w:vMerge/>
            <w:vAlign w:val="center"/>
            <w:hideMark/>
          </w:tcPr>
          <w:p w14:paraId="307D2B2D" w14:textId="77777777" w:rsidR="00475BCC" w:rsidRPr="00E86CF8" w:rsidRDefault="00475BCC" w:rsidP="005F4481">
            <w:pPr>
              <w:widowControl/>
              <w:autoSpaceDE/>
              <w:autoSpaceDN/>
              <w:adjustRightInd/>
              <w:rPr>
                <w:rFonts w:ascii="Lato" w:hAnsi="Lato" w:cs="Arial"/>
              </w:rPr>
            </w:pPr>
          </w:p>
        </w:tc>
        <w:tc>
          <w:tcPr>
            <w:tcW w:w="5953" w:type="dxa"/>
          </w:tcPr>
          <w:p w14:paraId="1E650997" w14:textId="77777777" w:rsidR="00CB5EB9" w:rsidRPr="00CB5EB9" w:rsidRDefault="00CB5EB9" w:rsidP="00CB5EB9">
            <w:pPr>
              <w:widowControl/>
              <w:tabs>
                <w:tab w:val="center" w:pos="6237"/>
              </w:tabs>
              <w:autoSpaceDE/>
              <w:autoSpaceDN/>
              <w:adjustRightInd/>
              <w:spacing w:after="60"/>
              <w:jc w:val="center"/>
              <w:rPr>
                <w:rFonts w:ascii="Lato" w:eastAsia="Calibri" w:hAnsi="Lato" w:cs="Arial"/>
                <w:b/>
                <w:bCs/>
              </w:rPr>
            </w:pPr>
            <w:bookmarkStart w:id="4" w:name="ezdIdentyfikatorDokumentuPDF"/>
            <w:bookmarkEnd w:id="4"/>
            <w:r w:rsidRPr="00CB5EB9">
              <w:rPr>
                <w:rFonts w:ascii="Lato" w:eastAsia="Calibri" w:hAnsi="Lato" w:cs="Arial"/>
                <w:b/>
                <w:bCs/>
              </w:rPr>
              <w:t>Jakub Jaworowski</w:t>
            </w:r>
          </w:p>
          <w:p w14:paraId="252DADCA" w14:textId="77777777" w:rsidR="00CB5EB9" w:rsidRPr="00CB5EB9" w:rsidRDefault="00CB5EB9" w:rsidP="00CB5EB9">
            <w:pPr>
              <w:widowControl/>
              <w:tabs>
                <w:tab w:val="center" w:pos="6237"/>
              </w:tabs>
              <w:autoSpaceDE/>
              <w:autoSpaceDN/>
              <w:adjustRightInd/>
              <w:spacing w:after="60"/>
              <w:jc w:val="center"/>
              <w:rPr>
                <w:rFonts w:ascii="Lato" w:eastAsia="Calibri" w:hAnsi="Lato" w:cs="Arial"/>
              </w:rPr>
            </w:pPr>
            <w:r w:rsidRPr="00CB5EB9">
              <w:rPr>
                <w:rFonts w:ascii="Lato" w:eastAsia="Calibri" w:hAnsi="Lato" w:cs="Arial"/>
              </w:rPr>
              <w:t>Minister</w:t>
            </w:r>
          </w:p>
          <w:p w14:paraId="4CEE3B02" w14:textId="6470E03E" w:rsidR="00475BCC" w:rsidRPr="00E86CF8" w:rsidRDefault="00CB5EB9" w:rsidP="00CB5EB9">
            <w:pPr>
              <w:widowControl/>
              <w:tabs>
                <w:tab w:val="center" w:pos="6237"/>
              </w:tabs>
              <w:autoSpaceDE/>
              <w:autoSpaceDN/>
              <w:adjustRightInd/>
              <w:spacing w:after="60"/>
              <w:jc w:val="center"/>
              <w:rPr>
                <w:rFonts w:ascii="Lato" w:eastAsia="Calibri" w:hAnsi="Lato" w:cs="Arial"/>
              </w:rPr>
            </w:pPr>
            <w:r w:rsidRPr="00CB5EB9">
              <w:rPr>
                <w:rFonts w:ascii="Lato" w:eastAsia="Calibri" w:hAnsi="Lato" w:cs="Arial"/>
                <w:i/>
                <w:iCs/>
              </w:rPr>
              <w:t>dokument podpisany elektronicznie</w:t>
            </w:r>
          </w:p>
        </w:tc>
      </w:tr>
    </w:tbl>
    <w:p w14:paraId="307369FD" w14:textId="77777777" w:rsidR="00475BCC" w:rsidRPr="00877521" w:rsidRDefault="00475BCC" w:rsidP="00475BCC">
      <w:pPr>
        <w:autoSpaceDE/>
        <w:autoSpaceDN/>
        <w:adjustRightInd/>
        <w:ind w:left="4536"/>
        <w:jc w:val="both"/>
        <w:rPr>
          <w:rFonts w:ascii="Lato" w:eastAsiaTheme="minorHAnsi" w:hAnsi="Lato" w:cs="Arial"/>
          <w:shd w:val="clear" w:color="auto" w:fill="FFFFFF"/>
          <w:lang w:eastAsia="en-US"/>
        </w:rPr>
      </w:pPr>
      <w:r w:rsidRPr="00877521">
        <w:rPr>
          <w:rFonts w:ascii="Lato" w:eastAsiaTheme="minorHAnsi" w:hAnsi="Lato" w:cs="Arial"/>
          <w:shd w:val="clear" w:color="auto" w:fill="FFFFFF"/>
          <w:lang w:eastAsia="en-US"/>
        </w:rPr>
        <w:t>………….………………………………………………</w:t>
      </w:r>
    </w:p>
    <w:p w14:paraId="56B5C9E1" w14:textId="0C100484" w:rsidR="00475BCC" w:rsidRPr="00E86CF8" w:rsidRDefault="00475BCC" w:rsidP="00475BCC">
      <w:pPr>
        <w:autoSpaceDE/>
        <w:autoSpaceDN/>
        <w:adjustRightInd/>
        <w:ind w:left="4536"/>
        <w:jc w:val="both"/>
        <w:rPr>
          <w:rFonts w:ascii="Lato" w:eastAsiaTheme="minorHAnsi" w:hAnsi="Lato" w:cs="Arial"/>
          <w:i/>
          <w:lang w:eastAsia="en-US"/>
        </w:rPr>
      </w:pPr>
      <w:r>
        <w:rPr>
          <w:rFonts w:ascii="Lato" w:eastAsiaTheme="minorHAnsi" w:hAnsi="Lato" w:cs="Arial"/>
          <w:i/>
          <w:shd w:val="clear" w:color="auto" w:fill="FFFFFF"/>
          <w:lang w:eastAsia="en-US"/>
        </w:rPr>
        <w:t>(</w:t>
      </w:r>
      <w:bookmarkStart w:id="5" w:name="_GoBack"/>
      <w:bookmarkEnd w:id="5"/>
      <w:r w:rsidRPr="00877521">
        <w:rPr>
          <w:rFonts w:ascii="Lato" w:eastAsiaTheme="minorHAnsi" w:hAnsi="Lato" w:cs="Arial"/>
          <w:i/>
          <w:shd w:val="clear" w:color="auto" w:fill="FFFFFF"/>
          <w:lang w:eastAsia="en-US"/>
        </w:rPr>
        <w:t xml:space="preserve"> podpis ministra/kierownika jednostki</w:t>
      </w:r>
      <w:r>
        <w:rPr>
          <w:rFonts w:ascii="Lato" w:eastAsiaTheme="minorHAnsi" w:hAnsi="Lato" w:cs="Arial"/>
          <w:i/>
          <w:shd w:val="clear" w:color="auto" w:fill="FFFFFF"/>
          <w:lang w:eastAsia="en-US"/>
        </w:rPr>
        <w:t>)</w:t>
      </w:r>
    </w:p>
    <w:p w14:paraId="10565FBF" w14:textId="77777777" w:rsidR="00E751EC" w:rsidRDefault="00FE4F5F">
      <w:pPr>
        <w:spacing w:after="240"/>
        <w:jc w:val="both"/>
        <w:rPr>
          <w:rFonts w:cs="Arial"/>
          <w:b/>
          <w:bCs/>
        </w:rPr>
        <w:sectPr w:rsidR="00E751EC" w:rsidSect="0023511A">
          <w:pgSz w:w="12240" w:h="15840"/>
          <w:pgMar w:top="567" w:right="1418" w:bottom="568" w:left="1418" w:header="709" w:footer="709" w:gutter="0"/>
          <w:cols w:space="708"/>
          <w:noEndnote/>
        </w:sectPr>
      </w:pPr>
    </w:p>
    <w:p w14:paraId="5CA3D616" w14:textId="77777777" w:rsidR="00C37A6C" w:rsidRPr="00D54F77" w:rsidRDefault="000049A5" w:rsidP="00D54F77">
      <w:pPr>
        <w:spacing w:before="60" w:after="60"/>
        <w:jc w:val="both"/>
        <w:rPr>
          <w:rFonts w:ascii="Lato" w:hAnsi="Lato" w:cs="Arial"/>
        </w:rPr>
      </w:pPr>
      <w:r w:rsidRPr="00D54F77">
        <w:rPr>
          <w:rFonts w:ascii="Lato" w:hAnsi="Lato" w:cs="Arial"/>
          <w:b/>
          <w:bCs/>
        </w:rPr>
        <w:lastRenderedPageBreak/>
        <w:t>Dział II</w:t>
      </w:r>
      <w:r w:rsidRPr="00D54F77">
        <w:rPr>
          <w:rFonts w:ascii="Lato" w:hAnsi="Lato" w:cs="Arial"/>
          <w:vertAlign w:val="superscript"/>
        </w:rPr>
        <w:t>9)</w:t>
      </w:r>
    </w:p>
    <w:p w14:paraId="1458F092" w14:textId="77777777" w:rsidR="00C37A6C" w:rsidRPr="00D54F77" w:rsidRDefault="000049A5" w:rsidP="00A54DFA">
      <w:pPr>
        <w:tabs>
          <w:tab w:val="left" w:pos="426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A54DFA">
        <w:rPr>
          <w:rFonts w:ascii="Lato" w:hAnsi="Lato" w:cs="Arial"/>
          <w:b/>
        </w:rPr>
        <w:t>1.</w:t>
      </w:r>
      <w:r w:rsidRPr="00D54F77">
        <w:rPr>
          <w:rFonts w:ascii="Lato" w:hAnsi="Lato" w:cs="Arial"/>
        </w:rPr>
        <w:tab/>
      </w:r>
      <w:r w:rsidRPr="00A54DFA">
        <w:rPr>
          <w:rFonts w:ascii="Lato" w:hAnsi="Lato" w:cs="Arial"/>
          <w:b/>
        </w:rPr>
        <w:t>Zastrzeżenia dotyczące funkcjonowania kontroli zarządczej w roku ubiegłym.</w:t>
      </w:r>
    </w:p>
    <w:p w14:paraId="783FD385" w14:textId="0E9B8065" w:rsidR="00EE36F5" w:rsidRPr="00D148A0" w:rsidRDefault="00EE36F5" w:rsidP="00956224">
      <w:pPr>
        <w:spacing w:before="60" w:after="60"/>
        <w:ind w:left="369"/>
        <w:jc w:val="both"/>
        <w:rPr>
          <w:rFonts w:ascii="Lato" w:hAnsi="Lato"/>
        </w:rPr>
      </w:pPr>
      <w:r w:rsidRPr="00D148A0">
        <w:rPr>
          <w:rFonts w:ascii="Lato" w:hAnsi="Lato"/>
        </w:rPr>
        <w:t xml:space="preserve">Zastrzeżenia Ministra Aktywów Państwowych w odniesieniu do kierowanych przez niego działów administracji rządowej </w:t>
      </w:r>
      <w:r w:rsidRPr="00D148A0">
        <w:rPr>
          <w:rFonts w:ascii="Lato" w:hAnsi="Lato" w:cs="Arial"/>
        </w:rPr>
        <w:t>aktywa państwowe,</w:t>
      </w:r>
      <w:r w:rsidRPr="00D148A0">
        <w:rPr>
          <w:rFonts w:ascii="Lato" w:hAnsi="Lato"/>
        </w:rPr>
        <w:t xml:space="preserve"> gospodarka złożami kopalin,</w:t>
      </w:r>
      <w:r w:rsidRPr="00D148A0">
        <w:rPr>
          <w:rFonts w:ascii="Lato" w:hAnsi="Lato" w:cs="Arial"/>
        </w:rPr>
        <w:t xml:space="preserve"> łączność </w:t>
      </w:r>
      <w:r w:rsidR="00991A24" w:rsidRPr="00271544">
        <w:rPr>
          <w:rFonts w:ascii="Lato" w:hAnsi="Lato"/>
        </w:rPr>
        <w:t>w zakresie</w:t>
      </w:r>
      <w:r w:rsidRPr="00D148A0">
        <w:rPr>
          <w:rFonts w:ascii="Lato" w:hAnsi="Lato" w:cs="Arial"/>
        </w:rPr>
        <w:t xml:space="preserve"> obszar</w:t>
      </w:r>
      <w:r w:rsidR="00991A24">
        <w:rPr>
          <w:rFonts w:ascii="Lato" w:hAnsi="Lato" w:cs="Arial"/>
        </w:rPr>
        <w:t>ów</w:t>
      </w:r>
      <w:r w:rsidRPr="00D148A0">
        <w:rPr>
          <w:rFonts w:ascii="Lato" w:hAnsi="Lato"/>
        </w:rPr>
        <w:t>:</w:t>
      </w:r>
    </w:p>
    <w:p w14:paraId="5C8044E5" w14:textId="7851D757" w:rsidR="003D6A01" w:rsidRPr="00271544" w:rsidRDefault="00B30768" w:rsidP="00A54DFA">
      <w:pPr>
        <w:pStyle w:val="Akapitzlist"/>
        <w:numPr>
          <w:ilvl w:val="0"/>
          <w:numId w:val="8"/>
        </w:numPr>
        <w:spacing w:before="60" w:after="60"/>
        <w:ind w:left="1061" w:hanging="284"/>
        <w:jc w:val="both"/>
        <w:rPr>
          <w:rFonts w:ascii="Lato" w:hAnsi="Lato"/>
        </w:rPr>
      </w:pPr>
      <w:r w:rsidRPr="00271544">
        <w:rPr>
          <w:rFonts w:ascii="Lato" w:hAnsi="Lato"/>
        </w:rPr>
        <w:t>skuteczności i efektywności działania</w:t>
      </w:r>
      <w:r w:rsidR="00991A24">
        <w:rPr>
          <w:rFonts w:ascii="Lato" w:hAnsi="Lato"/>
        </w:rPr>
        <w:t xml:space="preserve"> dotyczyły</w:t>
      </w:r>
      <w:r w:rsidR="003D6A01" w:rsidRPr="00271544">
        <w:rPr>
          <w:rFonts w:ascii="Lato" w:hAnsi="Lato"/>
        </w:rPr>
        <w:t>:</w:t>
      </w:r>
      <w:r w:rsidRPr="00271544">
        <w:rPr>
          <w:rFonts w:ascii="Lato" w:hAnsi="Lato"/>
        </w:rPr>
        <w:t xml:space="preserve"> </w:t>
      </w:r>
    </w:p>
    <w:p w14:paraId="3902C9CC" w14:textId="31287676" w:rsidR="00B30768" w:rsidRPr="00271544" w:rsidRDefault="00B30768" w:rsidP="006C6086">
      <w:pPr>
        <w:pStyle w:val="Akapitzlist"/>
        <w:numPr>
          <w:ilvl w:val="0"/>
          <w:numId w:val="14"/>
        </w:numPr>
        <w:spacing w:before="60" w:after="60"/>
        <w:ind w:left="1559" w:hanging="357"/>
        <w:jc w:val="both"/>
        <w:rPr>
          <w:rFonts w:ascii="Lato" w:hAnsi="Lato"/>
        </w:rPr>
      </w:pPr>
      <w:r w:rsidRPr="00271544">
        <w:rPr>
          <w:rFonts w:ascii="Lato" w:hAnsi="Lato"/>
        </w:rPr>
        <w:t xml:space="preserve">realizacji celów i zadań ujętych w Planie działalności </w:t>
      </w:r>
      <w:r w:rsidR="006C6086">
        <w:rPr>
          <w:rFonts w:ascii="Lato" w:hAnsi="Lato"/>
        </w:rPr>
        <w:t xml:space="preserve">Ministra Aktywów Państwowych na </w:t>
      </w:r>
      <w:r w:rsidRPr="00271544">
        <w:rPr>
          <w:rFonts w:ascii="Lato" w:hAnsi="Lato"/>
        </w:rPr>
        <w:t>rok 2024, planach komórek organizacyjnych oraz kartach procesów</w:t>
      </w:r>
      <w:r w:rsidR="006C6086">
        <w:rPr>
          <w:rFonts w:ascii="Lato" w:hAnsi="Lato"/>
        </w:rPr>
        <w:t xml:space="preserve"> nieosiągnięcie                w</w:t>
      </w:r>
      <w:r w:rsidR="00AE7F82" w:rsidRPr="00271544">
        <w:rPr>
          <w:rFonts w:ascii="Lato" w:hAnsi="Lato"/>
        </w:rPr>
        <w:t xml:space="preserve"> całości niektórych mierników określających stopień realizacji celów i zadań ujętych</w:t>
      </w:r>
      <w:r w:rsidR="006C6086">
        <w:rPr>
          <w:rFonts w:ascii="Lato" w:hAnsi="Lato"/>
        </w:rPr>
        <w:t xml:space="preserve">           </w:t>
      </w:r>
      <w:r w:rsidR="00AE7F82" w:rsidRPr="00271544">
        <w:rPr>
          <w:rFonts w:ascii="Lato" w:hAnsi="Lato"/>
        </w:rPr>
        <w:t>w Planie działalności Ministra Aktywów Państwowych</w:t>
      </w:r>
      <w:r w:rsidRPr="00271544">
        <w:rPr>
          <w:rFonts w:ascii="Lato" w:hAnsi="Lato"/>
        </w:rPr>
        <w:t xml:space="preserve">; </w:t>
      </w:r>
    </w:p>
    <w:p w14:paraId="4BD6A919" w14:textId="4D49D6A8" w:rsidR="00EE36F5" w:rsidRPr="00271544" w:rsidRDefault="00EE36F5" w:rsidP="00A54DFA">
      <w:pPr>
        <w:pStyle w:val="Akapitzlist"/>
        <w:numPr>
          <w:ilvl w:val="0"/>
          <w:numId w:val="14"/>
        </w:numPr>
        <w:spacing w:before="60" w:after="60"/>
        <w:ind w:left="1559" w:hanging="357"/>
        <w:jc w:val="both"/>
        <w:rPr>
          <w:rFonts w:ascii="Lato" w:hAnsi="Lato"/>
        </w:rPr>
      </w:pPr>
      <w:r w:rsidRPr="00271544">
        <w:rPr>
          <w:rFonts w:ascii="Lato" w:hAnsi="Lato"/>
        </w:rPr>
        <w:t>koordynowania udzielania odpowiedzi na  wystąpienia kierowane do MAP</w:t>
      </w:r>
      <w:r w:rsidR="0081732A" w:rsidRPr="00271544">
        <w:rPr>
          <w:rFonts w:ascii="Lato" w:hAnsi="Lato"/>
        </w:rPr>
        <w:t>;</w:t>
      </w:r>
    </w:p>
    <w:p w14:paraId="170532BD" w14:textId="77777777" w:rsidR="00363D66" w:rsidRPr="00D148A0" w:rsidRDefault="00363D66" w:rsidP="00725187">
      <w:pPr>
        <w:pStyle w:val="Akapitzlist"/>
        <w:spacing w:before="60" w:after="60"/>
        <w:ind w:left="993"/>
        <w:jc w:val="both"/>
        <w:rPr>
          <w:rFonts w:ascii="Lato" w:hAnsi="Lato"/>
          <w:color w:val="FF0000"/>
        </w:rPr>
      </w:pPr>
    </w:p>
    <w:p w14:paraId="24F6E3D1" w14:textId="77777777" w:rsidR="00C37A6C" w:rsidRPr="00D148A0" w:rsidRDefault="000049A5" w:rsidP="00A54DFA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  <w:b/>
        </w:rPr>
      </w:pPr>
      <w:r w:rsidRPr="00D148A0">
        <w:rPr>
          <w:rFonts w:ascii="Lato" w:hAnsi="Lato" w:cs="Arial"/>
          <w:b/>
        </w:rPr>
        <w:t>2.</w:t>
      </w:r>
      <w:r w:rsidRPr="00D148A0">
        <w:rPr>
          <w:rFonts w:ascii="Lato" w:hAnsi="Lato" w:cs="Arial"/>
          <w:b/>
        </w:rPr>
        <w:tab/>
        <w:t>Planowane działania, które zostaną podjęte w celu poprawy funkcjonowania kontroli zarządczej.</w:t>
      </w:r>
    </w:p>
    <w:p w14:paraId="49244F1F" w14:textId="13FF70CF" w:rsidR="00423A50" w:rsidRPr="009A559C" w:rsidRDefault="000049A5" w:rsidP="00956224">
      <w:pPr>
        <w:spacing w:before="60" w:after="60"/>
        <w:ind w:left="714"/>
        <w:jc w:val="both"/>
        <w:rPr>
          <w:rFonts w:ascii="Lato" w:hAnsi="Lato"/>
        </w:rPr>
      </w:pPr>
      <w:r w:rsidRPr="00D148A0">
        <w:rPr>
          <w:rFonts w:ascii="Lato" w:hAnsi="Lato"/>
        </w:rPr>
        <w:t>Działania</w:t>
      </w:r>
      <w:r w:rsidRPr="00423A50">
        <w:rPr>
          <w:rFonts w:ascii="Lato" w:hAnsi="Lato"/>
        </w:rPr>
        <w:t xml:space="preserve">, które zostaną podjęte w </w:t>
      </w:r>
      <w:r w:rsidRPr="009A559C">
        <w:rPr>
          <w:rFonts w:ascii="Lato" w:hAnsi="Lato"/>
        </w:rPr>
        <w:t xml:space="preserve">2025 </w:t>
      </w:r>
      <w:r w:rsidRPr="00423A50">
        <w:rPr>
          <w:rFonts w:ascii="Lato" w:hAnsi="Lato"/>
        </w:rPr>
        <w:t xml:space="preserve">roku przez Ministra Aktywów Państwowych w kierowanej </w:t>
      </w:r>
      <w:r w:rsidRPr="009A559C">
        <w:rPr>
          <w:rFonts w:ascii="Lato" w:hAnsi="Lato"/>
        </w:rPr>
        <w:t>przez niego jednostce</w:t>
      </w:r>
      <w:r w:rsidR="00991A24" w:rsidRPr="00991A24">
        <w:rPr>
          <w:rFonts w:ascii="Lato" w:hAnsi="Lato" w:cs="Arial"/>
        </w:rPr>
        <w:t xml:space="preserve"> </w:t>
      </w:r>
      <w:r w:rsidR="00991A24" w:rsidRPr="009A559C">
        <w:rPr>
          <w:rFonts w:ascii="Lato" w:hAnsi="Lato" w:cs="Arial"/>
        </w:rPr>
        <w:t>w obszarze</w:t>
      </w:r>
      <w:r w:rsidRPr="009A559C">
        <w:rPr>
          <w:rFonts w:ascii="Lato" w:hAnsi="Lato"/>
        </w:rPr>
        <w:t>:</w:t>
      </w:r>
    </w:p>
    <w:p w14:paraId="31A57E90" w14:textId="063ACEE9" w:rsidR="009A559C" w:rsidRPr="009A559C" w:rsidRDefault="00560B33" w:rsidP="00A54DFA">
      <w:pPr>
        <w:pStyle w:val="Akapitzlist"/>
        <w:numPr>
          <w:ilvl w:val="0"/>
          <w:numId w:val="4"/>
        </w:numPr>
        <w:spacing w:before="60" w:after="60"/>
        <w:ind w:left="1061" w:hanging="284"/>
        <w:jc w:val="both"/>
        <w:rPr>
          <w:rFonts w:ascii="Lato" w:hAnsi="Lato" w:cs="Arial"/>
        </w:rPr>
      </w:pPr>
      <w:r w:rsidRPr="009A559C">
        <w:rPr>
          <w:rFonts w:ascii="Lato" w:hAnsi="Lato" w:cs="Arial"/>
        </w:rPr>
        <w:t>skuteczności i efektywności działania</w:t>
      </w:r>
      <w:r w:rsidR="009A559C" w:rsidRPr="009A559C">
        <w:rPr>
          <w:rFonts w:ascii="Lato" w:hAnsi="Lato" w:cs="Arial"/>
        </w:rPr>
        <w:t>:</w:t>
      </w:r>
    </w:p>
    <w:p w14:paraId="7A6FE876" w14:textId="0054B3CA" w:rsidR="009F0D41" w:rsidRPr="006C6086" w:rsidRDefault="00560B33" w:rsidP="00A54DFA">
      <w:pPr>
        <w:pStyle w:val="Akapitzlist"/>
        <w:numPr>
          <w:ilvl w:val="0"/>
          <w:numId w:val="9"/>
        </w:numPr>
        <w:shd w:val="clear" w:color="auto" w:fill="FFFFFF" w:themeFill="background1"/>
        <w:spacing w:before="60" w:after="60"/>
        <w:ind w:left="1559" w:hanging="357"/>
        <w:jc w:val="both"/>
        <w:rPr>
          <w:rFonts w:ascii="Lato" w:hAnsi="Lato" w:cs="Arial"/>
        </w:rPr>
      </w:pPr>
      <w:r w:rsidRPr="009A559C">
        <w:rPr>
          <w:rFonts w:ascii="Lato" w:hAnsi="Lato" w:cs="Arial"/>
        </w:rPr>
        <w:t xml:space="preserve">w zakresie </w:t>
      </w:r>
      <w:r w:rsidRPr="009A559C">
        <w:rPr>
          <w:rFonts w:ascii="Lato" w:hAnsi="Lato"/>
        </w:rPr>
        <w:t>realizacji celów i zadań ujętych m.in. w planie działalności Ministra, planach komórek organizacyjnych oraz kartach procesów</w:t>
      </w:r>
      <w:r w:rsidR="009A559C">
        <w:rPr>
          <w:rFonts w:ascii="Lato" w:hAnsi="Lato"/>
        </w:rPr>
        <w:t xml:space="preserve"> - </w:t>
      </w:r>
      <w:r w:rsidR="00ED76D2" w:rsidRPr="00ED76D2">
        <w:rPr>
          <w:rFonts w:ascii="Lato" w:hAnsi="Lato"/>
        </w:rPr>
        <w:t>wdrożenie narzędzi automatyzujących poszczególne procesy kontroli zarządczej, aktualizacja procedur, bieżące monitorowanie terminowości i sposobu realizacji zadań, raportowanie, u</w:t>
      </w:r>
      <w:r w:rsidR="000F5CC5">
        <w:rPr>
          <w:rFonts w:ascii="Lato" w:hAnsi="Lato"/>
        </w:rPr>
        <w:t>s</w:t>
      </w:r>
      <w:r w:rsidR="00ED76D2" w:rsidRPr="00ED76D2">
        <w:rPr>
          <w:rFonts w:ascii="Lato" w:hAnsi="Lato"/>
        </w:rPr>
        <w:t>prawnienie procesu zarządzania ryzykiem;</w:t>
      </w:r>
    </w:p>
    <w:p w14:paraId="3418D763" w14:textId="77777777" w:rsidR="006C6086" w:rsidRPr="007345EE" w:rsidRDefault="006C6086" w:rsidP="006C6086">
      <w:pPr>
        <w:pStyle w:val="Akapitzlist"/>
        <w:numPr>
          <w:ilvl w:val="0"/>
          <w:numId w:val="9"/>
        </w:numPr>
        <w:ind w:left="1559" w:hanging="357"/>
        <w:jc w:val="both"/>
        <w:rPr>
          <w:rFonts w:ascii="Lato" w:hAnsi="Lato" w:cs="Arial"/>
        </w:rPr>
      </w:pPr>
      <w:r w:rsidRPr="007345EE">
        <w:rPr>
          <w:rFonts w:ascii="Lato" w:hAnsi="Lato" w:cs="Arial"/>
        </w:rPr>
        <w:t xml:space="preserve">w zakresie koordynowania udzielania odpowiedzi na  wystąpienia kierowane do MAP </w:t>
      </w:r>
      <w:r>
        <w:rPr>
          <w:rFonts w:ascii="Lato" w:hAnsi="Lato" w:cs="Arial"/>
        </w:rPr>
        <w:t xml:space="preserve">             </w:t>
      </w:r>
      <w:r w:rsidRPr="007345EE">
        <w:rPr>
          <w:rFonts w:ascii="Lato" w:hAnsi="Lato" w:cs="Arial"/>
        </w:rPr>
        <w:t xml:space="preserve">- </w:t>
      </w:r>
      <w:r>
        <w:rPr>
          <w:rFonts w:ascii="Lato" w:hAnsi="Lato" w:cs="Arial"/>
        </w:rPr>
        <w:t xml:space="preserve"> </w:t>
      </w:r>
      <w:r w:rsidRPr="007345EE">
        <w:rPr>
          <w:rFonts w:ascii="Lato" w:hAnsi="Lato" w:cs="Arial"/>
        </w:rPr>
        <w:t>dalsze działania na rzecz optymalizacji procesu;</w:t>
      </w:r>
    </w:p>
    <w:p w14:paraId="4C820C25" w14:textId="7AE5B1B9" w:rsidR="006C6086" w:rsidRPr="006C6086" w:rsidRDefault="006C6086" w:rsidP="006C6086">
      <w:pPr>
        <w:shd w:val="clear" w:color="auto" w:fill="FFFFFF" w:themeFill="background1"/>
        <w:spacing w:before="60" w:after="60"/>
        <w:ind w:left="1202"/>
        <w:jc w:val="both"/>
        <w:rPr>
          <w:rFonts w:ascii="Lato" w:hAnsi="Lato" w:cs="Arial"/>
        </w:rPr>
      </w:pPr>
      <w:r>
        <w:rPr>
          <w:rFonts w:ascii="Lato" w:hAnsi="Lato" w:cs="Arial"/>
        </w:rPr>
        <w:t>Ponadto:</w:t>
      </w:r>
    </w:p>
    <w:p w14:paraId="4E873CD1" w14:textId="401D8FE0" w:rsidR="00671972" w:rsidRPr="000A0D3B" w:rsidRDefault="00671972" w:rsidP="00A54DFA">
      <w:pPr>
        <w:pStyle w:val="Akapitzlist"/>
        <w:numPr>
          <w:ilvl w:val="0"/>
          <w:numId w:val="9"/>
        </w:numPr>
        <w:ind w:left="1559" w:hanging="357"/>
        <w:jc w:val="both"/>
        <w:rPr>
          <w:rFonts w:ascii="Lato" w:hAnsi="Lato" w:cs="Arial"/>
        </w:rPr>
      </w:pPr>
      <w:r w:rsidRPr="000A0D3B">
        <w:rPr>
          <w:rFonts w:ascii="Lato" w:hAnsi="Lato" w:cs="Arial"/>
        </w:rPr>
        <w:t xml:space="preserve">kontynuowanie </w:t>
      </w:r>
      <w:r w:rsidR="00475BCC">
        <w:rPr>
          <w:rFonts w:ascii="Lato" w:hAnsi="Lato" w:cs="Arial"/>
        </w:rPr>
        <w:t xml:space="preserve">działań naprawczych oraz </w:t>
      </w:r>
      <w:r w:rsidRPr="000A0D3B">
        <w:rPr>
          <w:rFonts w:ascii="Lato" w:hAnsi="Lato" w:cs="Arial"/>
        </w:rPr>
        <w:t>prac związanych z kompleksowym wdrożeniem rozwiązań HR</w:t>
      </w:r>
      <w:r w:rsidR="00475BCC">
        <w:rPr>
          <w:rFonts w:ascii="Lato" w:hAnsi="Lato" w:cs="Arial"/>
        </w:rPr>
        <w:t xml:space="preserve"> </w:t>
      </w:r>
      <w:r w:rsidRPr="000A0D3B">
        <w:rPr>
          <w:rFonts w:ascii="Lato" w:hAnsi="Lato" w:cs="Arial"/>
        </w:rPr>
        <w:t>w powiązaniu z modułem Kadry i innych niezbędnych działań do zapewnienia pełnej funkcjonalności rozwiązań kluczowych dla Ministerstwa, wdrożenie nowego systemu do wybranych procesów kadrowych, cyfryzacja procedur;</w:t>
      </w:r>
    </w:p>
    <w:p w14:paraId="7BCA5AC9" w14:textId="4925573F" w:rsidR="00026EA4" w:rsidRDefault="007345EE" w:rsidP="00A54DFA">
      <w:pPr>
        <w:pStyle w:val="Akapitzlist"/>
        <w:numPr>
          <w:ilvl w:val="0"/>
          <w:numId w:val="9"/>
        </w:numPr>
        <w:ind w:left="1559" w:hanging="357"/>
        <w:jc w:val="both"/>
        <w:rPr>
          <w:rFonts w:ascii="Lato" w:hAnsi="Lato" w:cs="Arial"/>
        </w:rPr>
      </w:pPr>
      <w:r w:rsidRPr="007345EE">
        <w:rPr>
          <w:rFonts w:ascii="Lato" w:hAnsi="Lato" w:cs="Arial"/>
          <w:bCs/>
        </w:rPr>
        <w:t xml:space="preserve">przeprowadzenie szkoleń wewnętrznych z kontroli zarządczej i zarządzania ryzykiem, </w:t>
      </w:r>
      <w:r w:rsidRPr="007345EE">
        <w:rPr>
          <w:rFonts w:ascii="Lato" w:hAnsi="Lato" w:cs="Arial"/>
        </w:rPr>
        <w:t>kontynuowanie działań mających na celu upowszechnienie wśród pracowników wiedzy</w:t>
      </w:r>
      <w:r w:rsidR="000A0D3B">
        <w:rPr>
          <w:rFonts w:ascii="Lato" w:hAnsi="Lato" w:cs="Arial"/>
        </w:rPr>
        <w:t xml:space="preserve"> </w:t>
      </w:r>
      <w:r w:rsidRPr="007345EE">
        <w:rPr>
          <w:rFonts w:ascii="Lato" w:hAnsi="Lato" w:cs="Arial"/>
        </w:rPr>
        <w:t>w zakresie kontroli zarządczej;</w:t>
      </w:r>
    </w:p>
    <w:p w14:paraId="1323D861" w14:textId="42EEE85F" w:rsidR="00026EA4" w:rsidRPr="00775AC2" w:rsidRDefault="00026EA4" w:rsidP="000605A4">
      <w:pPr>
        <w:pStyle w:val="Akapitzlist"/>
        <w:numPr>
          <w:ilvl w:val="0"/>
          <w:numId w:val="18"/>
        </w:numPr>
        <w:ind w:left="1061" w:hanging="284"/>
        <w:jc w:val="both"/>
        <w:rPr>
          <w:rFonts w:ascii="Lato" w:hAnsi="Lato" w:cs="Arial"/>
        </w:rPr>
      </w:pPr>
      <w:r w:rsidRPr="00775AC2">
        <w:rPr>
          <w:rFonts w:ascii="Lato" w:hAnsi="Lato"/>
          <w:shd w:val="clear" w:color="auto" w:fill="FFFFFF" w:themeFill="background1"/>
        </w:rPr>
        <w:t>zarządzania ryzykiem</w:t>
      </w:r>
      <w:r w:rsidRPr="00775AC2">
        <w:rPr>
          <w:rFonts w:ascii="Lato" w:hAnsi="Lato"/>
        </w:rPr>
        <w:t>:</w:t>
      </w:r>
    </w:p>
    <w:p w14:paraId="366260C2" w14:textId="14F0BDB7" w:rsidR="00775AC2" w:rsidRPr="006428A6" w:rsidRDefault="004A4656" w:rsidP="006428A6">
      <w:pPr>
        <w:pStyle w:val="Akapitzlist"/>
        <w:numPr>
          <w:ilvl w:val="0"/>
          <w:numId w:val="9"/>
        </w:numPr>
        <w:shd w:val="clear" w:color="auto" w:fill="FFFFFF" w:themeFill="background1"/>
        <w:spacing w:before="60" w:after="60"/>
        <w:ind w:left="1559" w:hanging="357"/>
        <w:jc w:val="both"/>
        <w:rPr>
          <w:rFonts w:ascii="Lato" w:hAnsi="Lato"/>
        </w:rPr>
      </w:pPr>
      <w:r w:rsidRPr="000A0D3B">
        <w:rPr>
          <w:rFonts w:ascii="Lato" w:hAnsi="Lato"/>
        </w:rPr>
        <w:t xml:space="preserve">współpraca z Biurem Administracyjnym w zakresie </w:t>
      </w:r>
      <w:r w:rsidR="00026EA4" w:rsidRPr="000A0D3B">
        <w:rPr>
          <w:rFonts w:ascii="Lato" w:hAnsi="Lato" w:cs="Arial"/>
        </w:rPr>
        <w:t>przeniesieni</w:t>
      </w:r>
      <w:r w:rsidRPr="000A0D3B">
        <w:rPr>
          <w:rFonts w:ascii="Lato" w:hAnsi="Lato" w:cs="Arial"/>
        </w:rPr>
        <w:t>a</w:t>
      </w:r>
      <w:r w:rsidR="00026EA4" w:rsidRPr="000A0D3B">
        <w:rPr>
          <w:rFonts w:ascii="Lato" w:hAnsi="Lato" w:cs="Arial"/>
        </w:rPr>
        <w:t xml:space="preserve"> zasobu dokumentacji archiwalnej archiwum zakładowego </w:t>
      </w:r>
      <w:r w:rsidR="006428A6" w:rsidRPr="006428A6">
        <w:rPr>
          <w:rFonts w:ascii="Lato" w:hAnsi="Lato" w:cs="Lato-Regular"/>
        </w:rPr>
        <w:t>Ministerstwa Energii</w:t>
      </w:r>
      <w:r w:rsidR="006428A6" w:rsidRPr="000A0D3B">
        <w:rPr>
          <w:rFonts w:ascii="Lato" w:hAnsi="Lato" w:cs="Arial"/>
        </w:rPr>
        <w:t xml:space="preserve"> </w:t>
      </w:r>
      <w:r w:rsidR="00026EA4" w:rsidRPr="000A0D3B">
        <w:rPr>
          <w:rFonts w:ascii="Lato" w:hAnsi="Lato" w:cs="Arial"/>
        </w:rPr>
        <w:t>do innego pomieszczenia</w:t>
      </w:r>
      <w:r w:rsidR="006428A6">
        <w:rPr>
          <w:rFonts w:ascii="Lato" w:hAnsi="Lato" w:cs="Arial"/>
        </w:rPr>
        <w:t xml:space="preserve"> na wyższym poziomie, w miejsce o obniżonej podatności na zalanie </w:t>
      </w:r>
      <w:r w:rsidRPr="006428A6">
        <w:rPr>
          <w:rFonts w:ascii="Lato" w:hAnsi="Lato" w:cs="Arial"/>
        </w:rPr>
        <w:t xml:space="preserve">a także </w:t>
      </w:r>
      <w:r w:rsidR="00775AC2" w:rsidRPr="006428A6">
        <w:rPr>
          <w:rFonts w:ascii="Lato" w:hAnsi="Lato"/>
        </w:rPr>
        <w:t>w celu wypracowania procedury powiadamiania Dyrektora Biura Dyrektora Generalnego i Naczelnika Wydziału Kancelaryjno-Archiwalnego o wystąpieniu zagrożenia zalaniem pomieszczeń archiwum zakładowego po godzinach urzędowania Ministerstwa oraz w dni wolne od pracy.</w:t>
      </w:r>
    </w:p>
    <w:p w14:paraId="35E75101" w14:textId="1D71C3F7" w:rsidR="00F43333" w:rsidRPr="00F43333" w:rsidRDefault="00F43333" w:rsidP="000605A4">
      <w:pPr>
        <w:pStyle w:val="Akapitzlist"/>
        <w:numPr>
          <w:ilvl w:val="0"/>
          <w:numId w:val="16"/>
        </w:numPr>
        <w:spacing w:before="60" w:after="60"/>
        <w:ind w:left="1061" w:hanging="284"/>
        <w:jc w:val="both"/>
        <w:rPr>
          <w:rFonts w:ascii="Lato" w:hAnsi="Lato"/>
        </w:rPr>
      </w:pPr>
      <w:r w:rsidRPr="00F43333">
        <w:rPr>
          <w:rFonts w:ascii="Lato" w:hAnsi="Lato"/>
        </w:rPr>
        <w:t>zgodności działalności z przepisami prawa oraz procedurami/instrukcjami wewnętrznymi:</w:t>
      </w:r>
    </w:p>
    <w:p w14:paraId="631CCC0E" w14:textId="24EA13B8" w:rsidR="00A80BAD" w:rsidRPr="007345EE" w:rsidRDefault="00622352" w:rsidP="00A54DFA">
      <w:pPr>
        <w:pStyle w:val="Akapitzlist"/>
        <w:numPr>
          <w:ilvl w:val="0"/>
          <w:numId w:val="9"/>
        </w:numPr>
        <w:spacing w:before="60" w:after="60"/>
        <w:ind w:left="1559" w:hanging="357"/>
        <w:jc w:val="both"/>
        <w:rPr>
          <w:rFonts w:ascii="Lato" w:hAnsi="Lato" w:cs="Arial"/>
        </w:rPr>
      </w:pPr>
      <w:r w:rsidRPr="006C6086">
        <w:rPr>
          <w:rFonts w:ascii="Lato" w:hAnsi="Lato"/>
        </w:rPr>
        <w:t>wdrożenie systemu raportowania zapewniającego spójność przekazywanych informacji</w:t>
      </w:r>
      <w:r>
        <w:t xml:space="preserve"> </w:t>
      </w:r>
      <w:r>
        <w:rPr>
          <w:rFonts w:ascii="Lato" w:hAnsi="Lato"/>
        </w:rPr>
        <w:t>stanowiących źródło</w:t>
      </w:r>
      <w:r w:rsidRPr="00271544">
        <w:rPr>
          <w:rFonts w:ascii="Lato" w:hAnsi="Lato"/>
        </w:rPr>
        <w:t xml:space="preserve"> do oceny funkcjonowania kontroli zarządczej</w:t>
      </w:r>
      <w:r w:rsidRPr="00622352">
        <w:rPr>
          <w:rFonts w:ascii="Lato" w:hAnsi="Lato"/>
        </w:rPr>
        <w:t>.</w:t>
      </w:r>
      <w:r w:rsidRPr="00956224" w:rsidDel="00622352">
        <w:rPr>
          <w:rFonts w:ascii="Lato" w:hAnsi="Lato" w:cs="Arial"/>
        </w:rPr>
        <w:t xml:space="preserve"> </w:t>
      </w:r>
    </w:p>
    <w:p w14:paraId="58531AFB" w14:textId="1FA318EC" w:rsidR="0049040D" w:rsidRPr="00B63768" w:rsidRDefault="00104B90" w:rsidP="00A54DFA">
      <w:pPr>
        <w:pStyle w:val="Akapitzlist"/>
        <w:numPr>
          <w:ilvl w:val="0"/>
          <w:numId w:val="9"/>
        </w:numPr>
        <w:spacing w:before="60" w:after="60"/>
        <w:ind w:left="1559" w:hanging="357"/>
        <w:jc w:val="both"/>
        <w:rPr>
          <w:rFonts w:ascii="Lato" w:hAnsi="Lato" w:cs="Arial"/>
        </w:rPr>
      </w:pPr>
      <w:r>
        <w:rPr>
          <w:rFonts w:ascii="Lato" w:hAnsi="Lato"/>
        </w:rPr>
        <w:t xml:space="preserve">podjęcie działań mających na celu </w:t>
      </w:r>
      <w:r w:rsidR="007523E6" w:rsidRPr="00B63768">
        <w:rPr>
          <w:rFonts w:ascii="Lato" w:hAnsi="Lato"/>
        </w:rPr>
        <w:t>zwiększenie</w:t>
      </w:r>
      <w:r w:rsidR="0049040D" w:rsidRPr="00B63768">
        <w:rPr>
          <w:rFonts w:ascii="Lato" w:hAnsi="Lato"/>
        </w:rPr>
        <w:t xml:space="preserve"> świadomości zarządczej </w:t>
      </w:r>
      <w:r w:rsidR="007523E6" w:rsidRPr="00B63768">
        <w:rPr>
          <w:rFonts w:ascii="Lato" w:hAnsi="Lato"/>
        </w:rPr>
        <w:t xml:space="preserve">wśród pracowników MAP w celu poprawy </w:t>
      </w:r>
      <w:r w:rsidR="0049040D" w:rsidRPr="00B63768">
        <w:rPr>
          <w:rFonts w:ascii="Lato" w:hAnsi="Lato" w:cs="Arial"/>
        </w:rPr>
        <w:t>skutecznoś</w:t>
      </w:r>
      <w:r w:rsidR="007523E6" w:rsidRPr="00B63768">
        <w:rPr>
          <w:rFonts w:ascii="Lato" w:hAnsi="Lato" w:cs="Arial"/>
        </w:rPr>
        <w:t>ci</w:t>
      </w:r>
      <w:r w:rsidR="0049040D" w:rsidRPr="00B63768">
        <w:rPr>
          <w:rFonts w:ascii="Lato" w:hAnsi="Lato" w:cs="Arial"/>
        </w:rPr>
        <w:t xml:space="preserve"> raportowania w ramach systemu zarządzania i kontroli w ministerstwie;</w:t>
      </w:r>
    </w:p>
    <w:p w14:paraId="67DBBF1E" w14:textId="13EFE644" w:rsidR="00097E02" w:rsidRPr="00BB604F" w:rsidRDefault="00097E02" w:rsidP="00A54DFA">
      <w:pPr>
        <w:pStyle w:val="Akapitzlist"/>
        <w:numPr>
          <w:ilvl w:val="0"/>
          <w:numId w:val="9"/>
        </w:numPr>
        <w:spacing w:before="60" w:after="60"/>
        <w:ind w:left="1559" w:hanging="357"/>
        <w:jc w:val="both"/>
        <w:rPr>
          <w:rFonts w:ascii="Lato" w:hAnsi="Lato" w:cs="Arial"/>
        </w:rPr>
      </w:pPr>
      <w:r w:rsidRPr="00BB604F">
        <w:rPr>
          <w:rFonts w:ascii="Lato" w:hAnsi="Lato" w:cs="Arial"/>
        </w:rPr>
        <w:t>kontynuacja opracowywania nowych procedur i aktualiz</w:t>
      </w:r>
      <w:r w:rsidR="00622352" w:rsidRPr="00BB604F">
        <w:rPr>
          <w:rFonts w:ascii="Lato" w:hAnsi="Lato" w:cs="Arial"/>
        </w:rPr>
        <w:t>acja</w:t>
      </w:r>
      <w:r w:rsidRPr="00BB604F">
        <w:rPr>
          <w:rFonts w:ascii="Lato" w:hAnsi="Lato" w:cs="Arial"/>
        </w:rPr>
        <w:t xml:space="preserve"> istniejących</w:t>
      </w:r>
      <w:r w:rsidR="0081208A" w:rsidRPr="00BB604F">
        <w:rPr>
          <w:rFonts w:ascii="Lato" w:hAnsi="Lato" w:cs="Arial"/>
        </w:rPr>
        <w:t>.</w:t>
      </w:r>
    </w:p>
    <w:p w14:paraId="08DF095C" w14:textId="0A355136" w:rsidR="006E65E5" w:rsidRDefault="006E65E5" w:rsidP="00D54F77">
      <w:pPr>
        <w:spacing w:before="60" w:after="60"/>
        <w:jc w:val="both"/>
        <w:rPr>
          <w:rFonts w:cs="Arial"/>
        </w:rPr>
      </w:pPr>
    </w:p>
    <w:p w14:paraId="3A794941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797731EC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1305F0F6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37FDC070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652F4645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77AD2EC2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5C388AE3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0EF18423" w14:textId="77777777" w:rsidR="00475BCC" w:rsidRDefault="00475BCC" w:rsidP="00D54F77">
      <w:pPr>
        <w:spacing w:before="60" w:after="60"/>
        <w:jc w:val="both"/>
        <w:rPr>
          <w:rFonts w:ascii="Lato" w:hAnsi="Lato" w:cs="Arial"/>
          <w:b/>
          <w:bCs/>
        </w:rPr>
      </w:pPr>
    </w:p>
    <w:p w14:paraId="04C52E82" w14:textId="0035119E" w:rsidR="00C37A6C" w:rsidRPr="00D54F77" w:rsidRDefault="000049A5" w:rsidP="00D54F77">
      <w:pPr>
        <w:spacing w:before="60" w:after="60"/>
        <w:jc w:val="both"/>
        <w:rPr>
          <w:rFonts w:ascii="Lato" w:hAnsi="Lato" w:cs="Arial"/>
          <w:vertAlign w:val="superscript"/>
        </w:rPr>
      </w:pPr>
      <w:r w:rsidRPr="00D54F77">
        <w:rPr>
          <w:rFonts w:ascii="Lato" w:hAnsi="Lato" w:cs="Arial"/>
          <w:b/>
          <w:bCs/>
        </w:rPr>
        <w:lastRenderedPageBreak/>
        <w:t>Dział III</w:t>
      </w:r>
      <w:r w:rsidRPr="00D54F77">
        <w:rPr>
          <w:rFonts w:ascii="Lato" w:hAnsi="Lato" w:cs="Arial"/>
          <w:vertAlign w:val="superscript"/>
        </w:rPr>
        <w:t>10)</w:t>
      </w:r>
    </w:p>
    <w:p w14:paraId="1B95DFE9" w14:textId="75617F4A" w:rsidR="00552FAC" w:rsidRPr="00956224" w:rsidRDefault="000049A5" w:rsidP="008D29E9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  <w:b/>
        </w:rPr>
      </w:pPr>
      <w:r w:rsidRPr="00956224">
        <w:rPr>
          <w:rFonts w:ascii="Lato" w:hAnsi="Lato" w:cs="Arial"/>
          <w:b/>
        </w:rPr>
        <w:t>Działania, które zostały podjęte w ubiegłym roku w celu poprawy funkcjonowania kontroli zarządczej</w:t>
      </w:r>
      <w:r w:rsidR="00622352">
        <w:rPr>
          <w:rFonts w:ascii="Lato" w:hAnsi="Lato" w:cs="Arial"/>
          <w:b/>
        </w:rPr>
        <w:t>.</w:t>
      </w:r>
    </w:p>
    <w:p w14:paraId="5FBBA756" w14:textId="77777777" w:rsidR="00552FAC" w:rsidRPr="00240B94" w:rsidRDefault="000049A5" w:rsidP="008D29E9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1.</w:t>
      </w:r>
      <w:r w:rsidRPr="00D54F77">
        <w:rPr>
          <w:rFonts w:ascii="Lato" w:hAnsi="Lato" w:cs="Arial"/>
        </w:rPr>
        <w:tab/>
        <w:t xml:space="preserve">Działania, </w:t>
      </w:r>
      <w:r w:rsidRPr="00240B94">
        <w:rPr>
          <w:rFonts w:ascii="Lato" w:hAnsi="Lato" w:cs="Arial"/>
        </w:rPr>
        <w:t>które zostały zaplanowane na rok, którego dotyczy oświadczenie:</w:t>
      </w:r>
    </w:p>
    <w:p w14:paraId="77A20690" w14:textId="72D2C122" w:rsidR="00552FAC" w:rsidRPr="00D54F77" w:rsidRDefault="00777383" w:rsidP="0053775E">
      <w:pPr>
        <w:pStyle w:val="Akapitzlist"/>
        <w:numPr>
          <w:ilvl w:val="0"/>
          <w:numId w:val="5"/>
        </w:numPr>
        <w:spacing w:before="60" w:after="60"/>
        <w:ind w:left="714" w:hanging="357"/>
        <w:contextualSpacing w:val="0"/>
        <w:jc w:val="both"/>
        <w:rPr>
          <w:rFonts w:ascii="Lato" w:hAnsi="Lato" w:cs="Arial"/>
        </w:rPr>
      </w:pPr>
      <w:r>
        <w:rPr>
          <w:rFonts w:ascii="Lato" w:hAnsi="Lato"/>
        </w:rPr>
        <w:t>w Ministerstwie</w:t>
      </w:r>
      <w:r w:rsidR="000049A5" w:rsidRPr="00D54F77">
        <w:rPr>
          <w:rFonts w:ascii="Lato" w:hAnsi="Lato"/>
        </w:rPr>
        <w:t xml:space="preserve"> Aktywów Państwowych </w:t>
      </w:r>
      <w:r w:rsidR="000049A5">
        <w:rPr>
          <w:rFonts w:ascii="Lato" w:hAnsi="Lato"/>
        </w:rPr>
        <w:t>w obszarze</w:t>
      </w:r>
      <w:r w:rsidR="000049A5" w:rsidRPr="00D54F77">
        <w:rPr>
          <w:rFonts w:ascii="Lato" w:hAnsi="Lato"/>
        </w:rPr>
        <w:t>:</w:t>
      </w:r>
    </w:p>
    <w:p w14:paraId="0A095A1B" w14:textId="774838F3" w:rsidR="006E6486" w:rsidRPr="003246F9" w:rsidRDefault="00B466FF" w:rsidP="0053775E">
      <w:pPr>
        <w:pStyle w:val="Akapitzlist"/>
        <w:numPr>
          <w:ilvl w:val="0"/>
          <w:numId w:val="19"/>
        </w:numPr>
        <w:shd w:val="clear" w:color="auto" w:fill="FFFFFF" w:themeFill="background1"/>
        <w:spacing w:before="60" w:after="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>zapewnienia ciągłości działania i budowania standardów obsługi administracyjnej Ministerstwa</w:t>
      </w:r>
      <w:r w:rsidR="006E6486" w:rsidRPr="003246F9">
        <w:rPr>
          <w:rFonts w:ascii="Lato" w:hAnsi="Lato" w:cs="Arial"/>
        </w:rPr>
        <w:t>:</w:t>
      </w:r>
      <w:r w:rsidRPr="003246F9">
        <w:rPr>
          <w:rFonts w:ascii="Lato" w:hAnsi="Lato" w:cs="Arial"/>
        </w:rPr>
        <w:t xml:space="preserve"> </w:t>
      </w:r>
    </w:p>
    <w:p w14:paraId="09BD3DD1" w14:textId="069FCE9D" w:rsidR="006E6486" w:rsidRPr="003246F9" w:rsidRDefault="00B466FF" w:rsidP="0053775E">
      <w:pPr>
        <w:pStyle w:val="Akapitzlist"/>
        <w:numPr>
          <w:ilvl w:val="0"/>
          <w:numId w:val="16"/>
        </w:numPr>
        <w:shd w:val="clear" w:color="auto" w:fill="FFFFFF" w:themeFill="background1"/>
        <w:spacing w:before="60" w:after="60"/>
        <w:ind w:left="1134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>w zakresie mechanizmów motywacji i systemu wynagrodzeń</w:t>
      </w:r>
      <w:r w:rsidR="004D672A" w:rsidRPr="003246F9">
        <w:rPr>
          <w:rFonts w:ascii="Lato" w:hAnsi="Lato" w:cs="Arial"/>
        </w:rPr>
        <w:t>:</w:t>
      </w:r>
      <w:r w:rsidRPr="003246F9">
        <w:rPr>
          <w:rFonts w:ascii="Lato" w:hAnsi="Lato" w:cs="Arial"/>
        </w:rPr>
        <w:t xml:space="preserve"> </w:t>
      </w:r>
    </w:p>
    <w:p w14:paraId="24A77F55" w14:textId="736FE364" w:rsidR="00B466FF" w:rsidRPr="003246F9" w:rsidRDefault="006E7F5B" w:rsidP="0053775E">
      <w:pPr>
        <w:pStyle w:val="Akapitzlist"/>
        <w:numPr>
          <w:ilvl w:val="0"/>
          <w:numId w:val="10"/>
        </w:numPr>
        <w:shd w:val="clear" w:color="auto" w:fill="FFFFFF" w:themeFill="background1"/>
        <w:spacing w:before="60" w:after="60"/>
        <w:ind w:left="15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opracowano katalog pozafinansowych i finansowych narzędzi motywowania pracowników Ministerstwa. Powyższe działanie będzie kontynuowane w </w:t>
      </w:r>
      <w:r w:rsidR="008938F1" w:rsidRPr="003246F9">
        <w:rPr>
          <w:rFonts w:ascii="Lato" w:hAnsi="Lato" w:cs="Arial"/>
        </w:rPr>
        <w:t>2025 r.</w:t>
      </w:r>
      <w:r w:rsidRPr="003246F9">
        <w:rPr>
          <w:rFonts w:ascii="Lato" w:hAnsi="Lato" w:cs="Arial"/>
        </w:rPr>
        <w:t>;</w:t>
      </w:r>
    </w:p>
    <w:p w14:paraId="54D1799B" w14:textId="5F821FCA" w:rsidR="006E6486" w:rsidRPr="003246F9" w:rsidRDefault="006E7F5B" w:rsidP="0053775E">
      <w:pPr>
        <w:pStyle w:val="Akapitzlist"/>
        <w:numPr>
          <w:ilvl w:val="0"/>
          <w:numId w:val="4"/>
        </w:numPr>
        <w:ind w:left="1134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>w zakresie obsługi informatycznej</w:t>
      </w:r>
      <w:r w:rsidR="008938F1" w:rsidRPr="003246F9">
        <w:rPr>
          <w:rFonts w:ascii="Lato" w:hAnsi="Lato" w:cs="Arial"/>
        </w:rPr>
        <w:t xml:space="preserve"> urzędu</w:t>
      </w:r>
      <w:r w:rsidR="001828D2" w:rsidRPr="003246F9">
        <w:rPr>
          <w:rFonts w:ascii="Lato" w:hAnsi="Lato" w:cs="Arial"/>
        </w:rPr>
        <w:t>:</w:t>
      </w:r>
      <w:r w:rsidRPr="003246F9">
        <w:rPr>
          <w:rFonts w:ascii="Lato" w:hAnsi="Lato" w:cs="Arial"/>
        </w:rPr>
        <w:t xml:space="preserve"> </w:t>
      </w:r>
    </w:p>
    <w:p w14:paraId="7FBBA766" w14:textId="49041D2F" w:rsidR="003A5505" w:rsidRPr="003246F9" w:rsidRDefault="001828D2" w:rsidP="0053775E">
      <w:pPr>
        <w:pStyle w:val="Akapitzlist"/>
        <w:numPr>
          <w:ilvl w:val="0"/>
          <w:numId w:val="10"/>
        </w:numPr>
        <w:ind w:left="15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w celu usprawnienia inwentaryzacji sprzętu i </w:t>
      </w:r>
      <w:r w:rsidR="006E6486" w:rsidRPr="003246F9">
        <w:rPr>
          <w:rFonts w:ascii="Lato" w:hAnsi="Lato" w:cs="Arial"/>
        </w:rPr>
        <w:t>o</w:t>
      </w:r>
      <w:r w:rsidRPr="003246F9">
        <w:rPr>
          <w:rFonts w:ascii="Lato" w:hAnsi="Lato" w:cs="Arial"/>
        </w:rPr>
        <w:t>programowania rozpoczęto prace analityczne nad wdrożeniem narzędzia klasy CMDB oraz</w:t>
      </w:r>
      <w:r w:rsidR="006E6486" w:rsidRPr="003246F9">
        <w:rPr>
          <w:rFonts w:ascii="Lato" w:hAnsi="Lato" w:cs="Arial"/>
        </w:rPr>
        <w:t xml:space="preserve"> </w:t>
      </w:r>
      <w:r w:rsidRPr="003246F9">
        <w:rPr>
          <w:rFonts w:ascii="Lato" w:hAnsi="Lato" w:cs="Arial"/>
        </w:rPr>
        <w:t>skoncentrowano się na identyfikacji i uporządkowaniu posiadanej infrastruktury z wykorzystaniem dostępnych narzędzi</w:t>
      </w:r>
      <w:r w:rsidR="000A3C9A" w:rsidRPr="003246F9">
        <w:rPr>
          <w:rFonts w:ascii="Lato" w:hAnsi="Lato" w:cs="Arial"/>
        </w:rPr>
        <w:t>;</w:t>
      </w:r>
    </w:p>
    <w:p w14:paraId="7D8CA403" w14:textId="77777777" w:rsidR="003A5505" w:rsidRPr="003246F9" w:rsidRDefault="000A3C9A" w:rsidP="0053775E">
      <w:pPr>
        <w:pStyle w:val="Akapitzlist"/>
        <w:numPr>
          <w:ilvl w:val="0"/>
          <w:numId w:val="10"/>
        </w:numPr>
        <w:ind w:left="15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>przeprowadzono przegląd ról i uprawnień kont administracyjnych w systemach teleinformatycznych;</w:t>
      </w:r>
    </w:p>
    <w:p w14:paraId="080A9A70" w14:textId="77777777" w:rsidR="003A5505" w:rsidRPr="003246F9" w:rsidRDefault="000A3C9A" w:rsidP="0053775E">
      <w:pPr>
        <w:pStyle w:val="Akapitzlist"/>
        <w:numPr>
          <w:ilvl w:val="0"/>
          <w:numId w:val="10"/>
        </w:numPr>
        <w:ind w:left="15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rozpoczęto działania związane z uporządkowaniem systemu uprawnień w systemach teleinformatycznych, aplikacjach i usługach. Podjęto działania mające na celu zunifikowanie wykazu systemów i </w:t>
      </w:r>
      <w:r w:rsidR="008938F1" w:rsidRPr="003246F9">
        <w:rPr>
          <w:rFonts w:ascii="Lato" w:hAnsi="Lato" w:cs="Arial"/>
        </w:rPr>
        <w:t>w</w:t>
      </w:r>
      <w:r w:rsidRPr="003246F9">
        <w:rPr>
          <w:rFonts w:ascii="Lato" w:hAnsi="Lato" w:cs="Arial"/>
        </w:rPr>
        <w:t xml:space="preserve">prowadzenie jednego spójnego rejestru. </w:t>
      </w:r>
      <w:r w:rsidR="008938F1" w:rsidRPr="003246F9">
        <w:rPr>
          <w:rFonts w:ascii="Lato" w:hAnsi="Lato" w:cs="Arial"/>
        </w:rPr>
        <w:t>Zas</w:t>
      </w:r>
      <w:r w:rsidRPr="003246F9">
        <w:rPr>
          <w:rFonts w:ascii="Lato" w:hAnsi="Lato" w:cs="Arial"/>
        </w:rPr>
        <w:t>tosowano zasady hierarchicznego podziału ról dostępowych, co pozwoliło skutecznie wyeliminować przypadki nadmiernych uprawnień przypisanych pojedynczym kontom. Wdrożone rozwiązania zapewniły zgodność z zasadami bezpieczeństwa informacji i zwiększyły przejrzystość systemu zarządzania dostępem;</w:t>
      </w:r>
    </w:p>
    <w:p w14:paraId="2EC2B78C" w14:textId="52C8BF35" w:rsidR="003A5505" w:rsidRPr="003246F9" w:rsidRDefault="00F73F23" w:rsidP="0053775E">
      <w:pPr>
        <w:pStyle w:val="Akapitzlist"/>
        <w:numPr>
          <w:ilvl w:val="0"/>
          <w:numId w:val="10"/>
        </w:numPr>
        <w:ind w:left="15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zorganizowano cykl szkoleń z obsługi systemu Elektronicznego Zarzadzania Dokumentami oraz z zakresu </w:t>
      </w:r>
      <w:proofErr w:type="spellStart"/>
      <w:r w:rsidRPr="003246F9">
        <w:rPr>
          <w:rFonts w:ascii="Lato" w:hAnsi="Lato" w:cs="Arial"/>
        </w:rPr>
        <w:t>cyberbezpieczeństwa</w:t>
      </w:r>
      <w:proofErr w:type="spellEnd"/>
      <w:r w:rsidRPr="003246F9">
        <w:rPr>
          <w:rFonts w:ascii="Lato" w:hAnsi="Lato" w:cs="Arial"/>
        </w:rPr>
        <w:t>;</w:t>
      </w:r>
    </w:p>
    <w:p w14:paraId="3CC069E5" w14:textId="5E1D3524" w:rsidR="000A3C9A" w:rsidRPr="003246F9" w:rsidRDefault="000A3C9A" w:rsidP="0053775E">
      <w:pPr>
        <w:pStyle w:val="Akapitzlist"/>
        <w:numPr>
          <w:ilvl w:val="0"/>
          <w:numId w:val="10"/>
        </w:numPr>
        <w:ind w:left="1560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wzmocniono nadzór nad rozliczalnością dokumentów w systemie EZD. </w:t>
      </w:r>
      <w:r w:rsidR="00A53211" w:rsidRPr="003246F9">
        <w:rPr>
          <w:rFonts w:ascii="Lato" w:hAnsi="Lato" w:cs="Arial"/>
        </w:rPr>
        <w:t>W</w:t>
      </w:r>
      <w:r w:rsidRPr="003246F9">
        <w:rPr>
          <w:rFonts w:ascii="Lato" w:hAnsi="Lato" w:cs="Arial"/>
        </w:rPr>
        <w:t>prowadzono procedury umożliwiające bezpieczne i terminowe wyłączanie kont użytkowników, co zapewnia pełną rozliczalność dokumentów oraz umożliwia wyrejestrowanie użytkownika z sieci bez ryzyka pozostawienia nierozliczonych spraw.</w:t>
      </w:r>
    </w:p>
    <w:p w14:paraId="259F2207" w14:textId="30C1B116" w:rsidR="003A5505" w:rsidRPr="00D42EE1" w:rsidRDefault="00D42EE1" w:rsidP="00A54DFA">
      <w:pPr>
        <w:shd w:val="clear" w:color="auto" w:fill="FFFFFF" w:themeFill="background1"/>
        <w:spacing w:before="60"/>
        <w:ind w:left="1128" w:hanging="414"/>
        <w:jc w:val="both"/>
        <w:rPr>
          <w:rFonts w:ascii="Lato" w:hAnsi="Lato" w:cs="Arial"/>
        </w:rPr>
      </w:pPr>
      <w:r w:rsidRPr="00D42EE1">
        <w:rPr>
          <w:rFonts w:ascii="Lato" w:eastAsiaTheme="minorHAnsi" w:hAnsi="Lato" w:cs="Arial"/>
          <w:lang w:eastAsia="en-US"/>
        </w:rPr>
        <w:t xml:space="preserve">b) </w:t>
      </w:r>
      <w:r>
        <w:rPr>
          <w:rFonts w:ascii="Lato" w:eastAsiaTheme="minorHAnsi" w:hAnsi="Lato" w:cs="Arial"/>
          <w:lang w:eastAsia="en-US"/>
        </w:rPr>
        <w:t xml:space="preserve">   z</w:t>
      </w:r>
      <w:r w:rsidR="00805D9C" w:rsidRPr="00D42EE1">
        <w:rPr>
          <w:rFonts w:ascii="Lato" w:eastAsiaTheme="minorHAnsi" w:hAnsi="Lato" w:cs="Arial"/>
          <w:lang w:eastAsia="en-US"/>
        </w:rPr>
        <w:t xml:space="preserve">apewnienia </w:t>
      </w:r>
      <w:r w:rsidR="002221A7" w:rsidRPr="00D42EE1">
        <w:rPr>
          <w:rFonts w:ascii="Lato" w:eastAsiaTheme="minorHAnsi" w:hAnsi="Lato" w:cs="Arial"/>
          <w:lang w:eastAsia="en-US"/>
        </w:rPr>
        <w:t>skuteczności i efektywności działania</w:t>
      </w:r>
      <w:r w:rsidR="004D672A" w:rsidRPr="00D42EE1">
        <w:rPr>
          <w:rFonts w:ascii="Lato" w:eastAsiaTheme="minorHAnsi" w:hAnsi="Lato" w:cs="Arial"/>
          <w:lang w:eastAsia="en-US"/>
        </w:rPr>
        <w:t>:</w:t>
      </w:r>
    </w:p>
    <w:p w14:paraId="0D988D26" w14:textId="62B56266" w:rsidR="003A5505" w:rsidRPr="00D42EE1" w:rsidRDefault="00791B4C" w:rsidP="00D42EE1">
      <w:pPr>
        <w:pStyle w:val="Akapitzlist"/>
        <w:numPr>
          <w:ilvl w:val="0"/>
          <w:numId w:val="20"/>
        </w:numPr>
        <w:spacing w:before="60" w:after="60"/>
        <w:ind w:left="1202" w:hanging="425"/>
        <w:jc w:val="both"/>
        <w:rPr>
          <w:rFonts w:ascii="Lato" w:hAnsi="Lato" w:cs="Arial"/>
        </w:rPr>
      </w:pPr>
      <w:r w:rsidRPr="00D42EE1">
        <w:rPr>
          <w:rFonts w:ascii="Lato" w:hAnsi="Lato" w:cs="Arial"/>
        </w:rPr>
        <w:t>w zakresie koordynowania udzielania odpowiedzi na wystąpienia kierowane do MAP</w:t>
      </w:r>
      <w:r w:rsidR="004D672A" w:rsidRPr="00D42EE1">
        <w:rPr>
          <w:rFonts w:ascii="Lato" w:hAnsi="Lato" w:cs="Arial"/>
        </w:rPr>
        <w:t>:</w:t>
      </w:r>
    </w:p>
    <w:p w14:paraId="2B6F2C8B" w14:textId="77777777" w:rsidR="003A5505" w:rsidRPr="003246F9" w:rsidRDefault="004D672A" w:rsidP="00D42EE1">
      <w:pPr>
        <w:pStyle w:val="Akapitzlist"/>
        <w:numPr>
          <w:ilvl w:val="0"/>
          <w:numId w:val="11"/>
        </w:numPr>
        <w:shd w:val="clear" w:color="auto" w:fill="FFFFFF" w:themeFill="background1"/>
        <w:spacing w:before="60" w:after="60"/>
        <w:ind w:left="1559" w:hanging="357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wzmożono stały monitoring prowadzonych spraw oraz realizacji procesu, ze szczególnym naciskiem na wyznaczanie terminów realizacji kolejnych </w:t>
      </w:r>
      <w:r w:rsidR="00805D9C" w:rsidRPr="003246F9">
        <w:rPr>
          <w:rFonts w:ascii="Lato" w:hAnsi="Lato" w:cs="Arial"/>
        </w:rPr>
        <w:t xml:space="preserve">jego </w:t>
      </w:r>
      <w:r w:rsidRPr="003246F9">
        <w:rPr>
          <w:rFonts w:ascii="Lato" w:hAnsi="Lato" w:cs="Arial"/>
        </w:rPr>
        <w:t>etapów i kierowanie monitów do KO przygotowujących projekty odpowiedzi oraz sekretariatów członków Kierownictwa MAP.</w:t>
      </w:r>
    </w:p>
    <w:p w14:paraId="1DFDF001" w14:textId="77777777" w:rsidR="00D85778" w:rsidRPr="003246F9" w:rsidRDefault="00805D9C" w:rsidP="00D42EE1">
      <w:pPr>
        <w:pStyle w:val="Akapitzlist"/>
        <w:numPr>
          <w:ilvl w:val="0"/>
          <w:numId w:val="11"/>
        </w:numPr>
        <w:shd w:val="clear" w:color="auto" w:fill="FFFFFF" w:themeFill="background1"/>
        <w:spacing w:before="60" w:after="60"/>
        <w:ind w:left="1559" w:hanging="357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>w</w:t>
      </w:r>
      <w:r w:rsidR="008C130A" w:rsidRPr="003246F9">
        <w:rPr>
          <w:rFonts w:ascii="Lato" w:hAnsi="Lato" w:cs="Arial"/>
        </w:rPr>
        <w:t xml:space="preserve">prowadzono monitoring </w:t>
      </w:r>
      <w:r w:rsidRPr="003246F9">
        <w:rPr>
          <w:rFonts w:ascii="Lato" w:hAnsi="Lato" w:cs="Arial"/>
        </w:rPr>
        <w:t xml:space="preserve">przekazywania projektów odpowiedzi komórek organizacyjnych na wnioski </w:t>
      </w:r>
      <w:proofErr w:type="spellStart"/>
      <w:r w:rsidRPr="003246F9">
        <w:rPr>
          <w:rFonts w:ascii="Lato" w:hAnsi="Lato" w:cs="Arial"/>
        </w:rPr>
        <w:t>udip</w:t>
      </w:r>
      <w:proofErr w:type="spellEnd"/>
      <w:r w:rsidRPr="003246F9">
        <w:rPr>
          <w:rFonts w:ascii="Lato" w:hAnsi="Lato" w:cs="Arial"/>
        </w:rPr>
        <w:t xml:space="preserve"> </w:t>
      </w:r>
      <w:r w:rsidR="008C130A" w:rsidRPr="003246F9">
        <w:rPr>
          <w:rFonts w:ascii="Lato" w:hAnsi="Lato" w:cs="Arial"/>
        </w:rPr>
        <w:t>poprzez prowadzenie m.in. rejestrów spraw</w:t>
      </w:r>
      <w:r w:rsidR="00355446" w:rsidRPr="003246F9">
        <w:rPr>
          <w:rFonts w:ascii="Lato" w:hAnsi="Lato" w:cs="Arial"/>
        </w:rPr>
        <w:t>, opracowanie sprawozdań cząstkowych</w:t>
      </w:r>
      <w:r w:rsidR="00D85778" w:rsidRPr="003246F9">
        <w:rPr>
          <w:rFonts w:ascii="Lato" w:hAnsi="Lato" w:cs="Arial"/>
        </w:rPr>
        <w:t>;</w:t>
      </w:r>
    </w:p>
    <w:p w14:paraId="6049456A" w14:textId="77777777" w:rsidR="00097E02" w:rsidRPr="00097E02" w:rsidRDefault="00097E02" w:rsidP="008D29E9">
      <w:pPr>
        <w:pStyle w:val="Akapitzlist"/>
        <w:ind w:left="1797"/>
        <w:jc w:val="both"/>
        <w:rPr>
          <w:rFonts w:ascii="Lato" w:hAnsi="Lato" w:cs="Arial"/>
          <w:color w:val="FF0000"/>
        </w:rPr>
      </w:pPr>
    </w:p>
    <w:p w14:paraId="0DBB24E4" w14:textId="77777777" w:rsidR="00C37A6C" w:rsidRPr="00D54F77" w:rsidRDefault="000049A5" w:rsidP="00D54F77">
      <w:pPr>
        <w:tabs>
          <w:tab w:val="left" w:pos="424"/>
        </w:tabs>
        <w:spacing w:before="60" w:after="60"/>
        <w:ind w:left="424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</w:rPr>
        <w:t>2.</w:t>
      </w:r>
      <w:r w:rsidRPr="00D54F77">
        <w:rPr>
          <w:rFonts w:ascii="Lato" w:hAnsi="Lato" w:cs="Arial"/>
        </w:rPr>
        <w:tab/>
        <w:t>Pozostałe działania:</w:t>
      </w:r>
    </w:p>
    <w:p w14:paraId="73F5554A" w14:textId="3DCC67A2" w:rsidR="00271E02" w:rsidRPr="00D148A0" w:rsidRDefault="000049A5" w:rsidP="0053775E">
      <w:pPr>
        <w:pStyle w:val="Akapitzlist"/>
        <w:widowControl/>
        <w:numPr>
          <w:ilvl w:val="0"/>
          <w:numId w:val="12"/>
        </w:numPr>
        <w:spacing w:before="60" w:after="60"/>
        <w:ind w:left="714" w:hanging="357"/>
        <w:contextualSpacing w:val="0"/>
        <w:jc w:val="both"/>
        <w:rPr>
          <w:rFonts w:ascii="Lato" w:hAnsi="Lato" w:cs="Arial"/>
          <w:iCs/>
        </w:rPr>
      </w:pPr>
      <w:r w:rsidRPr="00D148A0">
        <w:rPr>
          <w:rFonts w:ascii="Lato" w:hAnsi="Lato" w:cs="Arial"/>
          <w:iCs/>
        </w:rPr>
        <w:t>dokonano aktualizacji lub wdrożono nowe zarządzenia Ministra Aktywów Państwowych</w:t>
      </w:r>
      <w:r w:rsidR="00457021">
        <w:rPr>
          <w:rFonts w:ascii="Lato" w:hAnsi="Lato" w:cs="Arial"/>
          <w:iCs/>
        </w:rPr>
        <w:t>/Dyrektora Generalnego MAP</w:t>
      </w:r>
      <w:r w:rsidRPr="00D148A0">
        <w:rPr>
          <w:rFonts w:ascii="Lato" w:hAnsi="Lato" w:cs="Arial"/>
          <w:iCs/>
        </w:rPr>
        <w:t>, w  szczególności w zakresie:</w:t>
      </w:r>
    </w:p>
    <w:p w14:paraId="1C65A3DB" w14:textId="2966C2A5" w:rsidR="003A5505" w:rsidRDefault="00877CCD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D148A0">
        <w:rPr>
          <w:rFonts w:ascii="Lato" w:hAnsi="Lato" w:cs="Arial"/>
          <w:iCs/>
        </w:rPr>
        <w:t>regulaminu</w:t>
      </w:r>
      <w:r w:rsidR="000049A5" w:rsidRPr="00D148A0">
        <w:rPr>
          <w:rFonts w:ascii="Lato" w:hAnsi="Lato" w:cs="Arial"/>
          <w:iCs/>
        </w:rPr>
        <w:t xml:space="preserve"> pracy </w:t>
      </w:r>
      <w:r w:rsidRPr="00D148A0">
        <w:rPr>
          <w:rFonts w:ascii="Lato" w:hAnsi="Lato" w:cs="Arial"/>
          <w:iCs/>
        </w:rPr>
        <w:t>Ministerstwa Aktywów Państwowych</w:t>
      </w:r>
      <w:r w:rsidR="000049A5" w:rsidRPr="00D148A0">
        <w:rPr>
          <w:rFonts w:ascii="Lato" w:hAnsi="Lato" w:cs="Arial"/>
          <w:iCs/>
        </w:rPr>
        <w:t>,</w:t>
      </w:r>
    </w:p>
    <w:p w14:paraId="422AB2DB" w14:textId="70E4D007" w:rsidR="003A5505" w:rsidRDefault="00877CCD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 w:cs="Arial"/>
          <w:iCs/>
        </w:rPr>
        <w:t>w sprawie powołanie komisji dyscyplinarnej w MAP</w:t>
      </w:r>
      <w:r w:rsidR="0081208A">
        <w:rPr>
          <w:rFonts w:ascii="Lato" w:hAnsi="Lato" w:cs="Arial"/>
          <w:iCs/>
        </w:rPr>
        <w:t>,</w:t>
      </w:r>
    </w:p>
    <w:p w14:paraId="59F95927" w14:textId="46DE5626" w:rsidR="003A5505" w:rsidRPr="003A5505" w:rsidRDefault="006824A7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/>
        </w:rPr>
        <w:t>w sprawie udzielania zamówień publicznych</w:t>
      </w:r>
      <w:r w:rsidR="0081208A">
        <w:rPr>
          <w:rFonts w:ascii="Lato" w:hAnsi="Lato"/>
        </w:rPr>
        <w:t>,</w:t>
      </w:r>
    </w:p>
    <w:p w14:paraId="67C43428" w14:textId="77777777" w:rsidR="003A5505" w:rsidRDefault="00940BB8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 w:cs="Arial"/>
          <w:iCs/>
        </w:rPr>
        <w:t>w sprawie egzaminu dla kandydatów na członków organów nadzorczych</w:t>
      </w:r>
      <w:r w:rsidR="000049A5" w:rsidRPr="003A5505">
        <w:rPr>
          <w:rFonts w:ascii="Lato" w:hAnsi="Lato" w:cs="Arial"/>
          <w:iCs/>
        </w:rPr>
        <w:t>,</w:t>
      </w:r>
    </w:p>
    <w:p w14:paraId="2F174A26" w14:textId="7148D941" w:rsidR="0081208A" w:rsidRPr="00956224" w:rsidRDefault="006824A7" w:rsidP="00956224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 w:cs="Arial"/>
          <w:iCs/>
        </w:rPr>
        <w:t>w sprawie ustalenia wewnętrznej procedury zgłaszania informacji o naruszeniach prawa i podejmowania działań następczych w Ministerstwie Aktywów Państwowych</w:t>
      </w:r>
      <w:r w:rsidR="0081208A">
        <w:rPr>
          <w:rFonts w:ascii="Lato" w:hAnsi="Lato" w:cs="Arial"/>
          <w:iCs/>
        </w:rPr>
        <w:t>,</w:t>
      </w:r>
    </w:p>
    <w:p w14:paraId="7BA74392" w14:textId="77777777" w:rsidR="003A5505" w:rsidRDefault="000049A5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 w:cs="Arial"/>
          <w:iCs/>
        </w:rPr>
        <w:t xml:space="preserve">instrukcji kancelaryjnej, jednolitego rzeczowego wykazu akt i instrukcji w sprawie organizacji i zakresu działania archiwum zakładowego, </w:t>
      </w:r>
    </w:p>
    <w:p w14:paraId="71FF2A2A" w14:textId="04D154C1" w:rsidR="003A5505" w:rsidRDefault="006824A7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 w:cs="Arial"/>
          <w:iCs/>
        </w:rPr>
        <w:t>w sprawie koncepcji militaryzacji w działach administracji rządowej kierowanych przez Ministra Aktywów Państwowych</w:t>
      </w:r>
      <w:r w:rsidR="0081208A">
        <w:rPr>
          <w:rFonts w:ascii="Lato" w:hAnsi="Lato" w:cs="Arial"/>
          <w:iCs/>
        </w:rPr>
        <w:t>,</w:t>
      </w:r>
    </w:p>
    <w:p w14:paraId="12F5F7C3" w14:textId="72383967" w:rsidR="00B6430A" w:rsidRPr="003A5505" w:rsidRDefault="00B6430A" w:rsidP="0053775E">
      <w:pPr>
        <w:pStyle w:val="Akapitzlist"/>
        <w:widowControl/>
        <w:numPr>
          <w:ilvl w:val="0"/>
          <w:numId w:val="13"/>
        </w:numPr>
        <w:spacing w:before="60" w:after="60"/>
        <w:ind w:left="1792" w:hanging="357"/>
        <w:jc w:val="both"/>
        <w:rPr>
          <w:rFonts w:ascii="Lato" w:hAnsi="Lato" w:cs="Arial"/>
          <w:iCs/>
        </w:rPr>
      </w:pPr>
      <w:r w:rsidRPr="003A5505">
        <w:rPr>
          <w:rFonts w:ascii="Lato" w:hAnsi="Lato" w:cs="Arial"/>
          <w:iCs/>
        </w:rPr>
        <w:t xml:space="preserve">w </w:t>
      </w:r>
      <w:r w:rsidR="00653546" w:rsidRPr="003A5505">
        <w:rPr>
          <w:rFonts w:ascii="Lato" w:hAnsi="Lato" w:cs="Arial"/>
          <w:iCs/>
        </w:rPr>
        <w:t>sprawie</w:t>
      </w:r>
      <w:r w:rsidRPr="003A5505">
        <w:rPr>
          <w:rFonts w:ascii="Lato" w:hAnsi="Lato" w:cs="Arial"/>
          <w:iCs/>
        </w:rPr>
        <w:t xml:space="preserve"> </w:t>
      </w:r>
      <w:r w:rsidR="00653546" w:rsidRPr="003A5505">
        <w:rPr>
          <w:rFonts w:ascii="Lato" w:hAnsi="Lato" w:cs="Arial"/>
          <w:iCs/>
        </w:rPr>
        <w:t>wprowadzenia karty audytu</w:t>
      </w:r>
      <w:r w:rsidRPr="003A5505">
        <w:rPr>
          <w:rFonts w:ascii="Lato" w:hAnsi="Lato" w:cs="Arial"/>
          <w:iCs/>
        </w:rPr>
        <w:t xml:space="preserve"> </w:t>
      </w:r>
      <w:r w:rsidR="00653546" w:rsidRPr="003A5505">
        <w:rPr>
          <w:rFonts w:ascii="Lato" w:hAnsi="Lato" w:cs="Arial"/>
          <w:iCs/>
        </w:rPr>
        <w:t>wewnętrznego w</w:t>
      </w:r>
      <w:r w:rsidRPr="003A5505">
        <w:rPr>
          <w:rFonts w:ascii="Lato" w:hAnsi="Lato" w:cs="Arial"/>
          <w:iCs/>
        </w:rPr>
        <w:t xml:space="preserve"> </w:t>
      </w:r>
      <w:r w:rsidR="00653546" w:rsidRPr="003A5505">
        <w:rPr>
          <w:rFonts w:ascii="Lato" w:hAnsi="Lato" w:cs="Arial"/>
          <w:iCs/>
        </w:rPr>
        <w:t>Ministerstwie Aktywów</w:t>
      </w:r>
      <w:r w:rsidRPr="003A5505">
        <w:rPr>
          <w:rFonts w:ascii="Lato" w:hAnsi="Lato" w:cs="Arial"/>
          <w:iCs/>
        </w:rPr>
        <w:t xml:space="preserve"> </w:t>
      </w:r>
      <w:r w:rsidR="00653546" w:rsidRPr="003A5505">
        <w:rPr>
          <w:rFonts w:ascii="Lato" w:hAnsi="Lato" w:cs="Arial"/>
          <w:iCs/>
        </w:rPr>
        <w:t>Państwowych.</w:t>
      </w:r>
    </w:p>
    <w:p w14:paraId="3F8BBE5E" w14:textId="7874A300" w:rsidR="00D42EE1" w:rsidRPr="00D42EE1" w:rsidRDefault="00D42EE1" w:rsidP="00D42EE1">
      <w:pPr>
        <w:pStyle w:val="Akapitzlist"/>
        <w:numPr>
          <w:ilvl w:val="0"/>
          <w:numId w:val="12"/>
        </w:numPr>
        <w:ind w:left="714" w:hanging="357"/>
        <w:jc w:val="both"/>
        <w:rPr>
          <w:rFonts w:ascii="Lato" w:hAnsi="Lato" w:cs="Arial"/>
        </w:rPr>
      </w:pPr>
      <w:r w:rsidRPr="00D42EE1">
        <w:rPr>
          <w:rFonts w:ascii="Lato" w:hAnsi="Lato" w:cs="Arial"/>
        </w:rPr>
        <w:t>przeprowadzono pogłębione badanie dotyczące satysfakcji z pracy w Ministerstwie Aktywów Państwowych, którego wyniki wskażą kierunki zmian w 2025 r;</w:t>
      </w:r>
    </w:p>
    <w:p w14:paraId="6F12F11D" w14:textId="12C38794" w:rsidR="00D42EE1" w:rsidRPr="003246F9" w:rsidRDefault="00D42EE1" w:rsidP="00D42EE1">
      <w:pPr>
        <w:pStyle w:val="Akapitzlist"/>
        <w:numPr>
          <w:ilvl w:val="0"/>
          <w:numId w:val="12"/>
        </w:numPr>
        <w:ind w:left="714" w:hanging="357"/>
        <w:jc w:val="both"/>
        <w:rPr>
          <w:rFonts w:ascii="Lato" w:hAnsi="Lato" w:cs="Arial"/>
        </w:rPr>
      </w:pPr>
      <w:r w:rsidRPr="003246F9">
        <w:rPr>
          <w:rFonts w:ascii="Lato" w:hAnsi="Lato" w:cs="Arial"/>
        </w:rPr>
        <w:t xml:space="preserve">podjęto działania w zakresie </w:t>
      </w:r>
      <w:r w:rsidR="00777383">
        <w:rPr>
          <w:rFonts w:ascii="Lato" w:hAnsi="Lato" w:cs="Arial"/>
        </w:rPr>
        <w:t xml:space="preserve">poprawy </w:t>
      </w:r>
      <w:r w:rsidRPr="003246F9">
        <w:rPr>
          <w:rFonts w:ascii="Lato" w:hAnsi="Lato" w:cs="Arial"/>
        </w:rPr>
        <w:t>komunikacji z pracownikami (narady i spotkania)</w:t>
      </w:r>
      <w:r>
        <w:rPr>
          <w:rFonts w:ascii="Lato" w:hAnsi="Lato" w:cs="Arial"/>
        </w:rPr>
        <w:t>.</w:t>
      </w:r>
    </w:p>
    <w:p w14:paraId="220E25B9" w14:textId="288834D1" w:rsidR="00C37A6C" w:rsidRPr="00D54F77" w:rsidRDefault="000049A5" w:rsidP="00D54F77">
      <w:pPr>
        <w:spacing w:before="60" w:after="60"/>
        <w:jc w:val="both"/>
        <w:rPr>
          <w:rFonts w:ascii="Lato" w:hAnsi="Lato" w:cs="Arial"/>
        </w:rPr>
      </w:pPr>
      <w:r w:rsidRPr="00D54F77">
        <w:rPr>
          <w:rFonts w:ascii="Lato" w:hAnsi="Lato" w:cs="Arial"/>
          <w:b/>
          <w:bCs/>
        </w:rPr>
        <w:lastRenderedPageBreak/>
        <w:t>Objaśnienia:</w:t>
      </w:r>
    </w:p>
    <w:p w14:paraId="13C9F058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1)</w:t>
      </w:r>
      <w:r w:rsidRPr="00D54F77">
        <w:rPr>
          <w:rFonts w:ascii="Lato" w:hAnsi="Lato" w:cs="Arial"/>
        </w:rPr>
        <w:tab/>
        <w:t>Należy podać nazwę ministra, ustaloną przez Prezesa Rady Ministrów na podstawie art. 33 ust. 1 ustawy z dnia 8 sierpnia 1996 r. o Radzie Ministrów (Dz. U. z 2021 r. poz. 178, z późn. zm.), a w przypadku gdy oświadczenie sporządzane jest przez kierownika jednostki, nazwę pełnionej przez niego funkcji.</w:t>
      </w:r>
    </w:p>
    <w:p w14:paraId="4516140B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2)</w:t>
      </w:r>
      <w:r w:rsidRPr="00D54F77">
        <w:rPr>
          <w:rFonts w:ascii="Lato" w:hAnsi="Lato" w:cs="Arial"/>
        </w:rPr>
        <w:tab/>
        <w:t>W dziale I, w zależności od wyników oceny stanu kontroli zarządczej, wypełnia się tylko jedną część z części A albo B, albo C przez zaznaczenie znakiem "X" odpowiedniego wiersza. Pozostałe dwie części wykreśla się. Część D wypełnia się niezależnie od wyników oceny stanu kontroli zarządczej.</w:t>
      </w:r>
    </w:p>
    <w:p w14:paraId="7B0BCD0C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3)</w:t>
      </w:r>
      <w:r w:rsidRPr="00D54F77">
        <w:rPr>
          <w:rFonts w:ascii="Lato" w:hAnsi="Lato" w:cs="Arial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z 2021 r. poz. 305, z późn. zm.).</w:t>
      </w:r>
    </w:p>
    <w:p w14:paraId="0EC64A83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4)</w:t>
      </w:r>
      <w:r w:rsidRPr="00D54F77">
        <w:rPr>
          <w:rFonts w:ascii="Lato" w:hAnsi="Lato" w:cs="Arial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68252E86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5)</w:t>
      </w:r>
      <w:r w:rsidRPr="00D54F77">
        <w:rPr>
          <w:rFonts w:ascii="Lato" w:hAnsi="Lato" w:cs="Arial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 skuteczności przepływu informacji lub zarządzania ryzykiem, z zastrzeżeniem przypisu 6.</w:t>
      </w:r>
    </w:p>
    <w:p w14:paraId="7576A796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6)</w:t>
      </w:r>
      <w:r w:rsidRPr="00D54F77">
        <w:rPr>
          <w:rFonts w:ascii="Lato" w:hAnsi="Lato" w:cs="Arial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64082EAF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7)</w:t>
      </w:r>
      <w:r w:rsidRPr="00D54F77">
        <w:rPr>
          <w:rFonts w:ascii="Lato" w:hAnsi="Lato" w:cs="Arial"/>
        </w:rPr>
        <w:tab/>
        <w:t>Znakiem "X" zaznaczyć odpowiednie wiersze. W przypadku zaznaczenia punktu "innych źródeł informacji" należy je wymienić.</w:t>
      </w:r>
    </w:p>
    <w:p w14:paraId="28F3DFE5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8)</w:t>
      </w:r>
      <w:r w:rsidRPr="00D54F77">
        <w:rPr>
          <w:rFonts w:ascii="Lato" w:hAnsi="Lato" w:cs="Arial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2EE11262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9)</w:t>
      </w:r>
      <w:r w:rsidRPr="00D54F77">
        <w:rPr>
          <w:rFonts w:ascii="Lato" w:hAnsi="Lato" w:cs="Arial"/>
        </w:rPr>
        <w:tab/>
        <w:t>Dział II sporządzany jest w przypadku, gdy w dziale I niniejszego oświadczenia zaznaczono część B albo C.</w:t>
      </w:r>
    </w:p>
    <w:p w14:paraId="0B8B0A4E" w14:textId="77777777" w:rsidR="00C37A6C" w:rsidRPr="00D54F77" w:rsidRDefault="000049A5" w:rsidP="00D54F77">
      <w:pPr>
        <w:tabs>
          <w:tab w:val="left" w:pos="425"/>
        </w:tabs>
        <w:spacing w:before="60" w:after="60"/>
        <w:ind w:left="425" w:hanging="425"/>
        <w:jc w:val="both"/>
        <w:rPr>
          <w:rFonts w:ascii="Lato" w:hAnsi="Lato" w:cs="Arial"/>
        </w:rPr>
      </w:pPr>
      <w:r w:rsidRPr="00D54F77">
        <w:rPr>
          <w:rFonts w:ascii="Lato" w:hAnsi="Lato" w:cs="Arial"/>
          <w:vertAlign w:val="superscript"/>
        </w:rPr>
        <w:t>10)</w:t>
      </w:r>
      <w:r w:rsidRPr="00D54F77">
        <w:rPr>
          <w:rFonts w:ascii="Lato" w:hAnsi="Lato" w:cs="Aria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7016F77F" w14:textId="77777777" w:rsidR="00C37A6C" w:rsidRPr="00D54F77" w:rsidRDefault="00FE4F5F" w:rsidP="00D54F77">
      <w:pPr>
        <w:spacing w:before="60" w:after="60"/>
        <w:rPr>
          <w:rFonts w:ascii="Lato" w:hAnsi="Lato" w:cs="Arial"/>
        </w:rPr>
      </w:pPr>
    </w:p>
    <w:sectPr w:rsidR="00C37A6C" w:rsidRPr="00D54F77" w:rsidSect="00E715EB">
      <w:pgSz w:w="12240" w:h="15840"/>
      <w:pgMar w:top="709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08AC3EE"/>
    <w:lvl w:ilvl="0">
      <w:start w:val="1"/>
      <w:numFmt w:val="decimal"/>
      <w:pStyle w:val="Nagwek1"/>
      <w:lvlText w:val="%1."/>
      <w:lvlJc w:val="left"/>
      <w:pPr>
        <w:tabs>
          <w:tab w:val="num" w:pos="256"/>
        </w:tabs>
        <w:ind w:left="256" w:hanging="395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130"/>
        </w:tabs>
        <w:ind w:left="437" w:hanging="578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050"/>
        </w:tabs>
        <w:ind w:left="1050" w:hanging="1191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050"/>
        </w:tabs>
        <w:ind w:left="1050" w:hanging="1191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-141"/>
        </w:tabs>
        <w:ind w:left="2747" w:hanging="578"/>
      </w:pPr>
      <w:rPr>
        <w:rFonts w:ascii="Arial" w:hAnsi="Arial" w:hint="default"/>
        <w:b/>
        <w:i w:val="0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-141"/>
        </w:tabs>
        <w:ind w:left="3325" w:hanging="578"/>
      </w:pPr>
      <w:rPr>
        <w:rFonts w:ascii="Arial" w:hAnsi="Arial" w:hint="default"/>
        <w:b/>
        <w:i w:val="0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-141"/>
        </w:tabs>
        <w:ind w:left="3903" w:hanging="578"/>
      </w:pPr>
      <w:rPr>
        <w:rFonts w:ascii="Arial" w:hAnsi="Arial" w:hint="default"/>
        <w:b/>
        <w:i w:val="0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-141"/>
        </w:tabs>
        <w:ind w:left="4479" w:hanging="576"/>
      </w:pPr>
      <w:rPr>
        <w:rFonts w:ascii="Arial" w:hAnsi="Arial" w:hint="default"/>
        <w:b/>
        <w:i w:val="0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-141"/>
        </w:tabs>
        <w:ind w:left="5057" w:hanging="578"/>
      </w:pPr>
      <w:rPr>
        <w:rFonts w:ascii="Arial" w:hAnsi="Arial" w:hint="default"/>
        <w:b/>
        <w:i w:val="0"/>
      </w:rPr>
    </w:lvl>
  </w:abstractNum>
  <w:abstractNum w:abstractNumId="1" w15:restartNumberingAfterBreak="0">
    <w:nsid w:val="00DC3014"/>
    <w:multiLevelType w:val="hybridMultilevel"/>
    <w:tmpl w:val="46B85B00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5BD42A6"/>
    <w:multiLevelType w:val="hybridMultilevel"/>
    <w:tmpl w:val="95F2CB1E"/>
    <w:lvl w:ilvl="0" w:tplc="BFBE8B64">
      <w:start w:val="1"/>
      <w:numFmt w:val="decimal"/>
      <w:lvlText w:val="%1)"/>
      <w:lvlJc w:val="left"/>
      <w:pPr>
        <w:ind w:left="729" w:hanging="360"/>
      </w:pPr>
      <w:rPr>
        <w:rFonts w:cs="Times New Roman"/>
        <w:i w:val="0"/>
        <w:sz w:val="20"/>
        <w:szCs w:val="20"/>
      </w:rPr>
    </w:lvl>
    <w:lvl w:ilvl="1" w:tplc="4126A7BA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22A67BBC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4CE8D620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17C40274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7F6CB714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10AE21D4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4C9439A0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37F055D8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3" w15:restartNumberingAfterBreak="0">
    <w:nsid w:val="0FF558B8"/>
    <w:multiLevelType w:val="hybridMultilevel"/>
    <w:tmpl w:val="BB16E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70AEE"/>
    <w:multiLevelType w:val="hybridMultilevel"/>
    <w:tmpl w:val="0028446A"/>
    <w:lvl w:ilvl="0" w:tplc="0E44A40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914D24"/>
    <w:multiLevelType w:val="hybridMultilevel"/>
    <w:tmpl w:val="1F3A54DA"/>
    <w:lvl w:ilvl="0" w:tplc="0415000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6" w15:restartNumberingAfterBreak="0">
    <w:nsid w:val="1C936874"/>
    <w:multiLevelType w:val="hybridMultilevel"/>
    <w:tmpl w:val="1298CAFC"/>
    <w:lvl w:ilvl="0" w:tplc="D23608E4">
      <w:start w:val="1"/>
      <w:numFmt w:val="decimal"/>
      <w:lvlText w:val="%1)"/>
      <w:lvlJc w:val="left"/>
      <w:pPr>
        <w:ind w:left="1069" w:hanging="360"/>
      </w:pPr>
      <w:rPr>
        <w:rFonts w:cs="Times New Roman"/>
        <w:sz w:val="20"/>
        <w:szCs w:val="20"/>
      </w:rPr>
    </w:lvl>
    <w:lvl w:ilvl="1" w:tplc="AFD641D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00C323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DE2CC2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29AEA1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5742C1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24133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B9EB8F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8A44E8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2991232"/>
    <w:multiLevelType w:val="hybridMultilevel"/>
    <w:tmpl w:val="8B3E691E"/>
    <w:lvl w:ilvl="0" w:tplc="2520B2C6">
      <w:start w:val="1"/>
      <w:numFmt w:val="decimal"/>
      <w:lvlText w:val="%1)"/>
      <w:lvlJc w:val="left"/>
      <w:pPr>
        <w:ind w:left="720" w:hanging="360"/>
      </w:pPr>
    </w:lvl>
    <w:lvl w:ilvl="1" w:tplc="D04A4F7E" w:tentative="1">
      <w:start w:val="1"/>
      <w:numFmt w:val="lowerLetter"/>
      <w:lvlText w:val="%2."/>
      <w:lvlJc w:val="left"/>
      <w:pPr>
        <w:ind w:left="1440" w:hanging="360"/>
      </w:pPr>
    </w:lvl>
    <w:lvl w:ilvl="2" w:tplc="2BFCB690" w:tentative="1">
      <w:start w:val="1"/>
      <w:numFmt w:val="lowerRoman"/>
      <w:lvlText w:val="%3."/>
      <w:lvlJc w:val="right"/>
      <w:pPr>
        <w:ind w:left="2160" w:hanging="180"/>
      </w:pPr>
    </w:lvl>
    <w:lvl w:ilvl="3" w:tplc="272C4508" w:tentative="1">
      <w:start w:val="1"/>
      <w:numFmt w:val="decimal"/>
      <w:lvlText w:val="%4."/>
      <w:lvlJc w:val="left"/>
      <w:pPr>
        <w:ind w:left="2880" w:hanging="360"/>
      </w:pPr>
    </w:lvl>
    <w:lvl w:ilvl="4" w:tplc="B250427C" w:tentative="1">
      <w:start w:val="1"/>
      <w:numFmt w:val="lowerLetter"/>
      <w:lvlText w:val="%5."/>
      <w:lvlJc w:val="left"/>
      <w:pPr>
        <w:ind w:left="3600" w:hanging="360"/>
      </w:pPr>
    </w:lvl>
    <w:lvl w:ilvl="5" w:tplc="F20C4FC6" w:tentative="1">
      <w:start w:val="1"/>
      <w:numFmt w:val="lowerRoman"/>
      <w:lvlText w:val="%6."/>
      <w:lvlJc w:val="right"/>
      <w:pPr>
        <w:ind w:left="4320" w:hanging="180"/>
      </w:pPr>
    </w:lvl>
    <w:lvl w:ilvl="6" w:tplc="AEA0B782" w:tentative="1">
      <w:start w:val="1"/>
      <w:numFmt w:val="decimal"/>
      <w:lvlText w:val="%7."/>
      <w:lvlJc w:val="left"/>
      <w:pPr>
        <w:ind w:left="5040" w:hanging="360"/>
      </w:pPr>
    </w:lvl>
    <w:lvl w:ilvl="7" w:tplc="998AEE48" w:tentative="1">
      <w:start w:val="1"/>
      <w:numFmt w:val="lowerLetter"/>
      <w:lvlText w:val="%8."/>
      <w:lvlJc w:val="left"/>
      <w:pPr>
        <w:ind w:left="5760" w:hanging="360"/>
      </w:pPr>
    </w:lvl>
    <w:lvl w:ilvl="8" w:tplc="C622A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1430"/>
    <w:multiLevelType w:val="hybridMultilevel"/>
    <w:tmpl w:val="536E16F4"/>
    <w:lvl w:ilvl="0" w:tplc="D9761E7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A414C83"/>
    <w:multiLevelType w:val="hybridMultilevel"/>
    <w:tmpl w:val="E3CA69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AA36B4"/>
    <w:multiLevelType w:val="hybridMultilevel"/>
    <w:tmpl w:val="A1B2C7D6"/>
    <w:lvl w:ilvl="0" w:tplc="237CCA1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b w:val="0"/>
      </w:rPr>
    </w:lvl>
    <w:lvl w:ilvl="1" w:tplc="E7C2A216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8CD085AC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A894C750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D57A658E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71902D52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1EBC64F2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204A4162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A9A46330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1" w15:restartNumberingAfterBreak="0">
    <w:nsid w:val="37DD6B41"/>
    <w:multiLevelType w:val="hybridMultilevel"/>
    <w:tmpl w:val="36E2D1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D530B0C"/>
    <w:multiLevelType w:val="hybridMultilevel"/>
    <w:tmpl w:val="202A712C"/>
    <w:lvl w:ilvl="0" w:tplc="041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3" w15:restartNumberingAfterBreak="0">
    <w:nsid w:val="5E0B1A90"/>
    <w:multiLevelType w:val="hybridMultilevel"/>
    <w:tmpl w:val="400C7158"/>
    <w:lvl w:ilvl="0" w:tplc="6A1C3E70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</w:rPr>
    </w:lvl>
    <w:lvl w:ilvl="1" w:tplc="D97E3498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52081C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F8E82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B5428F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18EF10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B4A7A5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7FEECD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20E427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4420B12"/>
    <w:multiLevelType w:val="hybridMultilevel"/>
    <w:tmpl w:val="DFE60A32"/>
    <w:lvl w:ilvl="0" w:tplc="B7F6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957C1"/>
    <w:multiLevelType w:val="hybridMultilevel"/>
    <w:tmpl w:val="883C0200"/>
    <w:lvl w:ilvl="0" w:tplc="B7F6F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871CF"/>
    <w:multiLevelType w:val="hybridMultilevel"/>
    <w:tmpl w:val="C6D21938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26A11C3"/>
    <w:multiLevelType w:val="hybridMultilevel"/>
    <w:tmpl w:val="44A4BD60"/>
    <w:lvl w:ilvl="0" w:tplc="0E44A40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4D146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C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F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C6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4E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CA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3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85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E5353"/>
    <w:multiLevelType w:val="multilevel"/>
    <w:tmpl w:val="6D2EFCAA"/>
    <w:lvl w:ilvl="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95924D9"/>
    <w:multiLevelType w:val="hybridMultilevel"/>
    <w:tmpl w:val="E160C2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7"/>
  </w:num>
  <w:num w:numId="6">
    <w:abstractNumId w:val="0"/>
  </w:num>
  <w:num w:numId="7">
    <w:abstractNumId w:val="10"/>
  </w:num>
  <w:num w:numId="8">
    <w:abstractNumId w:val="18"/>
  </w:num>
  <w:num w:numId="9">
    <w:abstractNumId w:val="12"/>
  </w:num>
  <w:num w:numId="10">
    <w:abstractNumId w:val="5"/>
  </w:num>
  <w:num w:numId="11">
    <w:abstractNumId w:val="1"/>
  </w:num>
  <w:num w:numId="12">
    <w:abstractNumId w:val="9"/>
  </w:num>
  <w:num w:numId="13">
    <w:abstractNumId w:val="16"/>
  </w:num>
  <w:num w:numId="14">
    <w:abstractNumId w:val="19"/>
  </w:num>
  <w:num w:numId="15">
    <w:abstractNumId w:val="11"/>
  </w:num>
  <w:num w:numId="16">
    <w:abstractNumId w:val="15"/>
  </w:num>
  <w:num w:numId="17">
    <w:abstractNumId w:val="3"/>
  </w:num>
  <w:num w:numId="18">
    <w:abstractNumId w:val="14"/>
  </w:num>
  <w:num w:numId="19">
    <w:abstractNumId w:val="8"/>
  </w:num>
  <w:num w:numId="2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B6"/>
    <w:rsid w:val="000044DD"/>
    <w:rsid w:val="000049A5"/>
    <w:rsid w:val="00007F89"/>
    <w:rsid w:val="00010128"/>
    <w:rsid w:val="0002209B"/>
    <w:rsid w:val="00026EA4"/>
    <w:rsid w:val="00032975"/>
    <w:rsid w:val="000353FF"/>
    <w:rsid w:val="00035E68"/>
    <w:rsid w:val="000363CA"/>
    <w:rsid w:val="000441DA"/>
    <w:rsid w:val="000452BC"/>
    <w:rsid w:val="00055AA2"/>
    <w:rsid w:val="00056C44"/>
    <w:rsid w:val="000605A4"/>
    <w:rsid w:val="00072D4F"/>
    <w:rsid w:val="00073612"/>
    <w:rsid w:val="0007585A"/>
    <w:rsid w:val="0008024B"/>
    <w:rsid w:val="00090EB1"/>
    <w:rsid w:val="00094836"/>
    <w:rsid w:val="00097E02"/>
    <w:rsid w:val="000A0D3B"/>
    <w:rsid w:val="000A3C9A"/>
    <w:rsid w:val="000C0654"/>
    <w:rsid w:val="000C1395"/>
    <w:rsid w:val="000E6A0E"/>
    <w:rsid w:val="000F5CC5"/>
    <w:rsid w:val="00101E05"/>
    <w:rsid w:val="00102D4C"/>
    <w:rsid w:val="00104B90"/>
    <w:rsid w:val="001057E2"/>
    <w:rsid w:val="00127722"/>
    <w:rsid w:val="00142708"/>
    <w:rsid w:val="00146592"/>
    <w:rsid w:val="00181F06"/>
    <w:rsid w:val="001828D2"/>
    <w:rsid w:val="0019608C"/>
    <w:rsid w:val="001D5B07"/>
    <w:rsid w:val="001E3B63"/>
    <w:rsid w:val="001E4074"/>
    <w:rsid w:val="0020634F"/>
    <w:rsid w:val="00215211"/>
    <w:rsid w:val="002221A7"/>
    <w:rsid w:val="00223491"/>
    <w:rsid w:val="00226686"/>
    <w:rsid w:val="0023511A"/>
    <w:rsid w:val="0023648E"/>
    <w:rsid w:val="00265342"/>
    <w:rsid w:val="00271544"/>
    <w:rsid w:val="002740B8"/>
    <w:rsid w:val="002C48E5"/>
    <w:rsid w:val="002D2B4D"/>
    <w:rsid w:val="002D6F93"/>
    <w:rsid w:val="002F1B65"/>
    <w:rsid w:val="002F5B0E"/>
    <w:rsid w:val="00322F6C"/>
    <w:rsid w:val="003246F9"/>
    <w:rsid w:val="00325FE3"/>
    <w:rsid w:val="003475A4"/>
    <w:rsid w:val="00355446"/>
    <w:rsid w:val="003570B2"/>
    <w:rsid w:val="00363D66"/>
    <w:rsid w:val="00397779"/>
    <w:rsid w:val="003A5505"/>
    <w:rsid w:val="003D1B88"/>
    <w:rsid w:val="003D24C5"/>
    <w:rsid w:val="003D6A01"/>
    <w:rsid w:val="004029C6"/>
    <w:rsid w:val="00411BB5"/>
    <w:rsid w:val="00420EEA"/>
    <w:rsid w:val="004301FE"/>
    <w:rsid w:val="004507AE"/>
    <w:rsid w:val="00454E31"/>
    <w:rsid w:val="00457021"/>
    <w:rsid w:val="004645B1"/>
    <w:rsid w:val="00475BCC"/>
    <w:rsid w:val="0049040D"/>
    <w:rsid w:val="004A4656"/>
    <w:rsid w:val="004B5673"/>
    <w:rsid w:val="004D672A"/>
    <w:rsid w:val="004E51C6"/>
    <w:rsid w:val="004F2073"/>
    <w:rsid w:val="0053775E"/>
    <w:rsid w:val="00557268"/>
    <w:rsid w:val="00560B33"/>
    <w:rsid w:val="005826D7"/>
    <w:rsid w:val="005D5B80"/>
    <w:rsid w:val="005F476A"/>
    <w:rsid w:val="00600339"/>
    <w:rsid w:val="00604C45"/>
    <w:rsid w:val="00615259"/>
    <w:rsid w:val="0061525B"/>
    <w:rsid w:val="00622352"/>
    <w:rsid w:val="006232D1"/>
    <w:rsid w:val="006428A6"/>
    <w:rsid w:val="00653546"/>
    <w:rsid w:val="00656849"/>
    <w:rsid w:val="00657355"/>
    <w:rsid w:val="00671972"/>
    <w:rsid w:val="006824A7"/>
    <w:rsid w:val="006A7F65"/>
    <w:rsid w:val="006B7A93"/>
    <w:rsid w:val="006C44D4"/>
    <w:rsid w:val="006C6086"/>
    <w:rsid w:val="006E3360"/>
    <w:rsid w:val="006E6486"/>
    <w:rsid w:val="006E65E5"/>
    <w:rsid w:val="006E7F5B"/>
    <w:rsid w:val="006F3D32"/>
    <w:rsid w:val="006F5642"/>
    <w:rsid w:val="00710698"/>
    <w:rsid w:val="0071423B"/>
    <w:rsid w:val="00723FED"/>
    <w:rsid w:val="00725187"/>
    <w:rsid w:val="007345EE"/>
    <w:rsid w:val="00736C6C"/>
    <w:rsid w:val="00737D44"/>
    <w:rsid w:val="007464E4"/>
    <w:rsid w:val="007523E6"/>
    <w:rsid w:val="00752937"/>
    <w:rsid w:val="00775AC2"/>
    <w:rsid w:val="00777383"/>
    <w:rsid w:val="00777C7C"/>
    <w:rsid w:val="00777F25"/>
    <w:rsid w:val="00791B4C"/>
    <w:rsid w:val="007A6CC6"/>
    <w:rsid w:val="007C2DB4"/>
    <w:rsid w:val="007F0714"/>
    <w:rsid w:val="007F38D5"/>
    <w:rsid w:val="007F68B3"/>
    <w:rsid w:val="00805D9C"/>
    <w:rsid w:val="00807890"/>
    <w:rsid w:val="0081208A"/>
    <w:rsid w:val="008142B6"/>
    <w:rsid w:val="0081732A"/>
    <w:rsid w:val="00845268"/>
    <w:rsid w:val="008545B1"/>
    <w:rsid w:val="00877CCD"/>
    <w:rsid w:val="008900FF"/>
    <w:rsid w:val="008938F1"/>
    <w:rsid w:val="008B106D"/>
    <w:rsid w:val="008C130A"/>
    <w:rsid w:val="008D29E9"/>
    <w:rsid w:val="008D60D9"/>
    <w:rsid w:val="008E273F"/>
    <w:rsid w:val="008E3238"/>
    <w:rsid w:val="008F7A8A"/>
    <w:rsid w:val="0091637E"/>
    <w:rsid w:val="009338AB"/>
    <w:rsid w:val="00940BB8"/>
    <w:rsid w:val="009416BC"/>
    <w:rsid w:val="0094778F"/>
    <w:rsid w:val="00954E55"/>
    <w:rsid w:val="00956224"/>
    <w:rsid w:val="00980CEC"/>
    <w:rsid w:val="009856C9"/>
    <w:rsid w:val="00991A24"/>
    <w:rsid w:val="009A559C"/>
    <w:rsid w:val="009E3CF3"/>
    <w:rsid w:val="009F0D41"/>
    <w:rsid w:val="009F24D7"/>
    <w:rsid w:val="00A17A12"/>
    <w:rsid w:val="00A268BA"/>
    <w:rsid w:val="00A30340"/>
    <w:rsid w:val="00A43E74"/>
    <w:rsid w:val="00A53211"/>
    <w:rsid w:val="00A54DFA"/>
    <w:rsid w:val="00A80BAD"/>
    <w:rsid w:val="00AA45FA"/>
    <w:rsid w:val="00AB0BD9"/>
    <w:rsid w:val="00AB6799"/>
    <w:rsid w:val="00AE68B3"/>
    <w:rsid w:val="00AE7F82"/>
    <w:rsid w:val="00AF4C60"/>
    <w:rsid w:val="00B16290"/>
    <w:rsid w:val="00B21F54"/>
    <w:rsid w:val="00B30768"/>
    <w:rsid w:val="00B37AB9"/>
    <w:rsid w:val="00B466FF"/>
    <w:rsid w:val="00B50E09"/>
    <w:rsid w:val="00B5514B"/>
    <w:rsid w:val="00B56569"/>
    <w:rsid w:val="00B63768"/>
    <w:rsid w:val="00B6430A"/>
    <w:rsid w:val="00B84ABF"/>
    <w:rsid w:val="00BB0954"/>
    <w:rsid w:val="00BB604F"/>
    <w:rsid w:val="00BE04E7"/>
    <w:rsid w:val="00BF003E"/>
    <w:rsid w:val="00BF2158"/>
    <w:rsid w:val="00BF267B"/>
    <w:rsid w:val="00C245A9"/>
    <w:rsid w:val="00C25D90"/>
    <w:rsid w:val="00C34350"/>
    <w:rsid w:val="00C4154B"/>
    <w:rsid w:val="00C62C84"/>
    <w:rsid w:val="00C70AB2"/>
    <w:rsid w:val="00C74292"/>
    <w:rsid w:val="00C82CA1"/>
    <w:rsid w:val="00C95ABD"/>
    <w:rsid w:val="00CA226F"/>
    <w:rsid w:val="00CB01EA"/>
    <w:rsid w:val="00CB5EB9"/>
    <w:rsid w:val="00CB7929"/>
    <w:rsid w:val="00CC1674"/>
    <w:rsid w:val="00D046B6"/>
    <w:rsid w:val="00D148A0"/>
    <w:rsid w:val="00D234D6"/>
    <w:rsid w:val="00D33EF8"/>
    <w:rsid w:val="00D42EE1"/>
    <w:rsid w:val="00D6557D"/>
    <w:rsid w:val="00D66749"/>
    <w:rsid w:val="00D76D00"/>
    <w:rsid w:val="00D82987"/>
    <w:rsid w:val="00D85778"/>
    <w:rsid w:val="00D86815"/>
    <w:rsid w:val="00DE0740"/>
    <w:rsid w:val="00DF6EFC"/>
    <w:rsid w:val="00E04E13"/>
    <w:rsid w:val="00E14E23"/>
    <w:rsid w:val="00E51075"/>
    <w:rsid w:val="00E60B09"/>
    <w:rsid w:val="00E74F6E"/>
    <w:rsid w:val="00EA4B06"/>
    <w:rsid w:val="00EB3F2A"/>
    <w:rsid w:val="00EC4409"/>
    <w:rsid w:val="00EC4729"/>
    <w:rsid w:val="00EC7F57"/>
    <w:rsid w:val="00ED76D2"/>
    <w:rsid w:val="00EE36F5"/>
    <w:rsid w:val="00EE6A52"/>
    <w:rsid w:val="00F00A06"/>
    <w:rsid w:val="00F05120"/>
    <w:rsid w:val="00F200F2"/>
    <w:rsid w:val="00F22703"/>
    <w:rsid w:val="00F24E38"/>
    <w:rsid w:val="00F253A2"/>
    <w:rsid w:val="00F43333"/>
    <w:rsid w:val="00F44AF9"/>
    <w:rsid w:val="00F4610D"/>
    <w:rsid w:val="00F61A77"/>
    <w:rsid w:val="00F73F23"/>
    <w:rsid w:val="00F97E30"/>
    <w:rsid w:val="00FA0103"/>
    <w:rsid w:val="00FA5F50"/>
    <w:rsid w:val="00FC1805"/>
    <w:rsid w:val="00FD177F"/>
    <w:rsid w:val="00FD6060"/>
    <w:rsid w:val="00FE1960"/>
    <w:rsid w:val="00FE44B3"/>
    <w:rsid w:val="00FE4F5F"/>
    <w:rsid w:val="00FE5362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14A4E"/>
  <w15:docId w15:val="{D54B8BB7-6286-4E80-833C-B5A0DD89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2394E"/>
    <w:pPr>
      <w:keepNext/>
      <w:keepLines/>
      <w:numPr>
        <w:numId w:val="6"/>
      </w:numPr>
      <w:autoSpaceDE/>
      <w:autoSpaceDN/>
      <w:adjustRightInd/>
      <w:spacing w:before="240" w:after="120"/>
      <w:jc w:val="both"/>
      <w:outlineLvl w:val="0"/>
    </w:pPr>
    <w:rPr>
      <w:rFonts w:ascii="Times New Roman" w:hAnsi="Times New Roman"/>
      <w:b/>
      <w:spacing w:val="-4"/>
      <w:sz w:val="28"/>
    </w:rPr>
  </w:style>
  <w:style w:type="paragraph" w:styleId="Nagwek2">
    <w:name w:val="heading 2"/>
    <w:basedOn w:val="Normalny"/>
    <w:next w:val="Normalny"/>
    <w:link w:val="Nagwek2Znak"/>
    <w:qFormat/>
    <w:rsid w:val="00E2394E"/>
    <w:pPr>
      <w:keepNext/>
      <w:keepLines/>
      <w:numPr>
        <w:ilvl w:val="1"/>
        <w:numId w:val="6"/>
      </w:numPr>
      <w:autoSpaceDE/>
      <w:autoSpaceDN/>
      <w:adjustRightInd/>
      <w:spacing w:before="120" w:after="120" w:line="252" w:lineRule="auto"/>
      <w:jc w:val="both"/>
      <w:outlineLvl w:val="1"/>
    </w:pPr>
    <w:rPr>
      <w:rFonts w:ascii="Times New Roman" w:hAnsi="Times New Roman"/>
      <w:b/>
      <w:spacing w:val="-4"/>
      <w:sz w:val="24"/>
    </w:rPr>
  </w:style>
  <w:style w:type="paragraph" w:styleId="Nagwek3">
    <w:name w:val="heading 3"/>
    <w:basedOn w:val="Normalny"/>
    <w:next w:val="Normalny"/>
    <w:link w:val="Nagwek3Znak"/>
    <w:qFormat/>
    <w:rsid w:val="00E2394E"/>
    <w:pPr>
      <w:keepNext/>
      <w:keepLines/>
      <w:numPr>
        <w:ilvl w:val="2"/>
        <w:numId w:val="6"/>
      </w:numPr>
      <w:tabs>
        <w:tab w:val="left" w:pos="737"/>
      </w:tabs>
      <w:autoSpaceDE/>
      <w:autoSpaceDN/>
      <w:adjustRightInd/>
      <w:spacing w:before="120" w:after="120" w:line="252" w:lineRule="auto"/>
      <w:jc w:val="both"/>
      <w:outlineLvl w:val="2"/>
    </w:pPr>
    <w:rPr>
      <w:rFonts w:ascii="Times New Roman" w:hAnsi="Times New Roman"/>
      <w:b/>
      <w:spacing w:val="-4"/>
      <w:sz w:val="24"/>
    </w:rPr>
  </w:style>
  <w:style w:type="paragraph" w:styleId="Nagwek4">
    <w:name w:val="heading 4"/>
    <w:basedOn w:val="Nagwek3"/>
    <w:next w:val="Normalny"/>
    <w:link w:val="Nagwek4Znak"/>
    <w:qFormat/>
    <w:rsid w:val="00E2394E"/>
    <w:pPr>
      <w:numPr>
        <w:ilvl w:val="3"/>
      </w:numPr>
      <w:outlineLvl w:val="3"/>
    </w:pPr>
  </w:style>
  <w:style w:type="paragraph" w:styleId="Nagwek5">
    <w:name w:val="heading 5"/>
    <w:basedOn w:val="Nagwek3"/>
    <w:next w:val="Normalny"/>
    <w:link w:val="Nagwek5Znak"/>
    <w:qFormat/>
    <w:rsid w:val="00E2394E"/>
    <w:pPr>
      <w:numPr>
        <w:ilvl w:val="4"/>
      </w:numPr>
      <w:outlineLvl w:val="4"/>
    </w:pPr>
  </w:style>
  <w:style w:type="paragraph" w:styleId="Nagwek6">
    <w:name w:val="heading 6"/>
    <w:basedOn w:val="Nagwek3"/>
    <w:next w:val="Normalny"/>
    <w:link w:val="Nagwek6Znak"/>
    <w:qFormat/>
    <w:rsid w:val="00E2394E"/>
    <w:pPr>
      <w:numPr>
        <w:ilvl w:val="5"/>
      </w:numPr>
      <w:outlineLvl w:val="5"/>
    </w:pPr>
  </w:style>
  <w:style w:type="paragraph" w:styleId="Nagwek7">
    <w:name w:val="heading 7"/>
    <w:basedOn w:val="Nagwek3"/>
    <w:next w:val="Normalny"/>
    <w:link w:val="Nagwek7Znak"/>
    <w:qFormat/>
    <w:rsid w:val="00E2394E"/>
    <w:pPr>
      <w:numPr>
        <w:ilvl w:val="6"/>
      </w:numPr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2394E"/>
    <w:pPr>
      <w:keepLines/>
      <w:numPr>
        <w:ilvl w:val="7"/>
        <w:numId w:val="6"/>
      </w:numPr>
      <w:autoSpaceDE/>
      <w:autoSpaceDN/>
      <w:adjustRightInd/>
      <w:spacing w:before="240" w:after="120" w:line="252" w:lineRule="auto"/>
      <w:jc w:val="both"/>
      <w:outlineLvl w:val="7"/>
    </w:pPr>
    <w:rPr>
      <w:b/>
      <w:i/>
      <w:spacing w:val="-4"/>
      <w:sz w:val="24"/>
    </w:rPr>
  </w:style>
  <w:style w:type="paragraph" w:styleId="Nagwek9">
    <w:name w:val="heading 9"/>
    <w:basedOn w:val="Nagwek3"/>
    <w:next w:val="Normalny"/>
    <w:link w:val="Nagwek9Znak"/>
    <w:qFormat/>
    <w:rsid w:val="00E2394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D35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852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C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C9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2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2C9E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852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2C9E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A61442"/>
    <w:pPr>
      <w:widowControl/>
      <w:autoSpaceDE/>
      <w:autoSpaceDN/>
      <w:adjustRightInd/>
      <w:spacing w:after="60" w:line="36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5E7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rsid w:val="007B0D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E2394E"/>
    <w:rPr>
      <w:b/>
      <w:spacing w:val="-4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E2394E"/>
    <w:rPr>
      <w:b/>
      <w:spacing w:val="-4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2394E"/>
    <w:rPr>
      <w:b/>
      <w:spacing w:val="-4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E2394E"/>
    <w:rPr>
      <w:b/>
      <w:spacing w:val="-4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2394E"/>
    <w:rPr>
      <w:b/>
      <w:spacing w:val="-4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E2394E"/>
    <w:rPr>
      <w:b/>
      <w:spacing w:val="-4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E2394E"/>
    <w:rPr>
      <w:b/>
      <w:spacing w:val="-4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2394E"/>
    <w:rPr>
      <w:rFonts w:ascii="Arial" w:hAnsi="Arial"/>
      <w:b/>
      <w:i/>
      <w:spacing w:val="-4"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E2394E"/>
    <w:rPr>
      <w:b/>
      <w:spacing w:val="-4"/>
      <w:sz w:val="24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C847-8C4F-483E-B4B0-7BBBBF6C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Regner Piotr</dc:creator>
  <cp:lastModifiedBy>Golian Magdalena</cp:lastModifiedBy>
  <cp:revision>4</cp:revision>
  <cp:lastPrinted>2025-04-25T09:09:00Z</cp:lastPrinted>
  <dcterms:created xsi:type="dcterms:W3CDTF">2025-04-29T06:44:00Z</dcterms:created>
  <dcterms:modified xsi:type="dcterms:W3CDTF">2025-04-29T06:56:00Z</dcterms:modified>
</cp:coreProperties>
</file>