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4CCC" w14:textId="5A881D6E" w:rsidR="008C0E92" w:rsidRPr="004D093B" w:rsidRDefault="008C0E92" w:rsidP="008C0E92">
      <w:pPr>
        <w:jc w:val="right"/>
        <w:rPr>
          <w:rFonts w:ascii="Lato" w:hAnsi="Lato"/>
          <w:b/>
          <w:bCs/>
          <w:color w:val="00B0F0"/>
          <w:sz w:val="28"/>
          <w:szCs w:val="28"/>
        </w:rPr>
      </w:pPr>
    </w:p>
    <w:p w14:paraId="7CC758A3" w14:textId="02FC570A" w:rsidR="00AD08C5" w:rsidRPr="004D093B" w:rsidRDefault="006A7DCE" w:rsidP="008C0E92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OBWIESZCZEN</w:t>
      </w:r>
      <w:r w:rsidR="004A167B">
        <w:rPr>
          <w:rFonts w:ascii="Lato" w:hAnsi="Lato"/>
          <w:b/>
          <w:bCs/>
          <w:color w:val="00B0F0"/>
          <w:sz w:val="36"/>
          <w:szCs w:val="36"/>
          <w:u w:val="single"/>
        </w:rPr>
        <w:t>I</w:t>
      </w:r>
      <w:r w:rsidR="00333CCE">
        <w:rPr>
          <w:rFonts w:ascii="Lato" w:hAnsi="Lato"/>
          <w:b/>
          <w:bCs/>
          <w:color w:val="00B0F0"/>
          <w:sz w:val="36"/>
          <w:szCs w:val="36"/>
          <w:u w:val="single"/>
        </w:rPr>
        <w:t>E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 NR </w:t>
      </w:r>
      <w:r w:rsidR="00C34F0F">
        <w:rPr>
          <w:rFonts w:ascii="Lato" w:hAnsi="Lato"/>
          <w:b/>
          <w:bCs/>
          <w:color w:val="00B0F0"/>
          <w:sz w:val="36"/>
          <w:szCs w:val="36"/>
          <w:u w:val="single"/>
        </w:rPr>
        <w:t>7</w:t>
      </w:r>
      <w:r w:rsidR="004079C5">
        <w:rPr>
          <w:rFonts w:ascii="Lato" w:hAnsi="Lato"/>
          <w:b/>
          <w:bCs/>
          <w:color w:val="00B0F0"/>
          <w:sz w:val="36"/>
          <w:szCs w:val="36"/>
          <w:u w:val="single"/>
        </w:rPr>
        <w:t>8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 w:rsidR="004079C5">
        <w:rPr>
          <w:rFonts w:ascii="Lato" w:hAnsi="Lato"/>
          <w:b/>
          <w:bCs/>
          <w:color w:val="00B0F0"/>
          <w:sz w:val="36"/>
          <w:szCs w:val="36"/>
          <w:u w:val="single"/>
        </w:rPr>
        <w:t>KWIETNIA</w:t>
      </w:r>
      <w:r w:rsidR="00FB2364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202</w:t>
      </w:r>
      <w:r w:rsidR="004079C5">
        <w:rPr>
          <w:rFonts w:ascii="Lato" w:hAnsi="Lato"/>
          <w:b/>
          <w:bCs/>
          <w:color w:val="00B0F0"/>
          <w:sz w:val="36"/>
          <w:szCs w:val="36"/>
          <w:u w:val="single"/>
        </w:rPr>
        <w:t>5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17F8947E" w14:textId="0328B3EA" w:rsidR="00333CCE" w:rsidRPr="00BB76F6" w:rsidRDefault="00333CCE" w:rsidP="00333CCE">
      <w:pPr>
        <w:spacing w:after="120" w:line="276" w:lineRule="auto"/>
        <w:jc w:val="both"/>
        <w:rPr>
          <w:rFonts w:ascii="Lato" w:hAnsi="Lato"/>
        </w:rPr>
      </w:pPr>
      <w:r w:rsidRPr="00BB76F6">
        <w:rPr>
          <w:rFonts w:ascii="Lato" w:hAnsi="Lato"/>
        </w:rPr>
        <w:t xml:space="preserve">W </w:t>
      </w:r>
      <w:r>
        <w:rPr>
          <w:rFonts w:ascii="Lato" w:hAnsi="Lato"/>
        </w:rPr>
        <w:t>drugim</w:t>
      </w:r>
      <w:r w:rsidRPr="00BB76F6">
        <w:rPr>
          <w:rFonts w:ascii="Lato" w:hAnsi="Lato"/>
        </w:rPr>
        <w:t xml:space="preserve"> wykazie </w:t>
      </w:r>
      <w:r>
        <w:rPr>
          <w:rFonts w:ascii="Lato" w:hAnsi="Lato"/>
        </w:rPr>
        <w:t>obowiązującym</w:t>
      </w:r>
      <w:r w:rsidRPr="00BB76F6">
        <w:rPr>
          <w:rFonts w:ascii="Lato" w:hAnsi="Lato"/>
        </w:rPr>
        <w:t xml:space="preserve"> w roku 202</w:t>
      </w:r>
      <w:r>
        <w:rPr>
          <w:rFonts w:ascii="Lato" w:hAnsi="Lato"/>
        </w:rPr>
        <w:t>5</w:t>
      </w:r>
      <w:r w:rsidRPr="00BB76F6">
        <w:rPr>
          <w:rFonts w:ascii="Lato" w:hAnsi="Lato"/>
        </w:rPr>
        <w:t xml:space="preserve">, finansowaniem ze środków publicznych zostało objętych </w:t>
      </w:r>
      <w:r>
        <w:rPr>
          <w:rFonts w:ascii="Lato" w:hAnsi="Lato"/>
          <w:b/>
          <w:bCs/>
        </w:rPr>
        <w:t>29</w:t>
      </w:r>
      <w:r w:rsidRPr="00BB76F6">
        <w:rPr>
          <w:rFonts w:ascii="Lato" w:hAnsi="Lato"/>
          <w:b/>
          <w:bCs/>
        </w:rPr>
        <w:t xml:space="preserve"> nowych </w:t>
      </w:r>
      <w:r w:rsidRPr="00BB76F6">
        <w:rPr>
          <w:rFonts w:ascii="Lato" w:hAnsi="Lato"/>
          <w:b/>
          <w:bCs/>
        </w:rPr>
        <w:br/>
        <w:t>cząsteczko – wskazań</w:t>
      </w:r>
      <w:r w:rsidRPr="00BB76F6">
        <w:rPr>
          <w:rFonts w:ascii="Lato" w:hAnsi="Lato"/>
        </w:rPr>
        <w:t>, w tym:</w:t>
      </w:r>
    </w:p>
    <w:p w14:paraId="36656A55" w14:textId="105F54A0" w:rsidR="00333CCE" w:rsidRPr="00107618" w:rsidRDefault="00333CCE" w:rsidP="00333CCE">
      <w:pPr>
        <w:pStyle w:val="Akapitzlist"/>
        <w:numPr>
          <w:ilvl w:val="0"/>
          <w:numId w:val="25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10</w:t>
      </w:r>
      <w:r w:rsidRPr="00107618">
        <w:rPr>
          <w:rFonts w:ascii="Lato" w:hAnsi="Lato"/>
        </w:rPr>
        <w:t xml:space="preserve"> cząsteczko – wskazań onkologicznych,</w:t>
      </w:r>
    </w:p>
    <w:p w14:paraId="6BAD206F" w14:textId="0162226F" w:rsidR="00333CCE" w:rsidRPr="00107618" w:rsidRDefault="00333CCE" w:rsidP="00333CCE">
      <w:pPr>
        <w:pStyle w:val="Akapitzlist"/>
        <w:numPr>
          <w:ilvl w:val="0"/>
          <w:numId w:val="25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19</w:t>
      </w:r>
      <w:r w:rsidRPr="00107618">
        <w:rPr>
          <w:rFonts w:ascii="Lato" w:hAnsi="Lato"/>
        </w:rPr>
        <w:t xml:space="preserve"> cząsteczko - wskazania nieonkologicznych,</w:t>
      </w:r>
    </w:p>
    <w:p w14:paraId="6BC22F31" w14:textId="5F872343" w:rsidR="00333CCE" w:rsidRPr="00107618" w:rsidRDefault="00333CCE" w:rsidP="00333CCE">
      <w:pPr>
        <w:pStyle w:val="Akapitzlist"/>
        <w:numPr>
          <w:ilvl w:val="0"/>
          <w:numId w:val="25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7</w:t>
      </w:r>
      <w:r w:rsidRPr="00107618">
        <w:rPr>
          <w:rFonts w:ascii="Lato" w:hAnsi="Lato"/>
        </w:rPr>
        <w:t xml:space="preserve"> cząsteczko - wskazania dedykowanych chorobom rzadkim.</w:t>
      </w:r>
    </w:p>
    <w:p w14:paraId="13996829" w14:textId="2018B0BB" w:rsidR="00333CCE" w:rsidRPr="00BB76F6" w:rsidRDefault="00333CCE" w:rsidP="00333CCE">
      <w:pPr>
        <w:spacing w:line="276" w:lineRule="auto"/>
        <w:jc w:val="both"/>
        <w:rPr>
          <w:rFonts w:ascii="Lato" w:hAnsi="Lato"/>
          <w:color w:val="000000" w:themeColor="text1"/>
        </w:rPr>
      </w:pPr>
      <w:r w:rsidRPr="00BB76F6">
        <w:rPr>
          <w:rFonts w:ascii="Lato" w:hAnsi="Lato"/>
          <w:color w:val="000000" w:themeColor="text1"/>
        </w:rPr>
        <w:t xml:space="preserve">Obwieszczenie refundacyjne obowiązujące od 1 </w:t>
      </w:r>
      <w:r>
        <w:rPr>
          <w:rFonts w:ascii="Lato" w:hAnsi="Lato"/>
          <w:color w:val="000000" w:themeColor="text1"/>
        </w:rPr>
        <w:t>kwietnia</w:t>
      </w:r>
      <w:r w:rsidRPr="00BB76F6">
        <w:rPr>
          <w:rFonts w:ascii="Lato" w:hAnsi="Lato"/>
          <w:color w:val="000000" w:themeColor="text1"/>
        </w:rPr>
        <w:t xml:space="preserve"> 202</w:t>
      </w:r>
      <w:r>
        <w:rPr>
          <w:rFonts w:ascii="Lato" w:hAnsi="Lato"/>
          <w:color w:val="000000" w:themeColor="text1"/>
        </w:rPr>
        <w:t>5</w:t>
      </w:r>
      <w:r w:rsidRPr="00BB76F6">
        <w:rPr>
          <w:rFonts w:ascii="Lato" w:hAnsi="Lato"/>
          <w:color w:val="000000" w:themeColor="text1"/>
        </w:rPr>
        <w:t xml:space="preserve"> r. (nr 7</w:t>
      </w:r>
      <w:r>
        <w:rPr>
          <w:rFonts w:ascii="Lato" w:hAnsi="Lato"/>
          <w:color w:val="000000" w:themeColor="text1"/>
        </w:rPr>
        <w:t>8</w:t>
      </w:r>
      <w:r w:rsidRPr="00BB76F6">
        <w:rPr>
          <w:rFonts w:ascii="Lato" w:hAnsi="Lato"/>
          <w:color w:val="000000" w:themeColor="text1"/>
        </w:rPr>
        <w:t>), w porównaniu do obwieszczenia 7</w:t>
      </w:r>
      <w:r>
        <w:rPr>
          <w:rFonts w:ascii="Lato" w:hAnsi="Lato"/>
          <w:color w:val="000000" w:themeColor="text1"/>
        </w:rPr>
        <w:t>7</w:t>
      </w:r>
      <w:r w:rsidRPr="00BB76F6">
        <w:rPr>
          <w:rFonts w:ascii="Lato" w:hAnsi="Lato"/>
          <w:color w:val="000000" w:themeColor="text1"/>
        </w:rPr>
        <w:t xml:space="preserve"> zawiera następujące zmiany:</w:t>
      </w:r>
    </w:p>
    <w:p w14:paraId="7F3D9C05" w14:textId="3ABB98AD" w:rsidR="00333CCE" w:rsidRPr="00CD1C4D" w:rsidRDefault="00333CCE" w:rsidP="00333CCE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CD1C4D">
        <w:rPr>
          <w:rFonts w:ascii="Lato" w:hAnsi="Lato"/>
        </w:rPr>
        <w:t>W związku z wydaniem pozytywnych decyzji o objęciu refundacją ogółem do wykazu zostało dodanych 1</w:t>
      </w:r>
      <w:r w:rsidR="00CD1C4D" w:rsidRPr="00CD1C4D">
        <w:rPr>
          <w:rFonts w:ascii="Lato" w:hAnsi="Lato"/>
        </w:rPr>
        <w:t>24</w:t>
      </w:r>
      <w:r w:rsidRPr="00CD1C4D">
        <w:rPr>
          <w:rFonts w:ascii="Lato" w:hAnsi="Lato"/>
        </w:rPr>
        <w:t xml:space="preserve"> produktów bądź nowych wskazań.</w:t>
      </w:r>
    </w:p>
    <w:p w14:paraId="799775AE" w14:textId="60194DDF" w:rsidR="00333CCE" w:rsidRPr="00C8605B" w:rsidRDefault="00333CCE" w:rsidP="00333CCE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C8605B">
        <w:rPr>
          <w:rFonts w:ascii="Lato" w:hAnsi="Lato"/>
        </w:rPr>
        <w:t xml:space="preserve">Dla </w:t>
      </w:r>
      <w:r w:rsidR="00C8605B" w:rsidRPr="00C8605B">
        <w:rPr>
          <w:rFonts w:ascii="Lato" w:hAnsi="Lato"/>
        </w:rPr>
        <w:t>151</w:t>
      </w:r>
      <w:r w:rsidRPr="00C8605B">
        <w:rPr>
          <w:rFonts w:ascii="Lato" w:hAnsi="Lato"/>
        </w:rPr>
        <w:t xml:space="preserve"> produktów wprowadzono obniżki cen zbytu netto (od 0,01 zł do </w:t>
      </w:r>
      <w:r w:rsidR="00C8605B" w:rsidRPr="00C8605B">
        <w:rPr>
          <w:rFonts w:ascii="Lato" w:hAnsi="Lato"/>
        </w:rPr>
        <w:t>6000,00</w:t>
      </w:r>
      <w:r w:rsidRPr="00C8605B">
        <w:rPr>
          <w:rFonts w:ascii="Lato" w:hAnsi="Lato"/>
        </w:rPr>
        <w:t xml:space="preserve"> zł).</w:t>
      </w:r>
    </w:p>
    <w:p w14:paraId="428A9CCE" w14:textId="33749FAB" w:rsidR="00333CCE" w:rsidRPr="00C8605B" w:rsidRDefault="00C8605B" w:rsidP="00333CCE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C8605B">
        <w:rPr>
          <w:rFonts w:ascii="Lato" w:hAnsi="Lato"/>
        </w:rPr>
        <w:t xml:space="preserve">Dla </w:t>
      </w:r>
      <w:r w:rsidRPr="00C8605B">
        <w:rPr>
          <w:rFonts w:ascii="Lato" w:hAnsi="Lato"/>
        </w:rPr>
        <w:t>7</w:t>
      </w:r>
      <w:r w:rsidRPr="00C8605B">
        <w:rPr>
          <w:rFonts w:ascii="Lato" w:hAnsi="Lato"/>
        </w:rPr>
        <w:t xml:space="preserve"> produktów wprowadzono </w:t>
      </w:r>
      <w:r w:rsidRPr="00C8605B">
        <w:rPr>
          <w:rFonts w:ascii="Lato" w:hAnsi="Lato"/>
        </w:rPr>
        <w:t xml:space="preserve">podwyżki </w:t>
      </w:r>
      <w:r w:rsidRPr="00C8605B">
        <w:rPr>
          <w:rFonts w:ascii="Lato" w:hAnsi="Lato"/>
        </w:rPr>
        <w:t xml:space="preserve">cen zbytu netto (od </w:t>
      </w:r>
      <w:r w:rsidRPr="00C8605B">
        <w:rPr>
          <w:rFonts w:ascii="Lato" w:hAnsi="Lato"/>
        </w:rPr>
        <w:t>2</w:t>
      </w:r>
      <w:r w:rsidRPr="00C8605B">
        <w:rPr>
          <w:rFonts w:ascii="Lato" w:hAnsi="Lato"/>
        </w:rPr>
        <w:t>,</w:t>
      </w:r>
      <w:r w:rsidRPr="00C8605B">
        <w:rPr>
          <w:rFonts w:ascii="Lato" w:hAnsi="Lato"/>
        </w:rPr>
        <w:t>55</w:t>
      </w:r>
      <w:r w:rsidRPr="00C8605B">
        <w:rPr>
          <w:rFonts w:ascii="Lato" w:hAnsi="Lato"/>
        </w:rPr>
        <w:t xml:space="preserve"> zł do </w:t>
      </w:r>
      <w:r w:rsidRPr="00C8605B">
        <w:rPr>
          <w:rFonts w:ascii="Lato" w:hAnsi="Lato"/>
        </w:rPr>
        <w:t>250</w:t>
      </w:r>
      <w:r w:rsidRPr="00C8605B">
        <w:rPr>
          <w:rFonts w:ascii="Lato" w:hAnsi="Lato"/>
        </w:rPr>
        <w:t>,00 zł).</w:t>
      </w:r>
    </w:p>
    <w:p w14:paraId="5AAE69C5" w14:textId="7DAFDD68" w:rsidR="00333CCE" w:rsidRPr="002C19A9" w:rsidRDefault="00333CCE" w:rsidP="00333CCE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2C19A9">
        <w:rPr>
          <w:rFonts w:ascii="Lato" w:hAnsi="Lato"/>
        </w:rPr>
        <w:t xml:space="preserve">Dla </w:t>
      </w:r>
      <w:r w:rsidR="002C19A9" w:rsidRPr="002C19A9">
        <w:rPr>
          <w:rFonts w:ascii="Lato" w:hAnsi="Lato"/>
        </w:rPr>
        <w:t>335</w:t>
      </w:r>
      <w:r w:rsidRPr="002C19A9">
        <w:rPr>
          <w:rFonts w:ascii="Lato" w:hAnsi="Lato"/>
        </w:rPr>
        <w:t xml:space="preserve"> pozycji w obwieszczeniu spadnie dopłata pacjenta (od 0,01 zł do </w:t>
      </w:r>
      <w:r w:rsidR="002C19A9">
        <w:rPr>
          <w:rFonts w:ascii="Lato" w:hAnsi="Lato"/>
        </w:rPr>
        <w:t>456,55</w:t>
      </w:r>
      <w:r w:rsidRPr="002C19A9">
        <w:rPr>
          <w:rFonts w:ascii="Lato" w:hAnsi="Lato"/>
        </w:rPr>
        <w:t xml:space="preserve"> zł).</w:t>
      </w:r>
    </w:p>
    <w:p w14:paraId="701C89B9" w14:textId="27F60B34" w:rsidR="00333CCE" w:rsidRPr="002C19A9" w:rsidRDefault="00333CCE" w:rsidP="00333CCE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2C19A9">
        <w:rPr>
          <w:rFonts w:ascii="Lato" w:hAnsi="Lato"/>
        </w:rPr>
        <w:t>Dla 2</w:t>
      </w:r>
      <w:r w:rsidR="002C19A9" w:rsidRPr="002C19A9">
        <w:rPr>
          <w:rFonts w:ascii="Lato" w:hAnsi="Lato"/>
        </w:rPr>
        <w:t>73</w:t>
      </w:r>
      <w:r w:rsidRPr="002C19A9">
        <w:rPr>
          <w:rFonts w:ascii="Lato" w:hAnsi="Lato"/>
        </w:rPr>
        <w:t xml:space="preserve"> pozycji w obwieszczeniu wzrośnie dopłata pacjenta (od 0,0</w:t>
      </w:r>
      <w:r w:rsidR="002C19A9">
        <w:rPr>
          <w:rFonts w:ascii="Lato" w:hAnsi="Lato"/>
        </w:rPr>
        <w:t>2</w:t>
      </w:r>
      <w:r w:rsidRPr="002C19A9">
        <w:rPr>
          <w:rFonts w:ascii="Lato" w:hAnsi="Lato"/>
        </w:rPr>
        <w:t xml:space="preserve"> zł do </w:t>
      </w:r>
      <w:r w:rsidR="002C19A9">
        <w:rPr>
          <w:rFonts w:ascii="Lato" w:hAnsi="Lato"/>
        </w:rPr>
        <w:t>198</w:t>
      </w:r>
      <w:r w:rsidRPr="002C19A9">
        <w:rPr>
          <w:rFonts w:ascii="Lato" w:hAnsi="Lato"/>
        </w:rPr>
        <w:t>,</w:t>
      </w:r>
      <w:r w:rsidR="002C19A9">
        <w:rPr>
          <w:rFonts w:ascii="Lato" w:hAnsi="Lato"/>
        </w:rPr>
        <w:t>79</w:t>
      </w:r>
      <w:r w:rsidRPr="002C19A9">
        <w:rPr>
          <w:rFonts w:ascii="Lato" w:hAnsi="Lato"/>
        </w:rPr>
        <w:t xml:space="preserve"> zł).</w:t>
      </w:r>
    </w:p>
    <w:p w14:paraId="11DC7246" w14:textId="1C1E3EFC" w:rsidR="00333CCE" w:rsidRPr="002C19A9" w:rsidRDefault="00333CCE" w:rsidP="00333CCE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2C19A9">
        <w:rPr>
          <w:rFonts w:ascii="Lato" w:hAnsi="Lato"/>
        </w:rPr>
        <w:t xml:space="preserve">Dla </w:t>
      </w:r>
      <w:r w:rsidR="002C19A9" w:rsidRPr="002C19A9">
        <w:rPr>
          <w:rFonts w:ascii="Lato" w:hAnsi="Lato"/>
        </w:rPr>
        <w:t>366</w:t>
      </w:r>
      <w:r w:rsidRPr="002C19A9">
        <w:rPr>
          <w:rFonts w:ascii="Lato" w:hAnsi="Lato"/>
        </w:rPr>
        <w:t xml:space="preserve"> produktów ulegną obniżeniu ceny detaliczne (od 0,01 zł do </w:t>
      </w:r>
      <w:r w:rsidR="002C19A9">
        <w:rPr>
          <w:rFonts w:ascii="Lato" w:hAnsi="Lato"/>
        </w:rPr>
        <w:t>322</w:t>
      </w:r>
      <w:r w:rsidRPr="002C19A9">
        <w:rPr>
          <w:rFonts w:ascii="Lato" w:hAnsi="Lato"/>
        </w:rPr>
        <w:t>,</w:t>
      </w:r>
      <w:r w:rsidR="002C19A9">
        <w:rPr>
          <w:rFonts w:ascii="Lato" w:hAnsi="Lato"/>
        </w:rPr>
        <w:t>2</w:t>
      </w:r>
      <w:r w:rsidRPr="002C19A9">
        <w:rPr>
          <w:rFonts w:ascii="Lato" w:hAnsi="Lato"/>
        </w:rPr>
        <w:t>1 zł).</w:t>
      </w:r>
    </w:p>
    <w:p w14:paraId="5118A8D7" w14:textId="4F63178C" w:rsidR="00333CCE" w:rsidRPr="002C19A9" w:rsidRDefault="00333CCE" w:rsidP="00333CCE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2C19A9">
        <w:rPr>
          <w:rFonts w:ascii="Lato" w:hAnsi="Lato"/>
        </w:rPr>
        <w:t xml:space="preserve">Dla </w:t>
      </w:r>
      <w:r w:rsidR="002C19A9" w:rsidRPr="002C19A9">
        <w:rPr>
          <w:rFonts w:ascii="Lato" w:hAnsi="Lato"/>
        </w:rPr>
        <w:t>207</w:t>
      </w:r>
      <w:r w:rsidRPr="002C19A9">
        <w:rPr>
          <w:rFonts w:ascii="Lato" w:hAnsi="Lato"/>
        </w:rPr>
        <w:t xml:space="preserve"> produktów wzrosną ceny detaliczne (od 0,01 zł do </w:t>
      </w:r>
      <w:r w:rsidR="002C19A9">
        <w:rPr>
          <w:rFonts w:ascii="Lato" w:hAnsi="Lato"/>
        </w:rPr>
        <w:t>9,33</w:t>
      </w:r>
      <w:r w:rsidRPr="002C19A9">
        <w:rPr>
          <w:rFonts w:ascii="Lato" w:hAnsi="Lato"/>
        </w:rPr>
        <w:t xml:space="preserve"> zł).</w:t>
      </w:r>
    </w:p>
    <w:p w14:paraId="3A122FE6" w14:textId="164FE2BF" w:rsidR="00333CCE" w:rsidRPr="006B6748" w:rsidRDefault="00333CCE" w:rsidP="00333CCE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6B6748">
        <w:rPr>
          <w:rFonts w:ascii="Lato" w:hAnsi="Lato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6B6748" w:rsidRPr="006B6748">
        <w:rPr>
          <w:rFonts w:ascii="Lato" w:hAnsi="Lato"/>
        </w:rPr>
        <w:t>77</w:t>
      </w:r>
      <w:r w:rsidRPr="006B6748">
        <w:rPr>
          <w:rFonts w:ascii="Lato" w:hAnsi="Lato"/>
        </w:rPr>
        <w:t xml:space="preserve"> produktów bądź wskazań figurujących w poprzednim obwieszczeniu.</w:t>
      </w:r>
    </w:p>
    <w:p w14:paraId="09BDE137" w14:textId="6C66F68C" w:rsidR="00F076C2" w:rsidRDefault="00F076C2" w:rsidP="00F076C2">
      <w:pPr>
        <w:spacing w:after="120" w:line="276" w:lineRule="auto"/>
        <w:jc w:val="both"/>
        <w:rPr>
          <w:rFonts w:ascii="Lato" w:hAnsi="Lato"/>
        </w:rPr>
      </w:pPr>
      <w:r>
        <w:rPr>
          <w:noProof/>
        </w:rPr>
        <w:lastRenderedPageBreak/>
        <w:drawing>
          <wp:inline distT="0" distB="0" distL="0" distR="0" wp14:anchorId="4E48ED26" wp14:editId="46FC5322">
            <wp:extent cx="4414520" cy="2587450"/>
            <wp:effectExtent l="0" t="0" r="5080" b="3810"/>
            <wp:docPr id="19937748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C0D5CA79-D76A-46E2-96FB-49E66CAE0D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Lato" w:hAnsi="Lato"/>
        </w:rPr>
        <w:t xml:space="preserve"> </w:t>
      </w:r>
      <w:r>
        <w:rPr>
          <w:noProof/>
        </w:rPr>
        <w:drawing>
          <wp:inline distT="0" distB="0" distL="0" distR="0" wp14:anchorId="2F5FF28B" wp14:editId="590E1F7C">
            <wp:extent cx="4366895" cy="2582426"/>
            <wp:effectExtent l="0" t="0" r="14605" b="8890"/>
            <wp:docPr id="2099411686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104527A-4B7B-4B3E-B490-148695C5935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466A0C" w14:textId="0F991AFA" w:rsidR="004D093B" w:rsidRPr="00735F08" w:rsidRDefault="00EB5536" w:rsidP="00BC3584">
      <w:pPr>
        <w:spacing w:after="120" w:line="276" w:lineRule="auto"/>
        <w:jc w:val="both"/>
        <w:rPr>
          <w:rFonts w:ascii="Lato" w:hAnsi="Lato"/>
        </w:rPr>
      </w:pPr>
      <w:r>
        <w:rPr>
          <w:noProof/>
        </w:rPr>
        <w:drawing>
          <wp:inline distT="0" distB="0" distL="0" distR="0" wp14:anchorId="7FACA1B0" wp14:editId="410A0FE1">
            <wp:extent cx="4414520" cy="2916555"/>
            <wp:effectExtent l="0" t="0" r="5080" b="17145"/>
            <wp:docPr id="801742577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019C8C64-7E08-4BD1-B749-283AD55A8E2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BC3584">
        <w:rPr>
          <w:rFonts w:ascii="Lato" w:hAnsi="Lato"/>
        </w:rPr>
        <w:t xml:space="preserve"> </w:t>
      </w:r>
      <w:r w:rsidR="00BC3584">
        <w:rPr>
          <w:noProof/>
        </w:rPr>
        <w:drawing>
          <wp:inline distT="0" distB="0" distL="0" distR="0" wp14:anchorId="5E1EDF86" wp14:editId="6761FCEF">
            <wp:extent cx="4366895" cy="2917190"/>
            <wp:effectExtent l="0" t="0" r="14605" b="16510"/>
            <wp:docPr id="652391904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C9CAC52-56A2-4432-8150-D06BD397DF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D093B"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655"/>
        <w:gridCol w:w="1549"/>
        <w:gridCol w:w="1867"/>
        <w:gridCol w:w="3955"/>
        <w:gridCol w:w="4499"/>
      </w:tblGrid>
      <w:tr w:rsidR="005058F2" w:rsidRPr="004D093B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39255B" w:rsidRPr="004D093B" w14:paraId="2F304C7B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08CA4AAC" w:rsidR="0039255B" w:rsidRPr="0039255B" w:rsidRDefault="0039255B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sz w:val="18"/>
                <w:szCs w:val="18"/>
              </w:rPr>
              <w:t>1</w:t>
            </w:r>
            <w:r w:rsidR="004079C5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67579A99" w:rsidR="0039255B" w:rsidRPr="004D093B" w:rsidRDefault="0039255B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39255B">
              <w:rPr>
                <w:rFonts w:ascii="Lato" w:hAnsi="Lato" w:cstheme="majorHAnsi"/>
                <w:b/>
                <w:bCs/>
                <w:sz w:val="18"/>
                <w:szCs w:val="18"/>
              </w:rPr>
              <w:t>Imfinzi</w:t>
            </w:r>
            <w:proofErr w:type="spellEnd"/>
            <w:r w:rsidRPr="0039255B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</w:t>
            </w:r>
            <w:r w:rsidR="004079C5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+ </w:t>
            </w:r>
            <w:proofErr w:type="spellStart"/>
            <w:r w:rsidR="004079C5" w:rsidRPr="0039255B">
              <w:rPr>
                <w:rFonts w:ascii="Lato" w:hAnsi="Lato" w:cstheme="majorHAnsi"/>
                <w:b/>
                <w:bCs/>
                <w:sz w:val="18"/>
                <w:szCs w:val="18"/>
              </w:rPr>
              <w:t>Imjudo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4D50" w14:textId="28D4F9E3" w:rsidR="0039255B" w:rsidRDefault="004079C5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durwalumab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</w:p>
          <w:p w14:paraId="5894D902" w14:textId="77777777" w:rsidR="004079C5" w:rsidRDefault="004079C5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</w:p>
          <w:p w14:paraId="61F52E7F" w14:textId="615608AE" w:rsidR="004079C5" w:rsidRPr="0039255B" w:rsidRDefault="004079C5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39255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tremelimumab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1A2057A8" w:rsidR="0039255B" w:rsidRPr="004D093B" w:rsidRDefault="0039255B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sz w:val="18"/>
                <w:szCs w:val="18"/>
              </w:rPr>
              <w:t>B.6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656FB767" w:rsidR="0039255B" w:rsidRPr="004D093B" w:rsidRDefault="0039255B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4846EBFA" w:rsidR="0039255B" w:rsidRPr="004D093B" w:rsidRDefault="0039255B" w:rsidP="0039255B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735F08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durwalumab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tremelimumabem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chemioterapią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opartą na pochodnych platyny u dorosłych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niedrobnokomórkowym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rakiem płuc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ekspresją PD-L1 &lt;50%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79C5" w:rsidRPr="004D093B" w14:paraId="41B567AC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539F6A02" w:rsidR="004079C5" w:rsidRPr="0039255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sz w:val="18"/>
                <w:szCs w:val="18"/>
              </w:rPr>
              <w:t>2</w:t>
            </w:r>
            <w:r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1B975C6E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9255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Alecensa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18C1B9C9" w:rsidR="004079C5" w:rsidRPr="0039255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r w:rsidRPr="0039255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le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Pr="0039255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  <w:r w:rsidRPr="0039255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nib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5B0114FB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538ECD87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286FA6E9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adjuwantow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monoterapii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 całkowitej resekcji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guza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dorosłych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pacjentów z 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niedrobnokomórkowym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rak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iem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płuca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rearanżacją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genie ALK, u których występuje duże ryzyko wznowy choroby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079C5" w:rsidRPr="004D093B" w14:paraId="4193F70D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25B2B5CB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5E8FD047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C729B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Verzenios</w:t>
            </w:r>
            <w:proofErr w:type="spellEnd"/>
          </w:p>
        </w:tc>
        <w:tc>
          <w:tcPr>
            <w:tcW w:w="55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4E361772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4C729B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abemacyklib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7A58599C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B.9</w:t>
            </w:r>
            <w:r w:rsidR="00E50AB6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.FM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6A3C0ABE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6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388A" w14:textId="1C751A54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Leczenie </w:t>
            </w:r>
            <w:proofErr w:type="spellStart"/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abemacyklibem</w:t>
            </w:r>
            <w:proofErr w:type="spellEnd"/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w skojarzeniu z hormonoterapią dorosłych pacjentów na HR- dodatniego, HER2-ujemnego wczesnego raka piersi z przerzutami do węzłów chłonnych i wysokim ryzykiem nawrotu.</w:t>
            </w:r>
          </w:p>
        </w:tc>
      </w:tr>
      <w:tr w:rsidR="004079C5" w:rsidRPr="004D093B" w14:paraId="34137848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53F4ED7C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25595502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4C729B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Rubraca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6F1EF6B4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4C729B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rukaparyb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11EB5473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B.50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0C137967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NA RAKA JAJNIKA, RAKA JAJOWODU LUB RAKA OTRZEWNEJ (ICD-10: C56, C57, C48)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4C9F" w14:textId="62250BAE" w:rsidR="004079C5" w:rsidRPr="004C729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Leczenie w monoterapii nowo zdiagnozowanego zaawansowanego raka jajnika, raka jajowodu lub pierwotnego raka otrzewnej u dorosłych pacjentek niezależnie od statusu mutacji BRCA i statusu homologicznej rekombinacji (HRD). </w:t>
            </w:r>
          </w:p>
        </w:tc>
      </w:tr>
      <w:tr w:rsidR="004079C5" w:rsidRPr="004D093B" w14:paraId="79F6918C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7647857C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079C5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4935BC9B" w:rsidR="004079C5" w:rsidRPr="00D1266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Elrexfio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2D915A4E" w:rsidR="004079C5" w:rsidRPr="00D1266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elranatamab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3C422D91" w:rsidR="004079C5" w:rsidRPr="00D1266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B.54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51DAD53D" w:rsidR="004079C5" w:rsidRPr="00D1266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5C87" w14:textId="17D2D95B" w:rsidR="004079C5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Leczenie od </w:t>
            </w:r>
            <w:r w:rsidR="00735F08">
              <w:rPr>
                <w:rFonts w:ascii="Lato" w:hAnsi="Lato" w:cstheme="majorHAnsi"/>
                <w:sz w:val="18"/>
                <w:szCs w:val="18"/>
              </w:rPr>
              <w:t>4.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linii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elranatamabem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 monoterapii dorosłych chorych na szpiczaka plazmocytowego o stanie sprawności 0-2 wg skali ECOG, u których stosowano uprzednio co najmniej trzy linie leczenia szpiczaka plazmocytowego, w tym zawierające lek immunomodulujący, inhibitor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proteasomu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oraz przeciwciało anty-CD38.</w:t>
            </w:r>
          </w:p>
          <w:p w14:paraId="5F6D2A24" w14:textId="747178F0" w:rsidR="004079C5" w:rsidRPr="00D1266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4079C5" w:rsidRPr="004D093B" w14:paraId="59AF2A0C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B34E" w14:textId="5BB627AC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8AD20" w14:textId="40397D7B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Talvey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83C8" w14:textId="788FBFE8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talkwetamab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A83B9" w14:textId="3DC21A85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B.54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118B" w14:textId="5A80483E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049E5" w14:textId="5C1EB00B" w:rsidR="004079C5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Leczenie od </w:t>
            </w:r>
            <w:r w:rsidR="00722C84">
              <w:rPr>
                <w:rFonts w:ascii="Lato" w:hAnsi="Lato" w:cstheme="majorHAnsi"/>
                <w:sz w:val="18"/>
                <w:szCs w:val="18"/>
              </w:rPr>
              <w:t>4.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linii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talkwetamabem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w monoterapii dorosłych chorych na szpiczaka plazmocytowego o stanie sprawności 0-2 wg skali ECOG, u których stosowano uprzednio co najmniej trzy linie leczenia szpiczaka plazmocytowego, w tym zawierające lek immunomodulujący, inhibitor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proteasomu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oraz przeciwciało anty-CD38.</w:t>
            </w:r>
          </w:p>
          <w:p w14:paraId="2749EA53" w14:textId="36FF81BA" w:rsidR="004079C5" w:rsidRPr="004D093B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4079C5" w:rsidRPr="004D093B" w14:paraId="6F8F1099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3F8DF" w14:textId="761CE253" w:rsidR="004079C5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72A8" w14:textId="5B195D7B" w:rsidR="004079C5" w:rsidRPr="007C44CD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39255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Talzenna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E633D" w14:textId="77241245" w:rsidR="004079C5" w:rsidRPr="007C44CD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</w:t>
            </w:r>
            <w:r w:rsidRPr="0039255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alazopar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  <w:r w:rsidRPr="0039255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1C438" w14:textId="3DDDD20F" w:rsidR="004079C5" w:rsidRPr="007C44CD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B.56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86DD" w14:textId="0D7F4DF1" w:rsidR="004079C5" w:rsidRPr="007C44CD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GRUCZOŁU KROKOWEGO (ICD-10: C61)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FA30D" w14:textId="31FF653F" w:rsidR="004079C5" w:rsidRPr="007C44CD" w:rsidRDefault="004079C5" w:rsidP="004079C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talazoparybem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skojarzeniu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enzalutamidem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dorosłych pacjentów z opornym na kastrację rakiem gruczołu krokowego z przerzutami (</w:t>
            </w:r>
            <w:proofErr w:type="spellStart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mCRPC</w:t>
            </w:r>
            <w:proofErr w:type="spellEnd"/>
            <w:r w:rsidRPr="0039255B">
              <w:rPr>
                <w:rFonts w:ascii="Lato" w:hAnsi="Lato" w:cstheme="majorHAnsi"/>
                <w:color w:val="000000"/>
                <w:sz w:val="18"/>
                <w:szCs w:val="18"/>
              </w:rPr>
              <w:t>) i mutacjami w genach HRR (BRCA2, ATM, CDK12, CHECK2, BRCA1, PALB2, RAD51C), u których chemioterapia nie jest klinicznie wskazana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03599" w:rsidRPr="004D093B" w14:paraId="5A7AB3C4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E0E95" w14:textId="5899CE52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22FCF" w14:textId="0AC5AFA2" w:rsidR="00E03599" w:rsidRPr="0039255B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158F" w14:textId="5E5DA7A4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BE02" w14:textId="2C87C4B7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B.59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A08E7" w14:textId="02189B81" w:rsidR="00E03599" w:rsidRPr="0039255B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03599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45E8" w14:textId="0512546C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0359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uzupełniające </w:t>
            </w:r>
            <w:proofErr w:type="spellStart"/>
            <w:r w:rsidRPr="00E03599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E0359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od 12 r. ż. po resekcji czerniaka w stopniu zaawansowania IIB/IIC.</w:t>
            </w:r>
          </w:p>
        </w:tc>
      </w:tr>
      <w:tr w:rsidR="00E03599" w:rsidRPr="004D093B" w14:paraId="57C32FC3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84F03" w14:textId="1F8CFEA7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C0E9D" w14:textId="4AC61B53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Calquence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985C8" w14:textId="2D131E3D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akalabrutynib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474F" w14:textId="517BD0E4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B.79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29311" w14:textId="1609A6A7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PRZEWLEKŁĄ BIAŁACZKĘ LIMFOCYTOWĄ (ICD-10: C91.1)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B16C2" w14:textId="44E8B94E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w 1. linii </w:t>
            </w:r>
            <w:proofErr w:type="spellStart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>akalabrutynib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monoterapii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chorych na przewlekłą białaczkę limfocytową bez del17p, bez mutTP53 i ze zmutowanym statusem </w:t>
            </w:r>
            <w:proofErr w:type="spellStart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>IgHV</w:t>
            </w:r>
            <w:proofErr w:type="spellEnd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(tj. rozszerzenie aktualnie refundowanego wskazania dla </w:t>
            </w:r>
            <w:proofErr w:type="spellStart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>akalabrutynibu</w:t>
            </w:r>
            <w:proofErr w:type="spellEnd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monoterapii 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linii leczenia o populację pacjentów </w:t>
            </w:r>
            <w:proofErr w:type="spellStart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>low-risk</w:t>
            </w:r>
            <w:proofErr w:type="spellEnd"/>
            <w:r w:rsidRPr="00712EB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– niskiego ryzyka)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2B00C646" w14:textId="5AB4CBE5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E03599" w:rsidRPr="004D093B" w14:paraId="47FA5CCC" w14:textId="77777777" w:rsidTr="00E03599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616AE" w14:textId="3F9FE155" w:rsidR="00E03599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0D59E" w14:textId="07526F3C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C00000"/>
                <w:sz w:val="18"/>
                <w:szCs w:val="18"/>
              </w:rPr>
            </w:pPr>
            <w:proofErr w:type="spellStart"/>
            <w:r w:rsidRPr="00D1266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Jemperli</w:t>
            </w:r>
            <w:proofErr w:type="spellEnd"/>
          </w:p>
        </w:tc>
        <w:tc>
          <w:tcPr>
            <w:tcW w:w="5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00862" w14:textId="008209E5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C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</w:t>
            </w:r>
            <w:r w:rsidRPr="00D1266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ostarlimab</w:t>
            </w:r>
            <w:proofErr w:type="spellEnd"/>
          </w:p>
        </w:tc>
        <w:tc>
          <w:tcPr>
            <w:tcW w:w="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665A" w14:textId="17C25968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B.148</w:t>
            </w:r>
          </w:p>
        </w:tc>
        <w:tc>
          <w:tcPr>
            <w:tcW w:w="1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960DD" w14:textId="15EC9BA3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ENDOMETRIUM (ICD-10: C54)</w:t>
            </w:r>
          </w:p>
        </w:tc>
        <w:tc>
          <w:tcPr>
            <w:tcW w:w="16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D3C7" w14:textId="07E3A032" w:rsidR="00E03599" w:rsidRPr="007C44CD" w:rsidRDefault="00E03599" w:rsidP="00E03599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C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1. linii</w:t>
            </w:r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dostarlimab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karboplatyną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paklitakselem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a następnie w terapii podtrzymującej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dostarlimab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monoterapii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</w:t>
            </w:r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pacjentek z pierwotnym, zaawansowanym lub nawrotowym rakiem endometrium z upośledzeniem naprawy nieprawidłowo sparowanych nukleotydów (ang.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mismatch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repair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deficient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dMMR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wysoką niestabilnością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mikrosatelitarną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(ang.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microsatellite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instability</w:t>
            </w:r>
            <w:proofErr w:type="spellEnd"/>
            <w:r w:rsidRPr="00D1266B">
              <w:rPr>
                <w:rFonts w:ascii="Lato" w:hAnsi="Lato" w:cstheme="majorHAnsi"/>
                <w:color w:val="000000"/>
                <w:sz w:val="18"/>
                <w:szCs w:val="18"/>
              </w:rPr>
              <w:t>-high, MSI-H)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7F9CCF36" w14:textId="51B74B46" w:rsidR="004D093B" w:rsidRDefault="004D093B"/>
    <w:p w14:paraId="7FCF9A29" w14:textId="77777777" w:rsidR="004D093B" w:rsidRDefault="004D093B">
      <w:pPr>
        <w:suppressAutoHyphens w:val="0"/>
      </w:pPr>
      <w: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1655"/>
        <w:gridCol w:w="1561"/>
        <w:gridCol w:w="1983"/>
        <w:gridCol w:w="4317"/>
        <w:gridCol w:w="4009"/>
      </w:tblGrid>
      <w:tr w:rsidR="002D6ED9" w:rsidRPr="004D093B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4C447B" w:rsidRPr="004D093B" w14:paraId="1394CD71" w14:textId="77777777" w:rsidTr="004C447B">
        <w:trPr>
          <w:cantSplit/>
          <w:trHeight w:val="628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4C447B" w:rsidRPr="004D093B" w14:paraId="7522F87A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1F7FCCAB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42B60174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Różne nazwy handlowe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5B62845F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bewacyzumab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04CA0DE6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B.70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5683D2DF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CHOROBAMI SIATKÓWKI (ICD-10: H34, H35.3, H36.0)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7C9BB" w14:textId="1A3D9632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bewacyzumabem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od 18 r. ż. z zakrzepem żył siatkówki w nowej, dedykowanej części programu „C. LECZENIE PACJENTÓW Z ZAKRZEPEM ŻYŁ SIATKÓWKI (RVO)”</w:t>
            </w:r>
          </w:p>
        </w:tc>
      </w:tr>
      <w:tr w:rsidR="004C447B" w:rsidRPr="004D093B" w14:paraId="67574E71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8471" w14:textId="3CDA2BA4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D073" w14:textId="0BD5474D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Epclusa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786BE" w14:textId="7FF7F455" w:rsidR="00A45B17" w:rsidRPr="00A45B17" w:rsidRDefault="00ED1CDA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sofosbuwir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welpataswir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255B" w14:textId="7053D744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B.71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AD120" w14:textId="5B764FBA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TERAPIĄ BEZINTERFERONOWĄ CHORYCH NA PRZEWLEKŁE WIRUSOWE ZAPALENIE WĄTROBY TYPU C (ICD-10: B18.2)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93E3" w14:textId="57B3463F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Leczenia WZW typu C w populacji pediatrycznej.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mian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zapisu kryterium minimalnego wieku chorego jako wiek 3 lat i powyżej, aktualnie określonego jako od ukończenia 18 r.ż.</w:t>
            </w:r>
          </w:p>
        </w:tc>
      </w:tr>
      <w:tr w:rsidR="004C447B" w:rsidRPr="004D093B" w14:paraId="3A184E3F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576D" w14:textId="18C91137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AADF7" w14:textId="7FC2C540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Harvoni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AD80" w14:textId="245B5B74" w:rsidR="00A45B17" w:rsidRPr="00A45B17" w:rsidRDefault="00ED1CDA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sofosbuwir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ledipaswir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D005D" w14:textId="1D83BFAB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B.71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A2BE" w14:textId="625CD2B1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TERAPIĄ BEZINTERFERONOWĄ CHORYCH NA PRZEWLEKŁE WIRUSOWE ZAPALENIE WĄTROBY TYPU C (ICD-10: B18.2)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F3EC" w14:textId="2A9E4C85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Leczenia WZW typu C w populacji pediatrycznej.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mianie zapisu kryterium minimalnego wieku chorego jako wiek 3 lat i powyżej, aktualnie określonego jako od ukończenia 18 r.ż.</w:t>
            </w:r>
          </w:p>
        </w:tc>
      </w:tr>
      <w:tr w:rsidR="004C447B" w:rsidRPr="004D093B" w14:paraId="2F48F654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C683B" w14:textId="74A62E43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6DCE" w14:textId="3188D0A1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Maviret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C77E4" w14:textId="4207213F" w:rsidR="00A45B17" w:rsidRPr="00A45B17" w:rsidRDefault="00ED1CDA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glekaprewir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pibrentaswir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029A3" w14:textId="301FA71C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B.71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A3AD1" w14:textId="495AAD1F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TERAPIĄ BEZINTERFERONOWĄ CHORYCH NA PRZEWLEKŁE WIRUSOWE ZAPALENIE WĄTROBY TYPU C (ICD-10: B18.2)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F2D48" w14:textId="6C215D97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Leczenia WZW typu C w populacji pediatrycznej.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mianie zapisu kryterium minimalnego wieku chorego jako wiek 3 lat i powyżej, aktualnie określonego jako od ukończenia 18 r.ż.</w:t>
            </w:r>
          </w:p>
        </w:tc>
      </w:tr>
      <w:tr w:rsidR="004C447B" w:rsidRPr="004D093B" w14:paraId="7F0C812A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EBFD2" w14:textId="2649C4E4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1A3D2" w14:textId="6C0CCBE4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Vosevi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68289" w14:textId="542AF124" w:rsidR="00A45B17" w:rsidRPr="00A45B17" w:rsidRDefault="00ED1CDA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sofosbuvir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welpataswir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A45B17"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woksyleprewir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940A" w14:textId="0C402306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B.71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2E68" w14:textId="138C5DB2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TERAPIĄ BEZINTERFERONOWĄ CHORYCH NA PRZEWLEKŁE WIRUSOWE ZAPALENIE WĄTROBY TYPU C (ICD-10: B18.2)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1F66" w14:textId="744962DC" w:rsidR="00A45B17" w:rsidRPr="00A45B17" w:rsidRDefault="00A45B17" w:rsidP="00A45B17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Leczenia WZW typu C w populacji pediatrycznej.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</w:t>
            </w: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mianie zapisu kryterium minimalnego wieku chorego jako wiek 12 lat i powyżej, aktualnie określonego jako od ukończenia 18 r.ż.</w:t>
            </w:r>
          </w:p>
        </w:tc>
      </w:tr>
      <w:tr w:rsidR="004C447B" w:rsidRPr="004D093B" w14:paraId="51E4037F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B1756" w14:textId="77131EBD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1CCD" w14:textId="70BE6885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Nucala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CC728" w14:textId="53BCB5D8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mepolizumab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10579" w14:textId="0998FF4E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B.75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BD8C8" w14:textId="4D871306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UKŁADOWYMI ZAPALENIAMI NACZYŃ (ICD-10: M30.1, M31.3, M31.5, M31.6, M31.7, M31.8)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1B627" w14:textId="77777777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mepolizumabem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od 6 r. ż. chorych na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eozynofilową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ziarniniakowatość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zapaleniem naczyń w nowej, dedykowanej części programu „III. LECZENIE CHORYCH Z AKTYWNĄ POSTACIĄ EOZYNOFILOWEJ ZIARNINIAKOWATOŚCI Z ZAPALENIEM NACZYŃ  (EGPA) (ICD-10: M30.1)”</w:t>
            </w:r>
          </w:p>
          <w:p w14:paraId="45686B2A" w14:textId="40E5E25D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4C447B" w:rsidRPr="004D093B" w14:paraId="5ED86F3E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182C2BF8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267A387B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Kaftrio + </w:t>
            </w:r>
            <w:r w:rsidRPr="00A45B17">
              <w:rPr>
                <w:rFonts w:ascii="Lato" w:hAnsi="Lato" w:cstheme="majorHAnsi"/>
                <w:b/>
                <w:bCs/>
                <w:sz w:val="18"/>
                <w:szCs w:val="18"/>
              </w:rPr>
              <w:t>Kalydeco</w:t>
            </w:r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2FEE336C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iwakaftor</w:t>
            </w:r>
            <w:proofErr w:type="spellEnd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tezakaftor</w:t>
            </w:r>
            <w:proofErr w:type="spellEnd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eleksakaftor</w:t>
            </w:r>
            <w:proofErr w:type="spellEnd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45B17">
              <w:rPr>
                <w:rFonts w:ascii="Lato" w:hAnsi="Lato" w:cstheme="majorHAnsi"/>
                <w:i/>
                <w:iCs/>
                <w:sz w:val="18"/>
                <w:szCs w:val="18"/>
              </w:rPr>
              <w:t>iwakaftor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1026A614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B.112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35BE06BD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B.112. LECZENIE CHORYCH NA MUKOWISCYDOZĘ (ICD-10: E84)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54059" w14:textId="77777777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iwakaftorem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tezakaftorem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eleksakaftorem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iwakaftorem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z mukowiscydozą w wieku 2 lat i powyżej, z co najmniej jedną mutacją F508del genu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mukowiscydozowego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przezbłonowego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regulatora przewodnictwa.</w:t>
            </w:r>
          </w:p>
          <w:p w14:paraId="790C1040" w14:textId="08527F4F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4C447B" w:rsidRPr="004D093B" w14:paraId="5CE97390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104F49A2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0870D121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Livtencity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6B138832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maribawir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4E89FAF6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B.168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716EBC5C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NIEREAGUJĄCYM LUB OPORNYM NA LECZENIE ZAKAŻENIEM WIRUSEM CYTOMEGALII (CMV) (ICD-10: B25.0, B25.1, B25.2, B25.8, B25.9)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806" w14:textId="6A58142C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2. lub kolejnej linii </w:t>
            </w:r>
            <w:proofErr w:type="spellStart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maribawirem</w:t>
            </w:r>
            <w:proofErr w:type="spellEnd"/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po przeszczepieniu krwiotwórczych komórek macierzystych lub narządu litego zakażonych wirusem cytomegalii (CMV).</w:t>
            </w:r>
          </w:p>
        </w:tc>
      </w:tr>
      <w:tr w:rsidR="004C447B" w:rsidRPr="004D093B" w14:paraId="1013F3CB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71B68" w14:textId="458CAB60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3564D" w14:textId="7FCFEB2F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Nucala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5282A3" w14:textId="667E7331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A45B1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mepolizumab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AB009" w14:textId="1C16083A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B.169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016D2" w14:textId="1446625A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ZESPOŁEM HIPEREOZYNOFILOWYM (HES) (ICD-10: D72.11)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7E2E5" w14:textId="5429B443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="Arial"/>
                <w:bCs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 xml:space="preserve">Leczenie pacjentów dorosłych z rozpoznaniem zespołu </w:t>
            </w:r>
            <w:proofErr w:type="spellStart"/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>hipereozynofilowego</w:t>
            </w:r>
            <w:proofErr w:type="spellEnd"/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 xml:space="preserve"> (HES), niewystarczająco kontrolowanego (wystąpienie co najmniej dwóch zaostrzeń HES w ostatnim roku, z liczbą </w:t>
            </w:r>
            <w:proofErr w:type="spellStart"/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>eozynofilów</w:t>
            </w:r>
            <w:proofErr w:type="spellEnd"/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 xml:space="preserve"> ≥1000 kom./</w:t>
            </w:r>
            <w:proofErr w:type="spellStart"/>
            <w:r w:rsidRPr="00A45B17">
              <w:rPr>
                <w:rFonts w:cs="Calibri"/>
                <w:bCs/>
                <w:color w:val="000000"/>
                <w:sz w:val="18"/>
                <w:szCs w:val="18"/>
              </w:rPr>
              <w:t>μ</w:t>
            </w:r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>l</w:t>
            </w:r>
            <w:proofErr w:type="spellEnd"/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 xml:space="preserve"> w momencie kwalifikacji albo w ci</w:t>
            </w:r>
            <w:r w:rsidRPr="00A45B17">
              <w:rPr>
                <w:rFonts w:ascii="Lato" w:hAnsi="Lato" w:cs="Lato"/>
                <w:bCs/>
                <w:color w:val="000000"/>
                <w:sz w:val="18"/>
                <w:szCs w:val="18"/>
              </w:rPr>
              <w:t>ą</w:t>
            </w:r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>gu 12 miesi</w:t>
            </w:r>
            <w:r w:rsidRPr="00A45B17">
              <w:rPr>
                <w:rFonts w:ascii="Lato" w:hAnsi="Lato" w:cs="Lato"/>
                <w:bCs/>
                <w:color w:val="000000"/>
                <w:sz w:val="18"/>
                <w:szCs w:val="18"/>
              </w:rPr>
              <w:t>ę</w:t>
            </w:r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>cy poprzedzaj</w:t>
            </w:r>
            <w:r w:rsidRPr="00A45B17">
              <w:rPr>
                <w:rFonts w:ascii="Lato" w:hAnsi="Lato" w:cs="Lato"/>
                <w:bCs/>
                <w:color w:val="000000"/>
                <w:sz w:val="18"/>
                <w:szCs w:val="18"/>
              </w:rPr>
              <w:t>ą</w:t>
            </w:r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>cych kwalifikacj</w:t>
            </w:r>
            <w:r w:rsidRPr="00A45B17">
              <w:rPr>
                <w:rFonts w:ascii="Lato" w:hAnsi="Lato" w:cs="Lato"/>
                <w:bCs/>
                <w:color w:val="000000"/>
                <w:sz w:val="18"/>
                <w:szCs w:val="18"/>
              </w:rPr>
              <w:t>ę</w:t>
            </w:r>
            <w:r w:rsidRPr="00A45B17">
              <w:rPr>
                <w:rFonts w:ascii="Lato" w:hAnsi="Lato" w:cs="Arial"/>
                <w:bCs/>
                <w:color w:val="000000"/>
                <w:sz w:val="18"/>
                <w:szCs w:val="18"/>
              </w:rPr>
              <w:t xml:space="preserve"> chorego do leczenia w programie.</w:t>
            </w:r>
          </w:p>
          <w:p w14:paraId="6CA8500D" w14:textId="5A0860FA" w:rsidR="00E50AB6" w:rsidRPr="00A45B17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A45B1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4C447B" w:rsidRPr="004D093B" w14:paraId="6D899FDB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4E4E030C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15184FD9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Amvuttra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60BBF054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wutrisiran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24FF9EB5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B.170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7D785792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C00110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Z POLINEUROPATIĄ W I LUB II STADIUM ZAAWANSOWANIA W PRZEBIEGU DZIEDZICZNEJ AMYLOIDOZY TRANSTYRETYNOWEJ (ICD-10 E85.1)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489BB" w14:textId="77777777" w:rsid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leku z grupy terapii wyciszających geny w dziedzicznej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amyloidozie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transtyretynowej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przebiegającej z polineuropatią, w populacji pacjentów powyżej 18 r.ż. </w:t>
            </w:r>
          </w:p>
          <w:p w14:paraId="7A6E1E34" w14:textId="6AE490FD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4C447B" w:rsidRPr="004D093B" w14:paraId="1AF8AB98" w14:textId="77777777" w:rsidTr="004C447B">
        <w:trPr>
          <w:cantSplit/>
          <w:trHeight w:val="20"/>
        </w:trPr>
        <w:tc>
          <w:tcPr>
            <w:tcW w:w="1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44BDB661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6D4887C2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C5DE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Kinpeygo</w:t>
            </w:r>
            <w:proofErr w:type="spellEnd"/>
          </w:p>
        </w:tc>
        <w:tc>
          <w:tcPr>
            <w:tcW w:w="5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128D0D33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</w:t>
            </w:r>
            <w:r w:rsidRPr="00DC5DE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udesoni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</w:t>
            </w:r>
            <w:proofErr w:type="spellEnd"/>
          </w:p>
        </w:tc>
        <w:tc>
          <w:tcPr>
            <w:tcW w:w="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48400A69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B.171</w:t>
            </w:r>
          </w:p>
        </w:tc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5BDC306A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C5D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PIERWOTNĄ NEFROPATIĄ </w:t>
            </w:r>
            <w:proofErr w:type="spellStart"/>
            <w:r w:rsidRPr="00DC5DEB">
              <w:rPr>
                <w:rFonts w:ascii="Lato" w:hAnsi="Lato" w:cstheme="majorHAnsi"/>
                <w:color w:val="000000"/>
                <w:sz w:val="18"/>
                <w:szCs w:val="18"/>
              </w:rPr>
              <w:t>IgA</w:t>
            </w:r>
            <w:proofErr w:type="spellEnd"/>
            <w:r w:rsidRPr="00DC5DE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(ICD-10: N02.8)</w:t>
            </w:r>
          </w:p>
        </w:tc>
        <w:tc>
          <w:tcPr>
            <w:tcW w:w="14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293A3D48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Pr="00AA0145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osób dorosłych z pierwotną nefropatią </w:t>
            </w:r>
            <w:proofErr w:type="spellStart"/>
            <w:r w:rsidRPr="00AA0145">
              <w:rPr>
                <w:rFonts w:ascii="Lato" w:hAnsi="Lato" w:cstheme="majorHAnsi"/>
                <w:color w:val="000000"/>
                <w:sz w:val="18"/>
                <w:szCs w:val="18"/>
              </w:rPr>
              <w:t>IgA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169C5300" w14:textId="177F7F2B" w:rsidR="004D093B" w:rsidRDefault="004D093B">
      <w:pPr>
        <w:suppressAutoHyphens w:val="0"/>
        <w:rPr>
          <w:rFonts w:ascii="Lato" w:hAnsi="Lato"/>
        </w:rPr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638"/>
        <w:gridCol w:w="2524"/>
        <w:gridCol w:w="9192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E50AB6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64D50FB1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E50AB6"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61E6F141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E50AB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B.25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73C2366F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E50AB6">
              <w:rPr>
                <w:rFonts w:ascii="Lato" w:hAnsi="Lato"/>
                <w:sz w:val="18"/>
                <w:szCs w:val="18"/>
              </w:rPr>
              <w:t>LECZENIE PACJENTÓW Z MUKOPOLISACHARYDOZĄ TYPU II (ZESPÓŁ HUNTERA) (ICD-10 E 76.1)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7CAF28C5" w:rsidR="00E50AB6" w:rsidRPr="00E50AB6" w:rsidRDefault="00E50AB6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E50AB6">
              <w:rPr>
                <w:rFonts w:ascii="Lato" w:hAnsi="Lato" w:cstheme="majorHAnsi"/>
                <w:sz w:val="18"/>
                <w:szCs w:val="18"/>
              </w:rPr>
              <w:t xml:space="preserve">Kompleksowa zmiana treści programu lekowego obejmująca wszystkie jego składowe. Główna zmiana dotyczy zniesienia kryterium wiekowego stosowania </w:t>
            </w:r>
            <w:proofErr w:type="spellStart"/>
            <w:r w:rsidRPr="00E50AB6">
              <w:rPr>
                <w:rFonts w:ascii="Lato" w:hAnsi="Lato" w:cstheme="majorHAnsi"/>
                <w:sz w:val="18"/>
                <w:szCs w:val="18"/>
              </w:rPr>
              <w:t>idursulfazy</w:t>
            </w:r>
            <w:proofErr w:type="spellEnd"/>
            <w:r w:rsidRPr="00E50AB6">
              <w:rPr>
                <w:rFonts w:ascii="Lato" w:hAnsi="Lato" w:cstheme="majorHAnsi"/>
                <w:sz w:val="18"/>
                <w:szCs w:val="18"/>
              </w:rPr>
              <w:t xml:space="preserve"> u pacjentów poniżej 5 r.ż. Dodatkowo wprowadzono liczne zmiany ujednolicające i porządkujące. </w:t>
            </w:r>
          </w:p>
        </w:tc>
      </w:tr>
      <w:tr w:rsidR="00E50AB6" w:rsidRPr="004D093B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7C8DF49F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3D2513C1" w:rsidR="00E50AB6" w:rsidRPr="004079C5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4079C5">
              <w:rPr>
                <w:rFonts w:ascii="Lato" w:hAnsi="Lato"/>
                <w:b/>
                <w:bCs/>
                <w:sz w:val="18"/>
                <w:szCs w:val="18"/>
              </w:rPr>
              <w:t>B.29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79649326" w:rsidR="00E50AB6" w:rsidRPr="004079C5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079C5">
              <w:rPr>
                <w:rFonts w:ascii="Lato" w:hAnsi="Lato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6CF1AFAB" w:rsidR="00E50AB6" w:rsidRPr="004079C5" w:rsidRDefault="00E50AB6" w:rsidP="00E50AB6">
            <w:pPr>
              <w:pStyle w:val="Style2"/>
              <w:widowControl/>
              <w:spacing w:before="60" w:after="60" w:line="240" w:lineRule="auto"/>
              <w:jc w:val="left"/>
              <w:rPr>
                <w:rFonts w:ascii="Lato" w:hAnsi="Lato"/>
                <w:sz w:val="18"/>
                <w:szCs w:val="18"/>
              </w:rPr>
            </w:pPr>
            <w:r w:rsidRPr="004079C5">
              <w:rPr>
                <w:rFonts w:ascii="Lato" w:hAnsi="Lato"/>
                <w:sz w:val="18"/>
                <w:szCs w:val="18"/>
              </w:rPr>
              <w:t xml:space="preserve">W przypadku rozpoznania postaci rzutowo - </w:t>
            </w:r>
            <w:proofErr w:type="spellStart"/>
            <w:r w:rsidRPr="004079C5">
              <w:rPr>
                <w:rFonts w:ascii="Lato" w:hAnsi="Lato"/>
                <w:sz w:val="18"/>
                <w:szCs w:val="18"/>
              </w:rPr>
              <w:t>remisyjnej</w:t>
            </w:r>
            <w:proofErr w:type="spellEnd"/>
            <w:r w:rsidRPr="004079C5">
              <w:rPr>
                <w:rFonts w:ascii="Lato" w:hAnsi="Lato"/>
                <w:sz w:val="18"/>
                <w:szCs w:val="18"/>
              </w:rPr>
              <w:t xml:space="preserve"> stwardnienia rozsianego kryterium kwalifikacji to wystąpienie minimum 1 rzutu klinicznego albo co najmniej 1 nowe ognisko GD+ w okresie 12 miesięcy przed kwalifikacją. Zmiana dotyczy ujednolicenia tego zapisu dla każdego leku refundowanego w ramach I linii RRMS. Dotychczas do leczenia kladrybiną kwalifikowano pacjentów, u których wystąpiły minimum 2 rzuty kliniczne (niezależnie od zmian MRI).</w:t>
            </w:r>
          </w:p>
        </w:tc>
      </w:tr>
      <w:tr w:rsidR="00E50AB6" w:rsidRPr="004D093B" w14:paraId="67293BB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12801BDC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50AB6"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15F6FAEC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50AB6">
              <w:rPr>
                <w:rFonts w:ascii="Lato" w:hAnsi="Lato"/>
                <w:b/>
                <w:bCs/>
                <w:sz w:val="18"/>
                <w:szCs w:val="18"/>
              </w:rPr>
              <w:t>B.59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67293B80" w:rsidR="00E50AB6" w:rsidRPr="00E50AB6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E50AB6">
              <w:rPr>
                <w:rFonts w:ascii="Lato" w:hAnsi="Lato"/>
                <w:sz w:val="18"/>
                <w:szCs w:val="18"/>
              </w:rPr>
              <w:t>LECZENIE CHORYCH NA CZERNIAKA SKÓRY LUB BŁON ŚLUZOWYCH (ICD-10: C43)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84DF" w14:textId="64D19B1C" w:rsidR="00E50AB6" w:rsidRPr="00E50AB6" w:rsidRDefault="00E50AB6" w:rsidP="00E50AB6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50AB6">
              <w:rPr>
                <w:rFonts w:ascii="Lato" w:hAnsi="Lato"/>
                <w:sz w:val="18"/>
                <w:szCs w:val="18"/>
              </w:rPr>
              <w:t xml:space="preserve">Modyfikacja zapisów umożliwiających stosowanie </w:t>
            </w:r>
            <w:proofErr w:type="spellStart"/>
            <w:r w:rsidRPr="00E50AB6">
              <w:rPr>
                <w:rFonts w:ascii="Lato" w:hAnsi="Lato"/>
                <w:sz w:val="18"/>
                <w:szCs w:val="18"/>
              </w:rPr>
              <w:t>niwolumabu</w:t>
            </w:r>
            <w:proofErr w:type="spellEnd"/>
            <w:r w:rsidRPr="00E50AB6">
              <w:rPr>
                <w:rFonts w:ascii="Lato" w:hAnsi="Lato"/>
                <w:sz w:val="18"/>
                <w:szCs w:val="18"/>
              </w:rPr>
              <w:t xml:space="preserve"> w leczeniu </w:t>
            </w:r>
            <w:proofErr w:type="spellStart"/>
            <w:r w:rsidRPr="00E50AB6">
              <w:rPr>
                <w:rFonts w:ascii="Lato" w:hAnsi="Lato"/>
                <w:sz w:val="18"/>
                <w:szCs w:val="18"/>
              </w:rPr>
              <w:t>adjuwantowym</w:t>
            </w:r>
            <w:proofErr w:type="spellEnd"/>
            <w:r w:rsidRPr="00E50AB6">
              <w:rPr>
                <w:rFonts w:ascii="Lato" w:hAnsi="Lato"/>
                <w:sz w:val="18"/>
                <w:szCs w:val="18"/>
              </w:rPr>
              <w:t xml:space="preserve"> czerniaka w stopniu zaawansowania IIB i IIC.</w:t>
            </w:r>
          </w:p>
        </w:tc>
      </w:tr>
      <w:tr w:rsidR="00E50AB6" w:rsidRPr="004D093B" w14:paraId="427A8655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964B" w14:textId="546DF4AF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50AB6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BB4C" w14:textId="1950BC36" w:rsidR="00E50AB6" w:rsidRPr="00E50AB6" w:rsidRDefault="00E50AB6" w:rsidP="00E50AB6">
            <w:pPr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E50AB6">
              <w:rPr>
                <w:rFonts w:ascii="Lato" w:hAnsi="Lato"/>
                <w:b/>
                <w:bCs/>
                <w:sz w:val="18"/>
                <w:szCs w:val="18"/>
              </w:rPr>
              <w:t>B.70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3CC8" w14:textId="495126E7" w:rsidR="00E50AB6" w:rsidRPr="00E50AB6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E50AB6">
              <w:rPr>
                <w:rFonts w:ascii="Lato" w:hAnsi="Lato"/>
                <w:sz w:val="18"/>
                <w:szCs w:val="18"/>
              </w:rPr>
              <w:t>LECZENIE PACJENTÓW Z CHOROBAMI SIATKÓWKI (ICD-10: H34, H35.3, H36.0)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AD42" w14:textId="494E4A1A" w:rsidR="00E50AB6" w:rsidRPr="00E50AB6" w:rsidRDefault="00E50AB6" w:rsidP="00E50AB6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/>
                <w:sz w:val="18"/>
                <w:szCs w:val="18"/>
              </w:rPr>
            </w:pPr>
            <w:r w:rsidRPr="00E50AB6">
              <w:rPr>
                <w:rFonts w:ascii="Lato" w:hAnsi="Lato"/>
                <w:sz w:val="18"/>
                <w:szCs w:val="18"/>
              </w:rPr>
              <w:t xml:space="preserve">Zmiany dotyczące częstości podawania </w:t>
            </w:r>
            <w:proofErr w:type="spellStart"/>
            <w:r w:rsidRPr="00E50AB6">
              <w:rPr>
                <w:rFonts w:ascii="Lato" w:hAnsi="Lato"/>
                <w:sz w:val="18"/>
                <w:szCs w:val="18"/>
              </w:rPr>
              <w:t>farycymabu</w:t>
            </w:r>
            <w:proofErr w:type="spellEnd"/>
            <w:r w:rsidRPr="00E50AB6">
              <w:rPr>
                <w:rFonts w:ascii="Lato" w:hAnsi="Lato"/>
                <w:sz w:val="18"/>
                <w:szCs w:val="18"/>
              </w:rPr>
              <w:t xml:space="preserve"> – skrócenie czasu trwania fazy nasycającej z 4 miesięcy do 3.</w:t>
            </w:r>
          </w:p>
        </w:tc>
      </w:tr>
      <w:tr w:rsidR="00E50AB6" w:rsidRPr="004D093B" w14:paraId="2AD637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75FC5" w14:textId="1E568AAC" w:rsidR="00E50AB6" w:rsidRPr="004C729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t>5.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1B320" w14:textId="63CE76C0" w:rsidR="00E50AB6" w:rsidRPr="004C729B" w:rsidRDefault="00E50AB6" w:rsidP="00E50AB6">
            <w:pPr>
              <w:spacing w:before="60" w:after="60" w:line="240" w:lineRule="auto"/>
              <w:jc w:val="center"/>
              <w:rPr>
                <w:rFonts w:ascii="Lato" w:hAnsi="Lato"/>
                <w:b/>
                <w:bCs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1B30E" w14:textId="02AE9EF0" w:rsidR="00E50AB6" w:rsidRPr="004C729B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4C729B">
              <w:rPr>
                <w:rFonts w:ascii="Lato" w:hAnsi="Lato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01FB" w14:textId="77777777" w:rsidR="00E50AB6" w:rsidRPr="004C729B" w:rsidRDefault="00E50AB6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t xml:space="preserve">Zmiany dotyczące sposobu podawania </w:t>
            </w:r>
            <w:proofErr w:type="spellStart"/>
            <w:r w:rsidRPr="004C729B">
              <w:rPr>
                <w:rFonts w:ascii="Lato" w:hAnsi="Lato" w:cstheme="majorHAnsi"/>
                <w:sz w:val="18"/>
                <w:szCs w:val="18"/>
              </w:rPr>
              <w:t>pegcetakoplanu</w:t>
            </w:r>
            <w:proofErr w:type="spellEnd"/>
            <w:r w:rsidRPr="004C729B">
              <w:rPr>
                <w:rFonts w:ascii="Lato" w:hAnsi="Lato" w:cstheme="majorHAnsi"/>
                <w:sz w:val="18"/>
                <w:szCs w:val="18"/>
              </w:rPr>
              <w:t>:</w:t>
            </w:r>
          </w:p>
          <w:p w14:paraId="1A9CB4C8" w14:textId="77777777" w:rsidR="00E50AB6" w:rsidRPr="004C729B" w:rsidRDefault="00E50AB6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t>1. skrócenie obowiązku podawania leku w ośrodku z 3 miesięcy do 3 pierwszych podań, co umożliwia szybsze</w:t>
            </w:r>
            <w:r w:rsidRPr="004C729B">
              <w:t xml:space="preserve"> </w:t>
            </w:r>
            <w:r w:rsidRPr="004C729B">
              <w:rPr>
                <w:rFonts w:ascii="Lato" w:hAnsi="Lato" w:cstheme="majorHAnsi"/>
                <w:sz w:val="18"/>
                <w:szCs w:val="18"/>
              </w:rPr>
              <w:t>stosowanie leku w warunkach domowych;</w:t>
            </w:r>
          </w:p>
          <w:p w14:paraId="34B93824" w14:textId="07D9D34E" w:rsidR="00E50AB6" w:rsidRPr="004C729B" w:rsidRDefault="00E50AB6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t xml:space="preserve">2. wprowadzenie opcjonalnego wykonywania </w:t>
            </w:r>
            <w:proofErr w:type="spellStart"/>
            <w:r w:rsidRPr="004C729B">
              <w:rPr>
                <w:rFonts w:ascii="Lato" w:hAnsi="Lato" w:cstheme="majorHAnsi"/>
                <w:sz w:val="18"/>
                <w:szCs w:val="18"/>
              </w:rPr>
              <w:t>trepanobiopsji</w:t>
            </w:r>
            <w:proofErr w:type="spellEnd"/>
            <w:r w:rsidRPr="004C729B">
              <w:rPr>
                <w:rFonts w:ascii="Lato" w:hAnsi="Lato" w:cstheme="majorHAnsi"/>
                <w:sz w:val="18"/>
                <w:szCs w:val="18"/>
              </w:rPr>
              <w:t xml:space="preserve">, tylko wówczas jeśli jest podejrzenie współistniejącej aplazji szpiku lub zespołu </w:t>
            </w:r>
            <w:proofErr w:type="spellStart"/>
            <w:r w:rsidRPr="004C729B">
              <w:rPr>
                <w:rFonts w:ascii="Lato" w:hAnsi="Lato" w:cstheme="majorHAnsi"/>
                <w:sz w:val="18"/>
                <w:szCs w:val="18"/>
              </w:rPr>
              <w:t>mielodysplastycznego</w:t>
            </w:r>
            <w:proofErr w:type="spellEnd"/>
            <w:r w:rsidRPr="004C729B">
              <w:rPr>
                <w:rFonts w:ascii="Lato" w:hAnsi="Lato" w:cstheme="majorHAnsi"/>
                <w:sz w:val="18"/>
                <w:szCs w:val="18"/>
              </w:rPr>
              <w:t>;</w:t>
            </w:r>
          </w:p>
          <w:p w14:paraId="131F1786" w14:textId="79ACFD8D" w:rsidR="00E50AB6" w:rsidRPr="004C729B" w:rsidRDefault="00E50AB6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t xml:space="preserve">3. wydłużenie, począwszy od 10 tygodnia stosowania </w:t>
            </w:r>
            <w:proofErr w:type="spellStart"/>
            <w:r w:rsidRPr="004C729B">
              <w:rPr>
                <w:rFonts w:ascii="Lato" w:hAnsi="Lato" w:cstheme="majorHAnsi"/>
                <w:sz w:val="18"/>
                <w:szCs w:val="18"/>
              </w:rPr>
              <w:t>pegcetakoplanu</w:t>
            </w:r>
            <w:proofErr w:type="spellEnd"/>
            <w:r w:rsidRPr="004C729B">
              <w:rPr>
                <w:rFonts w:ascii="Lato" w:hAnsi="Lato" w:cstheme="majorHAnsi"/>
                <w:sz w:val="18"/>
                <w:szCs w:val="18"/>
              </w:rPr>
              <w:t>, czasu pomiędzy kolejnymi badaniami monitorującymi z 4 tygodni do 8 tygodni.</w:t>
            </w:r>
          </w:p>
        </w:tc>
      </w:tr>
      <w:tr w:rsidR="00E50AB6" w:rsidRPr="004D093B" w14:paraId="005A9631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88531" w14:textId="7912A6AC" w:rsidR="00E50AB6" w:rsidRPr="004C729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A8796" w14:textId="18E86193" w:rsidR="00E50AB6" w:rsidRPr="004C729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B.139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056B7" w14:textId="25F3F1BC" w:rsidR="00E50AB6" w:rsidRPr="00F076C2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F076C2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NOWOTWORAMI NEUROENDOKRYNNYMI UKŁADU POKARMOWEGO Z ZASTOSOWANIEM RADIOFARMACEUTYKÓW (ICD-10: C25.4, C17.0-C17.9, C18.0-C18.4)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B806C" w14:textId="06952BDE" w:rsidR="00E50AB6" w:rsidRPr="004C729B" w:rsidRDefault="00B7722F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>Zmieniono nazewnictwo</w:t>
            </w:r>
            <w:r w:rsidR="00E50AB6"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znacznika stosowanego w diagnostyce PET/CT i SPECT/CT oraz kryteria kwalifikacji (w części A oraz B) w zakresach czasu oceny stopnia zaawansowania choroby z zastosowaniem badań obrazowych.</w:t>
            </w:r>
          </w:p>
        </w:tc>
      </w:tr>
      <w:tr w:rsidR="00E50AB6" w:rsidRPr="004D093B" w14:paraId="42FEE833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C85D6" w14:textId="5B910B8B" w:rsidR="00E50AB6" w:rsidRPr="004C729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74CC4" w14:textId="5E8C75B8" w:rsidR="00E50AB6" w:rsidRPr="004C729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B.155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8D5F1" w14:textId="4D8D07D5" w:rsidR="00E50AB6" w:rsidRPr="00F076C2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/>
                <w:sz w:val="18"/>
                <w:szCs w:val="18"/>
              </w:rPr>
            </w:pPr>
            <w:r w:rsidRPr="00F076C2">
              <w:rPr>
                <w:rFonts w:ascii="Lato" w:hAnsi="Lato" w:cstheme="majorHAnsi"/>
                <w:sz w:val="18"/>
                <w:szCs w:val="18"/>
              </w:rPr>
              <w:t>LECZENIE CHORYCH Z NERWIAKOWŁÓKNIAKAMI SPLOTOWATYMI W PRZEBIEGU NEUROFIBROMATOZY TYPU 1 (NF1) (ICD-10: Q85.0)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4571F" w14:textId="3672571D" w:rsidR="00E50AB6" w:rsidRPr="004C729B" w:rsidRDefault="00E50AB6" w:rsidP="00E50AB6">
            <w:pPr>
              <w:suppressAutoHyphens w:val="0"/>
              <w:spacing w:before="60" w:after="60" w:line="240" w:lineRule="auto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sz w:val="18"/>
                <w:szCs w:val="18"/>
              </w:rPr>
              <w:t>Wydłużenie okresu pomiędzy wykonywaniem kontrolnego badania wolumetrycznego MRI w pierwszych 2 latach z 4 do 6 miesięcy.</w:t>
            </w:r>
          </w:p>
        </w:tc>
      </w:tr>
      <w:tr w:rsidR="00403ABE" w:rsidRPr="004D093B" w14:paraId="588B8464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5B3E6" w14:textId="2DEEC6B0" w:rsidR="00403ABE" w:rsidRDefault="00403ABE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34343" w14:textId="489F5BD8" w:rsidR="00403ABE" w:rsidRPr="004C729B" w:rsidRDefault="00403ABE" w:rsidP="00E50AB6">
            <w:pPr>
              <w:pStyle w:val="Style2"/>
              <w:widowControl/>
              <w:spacing w:after="24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B.166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850D5" w14:textId="318DA7D3" w:rsidR="00403ABE" w:rsidRPr="00F076C2" w:rsidRDefault="00403ABE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F076C2">
              <w:rPr>
                <w:rFonts w:ascii="Lato" w:hAnsi="Lato" w:cstheme="majorHAnsi"/>
                <w:sz w:val="18"/>
                <w:szCs w:val="18"/>
              </w:rPr>
              <w:t>LECZENIE PACJENTÓW Z ACHONDROPLAZJĄ (ICD-10: Q77.4)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1E002" w14:textId="3320055F" w:rsidR="00403ABE" w:rsidRPr="004C729B" w:rsidRDefault="00403ABE" w:rsidP="00E50AB6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03A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wymogu</w:t>
            </w:r>
            <w:r w:rsidRPr="00403AB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wykonywania rezonansu magnetycznego (MRI) w ramach badań diagnostycznych w programie lekowym – umożliwienie wykonania tomografii komputerowej (TK) lub TK z kontrastem u pacjentów z bezwzględnym przeciwwskazaniem do MRI. Rezygnacja z określania wartości AGV w ramach badań diagnostycznych programu.</w:t>
            </w:r>
          </w:p>
        </w:tc>
      </w:tr>
      <w:tr w:rsidR="00E50AB6" w:rsidRPr="004D093B" w14:paraId="66D571B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5D3A3275" w:rsidR="00E50AB6" w:rsidRPr="004C729B" w:rsidRDefault="00403ABE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478F3ED3" w:rsidR="00E50AB6" w:rsidRPr="004C729B" w:rsidRDefault="00E50AB6" w:rsidP="00E50AB6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C729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B.119 / C.89.d.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5D6A0349" w:rsidR="00E50AB6" w:rsidRPr="00F076C2" w:rsidRDefault="00E50AB6" w:rsidP="00E50AB6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F076C2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ZE ZRÓŻNICOWANYM RAKIEM TARCZYCY (ICD-10: C 73) /</w:t>
            </w:r>
            <w:r w:rsidRPr="00F076C2">
              <w:t xml:space="preserve"> </w:t>
            </w:r>
            <w:r w:rsidRPr="00F076C2">
              <w:rPr>
                <w:rFonts w:ascii="Lato" w:hAnsi="Lato" w:cstheme="majorHAnsi"/>
                <w:color w:val="000000"/>
                <w:sz w:val="18"/>
                <w:szCs w:val="18"/>
              </w:rPr>
              <w:t>C.89.d. SORAFENIB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AB9C4" w14:textId="470CF12B" w:rsidR="00E50AB6" w:rsidRPr="004C729B" w:rsidRDefault="00E50AB6" w:rsidP="00E50AB6">
            <w:pPr>
              <w:suppressAutoHyphens w:val="0"/>
              <w:autoSpaceDE w:val="0"/>
              <w:adjustRightInd w:val="0"/>
              <w:spacing w:before="120" w:after="120" w:line="240" w:lineRule="auto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Zmiana kategorii dostępności dla substancji czynnej </w:t>
            </w:r>
            <w:proofErr w:type="spellStart"/>
            <w:r w:rsidRPr="004C729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sorafenib</w:t>
            </w:r>
            <w:proofErr w:type="spellEnd"/>
            <w:r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stosowanej w leczeniu zróżnicowanego raka tarczycy, z programu lekowego na katalog chemioterapii- załącznik C.89.d. SORAFENIB. W programie lekowym pozostanie refundowany </w:t>
            </w:r>
            <w:proofErr w:type="spellStart"/>
            <w:r w:rsidRPr="004C729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kabozantynib</w:t>
            </w:r>
            <w:proofErr w:type="spellEnd"/>
            <w:r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- po nieskuteczności terapii </w:t>
            </w:r>
            <w:proofErr w:type="spellStart"/>
            <w:r w:rsidRPr="004C729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sorafenibem</w:t>
            </w:r>
            <w:proofErr w:type="spellEnd"/>
            <w:r w:rsidRPr="004C729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. </w:t>
            </w:r>
          </w:p>
        </w:tc>
      </w:tr>
    </w:tbl>
    <w:p w14:paraId="052EAE3A" w14:textId="32324870" w:rsidR="004D093B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</w:p>
    <w:p w14:paraId="1EAE29C1" w14:textId="77777777" w:rsidR="004C447B" w:rsidRDefault="004C447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113E50CB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C938F8" w:rsidRPr="004D093B" w14:paraId="3E62A70D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2584D92B" w:rsidR="00C938F8" w:rsidRPr="004D093B" w:rsidRDefault="0075268E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3B497F8D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Abrysvo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0DAF09E9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zczepionka przeciw </w:t>
            </w:r>
            <w:proofErr w:type="spellStart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syncytialnemu</w:t>
            </w:r>
            <w:proofErr w:type="spellEnd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wirusowi oddechowemu (RSV) (</w:t>
            </w:r>
            <w:proofErr w:type="spellStart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biwalentna</w:t>
            </w:r>
            <w:proofErr w:type="spellEnd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, rekombinowana)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0F1BE047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RSV u niemowląt poprzez zaszczepienie matki w okresie ciąży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3B77B2D9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pierwszej szczepionki przeciw RSV w celu objęcia profilaktyką dzieci od urodzenia do 6 miesiąca życia po zaszczepieniu matki w ostatnich tygodniach ciąży.</w:t>
            </w:r>
          </w:p>
        </w:tc>
      </w:tr>
      <w:tr w:rsidR="00C938F8" w:rsidRPr="004D093B" w14:paraId="6E8A1919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3BFD409D" w:rsidR="00C938F8" w:rsidRPr="004D093B" w:rsidRDefault="0075268E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7A150B5E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Abrysvo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1461FB81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zczepionka przeciw </w:t>
            </w:r>
            <w:proofErr w:type="spellStart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syncytialnemu</w:t>
            </w:r>
            <w:proofErr w:type="spellEnd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wirusowi oddechowemu (RSV) (</w:t>
            </w:r>
            <w:proofErr w:type="spellStart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biwalentna</w:t>
            </w:r>
            <w:proofErr w:type="spellEnd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, rekombinowana)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0DFA3C23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RSV u pacjentów w wieku 60 lat i starszych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3724" w14:textId="53E1CE00" w:rsidR="00C938F8" w:rsidRPr="004D093B" w:rsidRDefault="00C938F8" w:rsidP="00C938F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pierwszej szczepionki przeciw RSV w celu objęcia profilaktyką pacjentów powyżej 60 roku życia.</w:t>
            </w:r>
          </w:p>
        </w:tc>
      </w:tr>
      <w:tr w:rsidR="0075268E" w:rsidRPr="004D093B" w14:paraId="0C276518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0A7" w14:textId="2B7566AA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F24A9" w14:textId="4B91F3B9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73295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Flecainide</w:t>
            </w:r>
            <w:proofErr w:type="spellEnd"/>
            <w:r w:rsidRPr="0073295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295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acetate</w:t>
            </w:r>
            <w:proofErr w:type="spellEnd"/>
            <w:r w:rsidRPr="0073295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32956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Holsten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E5A1D" w14:textId="393FEEE0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flekainid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C189" w14:textId="64BBEC14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Zaburzenia rytmu serca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C99E7" w14:textId="77777777" w:rsidR="0075268E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nowego wskazania klinicznego w stosunku do dotychczas nie ujętej na wykazie substancji czynnej.</w:t>
            </w:r>
          </w:p>
          <w:p w14:paraId="41D464AF" w14:textId="3388F634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75268E" w:rsidRPr="004D093B" w14:paraId="0B571026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D64E4" w14:textId="390FCB2E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3D06" w14:textId="1AD5856B" w:rsidR="0075268E" w:rsidRPr="009C0460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15B2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Iporel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5B984" w14:textId="6C13D100" w:rsidR="0075268E" w:rsidRDefault="006911A1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="0075268E"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lonidyna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AC87C" w14:textId="2C08F5D0" w:rsidR="0075268E" w:rsidRPr="00751EEF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AE43B" w14:textId="78514AFA" w:rsidR="0075268E" w:rsidRDefault="006911A1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Objęcie refundacją nowej substancji czynnej</w:t>
            </w:r>
            <w:r w:rsidR="0075268E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we wskazaniu określonym stanem klinicznym.</w:t>
            </w:r>
          </w:p>
          <w:p w14:paraId="3539F41F" w14:textId="78A2AA0F" w:rsidR="0075268E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  <w:tr w:rsidR="0075268E" w:rsidRPr="004D093B" w14:paraId="259796D7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AAEB4" w14:textId="18AF1004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D2EFF" w14:textId="6F7E0E74" w:rsidR="0075268E" w:rsidRPr="009C0460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C0460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Shingrix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0ACED" w14:textId="51FD665C" w:rsidR="0075268E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zczepionka przeciw półpaścowi (rekombinowana, z adiuwantem)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D418" w14:textId="014CB8C2" w:rsidR="0075268E" w:rsidRPr="00751EEF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Profilaktyka półpaśca i neuralgii </w:t>
            </w:r>
            <w:proofErr w:type="spellStart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>półpaścowej</w:t>
            </w:r>
            <w:proofErr w:type="spellEnd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w wieku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18 </w:t>
            </w:r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lat i starszych o zwiększonym ryzyku zachorowania na półpasiec tj. z: przewlekłą chorobą serca, przewlekłą chorobą płuc, cukrzycą, przewlekłą niewydolnością nerek, wrodzonym lub nabytym niedoborem odporności, uogólnioną chorobą nowotworową, zakażeniem wirusem HIV, chorobą </w:t>
            </w:r>
            <w:proofErr w:type="spellStart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>Hodgkina</w:t>
            </w:r>
            <w:proofErr w:type="spellEnd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>, jatrogenną immunosupresją, białaczką, szpiczakiem mnogim, przeszczepem narządu litego, reumatoidalnym zapaleniem stawów, łuszczycą, łuszczycowym zapaleniem stawów, nieswoistym zapaleniem jelit, zesztywniającym zapaleniem stawów kręgosłupa, stwardnieniem rozsianym, toczniem układowym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67F2" w14:textId="77589C13" w:rsidR="0075268E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Rozszerzenie profilaktyki przeciw półpaścowi o pacjentów powyżej 18 roku życia o zwiększonym ryzyku zachorowania. </w:t>
            </w:r>
          </w:p>
        </w:tc>
      </w:tr>
      <w:tr w:rsidR="0075268E" w:rsidRPr="004D093B" w14:paraId="7DC7014E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0C86E" w14:textId="4C6B0903" w:rsidR="0075268E" w:rsidRPr="004D093B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5EE37" w14:textId="739EA573" w:rsidR="0075268E" w:rsidRPr="009C0460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Tolutris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08E0C" w14:textId="283E0FC2" w:rsidR="0075268E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62293" w14:textId="6FEF5D5D" w:rsidR="0075268E" w:rsidRPr="00751EEF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B0258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92E6D" w14:textId="4CDDBB76" w:rsidR="0075268E" w:rsidRDefault="0075268E" w:rsidP="0075268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Kolejny produkt trójlekowy (lek złożony, </w:t>
            </w:r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single </w:t>
            </w:r>
            <w:proofErr w:type="spellStart"/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pill</w:t>
            </w:r>
            <w:proofErr w:type="spellEnd"/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combination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SPC) możliwy do zastosowania </w:t>
            </w:r>
            <w:r w:rsidRPr="006F1596">
              <w:rPr>
                <w:rFonts w:ascii="Lato" w:hAnsi="Lato" w:cstheme="majorHAnsi"/>
                <w:color w:val="000000"/>
                <w:sz w:val="18"/>
                <w:szCs w:val="18"/>
              </w:rPr>
              <w:t>w leczeniu samoistnego nadciśnienia tętniczego u dorosłych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50AB6" w:rsidRPr="004D093B" w14:paraId="6A19E6E1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5860" w14:textId="26BC94F6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5CE0" w14:textId="0C44877B" w:rsidR="00E50AB6" w:rsidRPr="009C0460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15B2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Vabinxo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1DCD6" w14:textId="3C0E3075" w:rsid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walsartan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C0F4" w14:textId="0765C9E1" w:rsidR="00E50AB6" w:rsidRPr="00751EEF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B0258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427DC" w14:textId="66FE7A41" w:rsid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Kolejny produkt dwulekowy (lek złożony, </w:t>
            </w:r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single </w:t>
            </w:r>
            <w:proofErr w:type="spellStart"/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pill</w:t>
            </w:r>
            <w:proofErr w:type="spellEnd"/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9791D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combination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SPC) możliwy do zastosowania </w:t>
            </w:r>
            <w:r w:rsidRPr="006F1596">
              <w:rPr>
                <w:rFonts w:ascii="Lato" w:hAnsi="Lato" w:cstheme="majorHAnsi"/>
                <w:color w:val="000000"/>
                <w:sz w:val="18"/>
                <w:szCs w:val="18"/>
              </w:rPr>
              <w:t>w leczeniu samoistnego nadciśnienia tętniczego u dorosłych pacjentów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E50AB6" w:rsidRPr="004D093B" w14:paraId="069036C5" w14:textId="77777777" w:rsidTr="004D093B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49426" w14:textId="6835E4E1" w:rsidR="00E50AB6" w:rsidRPr="004D093B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8.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46A52" w14:textId="25D5E0D0" w:rsidR="00E50AB6" w:rsidRPr="009C0460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15B2E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Zofenil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F9093" w14:textId="191E5DC3" w:rsid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F159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zofenopril</w:t>
            </w:r>
            <w:proofErr w:type="spellEnd"/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2781" w14:textId="3CFFBF48" w:rsidR="00E50AB6" w:rsidRPr="00751EEF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04E6" w14:textId="77777777" w:rsid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refundacją nowej terapii z grupy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iACE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klinicznego w leczeniu nadciśnienia tętniczego.</w:t>
            </w:r>
          </w:p>
          <w:p w14:paraId="5CFA3A02" w14:textId="2A7AB9EE" w:rsidR="00E50AB6" w:rsidRDefault="00E50AB6" w:rsidP="00E50AB6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Refundacja w ramach trybu określonego w art. 30a ustawy o refundacji, tj. leków o ugruntowanej skuteczności klinicznej.</w:t>
            </w:r>
          </w:p>
        </w:tc>
      </w:tr>
    </w:tbl>
    <w:p w14:paraId="4BD940CF" w14:textId="77777777" w:rsidR="00C167C7" w:rsidRDefault="00C167C7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DD1A0A2" w14:textId="77777777" w:rsidR="00C167C7" w:rsidRDefault="00C167C7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6BE7839B" w14:textId="77777777" w:rsidR="004C447B" w:rsidRDefault="004C447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68E51114" w14:textId="1A8498D3" w:rsidR="00C167C7" w:rsidRPr="00C167C7" w:rsidRDefault="00C167C7" w:rsidP="00C167C7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lastRenderedPageBreak/>
        <w:t xml:space="preserve">ZMIANY NA BEZPŁATNYCH WYKAZACH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2673"/>
        <w:gridCol w:w="5656"/>
        <w:gridCol w:w="5192"/>
      </w:tblGrid>
      <w:tr w:rsidR="00C938F8" w:rsidRPr="001A28EB" w14:paraId="63C93161" w14:textId="77777777" w:rsidTr="00C167C7">
        <w:trPr>
          <w:trHeight w:val="310"/>
        </w:trPr>
        <w:tc>
          <w:tcPr>
            <w:tcW w:w="5000" w:type="pct"/>
            <w:gridSpan w:val="4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1367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bookmarkStart w:id="2" w:name="_Hlk148004033"/>
            <w:r w:rsidRPr="001A28EB">
              <w:rPr>
                <w:rFonts w:ascii="Lato" w:hAnsi="Lato" w:cstheme="majorHAnsi"/>
                <w:b/>
                <w:bCs/>
                <w:color w:val="FFFFFF"/>
              </w:rPr>
              <w:t>Zmiany na liście 65+</w:t>
            </w:r>
          </w:p>
        </w:tc>
      </w:tr>
      <w:tr w:rsidR="00C938F8" w:rsidRPr="001A28EB" w14:paraId="4AEAE593" w14:textId="77777777" w:rsidTr="00C167C7">
        <w:trPr>
          <w:trHeight w:val="334"/>
        </w:trPr>
        <w:tc>
          <w:tcPr>
            <w:tcW w:w="169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843B6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955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A5F0D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Substancja czynna</w:t>
            </w:r>
          </w:p>
        </w:tc>
        <w:tc>
          <w:tcPr>
            <w:tcW w:w="2021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6FEF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Wskazanie refundacyjne</w:t>
            </w:r>
          </w:p>
        </w:tc>
        <w:tc>
          <w:tcPr>
            <w:tcW w:w="1856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E131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Dodatkowe informacje</w:t>
            </w:r>
          </w:p>
        </w:tc>
      </w:tr>
      <w:tr w:rsidR="00C938F8" w:rsidRPr="001A28EB" w14:paraId="5F3DB327" w14:textId="77777777" w:rsidTr="00C167C7">
        <w:trPr>
          <w:trHeight w:val="733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60AE6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CF2DF" w14:textId="3126E446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zczepionka przeciw </w:t>
            </w:r>
            <w:proofErr w:type="spellStart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syncytialnemu</w:t>
            </w:r>
            <w:proofErr w:type="spellEnd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wirusowi oddechowemu (RSV) </w:t>
            </w:r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1C45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RSV u pacjentów w wieku 60 lat i starszych</w:t>
            </w:r>
          </w:p>
        </w:tc>
        <w:tc>
          <w:tcPr>
            <w:tcW w:w="18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52F1" w14:textId="769A7190" w:rsidR="00C938F8" w:rsidRPr="001A28EB" w:rsidRDefault="00C938F8" w:rsidP="00A451D5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Dodanie do wykazu pierwszej szczepionki przeciw RSV</w:t>
            </w:r>
            <w:r w:rsidR="0075268E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C938F8" w:rsidRPr="001A28EB" w14:paraId="7D9FC65B" w14:textId="77777777" w:rsidTr="00C167C7">
        <w:trPr>
          <w:trHeight w:val="2354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C392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9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1A12B" w14:textId="53CEA26F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zczepionka przeciw półpaścowi</w:t>
            </w:r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09C08" w14:textId="77777777" w:rsidR="00C938F8" w:rsidRPr="00596E33" w:rsidRDefault="00C938F8" w:rsidP="00A451D5">
            <w:pPr>
              <w:spacing w:before="60" w:after="60" w:line="240" w:lineRule="auto"/>
              <w:jc w:val="center"/>
              <w:rPr>
                <w:rFonts w:cstheme="majorHAnsi"/>
                <w:i/>
                <w:iCs/>
                <w:color w:val="000000"/>
                <w:sz w:val="18"/>
                <w:szCs w:val="18"/>
              </w:rPr>
            </w:pPr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Profilaktyka półpaśca i neuralgii </w:t>
            </w:r>
            <w:proofErr w:type="spellStart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>półpaścowej</w:t>
            </w:r>
            <w:proofErr w:type="spellEnd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pacjentów w wieku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18 </w:t>
            </w:r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lat i starszych o zwiększonym ryzyku zachorowania na półpasiec tj. z: przewlekłą chorobą serca, przewlekłą chorobą płuc, cukrzycą, przewlekłą niewydolnością nerek, wrodzonym lub nabytym niedoborem odporności, uogólnioną chorobą nowotworową, zakażeniem wirusem HIV, chorobą </w:t>
            </w:r>
            <w:proofErr w:type="spellStart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>Hodgkina</w:t>
            </w:r>
            <w:proofErr w:type="spellEnd"/>
            <w:r w:rsidRPr="00751EEF">
              <w:rPr>
                <w:rFonts w:ascii="Lato" w:hAnsi="Lato" w:cstheme="majorHAnsi"/>
                <w:color w:val="000000"/>
                <w:sz w:val="18"/>
                <w:szCs w:val="18"/>
              </w:rPr>
              <w:t>, jatrogenną immunosupresją, białaczką, szpiczakiem mnogim, przeszczepem narządu litego, reumatoidalnym zapaleniem stawów, łuszczycą, łuszczycowym zapaleniem stawów, nieswoistym zapaleniem jelit, zesztywniającym zapaleniem stawów kręgosłupa, stwardnieniem rozsianym, toczniem układowym</w:t>
            </w:r>
          </w:p>
        </w:tc>
        <w:tc>
          <w:tcPr>
            <w:tcW w:w="18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E953C" w14:textId="2C0EC42D" w:rsidR="00C938F8" w:rsidRPr="00092B07" w:rsidRDefault="0075268E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Dodanie</w:t>
            </w:r>
            <w:r w:rsidR="00C938F8" w:rsidRPr="00092B0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 wykazu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pierwszej </w:t>
            </w:r>
            <w:r w:rsidR="00C938F8" w:rsidRPr="00092B07">
              <w:rPr>
                <w:rFonts w:ascii="Lato" w:hAnsi="Lato" w:cstheme="majorHAnsi"/>
                <w:color w:val="000000"/>
                <w:sz w:val="18"/>
                <w:szCs w:val="18"/>
              </w:rPr>
              <w:t>szczepionki przeciw półpaścowi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802EE3" w:rsidRPr="001A28EB" w14:paraId="346033C8" w14:textId="77777777" w:rsidTr="00C167C7">
        <w:trPr>
          <w:trHeight w:val="990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98DA9" w14:textId="6DEB4E0E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9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C8F4C" w14:textId="3D41A0C6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</w:t>
            </w:r>
            <w:proofErr w:type="spellEnd"/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pina</w:t>
            </w:r>
            <w:proofErr w:type="spellEnd"/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732956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  <w:proofErr w:type="spellEnd"/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216AD" w14:textId="19C1A193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B0258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4F7B" w14:textId="77777777" w:rsidR="00802EE3" w:rsidRDefault="00802EE3" w:rsidP="00802EE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Produkt leczniczy złożony. </w:t>
            </w:r>
          </w:p>
          <w:p w14:paraId="498CA9F0" w14:textId="6DD5FBAC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Obecnie na wykazie 65+ znajdują się produkty lecznicze dwuskładnikowe z </w:t>
            </w:r>
            <w:proofErr w:type="spellStart"/>
            <w:r w:rsidRPr="00CA1A58">
              <w:rPr>
                <w:rFonts w:ascii="Lato" w:hAnsi="Lato" w:cstheme="majorHAnsi"/>
                <w:color w:val="000000"/>
                <w:sz w:val="18"/>
                <w:szCs w:val="18"/>
              </w:rPr>
              <w:t>telmisartan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 w:rsidRPr="00CA1A5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CA1A58">
              <w:rPr>
                <w:rFonts w:ascii="Lato" w:hAnsi="Lato" w:cstheme="majorHAnsi"/>
                <w:color w:val="000000"/>
                <w:sz w:val="18"/>
                <w:szCs w:val="18"/>
              </w:rPr>
              <w:t>hydrochlorotiazyd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jednoskładnikowe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amlodypiną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802EE3" w:rsidRPr="001A28EB" w14:paraId="14673212" w14:textId="77777777" w:rsidTr="00C167C7">
        <w:trPr>
          <w:trHeight w:val="772"/>
        </w:trPr>
        <w:tc>
          <w:tcPr>
            <w:tcW w:w="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C334" w14:textId="6241E26D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9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7150" w14:textId="4524D518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walsartan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</w:t>
            </w:r>
            <w:proofErr w:type="spellEnd"/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3F896" w14:textId="310FCADE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2B0258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5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759F" w14:textId="77777777" w:rsidR="00802EE3" w:rsidRDefault="00802EE3" w:rsidP="00802EE3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Produkt leczniczy złożony. </w:t>
            </w:r>
          </w:p>
          <w:p w14:paraId="0F6442E6" w14:textId="353B3FD6" w:rsidR="00802EE3" w:rsidRPr="001A28EB" w:rsidRDefault="00802EE3" w:rsidP="00802EE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Obecnie na wykazie 65+ znajdują się produkty lecznicze jednoskładnikowe 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walsartanem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indapamidem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bookmarkEnd w:id="2"/>
    </w:tbl>
    <w:p w14:paraId="033ABAA7" w14:textId="77777777" w:rsidR="00C938F8" w:rsidRDefault="00C938F8" w:rsidP="00C938F8">
      <w:pPr>
        <w:suppressAutoHyphens w:val="0"/>
        <w:rPr>
          <w:rFonts w:ascii="Lato" w:hAnsi="Lato"/>
          <w:b/>
          <w:bCs/>
          <w:color w:val="00B0F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550"/>
        <w:gridCol w:w="5673"/>
        <w:gridCol w:w="5209"/>
      </w:tblGrid>
      <w:tr w:rsidR="00C938F8" w:rsidRPr="001A28EB" w14:paraId="3E23FE58" w14:textId="77777777" w:rsidTr="00C167C7">
        <w:trPr>
          <w:trHeight w:val="328"/>
        </w:trPr>
        <w:tc>
          <w:tcPr>
            <w:tcW w:w="5000" w:type="pct"/>
            <w:gridSpan w:val="4"/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5BA6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1A28EB">
              <w:rPr>
                <w:rFonts w:ascii="Lato" w:hAnsi="Lato" w:cstheme="majorHAnsi"/>
                <w:b/>
                <w:bCs/>
                <w:color w:val="FFFFFF"/>
              </w:rPr>
              <w:t xml:space="preserve">Zmiany na liście </w:t>
            </w:r>
            <w:r>
              <w:rPr>
                <w:rFonts w:ascii="Lato" w:hAnsi="Lato" w:cstheme="majorHAnsi"/>
                <w:b/>
                <w:bCs/>
                <w:color w:val="FFFFFF"/>
              </w:rPr>
              <w:t>ciąża+</w:t>
            </w:r>
          </w:p>
        </w:tc>
      </w:tr>
      <w:tr w:rsidR="00C938F8" w:rsidRPr="001A28EB" w14:paraId="06DA2E1E" w14:textId="77777777" w:rsidTr="00C167C7">
        <w:tc>
          <w:tcPr>
            <w:tcW w:w="201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5D4C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911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4F298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Substancja czynna</w:t>
            </w:r>
          </w:p>
        </w:tc>
        <w:tc>
          <w:tcPr>
            <w:tcW w:w="2027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B7DB8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2E724" w14:textId="77777777" w:rsidR="00C938F8" w:rsidRPr="00C167C7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C167C7">
              <w:rPr>
                <w:rFonts w:ascii="Lato" w:hAnsi="Lato" w:cstheme="majorHAnsi"/>
                <w:b/>
                <w:bCs/>
                <w:color w:val="FFFFFF" w:themeColor="background1"/>
                <w:sz w:val="20"/>
                <w:szCs w:val="20"/>
              </w:rPr>
              <w:t>Dodatkowe informacje</w:t>
            </w:r>
          </w:p>
        </w:tc>
      </w:tr>
      <w:tr w:rsidR="00C938F8" w:rsidRPr="001A28EB" w14:paraId="597C6437" w14:textId="77777777" w:rsidTr="00C167C7">
        <w:tc>
          <w:tcPr>
            <w:tcW w:w="20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7E6CC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91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1F43" w14:textId="650FFB41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zczepionka przeciw </w:t>
            </w:r>
            <w:proofErr w:type="spellStart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syncytialnemu</w:t>
            </w:r>
            <w:proofErr w:type="spellEnd"/>
            <w:r w:rsidRPr="009C0460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wirusowi oddechowemu (RSV)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2309F" w14:textId="77777777" w:rsidR="00C938F8" w:rsidRPr="001A28EB" w:rsidRDefault="00C938F8" w:rsidP="00A451D5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Profilaktyka zakażeń RSV u niemowląt poprzez zaszczepienie matki w okresie ciąży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01117" w14:textId="77777777" w:rsidR="00C938F8" w:rsidRPr="001A28EB" w:rsidRDefault="00C938F8" w:rsidP="00A451D5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Dodanie do wykazu pierwszej szczepionki przeciw RSV</w:t>
            </w:r>
          </w:p>
        </w:tc>
      </w:tr>
    </w:tbl>
    <w:p w14:paraId="1BFB3E37" w14:textId="77777777" w:rsidR="00C938F8" w:rsidRDefault="00C938F8" w:rsidP="00C167C7">
      <w:pPr>
        <w:suppressAutoHyphens w:val="0"/>
        <w:rPr>
          <w:rFonts w:ascii="Lato" w:hAnsi="Lato"/>
          <w:b/>
          <w:bCs/>
          <w:color w:val="00B0F0"/>
        </w:rPr>
      </w:pPr>
    </w:p>
    <w:p w14:paraId="23805C6B" w14:textId="77777777" w:rsidR="00403ABE" w:rsidRDefault="00403ABE" w:rsidP="00403ABE">
      <w:pPr>
        <w:suppressAutoHyphens w:val="0"/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177F22">
        <w:rPr>
          <w:rFonts w:ascii="Lato" w:hAnsi="Lato"/>
          <w:b/>
          <w:bCs/>
          <w:color w:val="00B0F0"/>
          <w:sz w:val="28"/>
          <w:szCs w:val="28"/>
        </w:rPr>
        <w:lastRenderedPageBreak/>
        <w:t>MODYFIKACJA WSKAZAŃ LEKÓW STOSOWANYCH W PSYCHIATRII</w:t>
      </w:r>
    </w:p>
    <w:p w14:paraId="0E6631B7" w14:textId="77777777" w:rsidR="00403ABE" w:rsidRPr="00177F22" w:rsidRDefault="00403ABE" w:rsidP="00403ABE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018DFFD8" w14:textId="77777777" w:rsidR="00403ABE" w:rsidRPr="00177F22" w:rsidRDefault="00403ABE" w:rsidP="00403ABE">
      <w:pPr>
        <w:pStyle w:val="Akapitzlist"/>
        <w:numPr>
          <w:ilvl w:val="0"/>
          <w:numId w:val="27"/>
        </w:numPr>
        <w:suppressAutoHyphens w:val="0"/>
        <w:spacing w:line="360" w:lineRule="auto"/>
        <w:jc w:val="both"/>
        <w:rPr>
          <w:rFonts w:ascii="Lato" w:hAnsi="Lato"/>
          <w:b/>
          <w:bCs/>
        </w:rPr>
      </w:pPr>
      <w:r w:rsidRPr="00177F22">
        <w:rPr>
          <w:rFonts w:ascii="Lato" w:hAnsi="Lato"/>
        </w:rPr>
        <w:t xml:space="preserve">dla </w:t>
      </w:r>
      <w:proofErr w:type="spellStart"/>
      <w:r w:rsidRPr="00177F22">
        <w:rPr>
          <w:rFonts w:ascii="Lato" w:hAnsi="Lato"/>
          <w:i/>
          <w:iCs/>
        </w:rPr>
        <w:t>lurazydonu</w:t>
      </w:r>
      <w:proofErr w:type="spellEnd"/>
      <w:r w:rsidRPr="00177F22">
        <w:rPr>
          <w:rFonts w:ascii="Lato" w:hAnsi="Lato"/>
        </w:rPr>
        <w:t xml:space="preserve"> oraz </w:t>
      </w:r>
      <w:proofErr w:type="spellStart"/>
      <w:r w:rsidRPr="00177F22">
        <w:rPr>
          <w:rFonts w:ascii="Lato" w:hAnsi="Lato"/>
          <w:i/>
          <w:iCs/>
        </w:rPr>
        <w:t>brexipiprazolu</w:t>
      </w:r>
      <w:proofErr w:type="spellEnd"/>
      <w:r w:rsidRPr="00177F22">
        <w:rPr>
          <w:rFonts w:ascii="Lato" w:hAnsi="Lato"/>
        </w:rPr>
        <w:t xml:space="preserve"> </w:t>
      </w:r>
      <w:r>
        <w:rPr>
          <w:rFonts w:ascii="Lato" w:hAnsi="Lato"/>
        </w:rPr>
        <w:t xml:space="preserve">, </w:t>
      </w:r>
      <w:r w:rsidRPr="00177F22">
        <w:rPr>
          <w:rFonts w:ascii="Lato" w:hAnsi="Lato"/>
        </w:rPr>
        <w:t>z uwagi na problemy z jednoznaczną interpretacją wskazania</w:t>
      </w:r>
      <w:r>
        <w:rPr>
          <w:rFonts w:ascii="Lato" w:hAnsi="Lato"/>
        </w:rPr>
        <w:t>. Nowe brzmienie wskazania:</w:t>
      </w:r>
    </w:p>
    <w:p w14:paraId="3F9CA416" w14:textId="77777777" w:rsidR="00403ABE" w:rsidRPr="00177F22" w:rsidRDefault="00403ABE" w:rsidP="00403ABE">
      <w:pPr>
        <w:pStyle w:val="Akapitzlist"/>
        <w:numPr>
          <w:ilvl w:val="0"/>
          <w:numId w:val="28"/>
        </w:numPr>
        <w:suppressAutoHyphens w:val="0"/>
        <w:spacing w:line="360" w:lineRule="auto"/>
        <w:jc w:val="both"/>
        <w:rPr>
          <w:rFonts w:ascii="Lato" w:hAnsi="Lato"/>
          <w:b/>
          <w:bCs/>
        </w:rPr>
      </w:pPr>
      <w:r>
        <w:rPr>
          <w:rFonts w:ascii="Lato" w:hAnsi="Lato"/>
          <w:i/>
          <w:iCs/>
        </w:rPr>
        <w:t>S</w:t>
      </w:r>
      <w:r w:rsidRPr="00177F22">
        <w:rPr>
          <w:rFonts w:ascii="Lato" w:hAnsi="Lato"/>
          <w:i/>
          <w:iCs/>
        </w:rPr>
        <w:t>chizofrenia u pacjentów od 13-go roku życia po nieskuteczności lub w przypadku przeciwwskazań do terapii</w:t>
      </w:r>
      <w:r w:rsidRPr="00177F22">
        <w:rPr>
          <w:rFonts w:ascii="Lato" w:hAnsi="Lato"/>
          <w:b/>
          <w:bCs/>
          <w:i/>
          <w:iCs/>
        </w:rPr>
        <w:t xml:space="preserve"> co najmniej jednym lekiem </w:t>
      </w:r>
      <w:proofErr w:type="spellStart"/>
      <w:r w:rsidRPr="00177F22">
        <w:rPr>
          <w:rFonts w:ascii="Lato" w:hAnsi="Lato"/>
          <w:b/>
          <w:bCs/>
          <w:i/>
          <w:iCs/>
        </w:rPr>
        <w:t>przeciwpsychotycznym</w:t>
      </w:r>
      <w:proofErr w:type="spellEnd"/>
      <w:r w:rsidRPr="00177F22">
        <w:rPr>
          <w:rFonts w:ascii="Lato" w:hAnsi="Lato"/>
          <w:b/>
          <w:bCs/>
          <w:i/>
          <w:iCs/>
        </w:rPr>
        <w:t xml:space="preserve"> II generacji</w:t>
      </w:r>
      <w:r>
        <w:rPr>
          <w:rFonts w:ascii="Lato" w:hAnsi="Lato"/>
        </w:rPr>
        <w:t xml:space="preserve"> – dla </w:t>
      </w:r>
      <w:proofErr w:type="spellStart"/>
      <w:r w:rsidRPr="00177F22">
        <w:rPr>
          <w:rFonts w:ascii="Lato" w:hAnsi="Lato"/>
          <w:b/>
          <w:bCs/>
          <w:i/>
          <w:iCs/>
        </w:rPr>
        <w:t>lurazydon</w:t>
      </w:r>
      <w:proofErr w:type="spellEnd"/>
      <w:r>
        <w:rPr>
          <w:rFonts w:ascii="Lato" w:hAnsi="Lato"/>
          <w:b/>
          <w:bCs/>
          <w:i/>
          <w:iCs/>
        </w:rPr>
        <w:t>,</w:t>
      </w:r>
    </w:p>
    <w:p w14:paraId="774FB6AF" w14:textId="77777777" w:rsidR="00403ABE" w:rsidRPr="00177F22" w:rsidRDefault="00403ABE" w:rsidP="00403ABE">
      <w:pPr>
        <w:pStyle w:val="Akapitzlist"/>
        <w:numPr>
          <w:ilvl w:val="0"/>
          <w:numId w:val="28"/>
        </w:numPr>
        <w:suppressAutoHyphens w:val="0"/>
        <w:spacing w:line="360" w:lineRule="auto"/>
        <w:jc w:val="both"/>
        <w:rPr>
          <w:rFonts w:ascii="Lato" w:hAnsi="Lato"/>
          <w:b/>
          <w:bCs/>
          <w:i/>
          <w:iCs/>
        </w:rPr>
      </w:pPr>
      <w:r w:rsidRPr="00177F22">
        <w:rPr>
          <w:rFonts w:ascii="Lato" w:hAnsi="Lato"/>
          <w:i/>
          <w:iCs/>
        </w:rPr>
        <w:t xml:space="preserve">Schizofrenia u pacjentów dorosłych po nieskuteczności lub w przypadku przeciwwskazań do terapii </w:t>
      </w:r>
      <w:r w:rsidRPr="00177F22">
        <w:rPr>
          <w:rFonts w:ascii="Lato" w:hAnsi="Lato"/>
          <w:b/>
          <w:bCs/>
          <w:i/>
          <w:iCs/>
        </w:rPr>
        <w:t xml:space="preserve">co najmniej jednym lekiem </w:t>
      </w:r>
      <w:proofErr w:type="spellStart"/>
      <w:r w:rsidRPr="00177F22">
        <w:rPr>
          <w:rFonts w:ascii="Lato" w:hAnsi="Lato"/>
          <w:b/>
          <w:bCs/>
          <w:i/>
          <w:iCs/>
        </w:rPr>
        <w:t>przeciwpsychotycznym</w:t>
      </w:r>
      <w:proofErr w:type="spellEnd"/>
      <w:r w:rsidRPr="00177F22">
        <w:rPr>
          <w:rFonts w:ascii="Lato" w:hAnsi="Lato"/>
          <w:b/>
          <w:bCs/>
          <w:i/>
          <w:iCs/>
        </w:rPr>
        <w:t xml:space="preserve"> II generacji</w:t>
      </w:r>
      <w:r w:rsidRPr="005366FD">
        <w:rPr>
          <w:rFonts w:ascii="Lato" w:hAnsi="Lato"/>
        </w:rPr>
        <w:t>,</w:t>
      </w:r>
      <w:r>
        <w:rPr>
          <w:rFonts w:ascii="Lato" w:hAnsi="Lato"/>
        </w:rPr>
        <w:t xml:space="preserve">- dla </w:t>
      </w:r>
      <w:proofErr w:type="spellStart"/>
      <w:r w:rsidRPr="00177F22">
        <w:rPr>
          <w:rFonts w:ascii="Lato" w:hAnsi="Lato"/>
          <w:b/>
          <w:bCs/>
          <w:i/>
          <w:iCs/>
        </w:rPr>
        <w:t>brexipiprazol</w:t>
      </w:r>
      <w:proofErr w:type="spellEnd"/>
      <w:r>
        <w:rPr>
          <w:rFonts w:ascii="Lato" w:hAnsi="Lato"/>
          <w:b/>
          <w:bCs/>
        </w:rPr>
        <w:t>,</w:t>
      </w:r>
    </w:p>
    <w:p w14:paraId="482042F2" w14:textId="77777777" w:rsidR="00403ABE" w:rsidRDefault="00403ABE" w:rsidP="00403ABE">
      <w:pPr>
        <w:pStyle w:val="Akapitzlist"/>
        <w:numPr>
          <w:ilvl w:val="0"/>
          <w:numId w:val="27"/>
        </w:numPr>
        <w:spacing w:line="360" w:lineRule="auto"/>
        <w:ind w:left="714" w:hanging="357"/>
        <w:rPr>
          <w:rFonts w:ascii="Lato" w:hAnsi="Lato"/>
          <w:i/>
          <w:iCs/>
        </w:rPr>
      </w:pPr>
      <w:r>
        <w:rPr>
          <w:rFonts w:ascii="Lato" w:hAnsi="Lato"/>
        </w:rPr>
        <w:t xml:space="preserve">dla </w:t>
      </w:r>
      <w:proofErr w:type="spellStart"/>
      <w:r w:rsidRPr="00177F22">
        <w:rPr>
          <w:rFonts w:ascii="Lato" w:hAnsi="Lato"/>
          <w:i/>
          <w:iCs/>
        </w:rPr>
        <w:t>methylphenidatu</w:t>
      </w:r>
      <w:proofErr w:type="spellEnd"/>
      <w:r w:rsidRPr="00177F22">
        <w:rPr>
          <w:rFonts w:ascii="Lato" w:hAnsi="Lato"/>
          <w:i/>
          <w:iCs/>
        </w:rPr>
        <w:t xml:space="preserve"> </w:t>
      </w:r>
      <w:r w:rsidRPr="00177F22">
        <w:rPr>
          <w:rFonts w:ascii="Lato" w:hAnsi="Lato"/>
        </w:rPr>
        <w:t xml:space="preserve">w zakresie </w:t>
      </w:r>
      <w:r>
        <w:rPr>
          <w:rFonts w:ascii="Lato" w:hAnsi="Lato"/>
        </w:rPr>
        <w:t xml:space="preserve">usunięcia </w:t>
      </w:r>
      <w:r w:rsidRPr="00177F22">
        <w:rPr>
          <w:rFonts w:ascii="Lato" w:hAnsi="Lato"/>
        </w:rPr>
        <w:t>wymogu psychoterapii jako elementu kompleksowej opieki nad pacjentem z ADHD</w:t>
      </w:r>
      <w:r>
        <w:rPr>
          <w:rFonts w:ascii="Lato" w:hAnsi="Lato"/>
        </w:rPr>
        <w:t xml:space="preserve">. Nowe brzmienie wskazania: </w:t>
      </w:r>
      <w:r w:rsidRPr="00177F22">
        <w:rPr>
          <w:rFonts w:ascii="Lato" w:hAnsi="Lato"/>
          <w:i/>
          <w:iCs/>
        </w:rPr>
        <w:t xml:space="preserve">Zespół nadpobudliwości psychoruchowej z deficytem uwagi (ADHD, wg ICD-10 F90) wyłącznie jako element kompleksowego </w:t>
      </w:r>
      <w:r w:rsidRPr="00177F22">
        <w:rPr>
          <w:rFonts w:ascii="Lato" w:hAnsi="Lato"/>
          <w:b/>
          <w:bCs/>
          <w:i/>
          <w:iCs/>
        </w:rPr>
        <w:t>(zawierającego oddziaływania psychospołeczne)</w:t>
      </w:r>
      <w:r w:rsidRPr="00177F22">
        <w:rPr>
          <w:rFonts w:ascii="Lato" w:hAnsi="Lato"/>
          <w:i/>
          <w:iCs/>
        </w:rPr>
        <w:t xml:space="preserve"> leczenia u dzieci powyżej 6 r.ż.</w:t>
      </w:r>
      <w:r>
        <w:rPr>
          <w:rFonts w:ascii="Lato" w:hAnsi="Lato"/>
          <w:i/>
          <w:iCs/>
        </w:rPr>
        <w:t>,</w:t>
      </w:r>
    </w:p>
    <w:p w14:paraId="18B522FF" w14:textId="77777777" w:rsidR="00403ABE" w:rsidRPr="00177F22" w:rsidRDefault="00403ABE" w:rsidP="00403ABE">
      <w:pPr>
        <w:pStyle w:val="Akapitzlist"/>
        <w:numPr>
          <w:ilvl w:val="0"/>
          <w:numId w:val="27"/>
        </w:numPr>
        <w:spacing w:line="360" w:lineRule="auto"/>
        <w:ind w:left="714" w:hanging="357"/>
        <w:rPr>
          <w:rFonts w:ascii="Lato" w:hAnsi="Lato"/>
        </w:rPr>
      </w:pPr>
      <w:r w:rsidRPr="00177F22">
        <w:rPr>
          <w:rFonts w:ascii="Lato" w:hAnsi="Lato"/>
        </w:rPr>
        <w:t>dla</w:t>
      </w:r>
      <w:r>
        <w:rPr>
          <w:rFonts w:ascii="Lato" w:hAnsi="Lato"/>
          <w:i/>
          <w:iCs/>
        </w:rPr>
        <w:t xml:space="preserve"> </w:t>
      </w:r>
      <w:proofErr w:type="spellStart"/>
      <w:r>
        <w:rPr>
          <w:rFonts w:ascii="Lato" w:hAnsi="Lato"/>
          <w:i/>
          <w:iCs/>
        </w:rPr>
        <w:t>haloperidolu</w:t>
      </w:r>
      <w:proofErr w:type="spellEnd"/>
      <w:r>
        <w:rPr>
          <w:rFonts w:ascii="Lato" w:hAnsi="Lato"/>
          <w:i/>
          <w:iCs/>
        </w:rPr>
        <w:t xml:space="preserve"> </w:t>
      </w:r>
      <w:r w:rsidRPr="00177F22">
        <w:rPr>
          <w:rFonts w:ascii="Lato" w:hAnsi="Lato"/>
        </w:rPr>
        <w:t>w postaciach doustnych</w:t>
      </w:r>
      <w:r>
        <w:rPr>
          <w:rFonts w:ascii="Lato" w:hAnsi="Lato"/>
        </w:rPr>
        <w:t>,</w:t>
      </w:r>
      <w:r>
        <w:rPr>
          <w:rFonts w:ascii="Lato" w:hAnsi="Lato"/>
          <w:i/>
          <w:iCs/>
        </w:rPr>
        <w:t xml:space="preserve"> </w:t>
      </w:r>
      <w:r w:rsidRPr="00177F22">
        <w:rPr>
          <w:rFonts w:ascii="Lato" w:hAnsi="Lato"/>
        </w:rPr>
        <w:t>z uwagi na pokrywanie się zakresów wskazań dla odpłatności bezpłatnie oraz 30%</w:t>
      </w:r>
      <w:r>
        <w:rPr>
          <w:rFonts w:ascii="Lato" w:hAnsi="Lato"/>
        </w:rPr>
        <w:t xml:space="preserve">,  poprzez usunięcie z wykazu wskazania </w:t>
      </w:r>
      <w:r w:rsidRPr="005366FD">
        <w:rPr>
          <w:rFonts w:ascii="Lato" w:hAnsi="Lato"/>
          <w:b/>
          <w:bCs/>
          <w:i/>
          <w:iCs/>
        </w:rPr>
        <w:t>We wszystkich zarejestrowanych wskazaniach na dzień wydania decyzji</w:t>
      </w:r>
      <w:r w:rsidRPr="005366FD">
        <w:rPr>
          <w:rFonts w:ascii="Lato" w:hAnsi="Lato"/>
          <w:b/>
          <w:bCs/>
        </w:rPr>
        <w:t xml:space="preserve"> </w:t>
      </w:r>
      <w:r>
        <w:rPr>
          <w:rFonts w:ascii="Lato" w:hAnsi="Lato"/>
        </w:rPr>
        <w:t>(</w:t>
      </w:r>
      <w:r w:rsidRPr="00177F22">
        <w:rPr>
          <w:rFonts w:ascii="Lato" w:hAnsi="Lato"/>
          <w:i/>
          <w:iCs/>
        </w:rPr>
        <w:t>vide:</w:t>
      </w:r>
      <w:r>
        <w:rPr>
          <w:rFonts w:ascii="Lato" w:hAnsi="Lato"/>
        </w:rPr>
        <w:t xml:space="preserve"> </w:t>
      </w:r>
      <w:r w:rsidRPr="00177F22">
        <w:rPr>
          <w:rFonts w:ascii="Lato" w:hAnsi="Lato"/>
        </w:rPr>
        <w:t>Komunikat Ministra Zdrowia w sprawie zmiany wskazań refundacyjnych dl</w:t>
      </w:r>
      <w:r>
        <w:rPr>
          <w:rFonts w:ascii="Lato" w:hAnsi="Lato"/>
        </w:rPr>
        <w:t xml:space="preserve">a </w:t>
      </w:r>
      <w:r w:rsidRPr="00177F22">
        <w:rPr>
          <w:rFonts w:ascii="Lato" w:hAnsi="Lato"/>
        </w:rPr>
        <w:t xml:space="preserve">doustnych produktów zawierających </w:t>
      </w:r>
      <w:proofErr w:type="spellStart"/>
      <w:r w:rsidRPr="00177F22">
        <w:rPr>
          <w:rFonts w:ascii="Lato" w:hAnsi="Lato"/>
        </w:rPr>
        <w:t>haloperidol</w:t>
      </w:r>
      <w:proofErr w:type="spellEnd"/>
      <w:r>
        <w:rPr>
          <w:rFonts w:ascii="Lato" w:hAnsi="Lato"/>
        </w:rPr>
        <w:t>)</w:t>
      </w:r>
      <w:r w:rsidRPr="00177F22">
        <w:rPr>
          <w:rFonts w:ascii="Lato" w:hAnsi="Lato"/>
        </w:rPr>
        <w:t>.</w:t>
      </w:r>
    </w:p>
    <w:p w14:paraId="5610BBCD" w14:textId="77777777" w:rsidR="00346BA9" w:rsidRDefault="00346BA9" w:rsidP="00C167C7">
      <w:pPr>
        <w:suppressAutoHyphens w:val="0"/>
        <w:rPr>
          <w:rFonts w:ascii="Lato" w:hAnsi="Lato"/>
          <w:b/>
          <w:bCs/>
          <w:color w:val="00B0F0"/>
        </w:rPr>
      </w:pPr>
    </w:p>
    <w:sectPr w:rsidR="00346BA9" w:rsidSect="005058F2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1999" w14:textId="77777777" w:rsidR="002E72FB" w:rsidRDefault="002E72FB">
      <w:pPr>
        <w:spacing w:after="0" w:line="240" w:lineRule="auto"/>
      </w:pPr>
      <w:r>
        <w:separator/>
      </w:r>
    </w:p>
  </w:endnote>
  <w:endnote w:type="continuationSeparator" w:id="0">
    <w:p w14:paraId="470B1A6E" w14:textId="77777777" w:rsidR="002E72FB" w:rsidRDefault="002E7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070A" w14:textId="77777777" w:rsidR="002E72FB" w:rsidRDefault="002E72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B4E3375" w14:textId="77777777" w:rsidR="002E72FB" w:rsidRDefault="002E7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F36CF" w14:textId="4633511D" w:rsidR="005058F2" w:rsidRDefault="00143D0B">
    <w:pPr>
      <w:pStyle w:val="Nagwek"/>
    </w:pPr>
    <w:bookmarkStart w:id="3" w:name="_Hlk74147372"/>
    <w:bookmarkEnd w:id="3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B5BDA"/>
    <w:multiLevelType w:val="hybridMultilevel"/>
    <w:tmpl w:val="20608DCA"/>
    <w:lvl w:ilvl="0" w:tplc="0618361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3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90316FA"/>
    <w:multiLevelType w:val="hybridMultilevel"/>
    <w:tmpl w:val="630AFEA6"/>
    <w:lvl w:ilvl="0" w:tplc="07C0B9E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8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30263"/>
    <w:multiLevelType w:val="hybridMultilevel"/>
    <w:tmpl w:val="8910B7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6"/>
  </w:num>
  <w:num w:numId="2" w16cid:durableId="983047750">
    <w:abstractNumId w:val="4"/>
  </w:num>
  <w:num w:numId="3" w16cid:durableId="912206815">
    <w:abstractNumId w:val="7"/>
  </w:num>
  <w:num w:numId="4" w16cid:durableId="19192415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4"/>
  </w:num>
  <w:num w:numId="6" w16cid:durableId="1164782895">
    <w:abstractNumId w:val="5"/>
  </w:num>
  <w:num w:numId="7" w16cid:durableId="1764568987">
    <w:abstractNumId w:val="10"/>
  </w:num>
  <w:num w:numId="8" w16cid:durableId="1605840971">
    <w:abstractNumId w:val="11"/>
  </w:num>
  <w:num w:numId="9" w16cid:durableId="969629549">
    <w:abstractNumId w:val="21"/>
  </w:num>
  <w:num w:numId="10" w16cid:durableId="1576276737">
    <w:abstractNumId w:val="2"/>
  </w:num>
  <w:num w:numId="11" w16cid:durableId="409036424">
    <w:abstractNumId w:val="25"/>
  </w:num>
  <w:num w:numId="12" w16cid:durableId="1526747669">
    <w:abstractNumId w:val="3"/>
  </w:num>
  <w:num w:numId="13" w16cid:durableId="1746950255">
    <w:abstractNumId w:val="12"/>
  </w:num>
  <w:num w:numId="14" w16cid:durableId="329715522">
    <w:abstractNumId w:val="14"/>
  </w:num>
  <w:num w:numId="15" w16cid:durableId="1837842867">
    <w:abstractNumId w:val="13"/>
  </w:num>
  <w:num w:numId="16" w16cid:durableId="1970238000">
    <w:abstractNumId w:val="23"/>
  </w:num>
  <w:num w:numId="17" w16cid:durableId="485172914">
    <w:abstractNumId w:val="17"/>
  </w:num>
  <w:num w:numId="18" w16cid:durableId="338780148">
    <w:abstractNumId w:val="8"/>
  </w:num>
  <w:num w:numId="19" w16cid:durableId="1977641737">
    <w:abstractNumId w:val="2"/>
  </w:num>
  <w:num w:numId="20" w16cid:durableId="1099830501">
    <w:abstractNumId w:val="1"/>
  </w:num>
  <w:num w:numId="21" w16cid:durableId="1796680411">
    <w:abstractNumId w:val="19"/>
  </w:num>
  <w:num w:numId="22" w16cid:durableId="1157845039">
    <w:abstractNumId w:val="18"/>
  </w:num>
  <w:num w:numId="23" w16cid:durableId="1318220489">
    <w:abstractNumId w:val="15"/>
  </w:num>
  <w:num w:numId="24" w16cid:durableId="791442922">
    <w:abstractNumId w:val="20"/>
  </w:num>
  <w:num w:numId="25" w16cid:durableId="799500458">
    <w:abstractNumId w:val="16"/>
  </w:num>
  <w:num w:numId="26" w16cid:durableId="1852790301">
    <w:abstractNumId w:val="22"/>
  </w:num>
  <w:num w:numId="27" w16cid:durableId="1687100447">
    <w:abstractNumId w:val="0"/>
  </w:num>
  <w:num w:numId="28" w16cid:durableId="15382715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31E9F"/>
    <w:rsid w:val="00033ED5"/>
    <w:rsid w:val="0004009C"/>
    <w:rsid w:val="0005011B"/>
    <w:rsid w:val="00052E44"/>
    <w:rsid w:val="000702E4"/>
    <w:rsid w:val="00070A13"/>
    <w:rsid w:val="00070A89"/>
    <w:rsid w:val="0008118E"/>
    <w:rsid w:val="00086074"/>
    <w:rsid w:val="0009112E"/>
    <w:rsid w:val="00097B17"/>
    <w:rsid w:val="000A4576"/>
    <w:rsid w:val="000A688D"/>
    <w:rsid w:val="000A6B96"/>
    <w:rsid w:val="000B21F0"/>
    <w:rsid w:val="000B32C4"/>
    <w:rsid w:val="000B7075"/>
    <w:rsid w:val="000D02C0"/>
    <w:rsid w:val="000D2FED"/>
    <w:rsid w:val="000E3BBE"/>
    <w:rsid w:val="000E649C"/>
    <w:rsid w:val="000F077F"/>
    <w:rsid w:val="000F13ED"/>
    <w:rsid w:val="000F3ED2"/>
    <w:rsid w:val="000F5E24"/>
    <w:rsid w:val="001030B2"/>
    <w:rsid w:val="001204EA"/>
    <w:rsid w:val="0014120D"/>
    <w:rsid w:val="00143D0B"/>
    <w:rsid w:val="00144B55"/>
    <w:rsid w:val="00155C8E"/>
    <w:rsid w:val="00161605"/>
    <w:rsid w:val="00170D7F"/>
    <w:rsid w:val="00172790"/>
    <w:rsid w:val="00173D8E"/>
    <w:rsid w:val="00180F5C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D6485"/>
    <w:rsid w:val="001E2320"/>
    <w:rsid w:val="001E610A"/>
    <w:rsid w:val="001E721F"/>
    <w:rsid w:val="00205C55"/>
    <w:rsid w:val="00206C0B"/>
    <w:rsid w:val="0021509B"/>
    <w:rsid w:val="00221A2A"/>
    <w:rsid w:val="002270E2"/>
    <w:rsid w:val="00230BB7"/>
    <w:rsid w:val="0024162B"/>
    <w:rsid w:val="00245565"/>
    <w:rsid w:val="0024697E"/>
    <w:rsid w:val="00255E53"/>
    <w:rsid w:val="00263781"/>
    <w:rsid w:val="00275115"/>
    <w:rsid w:val="00280311"/>
    <w:rsid w:val="00281BE7"/>
    <w:rsid w:val="00286651"/>
    <w:rsid w:val="00287196"/>
    <w:rsid w:val="0029287B"/>
    <w:rsid w:val="0029403F"/>
    <w:rsid w:val="002A03D6"/>
    <w:rsid w:val="002C0340"/>
    <w:rsid w:val="002C19A9"/>
    <w:rsid w:val="002C19DE"/>
    <w:rsid w:val="002D55B8"/>
    <w:rsid w:val="002D6ED9"/>
    <w:rsid w:val="002E46AC"/>
    <w:rsid w:val="002E72FB"/>
    <w:rsid w:val="002F0FB2"/>
    <w:rsid w:val="002F61E3"/>
    <w:rsid w:val="003051DF"/>
    <w:rsid w:val="0031104C"/>
    <w:rsid w:val="003130CA"/>
    <w:rsid w:val="00326537"/>
    <w:rsid w:val="00333CCE"/>
    <w:rsid w:val="003357D9"/>
    <w:rsid w:val="00337B00"/>
    <w:rsid w:val="00346BA9"/>
    <w:rsid w:val="00355899"/>
    <w:rsid w:val="00356E75"/>
    <w:rsid w:val="0035733E"/>
    <w:rsid w:val="00374DBE"/>
    <w:rsid w:val="0037704D"/>
    <w:rsid w:val="0037714E"/>
    <w:rsid w:val="003841AB"/>
    <w:rsid w:val="0039255B"/>
    <w:rsid w:val="003935E8"/>
    <w:rsid w:val="003975D4"/>
    <w:rsid w:val="003A0F16"/>
    <w:rsid w:val="003A5B7D"/>
    <w:rsid w:val="003A6433"/>
    <w:rsid w:val="003B46BF"/>
    <w:rsid w:val="003D2AE2"/>
    <w:rsid w:val="003D6E55"/>
    <w:rsid w:val="003D71C6"/>
    <w:rsid w:val="003F072E"/>
    <w:rsid w:val="00403ABE"/>
    <w:rsid w:val="00404F9B"/>
    <w:rsid w:val="004079C5"/>
    <w:rsid w:val="00411C64"/>
    <w:rsid w:val="004156E6"/>
    <w:rsid w:val="00415707"/>
    <w:rsid w:val="00416F70"/>
    <w:rsid w:val="0041703B"/>
    <w:rsid w:val="00433870"/>
    <w:rsid w:val="004403B4"/>
    <w:rsid w:val="00446466"/>
    <w:rsid w:val="00447CE9"/>
    <w:rsid w:val="00453B55"/>
    <w:rsid w:val="00457779"/>
    <w:rsid w:val="00466FE8"/>
    <w:rsid w:val="004744CD"/>
    <w:rsid w:val="004776AE"/>
    <w:rsid w:val="0048011A"/>
    <w:rsid w:val="004850DC"/>
    <w:rsid w:val="00490715"/>
    <w:rsid w:val="00491267"/>
    <w:rsid w:val="00491300"/>
    <w:rsid w:val="00492285"/>
    <w:rsid w:val="0049535D"/>
    <w:rsid w:val="004A167B"/>
    <w:rsid w:val="004A2F20"/>
    <w:rsid w:val="004A2F45"/>
    <w:rsid w:val="004A5135"/>
    <w:rsid w:val="004B2F38"/>
    <w:rsid w:val="004C35E7"/>
    <w:rsid w:val="004C447B"/>
    <w:rsid w:val="004C729B"/>
    <w:rsid w:val="004D093B"/>
    <w:rsid w:val="004D2191"/>
    <w:rsid w:val="004D7DDC"/>
    <w:rsid w:val="004E4723"/>
    <w:rsid w:val="004F3FEF"/>
    <w:rsid w:val="005058F2"/>
    <w:rsid w:val="00512C38"/>
    <w:rsid w:val="00512C7C"/>
    <w:rsid w:val="005130EF"/>
    <w:rsid w:val="005143E4"/>
    <w:rsid w:val="0055182D"/>
    <w:rsid w:val="00553AE5"/>
    <w:rsid w:val="0056748F"/>
    <w:rsid w:val="00574D83"/>
    <w:rsid w:val="005871C9"/>
    <w:rsid w:val="005B06B3"/>
    <w:rsid w:val="005B598A"/>
    <w:rsid w:val="005C1959"/>
    <w:rsid w:val="005C499F"/>
    <w:rsid w:val="005C608D"/>
    <w:rsid w:val="005C6551"/>
    <w:rsid w:val="005D269A"/>
    <w:rsid w:val="005D3140"/>
    <w:rsid w:val="005D5D31"/>
    <w:rsid w:val="005E4CF5"/>
    <w:rsid w:val="005E7898"/>
    <w:rsid w:val="005F70FE"/>
    <w:rsid w:val="006008CD"/>
    <w:rsid w:val="00602883"/>
    <w:rsid w:val="00633806"/>
    <w:rsid w:val="00633883"/>
    <w:rsid w:val="00634434"/>
    <w:rsid w:val="0064109C"/>
    <w:rsid w:val="0064487F"/>
    <w:rsid w:val="006648F3"/>
    <w:rsid w:val="006666D0"/>
    <w:rsid w:val="00670C14"/>
    <w:rsid w:val="0068046C"/>
    <w:rsid w:val="00680B0E"/>
    <w:rsid w:val="00687B5F"/>
    <w:rsid w:val="00687E5A"/>
    <w:rsid w:val="006905E7"/>
    <w:rsid w:val="006911A1"/>
    <w:rsid w:val="006967BC"/>
    <w:rsid w:val="006A03EB"/>
    <w:rsid w:val="006A36EA"/>
    <w:rsid w:val="006A533F"/>
    <w:rsid w:val="006A7DCE"/>
    <w:rsid w:val="006B1374"/>
    <w:rsid w:val="006B6748"/>
    <w:rsid w:val="006C1B62"/>
    <w:rsid w:val="006C452F"/>
    <w:rsid w:val="006C4ED5"/>
    <w:rsid w:val="006D079B"/>
    <w:rsid w:val="006D183E"/>
    <w:rsid w:val="006D336E"/>
    <w:rsid w:val="006D7964"/>
    <w:rsid w:val="006F498A"/>
    <w:rsid w:val="006F5BEB"/>
    <w:rsid w:val="007135A8"/>
    <w:rsid w:val="007156F6"/>
    <w:rsid w:val="00715B91"/>
    <w:rsid w:val="007173F7"/>
    <w:rsid w:val="00722C84"/>
    <w:rsid w:val="007321D8"/>
    <w:rsid w:val="00733AF9"/>
    <w:rsid w:val="00734732"/>
    <w:rsid w:val="00735F08"/>
    <w:rsid w:val="00740ABA"/>
    <w:rsid w:val="007422B0"/>
    <w:rsid w:val="0074295D"/>
    <w:rsid w:val="0075268E"/>
    <w:rsid w:val="00755E27"/>
    <w:rsid w:val="0078723A"/>
    <w:rsid w:val="007A4FB5"/>
    <w:rsid w:val="007B043E"/>
    <w:rsid w:val="007C4332"/>
    <w:rsid w:val="007C44CD"/>
    <w:rsid w:val="007C4C95"/>
    <w:rsid w:val="007D0493"/>
    <w:rsid w:val="007D1551"/>
    <w:rsid w:val="007D273D"/>
    <w:rsid w:val="007D6A3A"/>
    <w:rsid w:val="007D6B6F"/>
    <w:rsid w:val="007D74E2"/>
    <w:rsid w:val="007F016E"/>
    <w:rsid w:val="007F7ECB"/>
    <w:rsid w:val="008008F6"/>
    <w:rsid w:val="008017A7"/>
    <w:rsid w:val="00802EE3"/>
    <w:rsid w:val="00823875"/>
    <w:rsid w:val="00827817"/>
    <w:rsid w:val="00827986"/>
    <w:rsid w:val="008279BD"/>
    <w:rsid w:val="00835F45"/>
    <w:rsid w:val="0084154E"/>
    <w:rsid w:val="00843352"/>
    <w:rsid w:val="00844624"/>
    <w:rsid w:val="008462C0"/>
    <w:rsid w:val="00865B9B"/>
    <w:rsid w:val="0087118E"/>
    <w:rsid w:val="008771C8"/>
    <w:rsid w:val="00882DCA"/>
    <w:rsid w:val="0088727A"/>
    <w:rsid w:val="00896D35"/>
    <w:rsid w:val="008B00C4"/>
    <w:rsid w:val="008B43B0"/>
    <w:rsid w:val="008C0493"/>
    <w:rsid w:val="008C0E92"/>
    <w:rsid w:val="008D45C3"/>
    <w:rsid w:val="008E18D7"/>
    <w:rsid w:val="008E33C7"/>
    <w:rsid w:val="008E5925"/>
    <w:rsid w:val="008F1D35"/>
    <w:rsid w:val="009066C7"/>
    <w:rsid w:val="0092216D"/>
    <w:rsid w:val="00933339"/>
    <w:rsid w:val="00953B84"/>
    <w:rsid w:val="00982754"/>
    <w:rsid w:val="0099235B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F413F"/>
    <w:rsid w:val="009F550A"/>
    <w:rsid w:val="009F7497"/>
    <w:rsid w:val="00A01F60"/>
    <w:rsid w:val="00A118F0"/>
    <w:rsid w:val="00A159DA"/>
    <w:rsid w:val="00A22494"/>
    <w:rsid w:val="00A22A7B"/>
    <w:rsid w:val="00A242D8"/>
    <w:rsid w:val="00A434EB"/>
    <w:rsid w:val="00A45B17"/>
    <w:rsid w:val="00A5351C"/>
    <w:rsid w:val="00A54C06"/>
    <w:rsid w:val="00A633F0"/>
    <w:rsid w:val="00A6481E"/>
    <w:rsid w:val="00A66140"/>
    <w:rsid w:val="00A66626"/>
    <w:rsid w:val="00A666CE"/>
    <w:rsid w:val="00A7064A"/>
    <w:rsid w:val="00A7345A"/>
    <w:rsid w:val="00A73A5C"/>
    <w:rsid w:val="00A75027"/>
    <w:rsid w:val="00A90397"/>
    <w:rsid w:val="00A90CB0"/>
    <w:rsid w:val="00A9374D"/>
    <w:rsid w:val="00A94461"/>
    <w:rsid w:val="00A960EA"/>
    <w:rsid w:val="00AA4608"/>
    <w:rsid w:val="00AA6179"/>
    <w:rsid w:val="00AB1235"/>
    <w:rsid w:val="00AB2D5E"/>
    <w:rsid w:val="00AC0511"/>
    <w:rsid w:val="00AD08C5"/>
    <w:rsid w:val="00AE069A"/>
    <w:rsid w:val="00AF1EBC"/>
    <w:rsid w:val="00B1467F"/>
    <w:rsid w:val="00B31928"/>
    <w:rsid w:val="00B326A9"/>
    <w:rsid w:val="00B45ED3"/>
    <w:rsid w:val="00B50F64"/>
    <w:rsid w:val="00B543E9"/>
    <w:rsid w:val="00B57127"/>
    <w:rsid w:val="00B76B2B"/>
    <w:rsid w:val="00B7722F"/>
    <w:rsid w:val="00B8251D"/>
    <w:rsid w:val="00B94288"/>
    <w:rsid w:val="00B9538B"/>
    <w:rsid w:val="00B9791D"/>
    <w:rsid w:val="00BA15A9"/>
    <w:rsid w:val="00BB30C0"/>
    <w:rsid w:val="00BC3584"/>
    <w:rsid w:val="00BC376D"/>
    <w:rsid w:val="00BD18E8"/>
    <w:rsid w:val="00BD20BC"/>
    <w:rsid w:val="00C15673"/>
    <w:rsid w:val="00C15E6F"/>
    <w:rsid w:val="00C167C7"/>
    <w:rsid w:val="00C210A9"/>
    <w:rsid w:val="00C22821"/>
    <w:rsid w:val="00C243BF"/>
    <w:rsid w:val="00C25F63"/>
    <w:rsid w:val="00C276AE"/>
    <w:rsid w:val="00C34F0F"/>
    <w:rsid w:val="00C4237C"/>
    <w:rsid w:val="00C4561E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8605B"/>
    <w:rsid w:val="00C909AF"/>
    <w:rsid w:val="00C938F8"/>
    <w:rsid w:val="00C97315"/>
    <w:rsid w:val="00CA1AD2"/>
    <w:rsid w:val="00CA2878"/>
    <w:rsid w:val="00CA7D06"/>
    <w:rsid w:val="00CB2E2B"/>
    <w:rsid w:val="00CB3D33"/>
    <w:rsid w:val="00CC0463"/>
    <w:rsid w:val="00CC7F58"/>
    <w:rsid w:val="00CD1C4D"/>
    <w:rsid w:val="00CD47C3"/>
    <w:rsid w:val="00CE099F"/>
    <w:rsid w:val="00CE73E2"/>
    <w:rsid w:val="00CF402D"/>
    <w:rsid w:val="00CF44C6"/>
    <w:rsid w:val="00CF5E4F"/>
    <w:rsid w:val="00CF7674"/>
    <w:rsid w:val="00D1266B"/>
    <w:rsid w:val="00D17D3E"/>
    <w:rsid w:val="00D44A5D"/>
    <w:rsid w:val="00D510E8"/>
    <w:rsid w:val="00D51976"/>
    <w:rsid w:val="00D554A2"/>
    <w:rsid w:val="00D5628B"/>
    <w:rsid w:val="00D63F4F"/>
    <w:rsid w:val="00D6426A"/>
    <w:rsid w:val="00D66456"/>
    <w:rsid w:val="00D77CD0"/>
    <w:rsid w:val="00D9306F"/>
    <w:rsid w:val="00DB0B88"/>
    <w:rsid w:val="00DD18C6"/>
    <w:rsid w:val="00DD6D00"/>
    <w:rsid w:val="00DE00F0"/>
    <w:rsid w:val="00DE1894"/>
    <w:rsid w:val="00DE5079"/>
    <w:rsid w:val="00DF6B3A"/>
    <w:rsid w:val="00E03599"/>
    <w:rsid w:val="00E10271"/>
    <w:rsid w:val="00E34DF7"/>
    <w:rsid w:val="00E35DF6"/>
    <w:rsid w:val="00E50AB6"/>
    <w:rsid w:val="00E50D44"/>
    <w:rsid w:val="00E52765"/>
    <w:rsid w:val="00E64133"/>
    <w:rsid w:val="00E66456"/>
    <w:rsid w:val="00E738D5"/>
    <w:rsid w:val="00E8288D"/>
    <w:rsid w:val="00E8348C"/>
    <w:rsid w:val="00E900DE"/>
    <w:rsid w:val="00E91E64"/>
    <w:rsid w:val="00EA326D"/>
    <w:rsid w:val="00EA5397"/>
    <w:rsid w:val="00EB1B3E"/>
    <w:rsid w:val="00EB5536"/>
    <w:rsid w:val="00EB5A68"/>
    <w:rsid w:val="00EB77EA"/>
    <w:rsid w:val="00EC0C4F"/>
    <w:rsid w:val="00EC2B8F"/>
    <w:rsid w:val="00EC74BA"/>
    <w:rsid w:val="00ED15F0"/>
    <w:rsid w:val="00ED1CDA"/>
    <w:rsid w:val="00ED6A67"/>
    <w:rsid w:val="00EE169B"/>
    <w:rsid w:val="00EE4384"/>
    <w:rsid w:val="00EE4BD7"/>
    <w:rsid w:val="00EF3551"/>
    <w:rsid w:val="00F017D6"/>
    <w:rsid w:val="00F076C2"/>
    <w:rsid w:val="00F12CF6"/>
    <w:rsid w:val="00F147FC"/>
    <w:rsid w:val="00F15BD4"/>
    <w:rsid w:val="00F31A79"/>
    <w:rsid w:val="00F42214"/>
    <w:rsid w:val="00F5061B"/>
    <w:rsid w:val="00F61A7D"/>
    <w:rsid w:val="00F63AA8"/>
    <w:rsid w:val="00F67CA2"/>
    <w:rsid w:val="00F859A8"/>
    <w:rsid w:val="00F9203E"/>
    <w:rsid w:val="00F957B7"/>
    <w:rsid w:val="00FA4D77"/>
    <w:rsid w:val="00FA53DF"/>
    <w:rsid w:val="00FB2364"/>
    <w:rsid w:val="00FB30AC"/>
    <w:rsid w:val="00FB3B6F"/>
    <w:rsid w:val="00FC712D"/>
    <w:rsid w:val="00FD39E3"/>
    <w:rsid w:val="00FD48BC"/>
    <w:rsid w:val="00FE1242"/>
    <w:rsid w:val="00FE6EDA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5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5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5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kwiecie&#324;%202025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411590303789346"/>
          <c:w val="0.90286351706036749"/>
          <c:h val="0.692786984101214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2025'!$A$3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2025'!$B$3:$E$3</c:f>
              <c:numCache>
                <c:formatCode>General</c:formatCode>
                <c:ptCount val="4"/>
                <c:pt idx="0">
                  <c:v>13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26-495E-B7EE-9E2E411228DB}"/>
            </c:ext>
          </c:extLst>
        </c:ser>
        <c:ser>
          <c:idx val="1"/>
          <c:order val="1"/>
          <c:tx>
            <c:strRef>
              <c:f>'miesiące 2025'!$A$4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2025'!$B$1:$E$2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2025'!$B$4:$E$4</c:f>
              <c:numCache>
                <c:formatCode>General</c:formatCode>
                <c:ptCount val="4"/>
                <c:pt idx="0">
                  <c:v>18</c:v>
                </c:pt>
                <c:pt idx="1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26-495E-B7EE-9E2E411228D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5494731023984487"/>
          <c:y val="0.91407001959806555"/>
          <c:w val="0.69010537952031026"/>
          <c:h val="7.61116200681100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2025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4116874716779437"/>
          <c:w val="0.90286351706036749"/>
          <c:h val="0.697969720090940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2025'!$A$18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2025'!$B$18:$E$18</c:f>
              <c:numCache>
                <c:formatCode>General</c:formatCode>
                <c:ptCount val="4"/>
                <c:pt idx="0">
                  <c:v>12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91-460D-9B20-5401DC1D7CCB}"/>
            </c:ext>
          </c:extLst>
        </c:ser>
        <c:ser>
          <c:idx val="1"/>
          <c:order val="1"/>
          <c:tx>
            <c:strRef>
              <c:f>'miesiące 2025'!$A$19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2025'!$B$16:$E$17</c:f>
              <c:strCache>
                <c:ptCount val="4"/>
                <c:pt idx="0">
                  <c:v>styczeń</c:v>
                </c:pt>
                <c:pt idx="1">
                  <c:v>kwiecień</c:v>
                </c:pt>
                <c:pt idx="2">
                  <c:v>lipiec</c:v>
                </c:pt>
                <c:pt idx="3">
                  <c:v>październik</c:v>
                </c:pt>
              </c:strCache>
            </c:strRef>
          </c:cat>
          <c:val>
            <c:numRef>
              <c:f>'miesiące 2025'!$B$19:$E$19</c:f>
              <c:numCache>
                <c:formatCode>General</c:formatCode>
                <c:ptCount val="4"/>
                <c:pt idx="0">
                  <c:v>19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91-460D-9B20-5401DC1D7CC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184168614083922"/>
          <c:y val="0.91390094929722565"/>
          <c:w val="0.41050013796988477"/>
          <c:h val="7.62613723948549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2025 r. (stan na kwiecień) </a:t>
            </a:r>
          </a:p>
        </c:rich>
      </c:tx>
      <c:layout>
        <c:manualLayout>
          <c:xMode val="edge"/>
          <c:yMode val="edge"/>
          <c:x val="0.18951143046129587"/>
          <c:y val="2.7978214023051211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0.10684524603916036"/>
          <c:w val="0.84009663854336591"/>
          <c:h val="0.81391317610722391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2025'!$B$2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2025'!$A$4:$A$8,'miesiące 2025'!$A$10,'miesiące 2025'!$A$12)</c:f>
              <c:strCache>
                <c:ptCount val="7"/>
                <c:pt idx="0">
                  <c:v>Nowotwory układu 
urologicznego</c:v>
                </c:pt>
                <c:pt idx="1">
                  <c:v>Nowotwory skóry</c:v>
                </c:pt>
                <c:pt idx="2">
                  <c:v>Nowotwory układu 
pokarmowego</c:v>
                </c:pt>
                <c:pt idx="3">
                  <c:v>Nowotwory układu 
oddechowego</c:v>
                </c:pt>
                <c:pt idx="4">
                  <c:v>Nowotwory nerki</c:v>
                </c:pt>
                <c:pt idx="5">
                  <c:v>Nowotwory 
ginekologiczne</c:v>
                </c:pt>
                <c:pt idx="6">
                  <c:v>Hematoonkologia</c:v>
                </c:pt>
              </c:strCache>
              <c:extLst/>
            </c:strRef>
          </c:cat>
          <c:val>
            <c:numRef>
              <c:f>('miesiące 2025'!$B$4:$B$8,'miesiące 2025'!$B$10,'miesiące 2025'!$B$12)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4</c:v>
                </c:pt>
                <c:pt idx="4">
                  <c:v>1</c:v>
                </c:pt>
                <c:pt idx="5">
                  <c:v>4</c:v>
                </c:pt>
                <c:pt idx="6">
                  <c:v>10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73C1-43F3-8370-C3625D900D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1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2025 r. (stan na kwiecień)  </a:t>
            </a:r>
          </a:p>
        </c:rich>
      </c:tx>
      <c:layout>
        <c:manualLayout>
          <c:xMode val="edge"/>
          <c:yMode val="edge"/>
          <c:x val="0.1894838323339581"/>
          <c:y val="5.612935736102206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9.0721064401556015E-2"/>
          <c:w val="0.76644349190079053"/>
          <c:h val="0.820213857516020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2025'!$B$19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2025'!$A$20:$A$22,'miesiące 2025'!$A$24:$A$30,'miesiące 2025'!$A$32:$A$36,'miesiące 2025'!$A$38:$A$39)</c:f>
              <c:strCache>
                <c:ptCount val="17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Okulistyka</c:v>
                </c:pt>
                <c:pt idx="4">
                  <c:v>Neurologia</c:v>
                </c:pt>
                <c:pt idx="5">
                  <c:v>Nefrologia </c:v>
                </c:pt>
                <c:pt idx="6">
                  <c:v>Kardiologia</c:v>
                </c:pt>
                <c:pt idx="7">
                  <c:v>Immunologia</c:v>
                </c:pt>
                <c:pt idx="8">
                  <c:v>Hepatologia</c:v>
                </c:pt>
                <c:pt idx="9">
                  <c:v>Hematologia</c:v>
                </c:pt>
                <c:pt idx="10">
                  <c:v>Gastroenterologia</c:v>
                </c:pt>
                <c:pt idx="11">
                  <c:v>Endokrynologia</c:v>
                </c:pt>
                <c:pt idx="12">
                  <c:v>Diabetologia</c:v>
                </c:pt>
                <c:pt idx="13">
                  <c:v>Dermatologia</c:v>
                </c:pt>
                <c:pt idx="14">
                  <c:v>Choroby zakaźne</c:v>
                </c:pt>
                <c:pt idx="15">
                  <c:v>Angiologia</c:v>
                </c:pt>
                <c:pt idx="16">
                  <c:v>Alergologia</c:v>
                </c:pt>
              </c:strCache>
              <c:extLst/>
            </c:strRef>
          </c:cat>
          <c:val>
            <c:numRef>
              <c:f>('miesiące 2025'!$B$20:$B$22,'miesiące 2025'!$B$24:$B$30,'miesiące 2025'!$B$32:$B$36,'miesiące 2025'!$B$38:$B$39)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4</c:v>
                </c:pt>
                <c:pt idx="5">
                  <c:v>1</c:v>
                </c:pt>
                <c:pt idx="6">
                  <c:v>10</c:v>
                </c:pt>
                <c:pt idx="7">
                  <c:v>3</c:v>
                </c:pt>
                <c:pt idx="8">
                  <c:v>4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8C3-43FC-8350-A7760F2460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1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2667</Words>
  <Characters>16008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Molendowska-Sojka Diana</cp:lastModifiedBy>
  <cp:revision>2</cp:revision>
  <dcterms:created xsi:type="dcterms:W3CDTF">2025-03-19T12:23:00Z</dcterms:created>
  <dcterms:modified xsi:type="dcterms:W3CDTF">2025-03-19T12:23:00Z</dcterms:modified>
</cp:coreProperties>
</file>