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F8" w:rsidRDefault="00B27CE8">
      <w:pPr>
        <w:pStyle w:val="TYTUAKTUprzedmiotregulacjiustawylubrozporzdzenia"/>
        <w:rPr>
          <w:rFonts w:ascii="Arial" w:hAnsi="Arial"/>
        </w:rPr>
      </w:pPr>
      <w:bookmarkStart w:id="0" w:name="_GoBack"/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br/>
        <w:t>Dyrektora Generalnego 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>
        <w:rPr>
          <w:rFonts w:ascii="Arial" w:hAnsi="Arial"/>
          <w:sz w:val="28"/>
          <w:szCs w:val="28"/>
        </w:rPr>
        <w:t>27 października 2025</w:t>
      </w:r>
      <w:bookmarkEnd w:id="1"/>
      <w:r>
        <w:rPr>
          <w:rFonts w:ascii="Arial" w:hAnsi="Arial"/>
          <w:sz w:val="28"/>
          <w:szCs w:val="28"/>
        </w:rPr>
        <w:t xml:space="preserve"> r.</w:t>
      </w:r>
    </w:p>
    <w:p w:rsidR="00FF5771" w:rsidRDefault="00B27CE8" w:rsidP="00FF5771">
      <w:pPr>
        <w:pStyle w:val="Style2"/>
        <w:spacing w:line="360" w:lineRule="auto"/>
        <w:jc w:val="center"/>
        <w:rPr>
          <w:rStyle w:val="FontStyle12"/>
          <w:rFonts w:eastAsiaTheme="minorEastAsia"/>
          <w:bCs/>
          <w:szCs w:val="22"/>
        </w:rPr>
      </w:pPr>
      <w:r w:rsidRPr="002F0406">
        <w:rPr>
          <w:b/>
        </w:rPr>
        <w:t xml:space="preserve">w sprawie powołania </w:t>
      </w:r>
      <w:r w:rsidRPr="002F0406">
        <w:rPr>
          <w:rStyle w:val="FontStyle12"/>
          <w:rFonts w:eastAsiaTheme="minorEastAsia"/>
          <w:bCs/>
          <w:szCs w:val="22"/>
        </w:rPr>
        <w:t xml:space="preserve">Zespołu ds. realizacji </w:t>
      </w:r>
      <w:r w:rsidRPr="002F0406">
        <w:rPr>
          <w:b/>
          <w:color w:val="000000"/>
        </w:rPr>
        <w:t>projektu</w:t>
      </w:r>
      <w:bookmarkStart w:id="2" w:name="_Toc465153342"/>
      <w:r w:rsidRPr="002F0406">
        <w:rPr>
          <w:b/>
          <w:color w:val="000000"/>
        </w:rPr>
        <w:t xml:space="preserve"> pt</w:t>
      </w:r>
      <w:bookmarkEnd w:id="2"/>
      <w:r w:rsidRPr="002F0406">
        <w:rPr>
          <w:b/>
          <w:color w:val="000000"/>
        </w:rPr>
        <w:t xml:space="preserve">.: </w:t>
      </w:r>
      <w:r w:rsidRPr="002F0406">
        <w:rPr>
          <w:b/>
        </w:rPr>
        <w:t>Krajowy Plan Odbudowy i</w:t>
      </w:r>
      <w:r>
        <w:rPr>
          <w:b/>
        </w:rPr>
        <w:t> </w:t>
      </w:r>
      <w:r w:rsidRPr="002F0406">
        <w:rPr>
          <w:b/>
        </w:rPr>
        <w:t>Zwiększania Odporności finansowanym ze środków Instrumentu na Rzecz Odbudowy i Zwiększania Odporności Inwestycja C3.1.1. Cyberbezpieczeństwo – CyberPL, infrastruktura przetwarzania danych oraz optymalizacja infrastruktury służb państwowych odpowiedzialnych</w:t>
      </w:r>
      <w:r w:rsidRPr="002F0406">
        <w:rPr>
          <w:b/>
        </w:rPr>
        <w:t xml:space="preserve"> za bezpieczeństwo Cyberbezpieczeństwo - Cyberbezpieczny Rząd </w:t>
      </w:r>
      <w:r w:rsidRPr="002F0406">
        <w:rPr>
          <w:rStyle w:val="FontStyle12"/>
          <w:rFonts w:eastAsiaTheme="minorEastAsia"/>
          <w:bCs/>
          <w:szCs w:val="22"/>
        </w:rPr>
        <w:t xml:space="preserve"> </w:t>
      </w:r>
      <w:bookmarkEnd w:id="0"/>
      <w:r w:rsidRPr="002F0406">
        <w:rPr>
          <w:rStyle w:val="FontStyle12"/>
          <w:rFonts w:eastAsiaTheme="minorEastAsia"/>
          <w:bCs/>
          <w:szCs w:val="22"/>
        </w:rPr>
        <w:t xml:space="preserve">(projekt nr </w:t>
      </w:r>
      <w:r w:rsidRPr="002F0406">
        <w:rPr>
          <w:b/>
        </w:rPr>
        <w:t>KPOD.05.10-CR.01-001/24/0025</w:t>
      </w:r>
      <w:r w:rsidRPr="002F0406">
        <w:rPr>
          <w:rStyle w:val="FontStyle12"/>
          <w:rFonts w:eastAsiaTheme="minorEastAsia"/>
          <w:bCs/>
          <w:szCs w:val="22"/>
        </w:rPr>
        <w:t>)</w:t>
      </w:r>
    </w:p>
    <w:p w:rsidR="003822B2" w:rsidRDefault="00B27CE8" w:rsidP="003822B2">
      <w:pPr>
        <w:spacing w:line="360" w:lineRule="auto"/>
        <w:jc w:val="both"/>
        <w:rPr>
          <w:rStyle w:val="FontStyle12"/>
          <w:rFonts w:eastAsiaTheme="minorEastAsia"/>
          <w:b w:val="0"/>
          <w:bCs/>
          <w:lang w:eastAsia="pl-PL"/>
        </w:rPr>
      </w:pPr>
    </w:p>
    <w:p w:rsidR="00FF5771" w:rsidRPr="00FF5771" w:rsidRDefault="00B27CE8" w:rsidP="003822B2">
      <w:pPr>
        <w:spacing w:line="360" w:lineRule="auto"/>
        <w:ind w:firstLine="170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FF5771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Na podstawie art. </w:t>
      </w:r>
      <w:r w:rsidRPr="00FF5771">
        <w:rPr>
          <w:rFonts w:ascii="Times New Roman" w:eastAsiaTheme="minorEastAsia" w:hAnsi="Times New Roman"/>
          <w:bCs/>
          <w:color w:val="000000"/>
          <w:sz w:val="24"/>
          <w:szCs w:val="24"/>
          <w:lang w:eastAsia="pl-PL"/>
        </w:rPr>
        <w:t>25 ust. 10 w związku z art. 25 ust. 4 pkt 1 ustawy z dnia 21 listopada  2008 r. o służbie cywilnej (</w:t>
      </w:r>
      <w:r>
        <w:rPr>
          <w:rFonts w:ascii="Times New Roman" w:eastAsiaTheme="minorEastAsia" w:hAnsi="Times New Roman"/>
          <w:bCs/>
          <w:color w:val="000000"/>
          <w:sz w:val="24"/>
          <w:szCs w:val="24"/>
          <w:lang w:eastAsia="pl-PL"/>
        </w:rPr>
        <w:t>Dz. U. z 2024 r. poz. 409, z 202</w:t>
      </w:r>
      <w:r>
        <w:rPr>
          <w:rFonts w:ascii="Times New Roman" w:eastAsiaTheme="minorEastAsia" w:hAnsi="Times New Roman"/>
          <w:bCs/>
          <w:color w:val="000000"/>
          <w:sz w:val="24"/>
          <w:szCs w:val="24"/>
          <w:lang w:eastAsia="pl-PL"/>
        </w:rPr>
        <w:t>5 r. poz. 620</w:t>
      </w:r>
      <w:r w:rsidRPr="00FF5771">
        <w:rPr>
          <w:rFonts w:ascii="Times New Roman" w:eastAsiaTheme="minorEastAsia" w:hAnsi="Times New Roman"/>
          <w:bCs/>
          <w:color w:val="000000"/>
          <w:sz w:val="24"/>
          <w:szCs w:val="24"/>
          <w:lang w:eastAsia="pl-PL"/>
        </w:rPr>
        <w:t xml:space="preserve">) </w:t>
      </w:r>
      <w:r w:rsidRPr="00FF5771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zarządza się, co następuje: </w:t>
      </w:r>
    </w:p>
    <w:p w:rsidR="00FF5771" w:rsidRPr="00FF5771" w:rsidRDefault="00B27CE8" w:rsidP="00FF5771">
      <w:pPr>
        <w:tabs>
          <w:tab w:val="left" w:pos="848"/>
        </w:tabs>
        <w:spacing w:line="360" w:lineRule="auto"/>
        <w:ind w:firstLine="284"/>
        <w:jc w:val="both"/>
        <w:rPr>
          <w:rFonts w:ascii="Times New Roman" w:eastAsiaTheme="minorEastAsia" w:hAnsi="Times New Roman"/>
          <w:szCs w:val="24"/>
          <w:lang w:eastAsia="pl-PL"/>
        </w:rPr>
      </w:pPr>
      <w:r w:rsidRPr="00FF5771">
        <w:rPr>
          <w:rFonts w:ascii="Times New Roman" w:eastAsiaTheme="minorEastAsia" w:hAnsi="Times New Roman"/>
          <w:szCs w:val="24"/>
          <w:lang w:eastAsia="pl-PL"/>
        </w:rPr>
        <w:t xml:space="preserve">§ 1. 1. W związku z pozyskaniem środków finansowych na realizację projektu </w:t>
      </w:r>
      <w:r w:rsidRPr="00FF5771">
        <w:rPr>
          <w:rFonts w:ascii="Times New Roman" w:eastAsiaTheme="minorEastAsia" w:hAnsi="Times New Roman"/>
          <w:sz w:val="24"/>
          <w:szCs w:val="24"/>
          <w:lang w:eastAsia="pl-PL"/>
        </w:rPr>
        <w:t>pt.: Krajowy Plan Odbudowy i Zwiększania Odporności finansowanym ze środków Instrumentu na Rzecz Odbudowy i Zwiększania Odporności Inwestycja C3.1.1. Cyberbezpieczeństwo – CyberPL, infrastruktura przetwarzania danych oraz optymalizacja infrastruktury służb</w:t>
      </w:r>
      <w:r w:rsidRPr="00FF5771">
        <w:rPr>
          <w:rFonts w:ascii="Times New Roman" w:eastAsiaTheme="minorEastAsia" w:hAnsi="Times New Roman"/>
          <w:sz w:val="24"/>
          <w:szCs w:val="24"/>
          <w:lang w:eastAsia="pl-PL"/>
        </w:rPr>
        <w:t xml:space="preserve"> państwowych odpowiedzialnych za bezpieczeństwo Cyberbezpieczeństwo - Cyberbezpieczny Rząd, </w:t>
      </w:r>
      <w:r w:rsidRPr="00FF5771">
        <w:rPr>
          <w:rFonts w:ascii="Times New Roman" w:eastAsiaTheme="minorEastAsia" w:hAnsi="Times New Roman"/>
          <w:b/>
          <w:bCs/>
          <w:szCs w:val="24"/>
          <w:lang w:eastAsia="pl-PL"/>
        </w:rPr>
        <w:t>p</w:t>
      </w:r>
      <w:r w:rsidRPr="00FF5771">
        <w:rPr>
          <w:rFonts w:ascii="Times New Roman" w:eastAsiaTheme="minorEastAsia" w:hAnsi="Times New Roman"/>
          <w:szCs w:val="24"/>
          <w:lang w:eastAsia="pl-PL"/>
        </w:rPr>
        <w:t xml:space="preserve">owołuje się Zespół </w:t>
      </w:r>
      <w:r w:rsidRPr="00D93F46">
        <w:rPr>
          <w:rFonts w:ascii="Times New Roman" w:eastAsiaTheme="minorEastAsia" w:hAnsi="Times New Roman"/>
          <w:bCs/>
          <w:szCs w:val="24"/>
          <w:lang w:eastAsia="pl-PL"/>
        </w:rPr>
        <w:t>ds. realizacji projektu, zwany dalej „Zespołem”, w składzie:</w:t>
      </w:r>
    </w:p>
    <w:p w:rsidR="00FF5771" w:rsidRPr="00FF5771" w:rsidRDefault="00B27CE8" w:rsidP="00FF577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>przewodniczący Zespołu</w:t>
      </w:r>
      <w:r w:rsidRPr="00FF5771">
        <w:rPr>
          <w:rFonts w:ascii="Times New Roman" w:eastAsia="Times New Roman" w:hAnsi="Times New Roman"/>
          <w:sz w:val="24"/>
          <w:szCs w:val="24"/>
        </w:rPr>
        <w:t>: Marcin Królikowski, Dyrektor Biura Administracji i Logistyk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i, </w:t>
      </w:r>
    </w:p>
    <w:p w:rsidR="00FF5771" w:rsidRPr="00FF5771" w:rsidRDefault="00B27CE8" w:rsidP="00FF577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>koordynator Zespołu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: Paweł Ciszewski, kierownik Oddziału informatyzacji i monitoringu w Biurze Administracji i Logistyki, </w:t>
      </w:r>
    </w:p>
    <w:p w:rsidR="00FF5771" w:rsidRPr="00FF5771" w:rsidRDefault="00B27CE8" w:rsidP="00FF577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>zastępca koordynatora Zespołu: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Dariusz Balcerek, inspektor wojewódzki w Biurze Administracji i Logistyki,</w:t>
      </w:r>
    </w:p>
    <w:p w:rsidR="00FF5771" w:rsidRPr="00FF5771" w:rsidRDefault="00B27CE8" w:rsidP="00FF577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>pozostali członkowie Ze</w:t>
      </w:r>
      <w:r w:rsidRPr="00FF5771">
        <w:rPr>
          <w:rFonts w:ascii="Times New Roman" w:eastAsia="Times New Roman" w:hAnsi="Times New Roman"/>
          <w:b/>
          <w:sz w:val="24"/>
          <w:szCs w:val="24"/>
        </w:rPr>
        <w:t>społu:</w:t>
      </w:r>
    </w:p>
    <w:p w:rsidR="00FF5771" w:rsidRPr="00FF5771" w:rsidRDefault="00B27CE8" w:rsidP="00FF5771">
      <w:pPr>
        <w:numPr>
          <w:ilvl w:val="0"/>
          <w:numId w:val="5"/>
        </w:numPr>
        <w:spacing w:before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 xml:space="preserve">specjalista ds. zamówień publicznych: </w:t>
      </w:r>
      <w:r w:rsidRPr="00FF5771">
        <w:rPr>
          <w:rFonts w:ascii="Times New Roman" w:eastAsia="Times New Roman" w:hAnsi="Times New Roman"/>
          <w:sz w:val="24"/>
          <w:szCs w:val="24"/>
        </w:rPr>
        <w:t>Piotr Wolniak, starszy inspektor w Biurze Administracji i Logistyki,</w:t>
      </w:r>
    </w:p>
    <w:p w:rsidR="00FF5771" w:rsidRPr="00FF5771" w:rsidRDefault="00B27CE8" w:rsidP="00FF5771">
      <w:pPr>
        <w:numPr>
          <w:ilvl w:val="0"/>
          <w:numId w:val="5"/>
        </w:numPr>
        <w:spacing w:before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>specjalista ds. obsługi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5771">
        <w:rPr>
          <w:rFonts w:ascii="Times New Roman" w:eastAsia="Times New Roman" w:hAnsi="Times New Roman"/>
          <w:b/>
          <w:sz w:val="24"/>
          <w:szCs w:val="24"/>
        </w:rPr>
        <w:t>prawnej: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Karolina Terka, radca prawny w Wydziale Prawnym Nadzoru i Kontroli, Oddział Obsługi Prawnej,</w:t>
      </w:r>
    </w:p>
    <w:p w:rsidR="00FF5771" w:rsidRPr="00FF5771" w:rsidRDefault="00B27CE8" w:rsidP="00FF5771">
      <w:pPr>
        <w:numPr>
          <w:ilvl w:val="0"/>
          <w:numId w:val="5"/>
        </w:numPr>
        <w:spacing w:before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 xml:space="preserve">specjalista ds. </w:t>
      </w:r>
      <w:r w:rsidRPr="00FF5771">
        <w:rPr>
          <w:rFonts w:ascii="Times New Roman" w:eastAsia="Times New Roman" w:hAnsi="Times New Roman"/>
          <w:b/>
          <w:sz w:val="24"/>
          <w:szCs w:val="24"/>
        </w:rPr>
        <w:t>księgowości i płatności:</w:t>
      </w:r>
    </w:p>
    <w:p w:rsidR="00FF5771" w:rsidRPr="00FF5771" w:rsidRDefault="00B27CE8" w:rsidP="00FF5771">
      <w:pPr>
        <w:spacing w:before="120" w:line="360" w:lineRule="auto"/>
        <w:ind w:left="993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- 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Wojciech Gwadera, </w:t>
      </w:r>
      <w:r w:rsidRPr="00FF5771">
        <w:rPr>
          <w:rFonts w:ascii="Times New Roman" w:eastAsia="Times New Roman" w:hAnsi="Times New Roman"/>
          <w:sz w:val="24"/>
          <w:szCs w:val="24"/>
        </w:rPr>
        <w:t>Zastępca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Głównego Księgowego Urzędu w Biurze Kadr, Płac i Budżetu,</w:t>
      </w:r>
    </w:p>
    <w:p w:rsidR="00FF5771" w:rsidRPr="00FF5771" w:rsidRDefault="00B27CE8" w:rsidP="00FF5771">
      <w:pPr>
        <w:spacing w:before="120" w:line="360" w:lineRule="auto"/>
        <w:ind w:left="993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>-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Sylwester Zatorski, kierownik Oddziału Wydatków</w:t>
      </w:r>
      <w:r>
        <w:rPr>
          <w:rFonts w:ascii="Times New Roman" w:eastAsia="Times New Roman" w:hAnsi="Times New Roman"/>
          <w:sz w:val="24"/>
          <w:szCs w:val="24"/>
        </w:rPr>
        <w:t xml:space="preserve"> Urzę</w:t>
      </w:r>
      <w:r>
        <w:rPr>
          <w:rFonts w:ascii="Times New Roman" w:eastAsia="Times New Roman" w:hAnsi="Times New Roman"/>
          <w:sz w:val="24"/>
          <w:szCs w:val="24"/>
        </w:rPr>
        <w:t>du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w Biurze Kadr, Płac i Budżetu,</w:t>
      </w:r>
    </w:p>
    <w:p w:rsidR="00FF5771" w:rsidRPr="00FF5771" w:rsidRDefault="00B27CE8" w:rsidP="00FF5771">
      <w:pPr>
        <w:spacing w:before="120"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>-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Bogusława Zając, kierownik Oddziału płac w Biurze Kadr, Płac i Budżetu,</w:t>
      </w:r>
    </w:p>
    <w:p w:rsidR="00FF5771" w:rsidRPr="00FF5771" w:rsidRDefault="00B27CE8" w:rsidP="00FF5771">
      <w:pPr>
        <w:spacing w:before="120"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 xml:space="preserve">d) </w:t>
      </w:r>
      <w:r w:rsidRPr="00FF5771">
        <w:rPr>
          <w:rFonts w:ascii="Times New Roman" w:eastAsia="Arial Unicode MS" w:hAnsi="Times New Roman"/>
          <w:b/>
          <w:sz w:val="24"/>
          <w:szCs w:val="24"/>
          <w:shd w:val="clear" w:color="auto" w:fill="FFFFFF"/>
          <w:lang w:eastAsia="pl-PL"/>
        </w:rPr>
        <w:t>specjalista ds. rozliczeń Projektu</w:t>
      </w:r>
      <w:r w:rsidRPr="00FF5771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/>
        </w:rPr>
        <w:t xml:space="preserve"> - </w:t>
      </w:r>
      <w:r w:rsidRPr="00FF5771">
        <w:rPr>
          <w:rFonts w:ascii="Times New Roman" w:eastAsia="Times New Roman" w:hAnsi="Times New Roman"/>
          <w:shd w:val="clear" w:color="auto" w:fill="FFFFFF"/>
        </w:rPr>
        <w:t>Beata Bilicz-Majka, Główny Specjalista w Wydziale Finansów i Budżetu.</w:t>
      </w:r>
    </w:p>
    <w:p w:rsidR="00FF5771" w:rsidRPr="00FF5771" w:rsidRDefault="00B27CE8" w:rsidP="00FF5771">
      <w:pPr>
        <w:spacing w:before="120" w:line="360" w:lineRule="auto"/>
        <w:ind w:left="993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5771">
        <w:rPr>
          <w:rFonts w:ascii="Times New Roman" w:eastAsia="Times New Roman" w:hAnsi="Times New Roman"/>
          <w:b/>
          <w:sz w:val="24"/>
          <w:szCs w:val="24"/>
        </w:rPr>
        <w:t>e) specjalista ds. informatyki</w:t>
      </w:r>
    </w:p>
    <w:p w:rsidR="00FF5771" w:rsidRPr="00FF5771" w:rsidRDefault="00B27CE8" w:rsidP="00FF5771">
      <w:pPr>
        <w:spacing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Piotr Kałużny-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starszy inspektor wojewódzki w Biurze Administracji i Logistyki</w:t>
      </w:r>
    </w:p>
    <w:p w:rsidR="00FF5771" w:rsidRPr="00FF5771" w:rsidRDefault="00B27CE8" w:rsidP="00FF5771">
      <w:pPr>
        <w:spacing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Patryk Patucha-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starszy inspektor wojewódzki w Biurze Administracji i Logistyki</w:t>
      </w:r>
    </w:p>
    <w:p w:rsidR="00FF5771" w:rsidRPr="00FF5771" w:rsidRDefault="00B27CE8" w:rsidP="00FF5771">
      <w:pPr>
        <w:spacing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Marta Kołodziejczyk-</w:t>
      </w:r>
      <w:r w:rsidRPr="00FF5771">
        <w:rPr>
          <w:rFonts w:ascii="Times New Roman" w:eastAsia="Times New Roman" w:hAnsi="Times New Roman"/>
          <w:sz w:val="24"/>
          <w:szCs w:val="24"/>
        </w:rPr>
        <w:t xml:space="preserve"> inspektor wojewódzki w Biurze Administracji i Logistyki</w:t>
      </w:r>
    </w:p>
    <w:p w:rsidR="00FF5771" w:rsidRPr="00FF5771" w:rsidRDefault="00B27CE8" w:rsidP="00FF5771">
      <w:pPr>
        <w:spacing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F5771">
        <w:rPr>
          <w:rFonts w:ascii="Times New Roman" w:eastAsia="Times New Roman" w:hAnsi="Times New Roman"/>
          <w:sz w:val="24"/>
          <w:szCs w:val="24"/>
        </w:rPr>
        <w:t>- Adam Dmowski – inspektor woj</w:t>
      </w:r>
      <w:r w:rsidRPr="00FF5771">
        <w:rPr>
          <w:rFonts w:ascii="Times New Roman" w:eastAsia="Times New Roman" w:hAnsi="Times New Roman"/>
          <w:sz w:val="24"/>
          <w:szCs w:val="24"/>
        </w:rPr>
        <w:t>ewódzki w Biurze Administracji i Logistyki</w:t>
      </w:r>
    </w:p>
    <w:p w:rsidR="00FF5771" w:rsidRPr="00FF5771" w:rsidRDefault="00B27CE8" w:rsidP="00FF5771">
      <w:pPr>
        <w:spacing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F5771">
        <w:rPr>
          <w:rFonts w:ascii="Times New Roman" w:eastAsia="Times New Roman" w:hAnsi="Times New Roman"/>
          <w:sz w:val="24"/>
          <w:szCs w:val="24"/>
        </w:rPr>
        <w:t>- Cezary Karczewski – administrator w Biurze Administracji i Logistyki</w:t>
      </w:r>
    </w:p>
    <w:p w:rsidR="00FF5771" w:rsidRDefault="00B27CE8" w:rsidP="00FF5771">
      <w:pPr>
        <w:suppressAutoHyphens w:val="0"/>
        <w:spacing w:line="360" w:lineRule="auto"/>
        <w:ind w:firstLine="170"/>
        <w:jc w:val="both"/>
        <w:rPr>
          <w:rFonts w:ascii="Times New Roman" w:eastAsia="Times New Roman" w:hAnsi="Times New Roman"/>
          <w:sz w:val="24"/>
          <w:szCs w:val="24"/>
        </w:rPr>
      </w:pPr>
      <w:r w:rsidRPr="00FF5771">
        <w:rPr>
          <w:rFonts w:ascii="Times New Roman" w:eastAsia="Times New Roman" w:hAnsi="Times New Roman"/>
          <w:sz w:val="24"/>
          <w:szCs w:val="24"/>
        </w:rPr>
        <w:t xml:space="preserve">2.  Przewodniczący Zespołu lub Członkowie Zespołu, za zgodą Przewodniczącego Zespołu lub Koordynatora Zespołu mogą zapraszać do udziału w </w:t>
      </w:r>
      <w:r w:rsidRPr="00FF5771">
        <w:rPr>
          <w:rFonts w:ascii="Times New Roman" w:eastAsia="Times New Roman" w:hAnsi="Times New Roman"/>
          <w:sz w:val="24"/>
          <w:szCs w:val="24"/>
        </w:rPr>
        <w:t>pracach Zespołu: 1) przedstawicieli jednostek organizacyjnych podporządkowanych Wojewodzie Łódzkiemu lub jednostek nadzorowanych przez Wojewodę Łódzkiego; 2) ekspertów, specjalistów lub przedstawicieli instytucji – których udział w pracach Zespołu jest uza</w:t>
      </w:r>
      <w:r w:rsidRPr="00FF5771">
        <w:rPr>
          <w:rFonts w:ascii="Times New Roman" w:eastAsia="Times New Roman" w:hAnsi="Times New Roman"/>
          <w:sz w:val="24"/>
          <w:szCs w:val="24"/>
        </w:rPr>
        <w:t>sadniony zadaniami Zespołu; 3) innych pracowników Łódzkiego Urzędu Wojewódzkiego w Łodzi, zwanego dalej „Urzędem”. Osoby zaproszone są zobowiązane do uczestniczenia w pracach Zespołu.</w:t>
      </w:r>
    </w:p>
    <w:p w:rsidR="003822B2" w:rsidRPr="00FF5771" w:rsidRDefault="00B27CE8" w:rsidP="00FF5771">
      <w:pPr>
        <w:suppressAutoHyphens w:val="0"/>
        <w:spacing w:line="360" w:lineRule="auto"/>
        <w:ind w:firstLine="170"/>
        <w:jc w:val="both"/>
        <w:rPr>
          <w:rFonts w:ascii="Times New Roman" w:eastAsia="Times New Roman" w:hAnsi="Times New Roman"/>
          <w:sz w:val="24"/>
          <w:szCs w:val="24"/>
        </w:rPr>
      </w:pPr>
    </w:p>
    <w:p w:rsidR="00FF5771" w:rsidRPr="00FF5771" w:rsidRDefault="00B27CE8" w:rsidP="00FF5771">
      <w:pPr>
        <w:suppressAutoHyphens w:val="0"/>
        <w:spacing w:line="360" w:lineRule="auto"/>
        <w:ind w:firstLine="17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5771">
        <w:rPr>
          <w:rFonts w:ascii="Times New Roman" w:eastAsia="Times New Roman" w:hAnsi="Times New Roman"/>
          <w:sz w:val="24"/>
          <w:szCs w:val="24"/>
        </w:rPr>
        <w:t>§ 2. 1. 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>Celem powołania Zespołu jest realizacja, rozliczenie i zapewnie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nie trwałości </w:t>
      </w:r>
      <w:r w:rsidRPr="00FF5771">
        <w:rPr>
          <w:rFonts w:ascii="Times New Roman" w:eastAsia="Times New Roman" w:hAnsi="Times New Roman"/>
          <w:sz w:val="24"/>
          <w:szCs w:val="24"/>
        </w:rPr>
        <w:t>projektu pt.: Krajowy Plan Odbudowy i Zwiększania Odporności finansowanym ze środków Instrumentu na Rzecz Odbudowy i Zwiększania Odporności Inwestycja C3.1.1. Cyberbezpieczeństwo – CyberPL, infrastruktura przetwarzania danych oraz optymalizac</w:t>
      </w:r>
      <w:r w:rsidRPr="00FF5771">
        <w:rPr>
          <w:rFonts w:ascii="Times New Roman" w:eastAsia="Times New Roman" w:hAnsi="Times New Roman"/>
          <w:sz w:val="24"/>
          <w:szCs w:val="24"/>
        </w:rPr>
        <w:t>ja infrastruktury służb państwowych odpowiedzialnych za bezpieczeństwo Cyberbezpieczeństwo - Cyberbezpieczny Rząd.</w:t>
      </w:r>
    </w:p>
    <w:p w:rsidR="00FF5771" w:rsidRPr="003822B2" w:rsidRDefault="00B27CE8" w:rsidP="00FF5771">
      <w:pPr>
        <w:suppressAutoHyphens w:val="0"/>
        <w:spacing w:line="36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F577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2. Do zadań Zespołu należy prowadzenie wszystkich działań, wynikających z celu, o którym mowa w ust. 1, a w szczególności: 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>opracowanie konc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>epcji realizacji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>realizacja projektu zgodnie z zapisami porozumienia w przedmiocie dofinansowania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zapewnienie płynności finansowej projektu, 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lastRenderedPageBreak/>
        <w:t>przygotowywanie dokumentów niezbędnych do prawidłowego wdrażania i rozliczenia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>prowa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>dzenie działań w zakresie monitoringu i sprawozdawczości, ze szczególnym uwzględnieniem prawidłowej realizacji wskaźników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>zapobieganie powstania ryzyka konfliktu interesów, który mógłby mieć wpływ na bezstronne wykonanie porozumienia w przedmioci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>e dofinansowania projektu, a także działań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>czuwanie nad sprawnym przebiegiem udzielania zamówień publicznych w ramach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>czuwanie nad prawidłowym wykonywaniem umów z wykonawcami poszczególnych zadań (działań) w ramach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>prowadzenie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 działań informacyjno-promocyjnych projektu, w tym przygotowywanie i przekazywanie do zamieszczenia informacji na stronę internetową Urzędu,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 ocena postępów w realizacji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 identyfikacja zagrożeń i ewentualnych problemów związanych z realizacją projektu, a także proponowanie działań naprawczych wraz z harmonogramem ich wdrożenia,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 koordynowanie prac Urzędu w zakresie realizacji projektu, w szczególności poprzez ustalanie zad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>ań związanych z realizacją projektu dla poszczególnych komórek organizacyjnych Urzędu i terminów ich realizacji,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 zapewnienie przepływu informacji wśród wszystkich osób uczestniczących </w:t>
      </w:r>
      <w:r w:rsidRPr="003822B2">
        <w:rPr>
          <w:rFonts w:ascii="Times New Roman" w:eastAsia="Times New Roman" w:hAnsi="Times New Roman"/>
          <w:bCs/>
          <w:sz w:val="24"/>
          <w:szCs w:val="24"/>
        </w:rPr>
        <w:br/>
        <w:t>w realizacji projektu,</w:t>
      </w:r>
    </w:p>
    <w:p w:rsidR="00FF5771" w:rsidRPr="003822B2" w:rsidRDefault="00B27CE8" w:rsidP="00FF5771">
      <w:pPr>
        <w:numPr>
          <w:ilvl w:val="0"/>
          <w:numId w:val="6"/>
        </w:numPr>
        <w:suppressAutoHyphens w:val="0"/>
        <w:spacing w:line="360" w:lineRule="auto"/>
        <w:ind w:left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 xml:space="preserve"> prowadzenie dokumentacji projektu oraz jej arc</w:t>
      </w:r>
      <w:r w:rsidRPr="003822B2">
        <w:rPr>
          <w:rFonts w:ascii="Times New Roman" w:eastAsia="Times New Roman" w:hAnsi="Times New Roman"/>
          <w:bCs/>
          <w:sz w:val="24"/>
          <w:szCs w:val="24"/>
        </w:rPr>
        <w:t>hiwizowanie.</w:t>
      </w:r>
    </w:p>
    <w:p w:rsidR="00FF5771" w:rsidRDefault="00B27CE8" w:rsidP="00FF5771">
      <w:pPr>
        <w:suppressAutoHyphens w:val="0"/>
        <w:spacing w:line="36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822B2">
        <w:rPr>
          <w:rFonts w:ascii="Times New Roman" w:eastAsia="Times New Roman" w:hAnsi="Times New Roman"/>
          <w:bCs/>
          <w:sz w:val="24"/>
          <w:szCs w:val="24"/>
        </w:rPr>
        <w:t>3. Bieżącą obsługę administracyjno-biurową Zespołu zapewnia Biuro Administracji i Logistyki.</w:t>
      </w:r>
    </w:p>
    <w:p w:rsidR="003822B2" w:rsidRPr="002E010F" w:rsidRDefault="00B27CE8" w:rsidP="00FF5771">
      <w:pPr>
        <w:suppressAutoHyphens w:val="0"/>
        <w:spacing w:line="36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F5771" w:rsidRPr="002E010F" w:rsidRDefault="00B27CE8" w:rsidP="00FF5771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§ 3. 1.Zespół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 xml:space="preserve"> zbiera się na każdą prośbę koordynatora projektu. </w:t>
      </w:r>
    </w:p>
    <w:p w:rsidR="00FF5771" w:rsidRPr="002E010F" w:rsidRDefault="00B27CE8" w:rsidP="00FF5771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 xml:space="preserve">2. Zespół pracuje na posiedzeniach lub w trybie roboczym, wykorzystując przyjęte 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w Urzędzie formy i kanały komunikacji. Podstawowym sposobem komunikacji jest EZD.</w:t>
      </w:r>
    </w:p>
    <w:p w:rsidR="00FF5771" w:rsidRPr="002E010F" w:rsidRDefault="00B27CE8" w:rsidP="00FF5771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3. Przewodniczący Zespołu kieruje pracami Zespołu i reprezentuje Zespół na zewnątrz, a w szczególności:</w:t>
      </w:r>
    </w:p>
    <w:p w:rsidR="00FF5771" w:rsidRPr="002E010F" w:rsidRDefault="00B27CE8" w:rsidP="00FF5771">
      <w:pPr>
        <w:numPr>
          <w:ilvl w:val="0"/>
          <w:numId w:val="7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zwołuje posiedzenia Zespołu – z własnej inicjatywy lub na wniosek jedn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ego z członków Zespołu,</w:t>
      </w:r>
    </w:p>
    <w:p w:rsidR="00FF5771" w:rsidRPr="002E010F" w:rsidRDefault="00B27CE8" w:rsidP="00FF5771">
      <w:pPr>
        <w:numPr>
          <w:ilvl w:val="0"/>
          <w:numId w:val="7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przewodniczy posiedzeniom Zespołu,</w:t>
      </w:r>
    </w:p>
    <w:p w:rsidR="00FF5771" w:rsidRPr="002E010F" w:rsidRDefault="00B27CE8" w:rsidP="00FF5771">
      <w:pPr>
        <w:numPr>
          <w:ilvl w:val="0"/>
          <w:numId w:val="7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lastRenderedPageBreak/>
        <w:t>gromadzi i analizuje informacje związane z zakresem działania Zespołu,</w:t>
      </w:r>
    </w:p>
    <w:p w:rsidR="00FF5771" w:rsidRPr="002E010F" w:rsidRDefault="00B27CE8" w:rsidP="00FF5771">
      <w:pPr>
        <w:numPr>
          <w:ilvl w:val="0"/>
          <w:numId w:val="7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powierza wyznaczonym członkom Zespołu, z uwzględnieniem ich wiedzy i doświadczenia, wykonanie prac niezbędnych do realizacji z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adań Zespołu,</w:t>
      </w:r>
    </w:p>
    <w:p w:rsidR="00FF5771" w:rsidRPr="002E010F" w:rsidRDefault="00B27CE8" w:rsidP="00FF5771">
      <w:pPr>
        <w:numPr>
          <w:ilvl w:val="0"/>
          <w:numId w:val="7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udziela informacji na temat prac Zespołu na prośbę Wojewody Łódzkiego, Wicewojewodów lub Dyrektora Generalnego Urzędu.</w:t>
      </w:r>
    </w:p>
    <w:p w:rsidR="00FF5771" w:rsidRPr="002E010F" w:rsidRDefault="00B27CE8" w:rsidP="00FF5771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3. W czasie nieobecności przewodniczącego Zespołu, jego obowiązki i kompetencje wykonuje koordynator Zespołu, a w razie jeg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 xml:space="preserve">o nieobecności – zastępca koordynatora Zespołu. </w:t>
      </w:r>
    </w:p>
    <w:p w:rsidR="00FF5771" w:rsidRPr="002E010F" w:rsidRDefault="00B27CE8" w:rsidP="00FF5771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4. Koordynator Zespołu i zastępca koordynatora Zespołu:</w:t>
      </w:r>
    </w:p>
    <w:p w:rsidR="00FF5771" w:rsidRPr="002E010F" w:rsidRDefault="00B27CE8" w:rsidP="00FF5771">
      <w:pPr>
        <w:numPr>
          <w:ilvl w:val="0"/>
          <w:numId w:val="3"/>
        </w:numPr>
        <w:tabs>
          <w:tab w:val="left" w:pos="426"/>
        </w:tabs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opracowują, w porozumieniu z przewodniczącym Zespołu, harmonogram prac Zespołu,</w:t>
      </w:r>
    </w:p>
    <w:p w:rsidR="00FF5771" w:rsidRPr="002E010F" w:rsidRDefault="00B27CE8" w:rsidP="00FF5771">
      <w:pPr>
        <w:numPr>
          <w:ilvl w:val="0"/>
          <w:numId w:val="3"/>
        </w:numPr>
        <w:tabs>
          <w:tab w:val="left" w:pos="426"/>
        </w:tabs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przygotowują materiały na posiedzenia Zespołu,</w:t>
      </w:r>
    </w:p>
    <w:p w:rsidR="00FF5771" w:rsidRPr="002E010F" w:rsidRDefault="00B27CE8" w:rsidP="00FF5771">
      <w:pPr>
        <w:numPr>
          <w:ilvl w:val="0"/>
          <w:numId w:val="3"/>
        </w:numPr>
        <w:tabs>
          <w:tab w:val="left" w:pos="426"/>
        </w:tabs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 xml:space="preserve">w razie potrzeby 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protokołują posiedzenia Zespołu,</w:t>
      </w:r>
    </w:p>
    <w:p w:rsidR="00FF5771" w:rsidRPr="002E010F" w:rsidRDefault="00B27CE8" w:rsidP="00FF5771">
      <w:pPr>
        <w:numPr>
          <w:ilvl w:val="0"/>
          <w:numId w:val="3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koordynują realizację projektu,</w:t>
      </w:r>
    </w:p>
    <w:p w:rsidR="00FF5771" w:rsidRPr="002E010F" w:rsidRDefault="00B27CE8" w:rsidP="00FF5771">
      <w:pPr>
        <w:numPr>
          <w:ilvl w:val="0"/>
          <w:numId w:val="3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na bieżąco monitorują postępy w realizacji projektu,</w:t>
      </w:r>
    </w:p>
    <w:p w:rsidR="00FF5771" w:rsidRPr="002E010F" w:rsidRDefault="00B27CE8" w:rsidP="00FF5771">
      <w:pPr>
        <w:numPr>
          <w:ilvl w:val="0"/>
          <w:numId w:val="3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prowadzą rekrutację do projektu,</w:t>
      </w:r>
    </w:p>
    <w:p w:rsidR="00FF5771" w:rsidRPr="002E010F" w:rsidRDefault="00B27CE8" w:rsidP="00FF5771">
      <w:pPr>
        <w:numPr>
          <w:ilvl w:val="0"/>
          <w:numId w:val="3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nadzorują realizację wskaźników projektu,</w:t>
      </w:r>
    </w:p>
    <w:p w:rsidR="00FF5771" w:rsidRPr="002E010F" w:rsidRDefault="00B27CE8" w:rsidP="00FF5771">
      <w:pPr>
        <w:numPr>
          <w:ilvl w:val="0"/>
          <w:numId w:val="3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>odpowiadają za kontakty z Instytucją Zarządzającą,</w:t>
      </w:r>
    </w:p>
    <w:p w:rsidR="00FF5771" w:rsidRPr="002E010F" w:rsidRDefault="00B27CE8" w:rsidP="00FF5771">
      <w:pPr>
        <w:numPr>
          <w:ilvl w:val="0"/>
          <w:numId w:val="3"/>
        </w:numPr>
        <w:suppressAutoHyphens w:val="0"/>
        <w:spacing w:line="360" w:lineRule="auto"/>
        <w:ind w:left="851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010F">
        <w:rPr>
          <w:rFonts w:ascii="Times New Roman" w:eastAsia="Times New Roman" w:hAnsi="Times New Roman"/>
          <w:bCs/>
          <w:sz w:val="24"/>
          <w:szCs w:val="24"/>
        </w:rPr>
        <w:t xml:space="preserve">sporządzają 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dokumenty niezbędne do prawidłowej realizacji, rozliczenia i zapewnienia trwałości projektu, z zastrzeżeniem ust. 5.</w:t>
      </w:r>
    </w:p>
    <w:p w:rsidR="002E010F" w:rsidRPr="002E010F" w:rsidRDefault="00B27CE8" w:rsidP="00FF5771">
      <w:pPr>
        <w:suppressAutoHyphens w:val="0"/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F5771" w:rsidRPr="002E010F" w:rsidRDefault="00B27CE8" w:rsidP="00FF5771">
      <w:pPr>
        <w:tabs>
          <w:tab w:val="left" w:pos="426"/>
        </w:tabs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§ 4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. W celu realizacji zadań Zespołu, przewodniczący Zespołu, w porozumieniu z koordynatorem Zespołu lub jego zastępcą, może tworzyć grupy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 xml:space="preserve"> robocze złożone z członków Zespołu oraz osób zaproszonych do udziału w pracach Zespołu.</w:t>
      </w:r>
    </w:p>
    <w:p w:rsidR="002E010F" w:rsidRPr="002E010F" w:rsidRDefault="00B27CE8" w:rsidP="00FF5771">
      <w:pPr>
        <w:tabs>
          <w:tab w:val="left" w:pos="426"/>
        </w:tabs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F5771" w:rsidRPr="002E010F" w:rsidRDefault="00B27CE8" w:rsidP="00FF5771">
      <w:pPr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§ 5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. Zobowiązuje się wszystkich pracowników Urzędu, w tym kierowników wszystkich komórek organizacyjnych Urzędu, bez konieczności wydawania w tym zakresie odrębnych p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oleceń, do pełnej i bezwarunkowej współpracy z Zespołem, niezwłocznego dostarczania Zespołowi materiałów, informacji, sporządzania wszelkich niezbędnych dokumentów – z własnej inicjatywy bądź na prośbę przewodniczącego Zespołu, koordynatora Zespołu lub jeg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o zastępcy.</w:t>
      </w:r>
    </w:p>
    <w:p w:rsidR="002E010F" w:rsidRPr="002E010F" w:rsidRDefault="00B27CE8" w:rsidP="00FF5771">
      <w:pPr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F5771" w:rsidRPr="002E010F" w:rsidRDefault="00B27CE8" w:rsidP="00FF5771">
      <w:pPr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§ 6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. Zobowiązuje się przełożonych pracowników Urzędu, będących członkami Zespołu, do umożliwienia im uczestnictwa w posiedzeniach Zespołu, jak również do takiej organizacji pracy, która pozwoli członkom Zespołu terminowo wykonywać czynności ni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ezbędne do prawidłowej realizacji, rozliczenia i zapewnienia trwałości projektu.</w:t>
      </w:r>
    </w:p>
    <w:p w:rsidR="002E010F" w:rsidRPr="002E010F" w:rsidRDefault="00B27CE8" w:rsidP="00FF5771">
      <w:pPr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F5771" w:rsidRPr="002E010F" w:rsidRDefault="00B27CE8" w:rsidP="00FF5771">
      <w:pPr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§ 7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. Powołanie Zespołu nie zwalania poszczególnych komórek organizacyjnych Urzędu z wykonywania czynności związanych z realizacją projektu, o ile wykonanie tych czynności wyn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ika z regulaminowego zakresu kompetencji danej komórki organizacyjnej.</w:t>
      </w:r>
    </w:p>
    <w:p w:rsidR="002E010F" w:rsidRPr="002E010F" w:rsidRDefault="00B27CE8" w:rsidP="00FF5771">
      <w:pPr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F5771" w:rsidRPr="00FF5771" w:rsidRDefault="00B27CE8" w:rsidP="00FF5771">
      <w:pPr>
        <w:suppressAutoHyphens w:val="0"/>
        <w:autoSpaceDE w:val="0"/>
        <w:autoSpaceDN w:val="0"/>
        <w:adjustRightInd w:val="0"/>
        <w:spacing w:line="360" w:lineRule="auto"/>
        <w:ind w:firstLine="170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§ 8</w:t>
      </w:r>
      <w:r w:rsidRPr="002E010F">
        <w:rPr>
          <w:rFonts w:ascii="Times New Roman" w:eastAsia="Times New Roman" w:hAnsi="Times New Roman"/>
          <w:bCs/>
          <w:lang w:eastAsia="pl-PL"/>
        </w:rPr>
        <w:t xml:space="preserve">. Dla członków Zespołu za wykonane zadania przewiduje się wypłatę nagród uznaniowych w ramach kosztów pośrednich Projektu. Nagrody uznaniowe mogą zostać przyznane pod warunkiem </w:t>
      </w:r>
      <w:r w:rsidRPr="002E010F">
        <w:rPr>
          <w:rFonts w:ascii="Times New Roman" w:eastAsia="Times New Roman" w:hAnsi="Times New Roman"/>
          <w:bCs/>
          <w:lang w:eastAsia="pl-PL"/>
        </w:rPr>
        <w:t>wypracowania kosztów pośrednich.</w:t>
      </w:r>
      <w:r w:rsidRPr="00FF5771">
        <w:rPr>
          <w:rFonts w:ascii="Times New Roman" w:eastAsia="Times New Roman" w:hAnsi="Times New Roman"/>
          <w:sz w:val="24"/>
          <w:szCs w:val="24"/>
          <w:lang w:eastAsia="pl-PL"/>
        </w:rPr>
        <w:t xml:space="preserve"> Warunkiem przyznania nagrody uznaniowej jest uzyskanie zgody Dyrektora Generalnego po pozytywnej rekomendacji </w:t>
      </w:r>
      <w:r w:rsidRPr="00FF5771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/>
        </w:rPr>
        <w:t>członków Zespołu wymienionych w §1 ust. 1 pkt 1-3.</w:t>
      </w:r>
    </w:p>
    <w:p w:rsidR="00FF5771" w:rsidRPr="00FF5771" w:rsidRDefault="00B27CE8" w:rsidP="00FF57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FF5771" w:rsidRPr="00FF5771" w:rsidRDefault="00B27CE8" w:rsidP="00FF5771">
      <w:pPr>
        <w:spacing w:line="36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§ 9</w:t>
      </w:r>
      <w:r w:rsidRPr="002E010F">
        <w:rPr>
          <w:rFonts w:ascii="Times New Roman" w:eastAsia="Times New Roman" w:hAnsi="Times New Roman"/>
          <w:bCs/>
          <w:sz w:val="24"/>
          <w:szCs w:val="24"/>
        </w:rPr>
        <w:t>.</w:t>
      </w:r>
      <w:r w:rsidRPr="00FF5771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FF5771">
        <w:rPr>
          <w:rFonts w:ascii="Times New Roman" w:eastAsia="Times New Roman" w:hAnsi="Times New Roman"/>
          <w:sz w:val="24"/>
          <w:szCs w:val="24"/>
        </w:rPr>
        <w:t>Zarządzenie wchodzi w życie z dniem podpisania.</w:t>
      </w:r>
    </w:p>
    <w:p w:rsidR="00AA0FF8" w:rsidRDefault="00B27CE8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AA0FF8" w:rsidRDefault="00B27CE8">
      <w:pPr>
        <w:pStyle w:val="Nagwek2"/>
        <w:spacing w:before="0" w:after="0"/>
        <w:ind w:left="5595"/>
        <w:jc w:val="center"/>
      </w:pPr>
      <w:bookmarkStart w:id="3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3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4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4"/>
    </w:p>
    <w:p w:rsidR="00AA0FF8" w:rsidRDefault="00B27CE8">
      <w:pPr>
        <w:rPr>
          <w:rFonts w:ascii="Arial" w:hAnsi="Arial"/>
        </w:rPr>
      </w:pPr>
    </w:p>
    <w:sectPr w:rsidR="00AA0FF8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F55"/>
    <w:multiLevelType w:val="multilevel"/>
    <w:tmpl w:val="8BA6F0B0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75A96"/>
    <w:multiLevelType w:val="hybridMultilevel"/>
    <w:tmpl w:val="0A269D64"/>
    <w:lvl w:ilvl="0" w:tplc="69FC424E">
      <w:start w:val="1"/>
      <w:numFmt w:val="decimal"/>
      <w:lvlText w:val="%1)"/>
      <w:lvlJc w:val="left"/>
      <w:pPr>
        <w:ind w:left="1040" w:hanging="360"/>
      </w:pPr>
      <w:rPr>
        <w:rFonts w:cs="Times New Roman" w:hint="default"/>
      </w:rPr>
    </w:lvl>
    <w:lvl w:ilvl="1" w:tplc="1D8E26F0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8CA9EF8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2674A6FE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12690FC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8C4828B4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EB2E06A8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9B72F1C6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FBE29142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" w15:restartNumberingAfterBreak="0">
    <w:nsid w:val="19B9144F"/>
    <w:multiLevelType w:val="multilevel"/>
    <w:tmpl w:val="B562E0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6A6B7E"/>
    <w:multiLevelType w:val="hybridMultilevel"/>
    <w:tmpl w:val="035AE04C"/>
    <w:lvl w:ilvl="0" w:tplc="3CFAB276">
      <w:start w:val="1"/>
      <w:numFmt w:val="decimal"/>
      <w:lvlText w:val="%1)"/>
      <w:lvlJc w:val="left"/>
      <w:pPr>
        <w:ind w:left="1134" w:hanging="360"/>
      </w:pPr>
      <w:rPr>
        <w:rFonts w:cs="Times New Roman"/>
      </w:rPr>
    </w:lvl>
    <w:lvl w:ilvl="1" w:tplc="D0BC731C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9BBCE344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472276AE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88EC2B02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75888574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20BAD148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67D84782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B7F0E632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" w15:restartNumberingAfterBreak="0">
    <w:nsid w:val="3DF22679"/>
    <w:multiLevelType w:val="hybridMultilevel"/>
    <w:tmpl w:val="8AD81A28"/>
    <w:lvl w:ilvl="0" w:tplc="5292FF7E">
      <w:start w:val="1"/>
      <w:numFmt w:val="lowerLetter"/>
      <w:lvlText w:val="%1)"/>
      <w:lvlJc w:val="left"/>
      <w:pPr>
        <w:ind w:left="993" w:hanging="360"/>
      </w:pPr>
      <w:rPr>
        <w:rFonts w:cs="Times New Roman" w:hint="default"/>
      </w:rPr>
    </w:lvl>
    <w:lvl w:ilvl="1" w:tplc="1BE464C0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BA76D7A4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61CE7E96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BEE4ADC0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375AFA76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49D262BE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A08488A2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26AC0C48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5" w15:restartNumberingAfterBreak="0">
    <w:nsid w:val="441E079E"/>
    <w:multiLevelType w:val="hybridMultilevel"/>
    <w:tmpl w:val="BE707EB8"/>
    <w:lvl w:ilvl="0" w:tplc="0032C56C">
      <w:start w:val="1"/>
      <w:numFmt w:val="decimal"/>
      <w:lvlText w:val="%1)"/>
      <w:lvlJc w:val="left"/>
      <w:pPr>
        <w:ind w:left="1040" w:hanging="360"/>
      </w:pPr>
      <w:rPr>
        <w:rFonts w:cs="Times New Roman" w:hint="default"/>
      </w:rPr>
    </w:lvl>
    <w:lvl w:ilvl="1" w:tplc="5040416C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2D4AC290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96B4EC74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D3CCDE3A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D366A3EE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85D0F2A6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5126ACBA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F948DE40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6" w15:restartNumberingAfterBreak="0">
    <w:nsid w:val="50120FA8"/>
    <w:multiLevelType w:val="hybridMultilevel"/>
    <w:tmpl w:val="3E188AC6"/>
    <w:lvl w:ilvl="0" w:tplc="685641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7C86A2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9EBA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C2C88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DE38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E4F8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1E24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F4BB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989EF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E8"/>
    <w:rsid w:val="00B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A78A4-CEF5-4885-96C6-84311C9F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Style2">
    <w:name w:val="Style2"/>
    <w:basedOn w:val="Normalny"/>
    <w:rsid w:val="00FF5771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FF5771"/>
    <w:rPr>
      <w:rFonts w:ascii="Times New Roman" w:hAnsi="Times New Roman"/>
      <w:b/>
      <w:sz w:val="22"/>
    </w:rPr>
  </w:style>
  <w:style w:type="character" w:customStyle="1" w:styleId="fontstyle15">
    <w:name w:val="fontstyle15"/>
    <w:rsid w:val="00FF5771"/>
  </w:style>
  <w:style w:type="character" w:customStyle="1" w:styleId="FontStyle150">
    <w:name w:val="Font Style15"/>
    <w:uiPriority w:val="99"/>
    <w:rsid w:val="00FF5771"/>
    <w:rPr>
      <w:rFonts w:ascii="Times New Roman" w:hAnsi="Times New Roman"/>
      <w:sz w:val="24"/>
    </w:rPr>
  </w:style>
  <w:style w:type="character" w:customStyle="1" w:styleId="FontStyle13">
    <w:name w:val="Font Style13"/>
    <w:rsid w:val="00FF5771"/>
    <w:rPr>
      <w:rFonts w:ascii="Times New Roman" w:hAnsi="Times New Roman"/>
      <w:sz w:val="22"/>
    </w:rPr>
  </w:style>
  <w:style w:type="paragraph" w:styleId="Akapitzlist">
    <w:name w:val="List Paragraph"/>
    <w:basedOn w:val="Normalny"/>
    <w:uiPriority w:val="99"/>
    <w:rsid w:val="00FF5771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FF5771"/>
    <w:pPr>
      <w:suppressAutoHyphens w:val="0"/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Teksttreci2">
    <w:name w:val="Tekst treści (2)_"/>
    <w:link w:val="Teksttreci20"/>
    <w:uiPriority w:val="99"/>
    <w:locked/>
    <w:rsid w:val="00FF5771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F5771"/>
    <w:pPr>
      <w:widowControl w:val="0"/>
      <w:shd w:val="clear" w:color="auto" w:fill="FFFFFF"/>
      <w:suppressAutoHyphens w:val="0"/>
      <w:spacing w:after="540" w:line="410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D9F8-7564-4C0A-9D84-ECF0D3DB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2025-10-27T14:33:00Z</dcterms:created>
  <dcterms:modified xsi:type="dcterms:W3CDTF">2025-10-27T14:33:00Z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