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0C39" w14:textId="2E677F38" w:rsidR="00CB1CEB" w:rsidRPr="00FD5BD6" w:rsidRDefault="00CB1CEB" w:rsidP="00CB1CEB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FD5BD6">
        <w:rPr>
          <w:bCs/>
          <w:color w:val="000000"/>
          <w:sz w:val="22"/>
          <w:szCs w:val="22"/>
        </w:rPr>
        <w:t>Załącznik</w:t>
      </w:r>
      <w:r w:rsidR="007C7B3D">
        <w:rPr>
          <w:bCs/>
          <w:color w:val="000000"/>
          <w:sz w:val="22"/>
          <w:szCs w:val="22"/>
        </w:rPr>
        <w:t xml:space="preserve"> </w:t>
      </w:r>
      <w:r w:rsidRPr="00FD5BD6">
        <w:rPr>
          <w:bCs/>
          <w:color w:val="000000"/>
          <w:sz w:val="22"/>
          <w:szCs w:val="22"/>
        </w:rPr>
        <w:t>B.55.</w:t>
      </w:r>
    </w:p>
    <w:p w14:paraId="0E9BD71A" w14:textId="77777777" w:rsidR="00CB1CEB" w:rsidRPr="00FD5BD6" w:rsidRDefault="00CB1CEB" w:rsidP="00CB1CEB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14:paraId="0B97C59C" w14:textId="7EDD95FF" w:rsidR="00CB1CEB" w:rsidRPr="00FD5BD6" w:rsidRDefault="00CB1CEB" w:rsidP="00CB1CEB">
      <w:pPr>
        <w:autoSpaceDE w:val="0"/>
        <w:autoSpaceDN w:val="0"/>
        <w:adjustRightInd w:val="0"/>
        <w:spacing w:after="240"/>
        <w:rPr>
          <w:b/>
          <w:bCs/>
          <w:color w:val="000000"/>
          <w:sz w:val="28"/>
        </w:rPr>
      </w:pPr>
      <w:r w:rsidRPr="00FD5BD6">
        <w:rPr>
          <w:b/>
          <w:bCs/>
          <w:color w:val="000000"/>
          <w:sz w:val="28"/>
        </w:rPr>
        <w:t>LECZENIE</w:t>
      </w:r>
      <w:r w:rsidR="007C7B3D">
        <w:rPr>
          <w:b/>
          <w:bCs/>
          <w:color w:val="000000"/>
          <w:sz w:val="28"/>
        </w:rPr>
        <w:t xml:space="preserve"> </w:t>
      </w:r>
      <w:r w:rsidRPr="00FD5BD6">
        <w:rPr>
          <w:b/>
          <w:bCs/>
          <w:color w:val="000000"/>
          <w:sz w:val="28"/>
        </w:rPr>
        <w:t>PACJENTÓW</w:t>
      </w:r>
      <w:r w:rsidR="007C7B3D">
        <w:rPr>
          <w:b/>
          <w:bCs/>
          <w:color w:val="000000"/>
          <w:sz w:val="28"/>
        </w:rPr>
        <w:t xml:space="preserve"> </w:t>
      </w:r>
      <w:r w:rsidRPr="00FD5BD6">
        <w:rPr>
          <w:b/>
          <w:bCs/>
          <w:color w:val="000000"/>
          <w:sz w:val="28"/>
        </w:rPr>
        <w:t>Z</w:t>
      </w:r>
      <w:r w:rsidR="007C7B3D">
        <w:rPr>
          <w:b/>
          <w:bCs/>
          <w:color w:val="000000"/>
          <w:sz w:val="28"/>
        </w:rPr>
        <w:t xml:space="preserve"> </w:t>
      </w:r>
      <w:r w:rsidRPr="00FD5BD6">
        <w:rPr>
          <w:b/>
          <w:bCs/>
          <w:color w:val="000000"/>
          <w:sz w:val="28"/>
        </w:rPr>
        <w:t>WRZODZIEJĄCYM</w:t>
      </w:r>
      <w:r w:rsidR="007C7B3D">
        <w:rPr>
          <w:b/>
          <w:bCs/>
          <w:color w:val="000000"/>
          <w:sz w:val="28"/>
        </w:rPr>
        <w:t xml:space="preserve"> </w:t>
      </w:r>
      <w:r w:rsidRPr="00FD5BD6">
        <w:rPr>
          <w:b/>
          <w:bCs/>
          <w:color w:val="000000"/>
          <w:sz w:val="28"/>
        </w:rPr>
        <w:t>ZAPALENIEM</w:t>
      </w:r>
      <w:r w:rsidR="007C7B3D">
        <w:rPr>
          <w:b/>
          <w:bCs/>
          <w:color w:val="000000"/>
          <w:sz w:val="28"/>
        </w:rPr>
        <w:t xml:space="preserve"> </w:t>
      </w:r>
      <w:r w:rsidRPr="00FD5BD6">
        <w:rPr>
          <w:b/>
          <w:bCs/>
          <w:color w:val="000000"/>
          <w:sz w:val="28"/>
        </w:rPr>
        <w:t>JELITA</w:t>
      </w:r>
      <w:r w:rsidR="007C7B3D">
        <w:rPr>
          <w:b/>
          <w:bCs/>
          <w:color w:val="000000"/>
          <w:sz w:val="28"/>
        </w:rPr>
        <w:t xml:space="preserve"> </w:t>
      </w:r>
      <w:r w:rsidRPr="00FD5BD6">
        <w:rPr>
          <w:b/>
          <w:bCs/>
          <w:color w:val="000000"/>
          <w:sz w:val="28"/>
        </w:rPr>
        <w:t>GRUBEGO</w:t>
      </w:r>
      <w:r w:rsidR="007C7B3D">
        <w:rPr>
          <w:b/>
          <w:bCs/>
          <w:color w:val="000000"/>
          <w:sz w:val="28"/>
        </w:rPr>
        <w:t xml:space="preserve"> </w:t>
      </w:r>
      <w:r w:rsidRPr="00FD5BD6">
        <w:rPr>
          <w:b/>
          <w:bCs/>
          <w:color w:val="000000"/>
          <w:sz w:val="28"/>
        </w:rPr>
        <w:t>(WZJG)</w:t>
      </w:r>
      <w:r w:rsidR="007C7B3D">
        <w:rPr>
          <w:b/>
          <w:bCs/>
          <w:color w:val="000000"/>
          <w:sz w:val="28"/>
        </w:rPr>
        <w:t xml:space="preserve"> </w:t>
      </w:r>
      <w:r w:rsidRPr="00FD5BD6">
        <w:rPr>
          <w:b/>
          <w:bCs/>
          <w:color w:val="000000"/>
          <w:sz w:val="28"/>
        </w:rPr>
        <w:t>(ICD-10</w:t>
      </w:r>
      <w:r w:rsidR="007C7B3D">
        <w:rPr>
          <w:b/>
          <w:bCs/>
          <w:color w:val="000000"/>
          <w:sz w:val="28"/>
        </w:rPr>
        <w:t xml:space="preserve">: </w:t>
      </w:r>
      <w:r w:rsidRPr="00FD5BD6">
        <w:rPr>
          <w:b/>
          <w:bCs/>
          <w:color w:val="000000"/>
          <w:sz w:val="28"/>
        </w:rPr>
        <w:t>K51)</w:t>
      </w:r>
      <w:r w:rsidR="007C7B3D">
        <w:rPr>
          <w:b/>
          <w:bCs/>
          <w:color w:val="000000"/>
          <w:sz w:val="2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0"/>
        <w:gridCol w:w="3684"/>
        <w:gridCol w:w="5756"/>
      </w:tblGrid>
      <w:tr w:rsidR="00CB1CEB" w:rsidRPr="00FD5BD6" w14:paraId="71C3AB5D" w14:textId="77777777" w:rsidTr="007C7B3D">
        <w:trPr>
          <w:trHeight w:val="56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497E2" w14:textId="0B2116E2" w:rsidR="00CB1CEB" w:rsidRPr="00FD5BD6" w:rsidRDefault="00CB1CEB" w:rsidP="005B4791">
            <w:pPr>
              <w:jc w:val="center"/>
              <w:rPr>
                <w:b/>
                <w:sz w:val="20"/>
                <w:szCs w:val="20"/>
              </w:rPr>
            </w:pPr>
            <w:r w:rsidRPr="00FD5BD6">
              <w:rPr>
                <w:b/>
                <w:sz w:val="20"/>
                <w:szCs w:val="20"/>
              </w:rPr>
              <w:t>ZAKRES</w:t>
            </w:r>
            <w:r w:rsidR="007C7B3D">
              <w:rPr>
                <w:b/>
                <w:sz w:val="20"/>
                <w:szCs w:val="20"/>
              </w:rPr>
              <w:t xml:space="preserve"> </w:t>
            </w:r>
            <w:r w:rsidRPr="00FD5BD6">
              <w:rPr>
                <w:b/>
                <w:sz w:val="20"/>
                <w:szCs w:val="20"/>
              </w:rPr>
              <w:t>ŚWIADCZENIA</w:t>
            </w:r>
            <w:r w:rsidR="007C7B3D">
              <w:rPr>
                <w:b/>
                <w:sz w:val="20"/>
                <w:szCs w:val="20"/>
              </w:rPr>
              <w:t xml:space="preserve"> </w:t>
            </w:r>
            <w:r w:rsidRPr="00FD5BD6">
              <w:rPr>
                <w:b/>
                <w:sz w:val="20"/>
                <w:szCs w:val="20"/>
              </w:rPr>
              <w:t>GWARANTOWANEGO</w:t>
            </w:r>
          </w:p>
        </w:tc>
      </w:tr>
      <w:tr w:rsidR="00CB1CEB" w:rsidRPr="00B7207C" w14:paraId="10935E9E" w14:textId="77777777" w:rsidTr="007C7B3D">
        <w:trPr>
          <w:trHeight w:val="567"/>
        </w:trPr>
        <w:tc>
          <w:tcPr>
            <w:tcW w:w="1933" w:type="pct"/>
            <w:shd w:val="clear" w:color="auto" w:fill="auto"/>
            <w:vAlign w:val="center"/>
          </w:tcPr>
          <w:p w14:paraId="7A920F0F" w14:textId="77777777" w:rsidR="00CB1CEB" w:rsidRPr="00FD5BD6" w:rsidRDefault="00CB1CEB" w:rsidP="005B47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5BD6">
              <w:rPr>
                <w:b/>
                <w:sz w:val="20"/>
                <w:szCs w:val="20"/>
              </w:rPr>
              <w:t>ŚWIADCZENIOBIORCY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0764FA0F" w14:textId="584CFF7B" w:rsidR="005B4791" w:rsidRDefault="00CB1CEB" w:rsidP="005B47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5BD6">
              <w:rPr>
                <w:b/>
                <w:sz w:val="20"/>
                <w:szCs w:val="20"/>
              </w:rPr>
              <w:t>SCHEMAT</w:t>
            </w:r>
            <w:r w:rsidR="007C7B3D">
              <w:rPr>
                <w:b/>
                <w:sz w:val="20"/>
                <w:szCs w:val="20"/>
              </w:rPr>
              <w:t xml:space="preserve"> </w:t>
            </w:r>
            <w:r w:rsidRPr="00FD5BD6">
              <w:rPr>
                <w:b/>
                <w:sz w:val="20"/>
                <w:szCs w:val="20"/>
              </w:rPr>
              <w:t>DAWKOWANIA</w:t>
            </w:r>
            <w:r w:rsidR="007C7B3D">
              <w:rPr>
                <w:b/>
                <w:sz w:val="20"/>
                <w:szCs w:val="20"/>
              </w:rPr>
              <w:t xml:space="preserve"> </w:t>
            </w:r>
            <w:r w:rsidRPr="00FD5BD6">
              <w:rPr>
                <w:b/>
                <w:sz w:val="20"/>
                <w:szCs w:val="20"/>
              </w:rPr>
              <w:t>LEKU</w:t>
            </w:r>
            <w:r w:rsidR="007C7B3D">
              <w:rPr>
                <w:b/>
                <w:sz w:val="20"/>
                <w:szCs w:val="20"/>
              </w:rPr>
              <w:t xml:space="preserve"> </w:t>
            </w:r>
          </w:p>
          <w:p w14:paraId="5058B174" w14:textId="094F750F" w:rsidR="00CB1CEB" w:rsidRPr="00FD5BD6" w:rsidRDefault="00CB1CEB" w:rsidP="005B47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5BD6">
              <w:rPr>
                <w:b/>
                <w:sz w:val="20"/>
                <w:szCs w:val="20"/>
              </w:rPr>
              <w:t>W</w:t>
            </w:r>
            <w:r w:rsidR="007C7B3D">
              <w:rPr>
                <w:b/>
                <w:sz w:val="20"/>
                <w:szCs w:val="20"/>
              </w:rPr>
              <w:t xml:space="preserve"> </w:t>
            </w:r>
            <w:r w:rsidRPr="00FD5BD6">
              <w:rPr>
                <w:b/>
                <w:sz w:val="20"/>
                <w:szCs w:val="20"/>
              </w:rPr>
              <w:t>PROGRAMIE</w:t>
            </w:r>
          </w:p>
        </w:tc>
        <w:tc>
          <w:tcPr>
            <w:tcW w:w="1870" w:type="pct"/>
            <w:shd w:val="clear" w:color="auto" w:fill="auto"/>
            <w:vAlign w:val="center"/>
          </w:tcPr>
          <w:p w14:paraId="0705D98D" w14:textId="7A745F99" w:rsidR="005B4791" w:rsidRDefault="00CB1CEB" w:rsidP="005B47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5BD6">
              <w:rPr>
                <w:b/>
                <w:sz w:val="20"/>
                <w:szCs w:val="20"/>
              </w:rPr>
              <w:t>BADANIA</w:t>
            </w:r>
            <w:r w:rsidR="007C7B3D">
              <w:rPr>
                <w:b/>
                <w:sz w:val="20"/>
                <w:szCs w:val="20"/>
              </w:rPr>
              <w:t xml:space="preserve"> </w:t>
            </w:r>
            <w:r w:rsidRPr="00FD5BD6">
              <w:rPr>
                <w:b/>
                <w:sz w:val="20"/>
                <w:szCs w:val="20"/>
              </w:rPr>
              <w:t>DIAGNOSTYCZNE</w:t>
            </w:r>
            <w:r w:rsidR="007C7B3D">
              <w:rPr>
                <w:b/>
                <w:sz w:val="20"/>
                <w:szCs w:val="20"/>
              </w:rPr>
              <w:t xml:space="preserve"> </w:t>
            </w:r>
            <w:r w:rsidRPr="00FD5BD6">
              <w:rPr>
                <w:b/>
                <w:sz w:val="20"/>
                <w:szCs w:val="20"/>
              </w:rPr>
              <w:t>WYKONYWANE</w:t>
            </w:r>
            <w:r w:rsidR="007C7B3D">
              <w:rPr>
                <w:b/>
                <w:sz w:val="20"/>
                <w:szCs w:val="20"/>
              </w:rPr>
              <w:t xml:space="preserve"> </w:t>
            </w:r>
          </w:p>
          <w:p w14:paraId="759C847B" w14:textId="380F89A1" w:rsidR="00CB1CEB" w:rsidRPr="00FD5BD6" w:rsidRDefault="00CB1CEB" w:rsidP="005B47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D5BD6">
              <w:rPr>
                <w:b/>
                <w:sz w:val="20"/>
                <w:szCs w:val="20"/>
              </w:rPr>
              <w:t>W</w:t>
            </w:r>
            <w:r w:rsidR="007C7B3D">
              <w:rPr>
                <w:b/>
                <w:sz w:val="20"/>
                <w:szCs w:val="20"/>
              </w:rPr>
              <w:t xml:space="preserve"> </w:t>
            </w:r>
            <w:r w:rsidRPr="00FD5BD6">
              <w:rPr>
                <w:b/>
                <w:sz w:val="20"/>
                <w:szCs w:val="20"/>
              </w:rPr>
              <w:t>RAMACH</w:t>
            </w:r>
            <w:r w:rsidR="007C7B3D">
              <w:rPr>
                <w:b/>
                <w:sz w:val="20"/>
                <w:szCs w:val="20"/>
              </w:rPr>
              <w:t xml:space="preserve"> </w:t>
            </w:r>
            <w:r w:rsidRPr="00FD5BD6">
              <w:rPr>
                <w:b/>
                <w:sz w:val="20"/>
                <w:szCs w:val="20"/>
              </w:rPr>
              <w:t>PROGRAMU</w:t>
            </w:r>
          </w:p>
        </w:tc>
      </w:tr>
      <w:tr w:rsidR="00CB1CEB" w:rsidRPr="00B7207C" w14:paraId="6990ABE9" w14:textId="77777777" w:rsidTr="007C7B3D">
        <w:tc>
          <w:tcPr>
            <w:tcW w:w="1933" w:type="pct"/>
            <w:shd w:val="clear" w:color="auto" w:fill="auto"/>
          </w:tcPr>
          <w:p w14:paraId="00A197AA" w14:textId="2FE8324E" w:rsidR="00CB1CEB" w:rsidRPr="0053749C" w:rsidRDefault="00CB1CEB" w:rsidP="007C7B3D">
            <w:pPr>
              <w:numPr>
                <w:ilvl w:val="0"/>
                <w:numId w:val="43"/>
              </w:numPr>
              <w:spacing w:before="120" w:after="60" w:line="276" w:lineRule="auto"/>
              <w:jc w:val="both"/>
              <w:rPr>
                <w:sz w:val="20"/>
                <w:szCs w:val="20"/>
              </w:rPr>
            </w:pPr>
            <w:r w:rsidRPr="0053749C">
              <w:rPr>
                <w:b/>
                <w:bCs/>
                <w:iCs/>
                <w:sz w:val="20"/>
                <w:szCs w:val="20"/>
              </w:rPr>
              <w:t>Kryteria</w:t>
            </w:r>
            <w:r w:rsidR="007C7B3D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53749C">
              <w:rPr>
                <w:b/>
                <w:bCs/>
                <w:iCs/>
                <w:sz w:val="20"/>
                <w:szCs w:val="20"/>
              </w:rPr>
              <w:t>kwalifikacji</w:t>
            </w:r>
            <w:r w:rsidR="007C7B3D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53749C">
              <w:rPr>
                <w:b/>
                <w:bCs/>
                <w:iCs/>
                <w:sz w:val="20"/>
                <w:szCs w:val="20"/>
              </w:rPr>
              <w:t>do</w:t>
            </w:r>
            <w:r w:rsidR="007C7B3D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53749C">
              <w:rPr>
                <w:b/>
                <w:bCs/>
                <w:iCs/>
                <w:sz w:val="20"/>
                <w:szCs w:val="20"/>
              </w:rPr>
              <w:t>leczenia</w:t>
            </w:r>
            <w:r w:rsidR="007C7B3D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53749C">
              <w:rPr>
                <w:b/>
                <w:bCs/>
                <w:iCs/>
                <w:sz w:val="20"/>
                <w:szCs w:val="20"/>
              </w:rPr>
              <w:t>w</w:t>
            </w:r>
            <w:r w:rsidR="007C7B3D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53749C">
              <w:rPr>
                <w:b/>
                <w:bCs/>
                <w:iCs/>
                <w:sz w:val="20"/>
                <w:szCs w:val="20"/>
              </w:rPr>
              <w:t>programie</w:t>
            </w:r>
          </w:p>
          <w:p w14:paraId="370F2265" w14:textId="19BB9C18" w:rsidR="00D30180" w:rsidRPr="007C7B3D" w:rsidRDefault="00D30180" w:rsidP="007C7B3D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7C7B3D">
              <w:rPr>
                <w:sz w:val="20"/>
                <w:szCs w:val="20"/>
              </w:rPr>
              <w:t>Do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leczenia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infliksymabem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wedolizumabem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tofacytynibem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ustekinumabem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mogą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zostać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włączeni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pacjenci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spełniający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łącznie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kryteria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wskazane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punktach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1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i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2.</w:t>
            </w:r>
          </w:p>
          <w:p w14:paraId="5AA74BF7" w14:textId="7F89134F" w:rsidR="00D30180" w:rsidRPr="0053749C" w:rsidRDefault="00D30180" w:rsidP="007C7B3D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Wiek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od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6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roku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życia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przypadku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infliksymabu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albo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wiek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od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18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roku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życia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przypadku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wedolizumabu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tofacytynibu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ustekinumabu.</w:t>
            </w:r>
          </w:p>
          <w:p w14:paraId="5F1A2350" w14:textId="26B6BFA5" w:rsidR="00D30180" w:rsidRPr="0053749C" w:rsidRDefault="00D30180" w:rsidP="007C7B3D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Pacjenci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z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rozpoznaną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ciężką</w:t>
            </w:r>
            <w:r w:rsidR="007C7B3D">
              <w:rPr>
                <w:sz w:val="20"/>
                <w:szCs w:val="20"/>
              </w:rPr>
              <w:t xml:space="preserve"> </w:t>
            </w:r>
            <w:r w:rsidR="009E12F4" w:rsidRPr="0053749C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  <w:r w:rsidR="009E12F4" w:rsidRPr="0053749C">
              <w:rPr>
                <w:sz w:val="20"/>
                <w:szCs w:val="20"/>
              </w:rPr>
              <w:t>umiarkowaną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postacią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wrzodziejącego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zapalenia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jelita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grubego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(ocena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&gt;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6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punktów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skali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Mayo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osób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wieku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≥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18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r.ż.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albo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ocena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≥65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punktów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skali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PUCAI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osób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wieku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&lt;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18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r.ż.),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których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leczenie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cyklosporyną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jest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niewskazane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przeciwwskazane:</w:t>
            </w:r>
          </w:p>
          <w:p w14:paraId="08C99313" w14:textId="2D4A9459" w:rsidR="00D30180" w:rsidRPr="0053749C" w:rsidRDefault="00D30180" w:rsidP="007C7B3D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z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niedostateczną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odpowiedzią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na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standardowe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leczenie,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tym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na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leczenie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kortykosteroidami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6‐merkaptopuryną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(6‐MP)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azatiopryną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(AZA)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lub</w:t>
            </w:r>
          </w:p>
          <w:p w14:paraId="381BFFAB" w14:textId="06D3AEC7" w:rsidR="00D30180" w:rsidRPr="0053749C" w:rsidRDefault="00D30180" w:rsidP="007C7B3D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nietolerujący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leczenia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kortykosteroidami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6‐merkaptopuryną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(6‐MP)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azatiopryną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(AZA),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lub</w:t>
            </w:r>
          </w:p>
          <w:p w14:paraId="252C0CB4" w14:textId="11C945C6" w:rsidR="00D30180" w:rsidRPr="0053749C" w:rsidRDefault="00D30180" w:rsidP="007C7B3D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mający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przeciwwskazania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do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leczenia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kortykosteroidami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6‐merkaptopuryną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(6‐MP)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azatiopryną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(AZA)</w:t>
            </w:r>
            <w:r w:rsidR="007A0E1D" w:rsidRPr="0053749C">
              <w:rPr>
                <w:sz w:val="20"/>
                <w:szCs w:val="20"/>
              </w:rPr>
              <w:t>,</w:t>
            </w:r>
            <w:r w:rsidR="007C7B3D">
              <w:rPr>
                <w:sz w:val="20"/>
                <w:szCs w:val="20"/>
              </w:rPr>
              <w:t xml:space="preserve"> </w:t>
            </w:r>
            <w:r w:rsidR="007A0E1D" w:rsidRPr="0053749C">
              <w:rPr>
                <w:sz w:val="20"/>
                <w:szCs w:val="20"/>
              </w:rPr>
              <w:t>lub</w:t>
            </w:r>
          </w:p>
          <w:p w14:paraId="25F0171B" w14:textId="7BB18BAB" w:rsidR="00D30180" w:rsidRPr="0053749C" w:rsidRDefault="00D30180" w:rsidP="007C7B3D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contextualSpacing w:val="0"/>
              <w:jc w:val="both"/>
              <w:rPr>
                <w:color w:val="000000" w:themeColor="text1"/>
                <w:sz w:val="20"/>
                <w:szCs w:val="20"/>
              </w:rPr>
            </w:pPr>
            <w:r w:rsidRPr="0053749C">
              <w:rPr>
                <w:bCs/>
                <w:color w:val="000000" w:themeColor="text1"/>
                <w:sz w:val="20"/>
                <w:szCs w:val="20"/>
              </w:rPr>
              <w:t>z</w:t>
            </w:r>
            <w:r w:rsidR="007C7B3D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bCs/>
                <w:color w:val="000000" w:themeColor="text1"/>
                <w:sz w:val="20"/>
                <w:szCs w:val="20"/>
              </w:rPr>
              <w:t>utratą</w:t>
            </w:r>
            <w:r w:rsidR="007C7B3D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bCs/>
                <w:color w:val="000000" w:themeColor="text1"/>
                <w:sz w:val="20"/>
                <w:szCs w:val="20"/>
              </w:rPr>
              <w:t>odpowiedzi</w:t>
            </w:r>
            <w:r w:rsidR="007C7B3D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bCs/>
                <w:color w:val="000000" w:themeColor="text1"/>
                <w:sz w:val="20"/>
                <w:szCs w:val="20"/>
              </w:rPr>
              <w:t>na</w:t>
            </w:r>
            <w:r w:rsidR="007C7B3D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bCs/>
                <w:color w:val="000000" w:themeColor="text1"/>
                <w:sz w:val="20"/>
                <w:szCs w:val="20"/>
              </w:rPr>
              <w:t>standardowe</w:t>
            </w:r>
            <w:r w:rsidR="007C7B3D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bCs/>
                <w:color w:val="000000" w:themeColor="text1"/>
                <w:sz w:val="20"/>
                <w:szCs w:val="20"/>
              </w:rPr>
              <w:t>leczenie,</w:t>
            </w:r>
            <w:r w:rsidR="007C7B3D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bCs/>
                <w:color w:val="000000" w:themeColor="text1"/>
                <w:sz w:val="20"/>
                <w:szCs w:val="20"/>
              </w:rPr>
              <w:t>w</w:t>
            </w:r>
            <w:r w:rsidR="007C7B3D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bCs/>
                <w:color w:val="000000" w:themeColor="text1"/>
                <w:sz w:val="20"/>
                <w:szCs w:val="20"/>
              </w:rPr>
              <w:t>tym</w:t>
            </w:r>
            <w:r w:rsidR="007C7B3D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bCs/>
                <w:color w:val="000000" w:themeColor="text1"/>
                <w:sz w:val="20"/>
                <w:szCs w:val="20"/>
              </w:rPr>
              <w:t>na</w:t>
            </w:r>
            <w:r w:rsidR="007C7B3D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bCs/>
                <w:color w:val="000000" w:themeColor="text1"/>
                <w:sz w:val="20"/>
                <w:szCs w:val="20"/>
              </w:rPr>
              <w:t>leczenie</w:t>
            </w:r>
            <w:r w:rsidR="007C7B3D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bCs/>
                <w:color w:val="000000" w:themeColor="text1"/>
                <w:sz w:val="20"/>
                <w:szCs w:val="20"/>
              </w:rPr>
              <w:t>kortykosteroidami</w:t>
            </w:r>
            <w:r w:rsidR="007C7B3D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bCs/>
                <w:color w:val="000000" w:themeColor="text1"/>
                <w:sz w:val="20"/>
                <w:szCs w:val="20"/>
              </w:rPr>
              <w:t>i</w:t>
            </w:r>
            <w:r w:rsidR="007C7B3D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bCs/>
                <w:color w:val="000000" w:themeColor="text1"/>
                <w:sz w:val="20"/>
                <w:szCs w:val="20"/>
              </w:rPr>
              <w:t>6‐merkaptopuryną</w:t>
            </w:r>
            <w:r w:rsidR="007C7B3D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bCs/>
                <w:color w:val="000000" w:themeColor="text1"/>
                <w:sz w:val="20"/>
                <w:szCs w:val="20"/>
              </w:rPr>
              <w:t>(6‐MP)</w:t>
            </w:r>
            <w:r w:rsidR="007C7B3D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bCs/>
                <w:color w:val="000000" w:themeColor="text1"/>
                <w:sz w:val="20"/>
                <w:szCs w:val="20"/>
              </w:rPr>
              <w:t>lub</w:t>
            </w:r>
            <w:r w:rsidR="007C7B3D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bCs/>
                <w:color w:val="000000" w:themeColor="text1"/>
                <w:sz w:val="20"/>
                <w:szCs w:val="20"/>
              </w:rPr>
              <w:t>azatiopryną</w:t>
            </w:r>
            <w:r w:rsidR="007C7B3D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bCs/>
                <w:color w:val="000000" w:themeColor="text1"/>
                <w:sz w:val="20"/>
                <w:szCs w:val="20"/>
              </w:rPr>
              <w:t>(AZA)</w:t>
            </w:r>
            <w:r w:rsidR="007C7B3D">
              <w:rPr>
                <w:bCs/>
                <w:color w:val="000000" w:themeColor="text1"/>
                <w:sz w:val="20"/>
                <w:szCs w:val="20"/>
              </w:rPr>
              <w:t>.</w:t>
            </w:r>
          </w:p>
          <w:p w14:paraId="33A76403" w14:textId="517E46D6" w:rsidR="00225ABE" w:rsidRPr="0053749C" w:rsidRDefault="00225ABE" w:rsidP="007C7B3D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lastRenderedPageBreak/>
              <w:t>Do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programu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kwalifikowani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są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również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pacjenci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wymagający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kontynuacji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leczenia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infliks</w:t>
            </w:r>
            <w:r w:rsidR="005B4791" w:rsidRPr="0053749C">
              <w:rPr>
                <w:sz w:val="20"/>
                <w:szCs w:val="20"/>
              </w:rPr>
              <w:t>y</w:t>
            </w:r>
            <w:r w:rsidRPr="0053749C">
              <w:rPr>
                <w:sz w:val="20"/>
                <w:szCs w:val="20"/>
              </w:rPr>
              <w:t>mabem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wedolizumabem</w:t>
            </w:r>
            <w:r w:rsidR="007C7B3D">
              <w:rPr>
                <w:sz w:val="20"/>
                <w:szCs w:val="20"/>
              </w:rPr>
              <w:t xml:space="preserve"> </w:t>
            </w:r>
            <w:r w:rsidR="00AE29BE" w:rsidRPr="0053749C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  <w:r w:rsidR="00AE29BE" w:rsidRPr="0053749C">
              <w:rPr>
                <w:sz w:val="20"/>
                <w:szCs w:val="20"/>
              </w:rPr>
              <w:t>tofacytynibem</w:t>
            </w:r>
            <w:r w:rsidR="007C7B3D">
              <w:rPr>
                <w:sz w:val="20"/>
                <w:szCs w:val="20"/>
              </w:rPr>
              <w:t xml:space="preserve"> </w:t>
            </w:r>
            <w:r w:rsidR="002251D9" w:rsidRPr="0053749C">
              <w:rPr>
                <w:sz w:val="20"/>
                <w:szCs w:val="20"/>
              </w:rPr>
              <w:t>lu</w:t>
            </w:r>
            <w:r w:rsidR="00520F1F" w:rsidRPr="0053749C">
              <w:rPr>
                <w:sz w:val="20"/>
                <w:szCs w:val="20"/>
              </w:rPr>
              <w:t>b</w:t>
            </w:r>
            <w:r w:rsidR="007C7B3D">
              <w:rPr>
                <w:sz w:val="20"/>
                <w:szCs w:val="20"/>
              </w:rPr>
              <w:t xml:space="preserve"> </w:t>
            </w:r>
            <w:r w:rsidR="002251D9" w:rsidRPr="0053749C">
              <w:rPr>
                <w:sz w:val="20"/>
                <w:szCs w:val="20"/>
              </w:rPr>
              <w:t>ustekinumabem</w:t>
            </w:r>
            <w:r w:rsidRPr="0053749C">
              <w:rPr>
                <w:sz w:val="20"/>
                <w:szCs w:val="20"/>
              </w:rPr>
              <w:t>,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ich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dotychczasowe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leczenie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infliks</w:t>
            </w:r>
            <w:r w:rsidR="005B4791" w:rsidRPr="0053749C">
              <w:rPr>
                <w:sz w:val="20"/>
                <w:szCs w:val="20"/>
              </w:rPr>
              <w:t>y</w:t>
            </w:r>
            <w:r w:rsidRPr="0053749C">
              <w:rPr>
                <w:sz w:val="20"/>
                <w:szCs w:val="20"/>
              </w:rPr>
              <w:t>mabem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wedolizumabem</w:t>
            </w:r>
            <w:r w:rsidR="007C7B3D">
              <w:rPr>
                <w:sz w:val="20"/>
                <w:szCs w:val="20"/>
              </w:rPr>
              <w:t xml:space="preserve"> </w:t>
            </w:r>
            <w:r w:rsidR="00AE29BE" w:rsidRPr="0053749C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  <w:r w:rsidR="00AE29BE" w:rsidRPr="0053749C">
              <w:rPr>
                <w:sz w:val="20"/>
                <w:szCs w:val="20"/>
              </w:rPr>
              <w:t>tofacytynibem</w:t>
            </w:r>
            <w:r w:rsidR="007C7B3D">
              <w:rPr>
                <w:sz w:val="20"/>
                <w:szCs w:val="20"/>
              </w:rPr>
              <w:t xml:space="preserve"> </w:t>
            </w:r>
            <w:r w:rsidR="002251D9" w:rsidRPr="0053749C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  <w:r w:rsidR="002251D9" w:rsidRPr="0053749C">
              <w:rPr>
                <w:sz w:val="20"/>
                <w:szCs w:val="20"/>
              </w:rPr>
              <w:t>ustekinumabem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było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finansowane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ramach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hospitalizacji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według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jednorodnych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grup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pacjentów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(JGP)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pod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warunkiem,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że:</w:t>
            </w:r>
            <w:r w:rsidR="007C7B3D">
              <w:rPr>
                <w:sz w:val="20"/>
                <w:szCs w:val="20"/>
              </w:rPr>
              <w:t xml:space="preserve"> </w:t>
            </w:r>
          </w:p>
          <w:p w14:paraId="37B4A6B3" w14:textId="479BF8E6" w:rsidR="00225ABE" w:rsidRPr="0053749C" w:rsidRDefault="00225ABE" w:rsidP="007C7B3D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przed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rozpoczęciem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terapii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spełniali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kryteria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włączenia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do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programu,</w:t>
            </w:r>
            <w:r w:rsidR="007C7B3D">
              <w:rPr>
                <w:sz w:val="20"/>
                <w:szCs w:val="20"/>
              </w:rPr>
              <w:t xml:space="preserve"> </w:t>
            </w:r>
          </w:p>
          <w:p w14:paraId="50367752" w14:textId="16CBD7F7" w:rsidR="00225ABE" w:rsidRPr="0053749C" w:rsidRDefault="00225ABE" w:rsidP="007C7B3D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nie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zachodzą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kryteria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stanowiące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przeciwwskazania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do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udziału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programie,</w:t>
            </w:r>
            <w:r w:rsidR="007C7B3D">
              <w:rPr>
                <w:sz w:val="20"/>
                <w:szCs w:val="20"/>
              </w:rPr>
              <w:t xml:space="preserve"> </w:t>
            </w:r>
          </w:p>
          <w:p w14:paraId="548C6FDC" w14:textId="4E88DD54" w:rsidR="000F7C4F" w:rsidRPr="0053749C" w:rsidRDefault="00225ABE" w:rsidP="007C7B3D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nie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zachodzą</w:t>
            </w:r>
            <w:r w:rsidR="007C7B3D">
              <w:rPr>
                <w:sz w:val="20"/>
                <w:szCs w:val="20"/>
              </w:rPr>
              <w:t xml:space="preserve"> </w:t>
            </w:r>
            <w:r w:rsidR="00302426" w:rsidRPr="0053749C">
              <w:rPr>
                <w:sz w:val="20"/>
                <w:szCs w:val="20"/>
              </w:rPr>
              <w:t>okoliczności,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których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mowa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punkcie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dotyczącym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zakończenia</w:t>
            </w:r>
            <w:r w:rsidR="007C7B3D">
              <w:rPr>
                <w:sz w:val="20"/>
                <w:szCs w:val="20"/>
              </w:rPr>
              <w:t xml:space="preserve"> </w:t>
            </w:r>
            <w:r w:rsidR="00302426" w:rsidRPr="0053749C">
              <w:rPr>
                <w:sz w:val="20"/>
                <w:szCs w:val="20"/>
              </w:rPr>
              <w:t>leczenia,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gdy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kończy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się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udział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pacjenta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programie.</w:t>
            </w:r>
          </w:p>
          <w:p w14:paraId="2AAC3A6B" w14:textId="7DA69728" w:rsidR="003612DC" w:rsidRPr="0053749C" w:rsidRDefault="003612DC" w:rsidP="007C7B3D">
            <w:pPr>
              <w:pStyle w:val="Akapitzlist"/>
              <w:numPr>
                <w:ilvl w:val="3"/>
                <w:numId w:val="43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Dopuszcza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się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zamianę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leków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infliksymab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albo</w:t>
            </w:r>
            <w:r w:rsidR="007C7B3D">
              <w:rPr>
                <w:sz w:val="20"/>
                <w:szCs w:val="20"/>
              </w:rPr>
              <w:t xml:space="preserve"> </w:t>
            </w:r>
            <w:r w:rsidR="000F7C4F" w:rsidRPr="0053749C">
              <w:rPr>
                <w:sz w:val="20"/>
                <w:szCs w:val="20"/>
              </w:rPr>
              <w:t>wedolizumab</w:t>
            </w:r>
            <w:r w:rsidR="007C7B3D">
              <w:rPr>
                <w:sz w:val="20"/>
                <w:szCs w:val="20"/>
              </w:rPr>
              <w:t xml:space="preserve"> </w:t>
            </w:r>
            <w:r w:rsidR="00AE29BE" w:rsidRPr="0053749C">
              <w:rPr>
                <w:sz w:val="20"/>
                <w:szCs w:val="20"/>
              </w:rPr>
              <w:t>albo</w:t>
            </w:r>
            <w:r w:rsidR="007C7B3D">
              <w:rPr>
                <w:sz w:val="20"/>
                <w:szCs w:val="20"/>
              </w:rPr>
              <w:t xml:space="preserve"> </w:t>
            </w:r>
            <w:r w:rsidR="00AE29BE" w:rsidRPr="0053749C">
              <w:rPr>
                <w:sz w:val="20"/>
                <w:szCs w:val="20"/>
              </w:rPr>
              <w:t>tofacytynib</w:t>
            </w:r>
            <w:r w:rsidR="007C7B3D">
              <w:rPr>
                <w:sz w:val="20"/>
                <w:szCs w:val="20"/>
              </w:rPr>
              <w:t xml:space="preserve"> </w:t>
            </w:r>
            <w:r w:rsidR="00F53542" w:rsidRPr="0053749C">
              <w:rPr>
                <w:sz w:val="20"/>
                <w:szCs w:val="20"/>
              </w:rPr>
              <w:t>albo</w:t>
            </w:r>
            <w:r w:rsidR="007C7B3D">
              <w:rPr>
                <w:sz w:val="20"/>
                <w:szCs w:val="20"/>
              </w:rPr>
              <w:t xml:space="preserve"> </w:t>
            </w:r>
            <w:r w:rsidR="00F53542" w:rsidRPr="0053749C">
              <w:rPr>
                <w:sz w:val="20"/>
                <w:szCs w:val="20"/>
              </w:rPr>
              <w:t>ustekinumab</w:t>
            </w:r>
            <w:r w:rsidR="007C7B3D">
              <w:rPr>
                <w:sz w:val="20"/>
                <w:szCs w:val="20"/>
              </w:rPr>
              <w:t xml:space="preserve"> </w:t>
            </w:r>
            <w:r w:rsidR="000F7C4F"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przypadku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wystąpienia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objawów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niepożądanych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częściowej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nieskuteczności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terapii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definiowanej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jako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wystąpienie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jednego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z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kryteriów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wymienionych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punkcie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4.</w:t>
            </w:r>
            <w:r w:rsidR="007C7B3D">
              <w:rPr>
                <w:sz w:val="20"/>
                <w:szCs w:val="20"/>
              </w:rPr>
              <w:t xml:space="preserve"> </w:t>
            </w:r>
            <w:r w:rsidR="00520F1F" w:rsidRPr="0053749C">
              <w:rPr>
                <w:sz w:val="20"/>
                <w:szCs w:val="20"/>
              </w:rPr>
              <w:t>-</w:t>
            </w:r>
            <w:r w:rsidR="007C7B3D">
              <w:rPr>
                <w:sz w:val="20"/>
                <w:szCs w:val="20"/>
              </w:rPr>
              <w:t xml:space="preserve"> </w:t>
            </w:r>
            <w:r w:rsidR="00A61F85" w:rsidRPr="0053749C">
              <w:rPr>
                <w:color w:val="000000"/>
                <w:sz w:val="20"/>
                <w:szCs w:val="20"/>
              </w:rPr>
              <w:t>nie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A61F85" w:rsidRPr="0053749C">
              <w:rPr>
                <w:color w:val="000000"/>
                <w:sz w:val="20"/>
                <w:szCs w:val="20"/>
              </w:rPr>
              <w:t>ma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A61F85" w:rsidRPr="0053749C">
              <w:rPr>
                <w:color w:val="000000"/>
                <w:sz w:val="20"/>
                <w:szCs w:val="20"/>
              </w:rPr>
              <w:t>konieczności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A61F85" w:rsidRPr="0053749C">
              <w:rPr>
                <w:color w:val="000000"/>
                <w:sz w:val="20"/>
                <w:szCs w:val="20"/>
              </w:rPr>
              <w:t>powtarzania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A61F85" w:rsidRPr="0053749C">
              <w:rPr>
                <w:color w:val="000000"/>
                <w:sz w:val="20"/>
                <w:szCs w:val="20"/>
              </w:rPr>
              <w:t>wszystkich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A61F85" w:rsidRPr="0053749C">
              <w:rPr>
                <w:color w:val="000000"/>
                <w:sz w:val="20"/>
                <w:szCs w:val="20"/>
              </w:rPr>
              <w:t>badań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A61F85" w:rsidRPr="0053749C">
              <w:rPr>
                <w:color w:val="000000"/>
                <w:sz w:val="20"/>
                <w:szCs w:val="20"/>
              </w:rPr>
              <w:t>kwalifikacyjnych</w:t>
            </w:r>
            <w:r w:rsidR="00520F1F" w:rsidRPr="0053749C">
              <w:rPr>
                <w:color w:val="000000"/>
                <w:sz w:val="20"/>
                <w:szCs w:val="20"/>
              </w:rPr>
              <w:t>,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A61F85" w:rsidRPr="0053749C">
              <w:rPr>
                <w:color w:val="000000"/>
                <w:sz w:val="20"/>
                <w:szCs w:val="20"/>
              </w:rPr>
              <w:t>o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A61F85" w:rsidRPr="0053749C">
              <w:rPr>
                <w:color w:val="000000"/>
                <w:sz w:val="20"/>
                <w:szCs w:val="20"/>
              </w:rPr>
              <w:t>zakresie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A61F85" w:rsidRPr="0053749C">
              <w:rPr>
                <w:color w:val="000000"/>
                <w:sz w:val="20"/>
                <w:szCs w:val="20"/>
              </w:rPr>
              <w:t>tych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A61F85" w:rsidRPr="0053749C">
              <w:rPr>
                <w:color w:val="000000"/>
                <w:sz w:val="20"/>
                <w:szCs w:val="20"/>
              </w:rPr>
              <w:t>badań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A61F85" w:rsidRPr="0053749C">
              <w:rPr>
                <w:color w:val="000000"/>
                <w:sz w:val="20"/>
                <w:szCs w:val="20"/>
              </w:rPr>
              <w:t>decyduje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A61F85" w:rsidRPr="0053749C">
              <w:rPr>
                <w:color w:val="000000"/>
                <w:sz w:val="20"/>
                <w:szCs w:val="20"/>
              </w:rPr>
              <w:t>sytuacja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A61F85" w:rsidRPr="0053749C">
              <w:rPr>
                <w:color w:val="000000"/>
                <w:sz w:val="20"/>
                <w:szCs w:val="20"/>
              </w:rPr>
              <w:t>kliniczna.</w:t>
            </w:r>
          </w:p>
          <w:p w14:paraId="2C49D923" w14:textId="022A0E5D" w:rsidR="003612DC" w:rsidRPr="007C7B3D" w:rsidRDefault="003612DC" w:rsidP="007C7B3D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7C7B3D">
              <w:rPr>
                <w:sz w:val="20"/>
                <w:szCs w:val="20"/>
              </w:rPr>
              <w:t>Nieskuteczność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leczenia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standardowego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ciężkiego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rzutu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WZJG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określa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się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jako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niepowodzenie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zastosowania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3-5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dni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terapii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steroidami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dożylnymi.</w:t>
            </w:r>
          </w:p>
          <w:p w14:paraId="281BEB62" w14:textId="7C89E02E" w:rsidR="003612DC" w:rsidRPr="007C7B3D" w:rsidRDefault="003612DC" w:rsidP="007C7B3D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7C7B3D">
              <w:rPr>
                <w:sz w:val="20"/>
                <w:szCs w:val="20"/>
              </w:rPr>
              <w:t>Steroidooporność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oznacza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brak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poprawy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klinicznej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pomimo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zastosowania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przez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4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tygodnie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steroidu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dawce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dobowej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do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0,75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mg/kg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m.c.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przeliczeniu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na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prednizolon.</w:t>
            </w:r>
          </w:p>
          <w:p w14:paraId="5221D602" w14:textId="31EBAB08" w:rsidR="003612DC" w:rsidRPr="007C7B3D" w:rsidRDefault="003612DC" w:rsidP="007C7B3D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7C7B3D">
              <w:rPr>
                <w:sz w:val="20"/>
                <w:szCs w:val="20"/>
              </w:rPr>
              <w:t>Steroidozależność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to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brak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możliwości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redukcji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dawki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steroidów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poniżej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10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mg/dobę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przeliczeniu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na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prednizolon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ciągu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3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miesięcy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od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rozpoczęcia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steroidoterapii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nawrót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dolegliwości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ciągu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3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miesięcy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od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odstawienia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steroidów.</w:t>
            </w:r>
          </w:p>
          <w:p w14:paraId="771BE889" w14:textId="442EE100" w:rsidR="003612DC" w:rsidRPr="007C7B3D" w:rsidRDefault="003612DC" w:rsidP="007C7B3D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7C7B3D">
              <w:rPr>
                <w:sz w:val="20"/>
                <w:szCs w:val="20"/>
              </w:rPr>
              <w:lastRenderedPageBreak/>
              <w:t>Oporność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na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leczenie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immunosupresyjne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(brak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dostatecznej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odpowiedzi)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oznacza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brak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remisji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nawrót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dolegliwości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pomimo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stosowania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leczenia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immunosupresyjnego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przez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co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najmniej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3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miesiące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odpowiednich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dawkach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(azatiopryna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2-2,5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mg/kg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m.c./dobę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6-merkaptopuryna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dawce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1-1,5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mg/kg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m.c./dobę).</w:t>
            </w:r>
          </w:p>
          <w:p w14:paraId="04B4B97F" w14:textId="705D2A7E" w:rsidR="003612DC" w:rsidRPr="007C7B3D" w:rsidRDefault="003612DC" w:rsidP="007C7B3D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7C7B3D">
              <w:rPr>
                <w:sz w:val="20"/>
                <w:szCs w:val="20"/>
              </w:rPr>
              <w:t>Leczenie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cyklosporyną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jest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niewskazane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przypadku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wystąpienia:</w:t>
            </w:r>
          </w:p>
          <w:p w14:paraId="243CFC01" w14:textId="4C9970CC" w:rsidR="003612DC" w:rsidRPr="0053749C" w:rsidRDefault="003612DC" w:rsidP="007C7B3D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ciężkiego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rzutu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WZJG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trakcie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leczenia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azatiopryną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(AZA)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6-merkaptopuryną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(6-MP)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lub</w:t>
            </w:r>
          </w:p>
          <w:p w14:paraId="529C750C" w14:textId="685C96E9" w:rsidR="003612DC" w:rsidRPr="0053749C" w:rsidRDefault="003612DC" w:rsidP="007C7B3D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hypomagnezemii,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lub</w:t>
            </w:r>
          </w:p>
          <w:p w14:paraId="57434086" w14:textId="2C479C7F" w:rsidR="003612DC" w:rsidRPr="0053749C" w:rsidRDefault="003612DC" w:rsidP="007C7B3D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potencjalnych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interakcji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lekowych,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lub</w:t>
            </w:r>
          </w:p>
          <w:p w14:paraId="4A0F357D" w14:textId="35145E34" w:rsidR="003612DC" w:rsidRPr="0053749C" w:rsidRDefault="003612DC" w:rsidP="007C7B3D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hiperkaliemii,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lub</w:t>
            </w:r>
          </w:p>
          <w:p w14:paraId="4483C9F6" w14:textId="3ACFF839" w:rsidR="003612DC" w:rsidRPr="0053749C" w:rsidRDefault="003612DC" w:rsidP="007C7B3D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hyperurikemii,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</w:p>
          <w:p w14:paraId="0EE7BC22" w14:textId="02E5E610" w:rsidR="003612DC" w:rsidRPr="0053749C" w:rsidRDefault="003612DC" w:rsidP="007C7B3D">
            <w:pPr>
              <w:pStyle w:val="Akapitzlist"/>
              <w:numPr>
                <w:ilvl w:val="4"/>
                <w:numId w:val="43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pacjentów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wieku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powyżej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80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roku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życia.</w:t>
            </w:r>
          </w:p>
          <w:p w14:paraId="6B292F0E" w14:textId="695A98BA" w:rsidR="003612DC" w:rsidRPr="007C7B3D" w:rsidRDefault="003612DC" w:rsidP="007C7B3D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7C7B3D">
              <w:rPr>
                <w:sz w:val="20"/>
                <w:szCs w:val="20"/>
              </w:rPr>
              <w:t>Przeciwwskazania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do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zastosowania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terapii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cyklosporyną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zgodne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z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CHPL:</w:t>
            </w:r>
          </w:p>
          <w:p w14:paraId="25FF0999" w14:textId="2BAB1705" w:rsidR="003612DC" w:rsidRPr="0053749C" w:rsidRDefault="003612DC" w:rsidP="007C7B3D">
            <w:pPr>
              <w:pStyle w:val="Akapitzlist"/>
              <w:numPr>
                <w:ilvl w:val="4"/>
                <w:numId w:val="4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zaburzenia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czynności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nerek,</w:t>
            </w:r>
          </w:p>
          <w:p w14:paraId="4420006F" w14:textId="4CC40156" w:rsidR="003612DC" w:rsidRPr="0053749C" w:rsidRDefault="003612DC" w:rsidP="007C7B3D">
            <w:pPr>
              <w:pStyle w:val="Akapitzlist"/>
              <w:numPr>
                <w:ilvl w:val="4"/>
                <w:numId w:val="4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niekontrolowane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nadciśnienie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tętnicze,</w:t>
            </w:r>
          </w:p>
          <w:p w14:paraId="1ABD719A" w14:textId="330C2BA0" w:rsidR="003612DC" w:rsidRPr="0053749C" w:rsidRDefault="003612DC" w:rsidP="007C7B3D">
            <w:pPr>
              <w:pStyle w:val="Akapitzlist"/>
              <w:numPr>
                <w:ilvl w:val="4"/>
                <w:numId w:val="4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trudne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do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opanowania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zakażenia,</w:t>
            </w:r>
          </w:p>
          <w:p w14:paraId="70BBDB29" w14:textId="12E98E26" w:rsidR="003612DC" w:rsidRPr="0053749C" w:rsidRDefault="003612DC" w:rsidP="007C7B3D">
            <w:pPr>
              <w:pStyle w:val="Akapitzlist"/>
              <w:numPr>
                <w:ilvl w:val="4"/>
                <w:numId w:val="4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nowotwory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złośliwe.</w:t>
            </w:r>
          </w:p>
          <w:p w14:paraId="02DD7899" w14:textId="13353E8C" w:rsidR="00701BE3" w:rsidRPr="0053749C" w:rsidRDefault="00701BE3" w:rsidP="007C7B3D">
            <w:pPr>
              <w:pStyle w:val="Default"/>
              <w:spacing w:after="60" w:line="276" w:lineRule="auto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Kobiety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wieku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rozrodczym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muszą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wyrazić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zgodę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na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świadomą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kontrolę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urodzeń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trakcie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leczenia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oraz:</w:t>
            </w:r>
          </w:p>
          <w:p w14:paraId="05E42320" w14:textId="26A73049" w:rsidR="00701BE3" w:rsidRPr="0053749C" w:rsidRDefault="00701BE3" w:rsidP="007C7B3D">
            <w:pPr>
              <w:pStyle w:val="Default"/>
              <w:numPr>
                <w:ilvl w:val="5"/>
                <w:numId w:val="44"/>
              </w:numPr>
              <w:spacing w:after="60" w:line="276" w:lineRule="auto"/>
              <w:ind w:left="447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okresie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do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6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miesięcy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po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zastosowaniu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ostatniej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dawki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infliksymabu,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</w:p>
          <w:p w14:paraId="1C242DF7" w14:textId="0E4372E8" w:rsidR="00701BE3" w:rsidRPr="0053749C" w:rsidRDefault="00701BE3" w:rsidP="007C7B3D">
            <w:pPr>
              <w:pStyle w:val="Default"/>
              <w:numPr>
                <w:ilvl w:val="5"/>
                <w:numId w:val="44"/>
              </w:numPr>
              <w:spacing w:after="60" w:line="276" w:lineRule="auto"/>
              <w:ind w:left="447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okresie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przez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co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najmniej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18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tygodni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po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zastosowaniu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ostatniej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dawki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wedolizumabu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lub</w:t>
            </w:r>
          </w:p>
          <w:p w14:paraId="11E0C004" w14:textId="209E3DA0" w:rsidR="00701BE3" w:rsidRPr="0053749C" w:rsidRDefault="00701BE3" w:rsidP="007C7B3D">
            <w:pPr>
              <w:pStyle w:val="Default"/>
              <w:numPr>
                <w:ilvl w:val="5"/>
                <w:numId w:val="44"/>
              </w:numPr>
              <w:spacing w:after="60" w:line="276" w:lineRule="auto"/>
              <w:ind w:left="447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okresi</w:t>
            </w:r>
            <w:r w:rsidR="004D630F" w:rsidRPr="0053749C">
              <w:rPr>
                <w:sz w:val="20"/>
                <w:szCs w:val="20"/>
              </w:rPr>
              <w:t>e</w:t>
            </w:r>
            <w:r w:rsidR="007C7B3D">
              <w:rPr>
                <w:sz w:val="20"/>
                <w:szCs w:val="20"/>
              </w:rPr>
              <w:t xml:space="preserve"> </w:t>
            </w:r>
            <w:r w:rsidR="004D630F" w:rsidRPr="0053749C">
              <w:rPr>
                <w:sz w:val="20"/>
                <w:szCs w:val="20"/>
              </w:rPr>
              <w:t>co</w:t>
            </w:r>
            <w:r w:rsidR="007C7B3D">
              <w:rPr>
                <w:sz w:val="20"/>
                <w:szCs w:val="20"/>
              </w:rPr>
              <w:t xml:space="preserve"> </w:t>
            </w:r>
            <w:r w:rsidR="004D630F" w:rsidRPr="0053749C">
              <w:rPr>
                <w:sz w:val="20"/>
                <w:szCs w:val="20"/>
              </w:rPr>
              <w:t>najmniej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4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tygodni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po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podaniu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ostatniej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dawki</w:t>
            </w:r>
            <w:r w:rsidR="007C7B3D">
              <w:rPr>
                <w:sz w:val="20"/>
                <w:szCs w:val="20"/>
              </w:rPr>
              <w:t xml:space="preserve"> </w:t>
            </w:r>
            <w:r w:rsidR="004D630F" w:rsidRPr="0053749C">
              <w:rPr>
                <w:sz w:val="20"/>
                <w:szCs w:val="20"/>
              </w:rPr>
              <w:t>tofacytynibu</w:t>
            </w:r>
            <w:r w:rsidR="007C7B3D">
              <w:rPr>
                <w:sz w:val="20"/>
                <w:szCs w:val="20"/>
              </w:rPr>
              <w:t xml:space="preserve"> </w:t>
            </w:r>
            <w:r w:rsidR="00CA2610" w:rsidRPr="0053749C">
              <w:rPr>
                <w:sz w:val="20"/>
                <w:szCs w:val="20"/>
              </w:rPr>
              <w:t>lub</w:t>
            </w:r>
          </w:p>
          <w:p w14:paraId="2E1C7DFE" w14:textId="4CF1011F" w:rsidR="00B947FF" w:rsidRPr="0053749C" w:rsidRDefault="00B947FF" w:rsidP="007C7B3D">
            <w:pPr>
              <w:pStyle w:val="Default"/>
              <w:numPr>
                <w:ilvl w:val="5"/>
                <w:numId w:val="44"/>
              </w:numPr>
              <w:spacing w:after="60" w:line="276" w:lineRule="auto"/>
              <w:ind w:left="447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okresie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co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najmniej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15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tygodni</w:t>
            </w:r>
            <w:r w:rsidR="007C7B3D">
              <w:rPr>
                <w:sz w:val="20"/>
                <w:szCs w:val="20"/>
              </w:rPr>
              <w:t xml:space="preserve"> </w:t>
            </w:r>
            <w:r w:rsidR="00F36DAC" w:rsidRPr="0053749C">
              <w:rPr>
                <w:sz w:val="20"/>
                <w:szCs w:val="20"/>
              </w:rPr>
              <w:t>po</w:t>
            </w:r>
            <w:r w:rsidR="007C7B3D">
              <w:rPr>
                <w:sz w:val="20"/>
                <w:szCs w:val="20"/>
              </w:rPr>
              <w:t xml:space="preserve"> </w:t>
            </w:r>
            <w:r w:rsidR="00F36DAC" w:rsidRPr="0053749C">
              <w:rPr>
                <w:sz w:val="20"/>
                <w:szCs w:val="20"/>
              </w:rPr>
              <w:t>zastosowaniu</w:t>
            </w:r>
            <w:r w:rsidR="007C7B3D">
              <w:rPr>
                <w:sz w:val="20"/>
                <w:szCs w:val="20"/>
              </w:rPr>
              <w:t xml:space="preserve"> </w:t>
            </w:r>
            <w:r w:rsidR="00F36DAC" w:rsidRPr="0053749C">
              <w:rPr>
                <w:sz w:val="20"/>
                <w:szCs w:val="20"/>
              </w:rPr>
              <w:t>ostatniej</w:t>
            </w:r>
            <w:r w:rsidR="007C7B3D">
              <w:rPr>
                <w:sz w:val="20"/>
                <w:szCs w:val="20"/>
              </w:rPr>
              <w:t xml:space="preserve"> </w:t>
            </w:r>
            <w:r w:rsidR="00F36DAC" w:rsidRPr="0053749C">
              <w:rPr>
                <w:sz w:val="20"/>
                <w:szCs w:val="20"/>
              </w:rPr>
              <w:t>dawki</w:t>
            </w:r>
            <w:r w:rsidR="007C7B3D">
              <w:rPr>
                <w:sz w:val="20"/>
                <w:szCs w:val="20"/>
              </w:rPr>
              <w:t xml:space="preserve"> </w:t>
            </w:r>
            <w:r w:rsidR="00CA2610" w:rsidRPr="0053749C">
              <w:rPr>
                <w:sz w:val="20"/>
                <w:szCs w:val="20"/>
              </w:rPr>
              <w:t>ustekinumab</w:t>
            </w:r>
            <w:r w:rsidR="00F36DAC" w:rsidRPr="0053749C">
              <w:rPr>
                <w:sz w:val="20"/>
                <w:szCs w:val="20"/>
              </w:rPr>
              <w:t>u.</w:t>
            </w:r>
          </w:p>
          <w:p w14:paraId="00141164" w14:textId="77777777" w:rsidR="00701BE3" w:rsidRPr="0053749C" w:rsidRDefault="00701BE3" w:rsidP="0053749C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62774BD4" w14:textId="76B3673A" w:rsidR="002A5345" w:rsidRPr="0053749C" w:rsidRDefault="002A5345" w:rsidP="007C7B3D">
            <w:pPr>
              <w:numPr>
                <w:ilvl w:val="0"/>
                <w:numId w:val="44"/>
              </w:num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53749C">
              <w:rPr>
                <w:b/>
                <w:sz w:val="20"/>
                <w:szCs w:val="20"/>
              </w:rPr>
              <w:t>Kryteria</w:t>
            </w:r>
            <w:r w:rsidR="007C7B3D">
              <w:rPr>
                <w:b/>
                <w:sz w:val="20"/>
                <w:szCs w:val="20"/>
              </w:rPr>
              <w:t xml:space="preserve"> </w:t>
            </w:r>
            <w:r w:rsidRPr="0053749C">
              <w:rPr>
                <w:b/>
                <w:sz w:val="20"/>
                <w:szCs w:val="20"/>
              </w:rPr>
              <w:t>stanowiące</w:t>
            </w:r>
            <w:r w:rsidR="007C7B3D">
              <w:rPr>
                <w:b/>
                <w:sz w:val="20"/>
                <w:szCs w:val="20"/>
              </w:rPr>
              <w:t xml:space="preserve"> </w:t>
            </w:r>
            <w:r w:rsidRPr="0053749C">
              <w:rPr>
                <w:b/>
                <w:sz w:val="20"/>
                <w:szCs w:val="20"/>
              </w:rPr>
              <w:t>przeciwwskazania</w:t>
            </w:r>
            <w:r w:rsidR="007C7B3D">
              <w:rPr>
                <w:b/>
                <w:sz w:val="20"/>
                <w:szCs w:val="20"/>
              </w:rPr>
              <w:t xml:space="preserve"> </w:t>
            </w:r>
            <w:r w:rsidRPr="0053749C">
              <w:rPr>
                <w:b/>
                <w:sz w:val="20"/>
                <w:szCs w:val="20"/>
              </w:rPr>
              <w:t>do</w:t>
            </w:r>
            <w:r w:rsidR="007C7B3D">
              <w:rPr>
                <w:b/>
                <w:sz w:val="20"/>
                <w:szCs w:val="20"/>
              </w:rPr>
              <w:t xml:space="preserve"> </w:t>
            </w:r>
            <w:r w:rsidRPr="0053749C">
              <w:rPr>
                <w:b/>
                <w:sz w:val="20"/>
                <w:szCs w:val="20"/>
              </w:rPr>
              <w:t>udziału</w:t>
            </w:r>
            <w:r w:rsidR="007C7B3D">
              <w:rPr>
                <w:b/>
                <w:sz w:val="20"/>
                <w:szCs w:val="20"/>
              </w:rPr>
              <w:t xml:space="preserve"> </w:t>
            </w:r>
            <w:r w:rsidRPr="0053749C">
              <w:rPr>
                <w:b/>
                <w:sz w:val="20"/>
                <w:szCs w:val="20"/>
              </w:rPr>
              <w:t>w</w:t>
            </w:r>
            <w:r w:rsidR="007C7B3D">
              <w:rPr>
                <w:b/>
                <w:sz w:val="20"/>
                <w:szCs w:val="20"/>
              </w:rPr>
              <w:t xml:space="preserve"> </w:t>
            </w:r>
            <w:r w:rsidRPr="0053749C">
              <w:rPr>
                <w:b/>
                <w:sz w:val="20"/>
                <w:szCs w:val="20"/>
              </w:rPr>
              <w:t>programie</w:t>
            </w:r>
          </w:p>
          <w:p w14:paraId="15A4F409" w14:textId="141963C0" w:rsidR="002A5345" w:rsidRPr="0053749C" w:rsidRDefault="00FD5BD6" w:rsidP="007C7B3D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N</w:t>
            </w:r>
            <w:r w:rsidR="002A5345" w:rsidRPr="0053749C">
              <w:rPr>
                <w:sz w:val="20"/>
                <w:szCs w:val="20"/>
              </w:rPr>
              <w:t>adwrażliwość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na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substancję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czynną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substancje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pomocnicze;</w:t>
            </w:r>
          </w:p>
          <w:p w14:paraId="7432C5F2" w14:textId="44C854C8" w:rsidR="002A5345" w:rsidRPr="0053749C" w:rsidRDefault="00FD5BD6" w:rsidP="007C7B3D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C</w:t>
            </w:r>
            <w:r w:rsidR="002A5345" w:rsidRPr="0053749C">
              <w:rPr>
                <w:sz w:val="20"/>
                <w:szCs w:val="20"/>
              </w:rPr>
              <w:t>iężkie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zakażenia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wirusowe,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grzybicze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bakteryjne;</w:t>
            </w:r>
          </w:p>
          <w:p w14:paraId="5AE0DC75" w14:textId="451A1F3B" w:rsidR="002A5345" w:rsidRPr="0053749C" w:rsidRDefault="00FD5BD6" w:rsidP="007C7B3D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U</w:t>
            </w:r>
            <w:r w:rsidR="002A5345" w:rsidRPr="0053749C">
              <w:rPr>
                <w:sz w:val="20"/>
                <w:szCs w:val="20"/>
              </w:rPr>
              <w:t>miarkowana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ciężka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niewydolność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mięśnia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sercowego;</w:t>
            </w:r>
          </w:p>
          <w:p w14:paraId="7F7664F8" w14:textId="3892CD43" w:rsidR="002A5345" w:rsidRPr="0053749C" w:rsidRDefault="00FD5BD6" w:rsidP="007C7B3D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N</w:t>
            </w:r>
            <w:r w:rsidR="002A5345" w:rsidRPr="0053749C">
              <w:rPr>
                <w:sz w:val="20"/>
                <w:szCs w:val="20"/>
              </w:rPr>
              <w:t>iestabilna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choroba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wieńcowa;</w:t>
            </w:r>
          </w:p>
          <w:p w14:paraId="7C0C7095" w14:textId="1F6771A1" w:rsidR="002A5345" w:rsidRPr="0053749C" w:rsidRDefault="00FD5BD6" w:rsidP="007C7B3D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P</w:t>
            </w:r>
            <w:r w:rsidR="002A5345" w:rsidRPr="0053749C">
              <w:rPr>
                <w:sz w:val="20"/>
                <w:szCs w:val="20"/>
              </w:rPr>
              <w:t>rzewlekła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niewydolność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oddechowa;</w:t>
            </w:r>
          </w:p>
          <w:p w14:paraId="0447F2F4" w14:textId="3FF21CDB" w:rsidR="002A5345" w:rsidRPr="0053749C" w:rsidRDefault="00C250DD" w:rsidP="007C7B3D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Ciężka,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</w:t>
            </w:r>
            <w:r w:rsidR="002A5345" w:rsidRPr="0053749C">
              <w:rPr>
                <w:sz w:val="20"/>
                <w:szCs w:val="20"/>
              </w:rPr>
              <w:t>rzewlekła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niewydolność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nerek;</w:t>
            </w:r>
          </w:p>
          <w:p w14:paraId="574020A1" w14:textId="30B417FF" w:rsidR="002A5345" w:rsidRPr="0053749C" w:rsidRDefault="00302426" w:rsidP="007C7B3D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Ciężka</w:t>
            </w:r>
            <w:r>
              <w:rPr>
                <w:sz w:val="20"/>
                <w:szCs w:val="20"/>
              </w:rPr>
              <w:t>, przewlekła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niewydolność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wątroby;</w:t>
            </w:r>
          </w:p>
          <w:p w14:paraId="52309DD9" w14:textId="04FEADC7" w:rsidR="002A5345" w:rsidRPr="0053749C" w:rsidRDefault="00FD5BD6" w:rsidP="007C7B3D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Z</w:t>
            </w:r>
            <w:r w:rsidR="002A5345" w:rsidRPr="0053749C">
              <w:rPr>
                <w:sz w:val="20"/>
                <w:szCs w:val="20"/>
              </w:rPr>
              <w:t>espół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demielinizacyjny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objawy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przypominające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ten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zespół;</w:t>
            </w:r>
          </w:p>
          <w:p w14:paraId="2E24741C" w14:textId="4366ED67" w:rsidR="002A5345" w:rsidRPr="0053749C" w:rsidRDefault="00FD5BD6" w:rsidP="007C7B3D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C</w:t>
            </w:r>
            <w:r w:rsidR="002A5345" w:rsidRPr="0053749C">
              <w:rPr>
                <w:sz w:val="20"/>
                <w:szCs w:val="20"/>
              </w:rPr>
              <w:t>horoba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alkoholowa,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poalkoholowe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uszkodzenie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wątroby;</w:t>
            </w:r>
          </w:p>
          <w:p w14:paraId="143F699B" w14:textId="0D37B843" w:rsidR="00840372" w:rsidRPr="0053749C" w:rsidRDefault="00FD5BD6" w:rsidP="007C7B3D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C</w:t>
            </w:r>
            <w:r w:rsidR="002A5345" w:rsidRPr="0053749C">
              <w:rPr>
                <w:sz w:val="20"/>
                <w:szCs w:val="20"/>
              </w:rPr>
              <w:t>iąża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karmienie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piersią</w:t>
            </w:r>
            <w:r w:rsidR="00840372" w:rsidRPr="0053749C">
              <w:rPr>
                <w:sz w:val="20"/>
                <w:szCs w:val="20"/>
              </w:rPr>
              <w:t>-</w:t>
            </w:r>
            <w:r w:rsidR="007C7B3D">
              <w:rPr>
                <w:sz w:val="20"/>
                <w:szCs w:val="20"/>
              </w:rPr>
              <w:t xml:space="preserve"> </w:t>
            </w:r>
            <w:r w:rsidR="00840372" w:rsidRPr="0053749C">
              <w:rPr>
                <w:sz w:val="20"/>
                <w:szCs w:val="20"/>
              </w:rPr>
              <w:t>możliwość</w:t>
            </w:r>
            <w:r w:rsidR="007C7B3D">
              <w:rPr>
                <w:sz w:val="20"/>
                <w:szCs w:val="20"/>
              </w:rPr>
              <w:t xml:space="preserve"> </w:t>
            </w:r>
            <w:r w:rsidR="00840372" w:rsidRPr="0053749C">
              <w:rPr>
                <w:sz w:val="20"/>
                <w:szCs w:val="20"/>
              </w:rPr>
              <w:t>leczenia</w:t>
            </w:r>
            <w:r w:rsidR="007C7B3D">
              <w:rPr>
                <w:sz w:val="20"/>
                <w:szCs w:val="20"/>
              </w:rPr>
              <w:t xml:space="preserve"> </w:t>
            </w:r>
            <w:r w:rsidR="00840372"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="00840372" w:rsidRPr="0053749C">
              <w:rPr>
                <w:sz w:val="20"/>
                <w:szCs w:val="20"/>
              </w:rPr>
              <w:t>przypadkach</w:t>
            </w:r>
            <w:r w:rsidR="007C7B3D">
              <w:rPr>
                <w:sz w:val="20"/>
                <w:szCs w:val="20"/>
              </w:rPr>
              <w:t xml:space="preserve"> </w:t>
            </w:r>
            <w:r w:rsidR="00840372" w:rsidRPr="0053749C">
              <w:rPr>
                <w:sz w:val="20"/>
                <w:szCs w:val="20"/>
              </w:rPr>
              <w:t>uzasadnionych</w:t>
            </w:r>
            <w:r w:rsidR="007C7B3D">
              <w:rPr>
                <w:sz w:val="20"/>
                <w:szCs w:val="20"/>
              </w:rPr>
              <w:t xml:space="preserve"> </w:t>
            </w:r>
            <w:r w:rsidR="00840372" w:rsidRPr="0053749C">
              <w:rPr>
                <w:sz w:val="20"/>
                <w:szCs w:val="20"/>
              </w:rPr>
              <w:t>aktualną</w:t>
            </w:r>
            <w:r w:rsidR="007C7B3D">
              <w:rPr>
                <w:sz w:val="20"/>
                <w:szCs w:val="20"/>
              </w:rPr>
              <w:t xml:space="preserve"> </w:t>
            </w:r>
            <w:r w:rsidR="00840372" w:rsidRPr="0053749C">
              <w:rPr>
                <w:sz w:val="20"/>
                <w:szCs w:val="20"/>
              </w:rPr>
              <w:t>wiedzą</w:t>
            </w:r>
            <w:r w:rsidR="007C7B3D">
              <w:rPr>
                <w:sz w:val="20"/>
                <w:szCs w:val="20"/>
              </w:rPr>
              <w:t xml:space="preserve"> </w:t>
            </w:r>
            <w:r w:rsidR="00840372" w:rsidRPr="0053749C">
              <w:rPr>
                <w:sz w:val="20"/>
                <w:szCs w:val="20"/>
              </w:rPr>
              <w:t>medyczną,</w:t>
            </w:r>
            <w:r w:rsidR="007C7B3D">
              <w:rPr>
                <w:sz w:val="20"/>
                <w:szCs w:val="20"/>
              </w:rPr>
              <w:t xml:space="preserve"> </w:t>
            </w:r>
            <w:r w:rsidR="00840372" w:rsidRPr="0053749C">
              <w:rPr>
                <w:sz w:val="20"/>
                <w:szCs w:val="20"/>
              </w:rPr>
              <w:t>zgodnie</w:t>
            </w:r>
            <w:r w:rsidR="007C7B3D">
              <w:rPr>
                <w:sz w:val="20"/>
                <w:szCs w:val="20"/>
              </w:rPr>
              <w:t xml:space="preserve"> </w:t>
            </w:r>
            <w:r w:rsidR="00840372" w:rsidRPr="0053749C">
              <w:rPr>
                <w:sz w:val="20"/>
                <w:szCs w:val="20"/>
              </w:rPr>
              <w:t>z</w:t>
            </w:r>
            <w:r w:rsidR="007C7B3D">
              <w:rPr>
                <w:sz w:val="20"/>
                <w:szCs w:val="20"/>
              </w:rPr>
              <w:t xml:space="preserve"> </w:t>
            </w:r>
            <w:r w:rsidR="00840372" w:rsidRPr="0053749C">
              <w:rPr>
                <w:sz w:val="20"/>
                <w:szCs w:val="20"/>
              </w:rPr>
              <w:t>rekomendacjami</w:t>
            </w:r>
            <w:r w:rsidR="007C7B3D">
              <w:rPr>
                <w:sz w:val="20"/>
                <w:szCs w:val="20"/>
              </w:rPr>
              <w:t xml:space="preserve"> </w:t>
            </w:r>
            <w:r w:rsidR="00840372" w:rsidRPr="0053749C">
              <w:rPr>
                <w:sz w:val="20"/>
                <w:szCs w:val="20"/>
              </w:rPr>
              <w:t>ECCO/PTG-e</w:t>
            </w:r>
          </w:p>
          <w:p w14:paraId="27F098C6" w14:textId="03C96DC5" w:rsidR="002A5345" w:rsidRPr="0053749C" w:rsidRDefault="00FD5BD6" w:rsidP="007C7B3D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R</w:t>
            </w:r>
            <w:r w:rsidR="002A5345" w:rsidRPr="0053749C">
              <w:rPr>
                <w:sz w:val="20"/>
                <w:szCs w:val="20"/>
              </w:rPr>
              <w:t>ozpoznanie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nowotworów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złośliwych,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również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okresie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5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lat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poprzedzających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moment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kwalifikowania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do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programu</w:t>
            </w:r>
            <w:r w:rsidR="007C7B3D">
              <w:rPr>
                <w:sz w:val="20"/>
                <w:szCs w:val="20"/>
              </w:rPr>
              <w:t xml:space="preserve"> </w:t>
            </w:r>
            <w:r w:rsidR="008C6D50" w:rsidRPr="0053749C">
              <w:rPr>
                <w:sz w:val="20"/>
                <w:szCs w:val="20"/>
              </w:rPr>
              <w:t>(poza</w:t>
            </w:r>
            <w:r w:rsidR="007C7B3D">
              <w:rPr>
                <w:sz w:val="20"/>
                <w:szCs w:val="20"/>
              </w:rPr>
              <w:t xml:space="preserve"> </w:t>
            </w:r>
            <w:r w:rsidR="008C6D50" w:rsidRPr="0053749C">
              <w:rPr>
                <w:sz w:val="20"/>
                <w:szCs w:val="20"/>
              </w:rPr>
              <w:t>rakiem</w:t>
            </w:r>
            <w:r w:rsidR="007C7B3D">
              <w:rPr>
                <w:sz w:val="20"/>
                <w:szCs w:val="20"/>
              </w:rPr>
              <w:t xml:space="preserve"> </w:t>
            </w:r>
            <w:r w:rsidR="008C6D50" w:rsidRPr="0053749C">
              <w:rPr>
                <w:sz w:val="20"/>
                <w:szCs w:val="20"/>
              </w:rPr>
              <w:t>in</w:t>
            </w:r>
            <w:r w:rsidR="007C7B3D">
              <w:rPr>
                <w:sz w:val="20"/>
                <w:szCs w:val="20"/>
              </w:rPr>
              <w:t xml:space="preserve"> </w:t>
            </w:r>
            <w:r w:rsidR="008C6D50" w:rsidRPr="0053749C">
              <w:rPr>
                <w:sz w:val="20"/>
                <w:szCs w:val="20"/>
              </w:rPr>
              <w:t>situ</w:t>
            </w:r>
            <w:r w:rsidR="007C7B3D">
              <w:rPr>
                <w:sz w:val="20"/>
                <w:szCs w:val="20"/>
              </w:rPr>
              <w:t xml:space="preserve"> </w:t>
            </w:r>
            <w:r w:rsidR="008C6D50" w:rsidRPr="0053749C">
              <w:rPr>
                <w:sz w:val="20"/>
                <w:szCs w:val="20"/>
              </w:rPr>
              <w:t>szyjki</w:t>
            </w:r>
            <w:r w:rsidR="007C7B3D">
              <w:rPr>
                <w:sz w:val="20"/>
                <w:szCs w:val="20"/>
              </w:rPr>
              <w:t xml:space="preserve"> </w:t>
            </w:r>
            <w:r w:rsidR="008C6D50" w:rsidRPr="0053749C">
              <w:rPr>
                <w:sz w:val="20"/>
                <w:szCs w:val="20"/>
              </w:rPr>
              <w:t>macicy,</w:t>
            </w:r>
            <w:r w:rsidR="007C7B3D">
              <w:rPr>
                <w:sz w:val="20"/>
                <w:szCs w:val="20"/>
              </w:rPr>
              <w:t xml:space="preserve"> </w:t>
            </w:r>
            <w:r w:rsidR="008C6D50" w:rsidRPr="0053749C">
              <w:rPr>
                <w:sz w:val="20"/>
                <w:szCs w:val="20"/>
              </w:rPr>
              <w:t>nieczerniakowymi</w:t>
            </w:r>
            <w:r w:rsidR="007C7B3D">
              <w:rPr>
                <w:sz w:val="20"/>
                <w:szCs w:val="20"/>
              </w:rPr>
              <w:t xml:space="preserve"> </w:t>
            </w:r>
            <w:r w:rsidR="008C6D50" w:rsidRPr="0053749C">
              <w:rPr>
                <w:sz w:val="20"/>
                <w:szCs w:val="20"/>
              </w:rPr>
              <w:t>nowotworami</w:t>
            </w:r>
            <w:r w:rsidR="007C7B3D">
              <w:rPr>
                <w:sz w:val="20"/>
                <w:szCs w:val="20"/>
              </w:rPr>
              <w:t xml:space="preserve"> </w:t>
            </w:r>
            <w:r w:rsidR="008C6D50" w:rsidRPr="0053749C">
              <w:rPr>
                <w:sz w:val="20"/>
                <w:szCs w:val="20"/>
              </w:rPr>
              <w:t>skóry)</w:t>
            </w:r>
            <w:r w:rsidR="002A5345" w:rsidRPr="0053749C">
              <w:rPr>
                <w:sz w:val="20"/>
                <w:szCs w:val="20"/>
              </w:rPr>
              <w:t>;</w:t>
            </w:r>
          </w:p>
          <w:p w14:paraId="5421A39E" w14:textId="1DFC3C58" w:rsidR="002A5345" w:rsidRPr="0053749C" w:rsidRDefault="00FD5BD6" w:rsidP="007C7B3D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P</w:t>
            </w:r>
            <w:r w:rsidR="002A5345" w:rsidRPr="0053749C">
              <w:rPr>
                <w:sz w:val="20"/>
                <w:szCs w:val="20"/>
              </w:rPr>
              <w:t>owikłania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wymagające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innego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postępowania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(np.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leczenia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operacyjnego).</w:t>
            </w:r>
          </w:p>
          <w:p w14:paraId="4D3C7D00" w14:textId="1F202327" w:rsidR="0078324A" w:rsidRPr="0053749C" w:rsidRDefault="0078324A" w:rsidP="007C7B3D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Stężenie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hemoglobiny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poniżej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9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g/dl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–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dotyczy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stosowania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tofacytynibu.</w:t>
            </w:r>
          </w:p>
          <w:p w14:paraId="54EB2957" w14:textId="77777777" w:rsidR="000C3FDE" w:rsidRPr="0053749C" w:rsidRDefault="000C3FDE" w:rsidP="0053749C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sz w:val="20"/>
                <w:szCs w:val="20"/>
              </w:rPr>
            </w:pPr>
          </w:p>
          <w:p w14:paraId="298ECD60" w14:textId="4D513CD5" w:rsidR="0041605B" w:rsidRPr="0053749C" w:rsidRDefault="0041605B" w:rsidP="007C7B3D">
            <w:pPr>
              <w:numPr>
                <w:ilvl w:val="0"/>
                <w:numId w:val="44"/>
              </w:num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53749C">
              <w:rPr>
                <w:b/>
                <w:sz w:val="20"/>
                <w:szCs w:val="20"/>
              </w:rPr>
              <w:t>Określenie</w:t>
            </w:r>
            <w:r w:rsidR="007C7B3D">
              <w:rPr>
                <w:b/>
                <w:sz w:val="20"/>
                <w:szCs w:val="20"/>
              </w:rPr>
              <w:t xml:space="preserve"> </w:t>
            </w:r>
            <w:r w:rsidRPr="0053749C">
              <w:rPr>
                <w:b/>
                <w:sz w:val="20"/>
                <w:szCs w:val="20"/>
              </w:rPr>
              <w:t>czasu</w:t>
            </w:r>
            <w:r w:rsidR="007C7B3D">
              <w:rPr>
                <w:b/>
                <w:sz w:val="20"/>
                <w:szCs w:val="20"/>
              </w:rPr>
              <w:t xml:space="preserve"> </w:t>
            </w:r>
            <w:r w:rsidRPr="0053749C">
              <w:rPr>
                <w:b/>
                <w:sz w:val="20"/>
                <w:szCs w:val="20"/>
              </w:rPr>
              <w:t>leczenia</w:t>
            </w:r>
            <w:r w:rsidR="007C7B3D">
              <w:rPr>
                <w:b/>
                <w:sz w:val="20"/>
                <w:szCs w:val="20"/>
              </w:rPr>
              <w:t xml:space="preserve"> </w:t>
            </w:r>
            <w:r w:rsidRPr="0053749C">
              <w:rPr>
                <w:b/>
                <w:sz w:val="20"/>
                <w:szCs w:val="20"/>
              </w:rPr>
              <w:t>w</w:t>
            </w:r>
            <w:r w:rsidR="007C7B3D">
              <w:rPr>
                <w:b/>
                <w:sz w:val="20"/>
                <w:szCs w:val="20"/>
              </w:rPr>
              <w:t xml:space="preserve"> </w:t>
            </w:r>
            <w:r w:rsidRPr="0053749C">
              <w:rPr>
                <w:b/>
                <w:sz w:val="20"/>
                <w:szCs w:val="20"/>
              </w:rPr>
              <w:t>programie</w:t>
            </w:r>
          </w:p>
          <w:p w14:paraId="143D4FB0" w14:textId="0D56BAD8" w:rsidR="00CB2B3A" w:rsidRPr="007C7B3D" w:rsidRDefault="00CB2B3A" w:rsidP="007C7B3D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7C7B3D">
              <w:rPr>
                <w:sz w:val="20"/>
                <w:szCs w:val="20"/>
              </w:rPr>
              <w:t>Podczas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oceny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skuteczności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terapii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indukcyjnej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należy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zdecydować,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czy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jest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wskazane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leczenie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podtrzymujące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i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ewentualnie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je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rozpocząć.</w:t>
            </w:r>
            <w:r w:rsidR="007C7B3D">
              <w:rPr>
                <w:sz w:val="20"/>
                <w:szCs w:val="20"/>
              </w:rPr>
              <w:t xml:space="preserve"> </w:t>
            </w:r>
          </w:p>
          <w:p w14:paraId="0F26BFBF" w14:textId="77777777" w:rsidR="00CB2B3A" w:rsidRPr="0053749C" w:rsidRDefault="00CB2B3A" w:rsidP="007C7B3D">
            <w:pPr>
              <w:numPr>
                <w:ilvl w:val="3"/>
                <w:numId w:val="44"/>
              </w:numPr>
              <w:suppressAutoHyphens/>
              <w:spacing w:after="60" w:line="276" w:lineRule="auto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Infliksymab</w:t>
            </w:r>
          </w:p>
          <w:p w14:paraId="62B87C15" w14:textId="5AE7B4A9" w:rsidR="00CB2B3A" w:rsidRPr="0053749C" w:rsidRDefault="00CB2B3A" w:rsidP="007C7B3D">
            <w:pPr>
              <w:numPr>
                <w:ilvl w:val="4"/>
                <w:numId w:val="44"/>
              </w:numPr>
              <w:suppressAutoHyphens/>
              <w:spacing w:after="60" w:line="276" w:lineRule="auto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terapia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indukcyjna: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6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tygodni;</w:t>
            </w:r>
          </w:p>
          <w:p w14:paraId="32556E1F" w14:textId="612C6543" w:rsidR="00441EF4" w:rsidRPr="0053749C" w:rsidRDefault="00CB2B3A" w:rsidP="007C7B3D">
            <w:pPr>
              <w:numPr>
                <w:ilvl w:val="4"/>
                <w:numId w:val="44"/>
              </w:numPr>
              <w:suppressAutoHyphens/>
              <w:spacing w:after="60" w:line="276" w:lineRule="auto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lastRenderedPageBreak/>
              <w:t>leczenie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podtrzymujące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infliksymabem</w:t>
            </w:r>
            <w:r w:rsidR="007C7B3D">
              <w:rPr>
                <w:sz w:val="20"/>
                <w:szCs w:val="20"/>
              </w:rPr>
              <w:t xml:space="preserve"> </w:t>
            </w:r>
            <w:r w:rsidR="00DF4644" w:rsidRPr="0053749C">
              <w:rPr>
                <w:sz w:val="20"/>
                <w:szCs w:val="20"/>
              </w:rPr>
              <w:t>może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trwać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aż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do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momentu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stwierdzenia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braku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odpowiedzi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na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leczenie.</w:t>
            </w:r>
            <w:r w:rsidR="007C7B3D">
              <w:rPr>
                <w:sz w:val="20"/>
                <w:szCs w:val="20"/>
              </w:rPr>
              <w:t xml:space="preserve"> </w:t>
            </w:r>
            <w:r w:rsidR="00524837" w:rsidRPr="0053749C">
              <w:rPr>
                <w:sz w:val="20"/>
                <w:szCs w:val="20"/>
              </w:rPr>
              <w:t>Ocena</w:t>
            </w:r>
            <w:r w:rsidR="007C7B3D">
              <w:rPr>
                <w:sz w:val="20"/>
                <w:szCs w:val="20"/>
              </w:rPr>
              <w:t xml:space="preserve"> </w:t>
            </w:r>
            <w:r w:rsidR="00524837" w:rsidRPr="0053749C">
              <w:rPr>
                <w:sz w:val="20"/>
                <w:szCs w:val="20"/>
              </w:rPr>
              <w:t>zasadności</w:t>
            </w:r>
            <w:r w:rsidR="007C7B3D">
              <w:rPr>
                <w:sz w:val="20"/>
                <w:szCs w:val="20"/>
              </w:rPr>
              <w:t xml:space="preserve"> </w:t>
            </w:r>
            <w:r w:rsidR="00524837" w:rsidRPr="0053749C">
              <w:rPr>
                <w:sz w:val="20"/>
                <w:szCs w:val="20"/>
              </w:rPr>
              <w:t>kontynuacji</w:t>
            </w:r>
            <w:r w:rsidR="007C7B3D">
              <w:rPr>
                <w:sz w:val="20"/>
                <w:szCs w:val="20"/>
              </w:rPr>
              <w:t xml:space="preserve"> </w:t>
            </w:r>
            <w:r w:rsidR="00524837" w:rsidRPr="0053749C">
              <w:rPr>
                <w:sz w:val="20"/>
                <w:szCs w:val="20"/>
              </w:rPr>
              <w:t>leczenia</w:t>
            </w:r>
            <w:r w:rsidR="007C7B3D">
              <w:rPr>
                <w:sz w:val="20"/>
                <w:szCs w:val="20"/>
              </w:rPr>
              <w:t xml:space="preserve"> </w:t>
            </w:r>
            <w:r w:rsidR="00524837" w:rsidRPr="0053749C">
              <w:rPr>
                <w:sz w:val="20"/>
                <w:szCs w:val="20"/>
              </w:rPr>
              <w:t>powinna</w:t>
            </w:r>
            <w:r w:rsidR="007C7B3D">
              <w:rPr>
                <w:sz w:val="20"/>
                <w:szCs w:val="20"/>
              </w:rPr>
              <w:t xml:space="preserve"> </w:t>
            </w:r>
            <w:r w:rsidR="00524837" w:rsidRPr="0053749C">
              <w:rPr>
                <w:sz w:val="20"/>
                <w:szCs w:val="20"/>
              </w:rPr>
              <w:t>być</w:t>
            </w:r>
            <w:r w:rsidR="007C7B3D">
              <w:rPr>
                <w:sz w:val="20"/>
                <w:szCs w:val="20"/>
              </w:rPr>
              <w:t xml:space="preserve"> </w:t>
            </w:r>
            <w:r w:rsidR="00524837" w:rsidRPr="0053749C">
              <w:rPr>
                <w:sz w:val="20"/>
                <w:szCs w:val="20"/>
              </w:rPr>
              <w:t>przeprowadzona</w:t>
            </w:r>
            <w:r w:rsidR="007C7B3D">
              <w:rPr>
                <w:sz w:val="20"/>
                <w:szCs w:val="20"/>
              </w:rPr>
              <w:t xml:space="preserve"> </w:t>
            </w:r>
            <w:r w:rsidR="00524837" w:rsidRPr="0053749C">
              <w:rPr>
                <w:sz w:val="20"/>
                <w:szCs w:val="20"/>
              </w:rPr>
              <w:t>co</w:t>
            </w:r>
            <w:r w:rsidR="007C7B3D">
              <w:rPr>
                <w:sz w:val="20"/>
                <w:szCs w:val="20"/>
              </w:rPr>
              <w:t xml:space="preserve"> </w:t>
            </w:r>
            <w:r w:rsidR="00524837" w:rsidRPr="0053749C">
              <w:rPr>
                <w:sz w:val="20"/>
                <w:szCs w:val="20"/>
              </w:rPr>
              <w:t>najmniej</w:t>
            </w:r>
            <w:r w:rsidR="007C7B3D">
              <w:rPr>
                <w:sz w:val="20"/>
                <w:szCs w:val="20"/>
              </w:rPr>
              <w:t xml:space="preserve"> </w:t>
            </w:r>
            <w:r w:rsidR="00524837" w:rsidRPr="0053749C">
              <w:rPr>
                <w:sz w:val="20"/>
                <w:szCs w:val="20"/>
              </w:rPr>
              <w:t>raz</w:t>
            </w:r>
            <w:r w:rsidR="007C7B3D">
              <w:rPr>
                <w:sz w:val="20"/>
                <w:szCs w:val="20"/>
              </w:rPr>
              <w:t xml:space="preserve"> </w:t>
            </w:r>
            <w:r w:rsidR="00524837" w:rsidRPr="0053749C">
              <w:rPr>
                <w:sz w:val="20"/>
                <w:szCs w:val="20"/>
              </w:rPr>
              <w:t>na</w:t>
            </w:r>
            <w:r w:rsidR="007C7B3D">
              <w:rPr>
                <w:sz w:val="20"/>
                <w:szCs w:val="20"/>
              </w:rPr>
              <w:t xml:space="preserve"> </w:t>
            </w:r>
            <w:r w:rsidR="00524837" w:rsidRPr="0053749C">
              <w:rPr>
                <w:sz w:val="20"/>
                <w:szCs w:val="20"/>
              </w:rPr>
              <w:t>12</w:t>
            </w:r>
            <w:r w:rsidR="007C7B3D">
              <w:rPr>
                <w:sz w:val="20"/>
                <w:szCs w:val="20"/>
              </w:rPr>
              <w:t xml:space="preserve"> </w:t>
            </w:r>
            <w:r w:rsidR="00524837" w:rsidRPr="0053749C">
              <w:rPr>
                <w:sz w:val="20"/>
                <w:szCs w:val="20"/>
              </w:rPr>
              <w:t>miesięcy</w:t>
            </w:r>
            <w:r w:rsidR="007C7B3D">
              <w:rPr>
                <w:sz w:val="20"/>
                <w:szCs w:val="20"/>
              </w:rPr>
              <w:t xml:space="preserve"> </w:t>
            </w:r>
            <w:r w:rsidR="00524837"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="00524837" w:rsidRPr="0053749C">
              <w:rPr>
                <w:sz w:val="20"/>
                <w:szCs w:val="20"/>
              </w:rPr>
              <w:t>oparciu</w:t>
            </w:r>
            <w:r w:rsidR="007C7B3D">
              <w:rPr>
                <w:sz w:val="20"/>
                <w:szCs w:val="20"/>
              </w:rPr>
              <w:t xml:space="preserve"> </w:t>
            </w:r>
            <w:r w:rsidR="00524837" w:rsidRPr="0053749C">
              <w:rPr>
                <w:sz w:val="20"/>
                <w:szCs w:val="20"/>
              </w:rPr>
              <w:t>o</w:t>
            </w:r>
            <w:r w:rsidR="007C7B3D">
              <w:rPr>
                <w:sz w:val="20"/>
                <w:szCs w:val="20"/>
              </w:rPr>
              <w:t xml:space="preserve"> </w:t>
            </w:r>
            <w:r w:rsidR="00524837" w:rsidRPr="0053749C">
              <w:rPr>
                <w:sz w:val="20"/>
                <w:szCs w:val="20"/>
              </w:rPr>
              <w:t>skalę</w:t>
            </w:r>
            <w:r w:rsidR="007C7B3D">
              <w:rPr>
                <w:sz w:val="20"/>
                <w:szCs w:val="20"/>
              </w:rPr>
              <w:t xml:space="preserve"> </w:t>
            </w:r>
            <w:r w:rsidR="00524837" w:rsidRPr="0053749C">
              <w:rPr>
                <w:sz w:val="20"/>
                <w:szCs w:val="20"/>
              </w:rPr>
              <w:t>Mayo</w:t>
            </w:r>
            <w:r w:rsidR="007C7B3D">
              <w:rPr>
                <w:sz w:val="20"/>
                <w:szCs w:val="20"/>
              </w:rPr>
              <w:t xml:space="preserve"> </w:t>
            </w:r>
            <w:r w:rsidR="00620285" w:rsidRPr="0053749C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  <w:r w:rsidR="00620285" w:rsidRPr="0053749C">
              <w:rPr>
                <w:sz w:val="20"/>
                <w:szCs w:val="20"/>
              </w:rPr>
              <w:t>PUCAI.</w:t>
            </w:r>
          </w:p>
          <w:p w14:paraId="77916CDB" w14:textId="77777777" w:rsidR="00A021A9" w:rsidRPr="0053749C" w:rsidRDefault="00A021A9" w:rsidP="007C7B3D">
            <w:pPr>
              <w:numPr>
                <w:ilvl w:val="3"/>
                <w:numId w:val="44"/>
              </w:numPr>
              <w:suppressAutoHyphens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Wedolizumab</w:t>
            </w:r>
          </w:p>
          <w:p w14:paraId="2109FD94" w14:textId="10B8C802" w:rsidR="00A021A9" w:rsidRPr="0053749C" w:rsidRDefault="00A021A9" w:rsidP="007C7B3D">
            <w:pPr>
              <w:numPr>
                <w:ilvl w:val="4"/>
                <w:numId w:val="44"/>
              </w:numPr>
              <w:suppressAutoHyphens/>
              <w:spacing w:after="60" w:line="276" w:lineRule="auto"/>
              <w:jc w:val="both"/>
              <w:rPr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terapia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indukcyjna: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7E2DA6" w:rsidRPr="0053749C">
              <w:rPr>
                <w:color w:val="000000"/>
                <w:sz w:val="20"/>
                <w:szCs w:val="20"/>
              </w:rPr>
              <w:t>6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7E2DA6" w:rsidRPr="0053749C">
              <w:rPr>
                <w:color w:val="000000"/>
                <w:sz w:val="20"/>
                <w:szCs w:val="20"/>
              </w:rPr>
              <w:t>tygodni;</w:t>
            </w:r>
          </w:p>
          <w:p w14:paraId="1751DF86" w14:textId="585D9886" w:rsidR="00A021A9" w:rsidRPr="0053749C" w:rsidRDefault="00A021A9" w:rsidP="007C7B3D">
            <w:pPr>
              <w:numPr>
                <w:ilvl w:val="4"/>
                <w:numId w:val="44"/>
              </w:numPr>
              <w:suppressAutoHyphens/>
              <w:spacing w:after="60" w:line="276" w:lineRule="auto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leczenie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podtrzymujące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wedolizumabem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może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trwać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aż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do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momentu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stwierdzenia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braku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odpowiedzi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na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leczenie.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Ocena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zasadności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kontynuacji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leczenia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powinna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być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przeprowadzona</w:t>
            </w:r>
            <w:r w:rsidR="007C7B3D">
              <w:rPr>
                <w:bCs/>
                <w:iCs/>
                <w:sz w:val="20"/>
                <w:szCs w:val="20"/>
              </w:rPr>
              <w:t xml:space="preserve"> </w:t>
            </w:r>
            <w:r w:rsidRPr="0053749C">
              <w:rPr>
                <w:bCs/>
                <w:iCs/>
                <w:sz w:val="20"/>
                <w:szCs w:val="20"/>
              </w:rPr>
              <w:t>do</w:t>
            </w:r>
            <w:r w:rsidR="007C7B3D">
              <w:rPr>
                <w:bCs/>
                <w:iCs/>
                <w:sz w:val="20"/>
                <w:szCs w:val="20"/>
              </w:rPr>
              <w:t xml:space="preserve"> </w:t>
            </w:r>
            <w:r w:rsidRPr="0053749C">
              <w:rPr>
                <w:bCs/>
                <w:iCs/>
                <w:sz w:val="20"/>
                <w:szCs w:val="20"/>
              </w:rPr>
              <w:t>14</w:t>
            </w:r>
            <w:r w:rsidR="007C7B3D">
              <w:rPr>
                <w:bCs/>
                <w:iCs/>
                <w:sz w:val="20"/>
                <w:szCs w:val="20"/>
              </w:rPr>
              <w:t xml:space="preserve"> </w:t>
            </w:r>
            <w:r w:rsidRPr="0053749C">
              <w:rPr>
                <w:bCs/>
                <w:iCs/>
                <w:sz w:val="20"/>
                <w:szCs w:val="20"/>
              </w:rPr>
              <w:t>tygodnia</w:t>
            </w:r>
            <w:r w:rsidR="007C7B3D">
              <w:rPr>
                <w:bCs/>
                <w:iCs/>
                <w:sz w:val="20"/>
                <w:szCs w:val="20"/>
              </w:rPr>
              <w:t xml:space="preserve"> </w:t>
            </w:r>
            <w:r w:rsidRPr="0053749C">
              <w:rPr>
                <w:bCs/>
                <w:iCs/>
                <w:sz w:val="20"/>
                <w:szCs w:val="20"/>
              </w:rPr>
              <w:t>od</w:t>
            </w:r>
            <w:r w:rsidR="007C7B3D">
              <w:rPr>
                <w:bCs/>
                <w:iCs/>
                <w:sz w:val="20"/>
                <w:szCs w:val="20"/>
              </w:rPr>
              <w:t xml:space="preserve"> </w:t>
            </w:r>
            <w:r w:rsidRPr="0053749C">
              <w:rPr>
                <w:bCs/>
                <w:iCs/>
                <w:sz w:val="20"/>
                <w:szCs w:val="20"/>
              </w:rPr>
              <w:t>rozpoczęcia</w:t>
            </w:r>
            <w:r w:rsidR="007C7B3D">
              <w:rPr>
                <w:bCs/>
                <w:iCs/>
                <w:sz w:val="20"/>
                <w:szCs w:val="20"/>
              </w:rPr>
              <w:t xml:space="preserve"> </w:t>
            </w:r>
            <w:r w:rsidRPr="0053749C">
              <w:rPr>
                <w:bCs/>
                <w:iCs/>
                <w:sz w:val="20"/>
                <w:szCs w:val="20"/>
              </w:rPr>
              <w:t>terapii</w:t>
            </w:r>
            <w:r w:rsidR="002B52A4" w:rsidRPr="0053749C">
              <w:rPr>
                <w:bCs/>
                <w:iCs/>
                <w:sz w:val="20"/>
                <w:szCs w:val="20"/>
              </w:rPr>
              <w:t>,</w:t>
            </w:r>
            <w:r w:rsidR="007C7B3D">
              <w:rPr>
                <w:bCs/>
                <w:iCs/>
                <w:sz w:val="20"/>
                <w:szCs w:val="20"/>
              </w:rPr>
              <w:t xml:space="preserve"> </w:t>
            </w:r>
            <w:r w:rsidR="002B52A4" w:rsidRPr="0053749C">
              <w:rPr>
                <w:bCs/>
                <w:iCs/>
                <w:sz w:val="20"/>
                <w:szCs w:val="20"/>
              </w:rPr>
              <w:t>a</w:t>
            </w:r>
            <w:r w:rsidR="007C7B3D">
              <w:rPr>
                <w:bCs/>
                <w:iCs/>
                <w:sz w:val="20"/>
                <w:szCs w:val="20"/>
              </w:rPr>
              <w:t xml:space="preserve"> </w:t>
            </w:r>
            <w:r w:rsidR="007059C0" w:rsidRPr="0053749C">
              <w:rPr>
                <w:bCs/>
                <w:iCs/>
                <w:sz w:val="20"/>
                <w:szCs w:val="20"/>
              </w:rPr>
              <w:t>następnie</w:t>
            </w:r>
            <w:r w:rsidR="007C7B3D">
              <w:rPr>
                <w:bCs/>
                <w:iCs/>
                <w:sz w:val="20"/>
                <w:szCs w:val="20"/>
              </w:rPr>
              <w:t xml:space="preserve"> </w:t>
            </w:r>
            <w:r w:rsidR="007059C0" w:rsidRPr="0053749C">
              <w:rPr>
                <w:sz w:val="20"/>
                <w:szCs w:val="20"/>
              </w:rPr>
              <w:t>co</w:t>
            </w:r>
            <w:r w:rsidR="007C7B3D">
              <w:rPr>
                <w:sz w:val="20"/>
                <w:szCs w:val="20"/>
              </w:rPr>
              <w:t xml:space="preserve"> </w:t>
            </w:r>
            <w:r w:rsidR="007059C0" w:rsidRPr="0053749C">
              <w:rPr>
                <w:sz w:val="20"/>
                <w:szCs w:val="20"/>
              </w:rPr>
              <w:t>najmniej</w:t>
            </w:r>
            <w:r w:rsidR="007C7B3D">
              <w:rPr>
                <w:sz w:val="20"/>
                <w:szCs w:val="20"/>
              </w:rPr>
              <w:t xml:space="preserve"> </w:t>
            </w:r>
            <w:r w:rsidR="007059C0" w:rsidRPr="0053749C">
              <w:rPr>
                <w:sz w:val="20"/>
                <w:szCs w:val="20"/>
              </w:rPr>
              <w:t>raz</w:t>
            </w:r>
            <w:r w:rsidR="007C7B3D">
              <w:rPr>
                <w:sz w:val="20"/>
                <w:szCs w:val="20"/>
              </w:rPr>
              <w:t xml:space="preserve"> </w:t>
            </w:r>
            <w:r w:rsidR="007059C0" w:rsidRPr="0053749C">
              <w:rPr>
                <w:sz w:val="20"/>
                <w:szCs w:val="20"/>
              </w:rPr>
              <w:t>na</w:t>
            </w:r>
            <w:r w:rsidR="007C7B3D">
              <w:rPr>
                <w:sz w:val="20"/>
                <w:szCs w:val="20"/>
              </w:rPr>
              <w:t xml:space="preserve"> </w:t>
            </w:r>
            <w:r w:rsidR="007059C0" w:rsidRPr="0053749C">
              <w:rPr>
                <w:sz w:val="20"/>
                <w:szCs w:val="20"/>
              </w:rPr>
              <w:t>12</w:t>
            </w:r>
            <w:r w:rsidR="007C7B3D">
              <w:rPr>
                <w:sz w:val="20"/>
                <w:szCs w:val="20"/>
              </w:rPr>
              <w:t xml:space="preserve"> </w:t>
            </w:r>
            <w:r w:rsidR="007059C0" w:rsidRPr="0053749C">
              <w:rPr>
                <w:sz w:val="20"/>
                <w:szCs w:val="20"/>
              </w:rPr>
              <w:t>miesięcy</w:t>
            </w:r>
            <w:r w:rsidR="007C7B3D">
              <w:rPr>
                <w:sz w:val="20"/>
                <w:szCs w:val="20"/>
              </w:rPr>
              <w:t xml:space="preserve"> </w:t>
            </w:r>
            <w:r w:rsidR="007059C0"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="007059C0" w:rsidRPr="0053749C">
              <w:rPr>
                <w:sz w:val="20"/>
                <w:szCs w:val="20"/>
              </w:rPr>
              <w:t>oparciu</w:t>
            </w:r>
            <w:r w:rsidR="007C7B3D">
              <w:rPr>
                <w:sz w:val="20"/>
                <w:szCs w:val="20"/>
              </w:rPr>
              <w:t xml:space="preserve"> </w:t>
            </w:r>
            <w:r w:rsidR="007059C0" w:rsidRPr="0053749C">
              <w:rPr>
                <w:sz w:val="20"/>
                <w:szCs w:val="20"/>
              </w:rPr>
              <w:t>o</w:t>
            </w:r>
            <w:r w:rsidR="007C7B3D">
              <w:rPr>
                <w:sz w:val="20"/>
                <w:szCs w:val="20"/>
              </w:rPr>
              <w:t xml:space="preserve"> </w:t>
            </w:r>
            <w:r w:rsidR="007059C0" w:rsidRPr="0053749C">
              <w:rPr>
                <w:sz w:val="20"/>
                <w:szCs w:val="20"/>
              </w:rPr>
              <w:t>skalę</w:t>
            </w:r>
            <w:r w:rsidR="007C7B3D">
              <w:rPr>
                <w:sz w:val="20"/>
                <w:szCs w:val="20"/>
              </w:rPr>
              <w:t xml:space="preserve"> </w:t>
            </w:r>
            <w:r w:rsidR="007059C0" w:rsidRPr="0053749C">
              <w:rPr>
                <w:sz w:val="20"/>
                <w:szCs w:val="20"/>
              </w:rPr>
              <w:t>Mayo.</w:t>
            </w:r>
          </w:p>
          <w:p w14:paraId="77BB9680" w14:textId="77777777" w:rsidR="00A021A9" w:rsidRPr="0053749C" w:rsidRDefault="00A021A9" w:rsidP="007C7B3D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bCs/>
                <w:iCs/>
                <w:sz w:val="20"/>
                <w:szCs w:val="20"/>
                <w:lang w:eastAsia="ar-SA"/>
              </w:rPr>
            </w:pPr>
            <w:r w:rsidRPr="0053749C">
              <w:rPr>
                <w:bCs/>
                <w:iCs/>
                <w:sz w:val="20"/>
                <w:szCs w:val="20"/>
                <w:lang w:eastAsia="ar-SA"/>
              </w:rPr>
              <w:t>Tofacytynib</w:t>
            </w:r>
          </w:p>
          <w:p w14:paraId="72899865" w14:textId="2F14CA8C" w:rsidR="00A021A9" w:rsidRPr="0053749C" w:rsidRDefault="00A021A9" w:rsidP="007C7B3D">
            <w:pPr>
              <w:numPr>
                <w:ilvl w:val="4"/>
                <w:numId w:val="44"/>
              </w:numPr>
              <w:suppressAutoHyphens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terapia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indukcyjna: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8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tygodni;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</w:p>
          <w:p w14:paraId="743F1AA7" w14:textId="7E93171B" w:rsidR="00E02F61" w:rsidRPr="0053749C" w:rsidRDefault="00A021A9" w:rsidP="007C7B3D">
            <w:pPr>
              <w:numPr>
                <w:ilvl w:val="4"/>
                <w:numId w:val="44"/>
              </w:numPr>
              <w:suppressAutoHyphens/>
              <w:spacing w:after="60" w:line="276" w:lineRule="auto"/>
              <w:jc w:val="both"/>
              <w:rPr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leczenie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podtrzymujące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tofacytynibem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może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967DFD" w:rsidRPr="0053749C">
              <w:rPr>
                <w:color w:val="000000"/>
                <w:sz w:val="20"/>
                <w:szCs w:val="20"/>
              </w:rPr>
              <w:t>trwać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aż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do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momentu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stwierdzenia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braku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odpowiedzi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na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leczenie.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942F0F" w:rsidRPr="0053749C">
              <w:rPr>
                <w:color w:val="000000"/>
                <w:sz w:val="20"/>
                <w:szCs w:val="20"/>
              </w:rPr>
              <w:t>Ocena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942F0F" w:rsidRPr="0053749C">
              <w:rPr>
                <w:color w:val="000000"/>
                <w:sz w:val="20"/>
                <w:szCs w:val="20"/>
              </w:rPr>
              <w:t>zasadności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942F0F" w:rsidRPr="0053749C">
              <w:rPr>
                <w:color w:val="000000"/>
                <w:sz w:val="20"/>
                <w:szCs w:val="20"/>
              </w:rPr>
              <w:t>kontynuacji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942F0F" w:rsidRPr="0053749C">
              <w:rPr>
                <w:color w:val="000000"/>
                <w:sz w:val="20"/>
                <w:szCs w:val="20"/>
              </w:rPr>
              <w:t>leczenia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942F0F" w:rsidRPr="0053749C">
              <w:rPr>
                <w:color w:val="000000"/>
                <w:sz w:val="20"/>
                <w:szCs w:val="20"/>
              </w:rPr>
              <w:t>powinna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942F0F" w:rsidRPr="0053749C">
              <w:rPr>
                <w:color w:val="000000"/>
                <w:sz w:val="20"/>
                <w:szCs w:val="20"/>
              </w:rPr>
              <w:t>być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942F0F" w:rsidRPr="0053749C">
              <w:rPr>
                <w:color w:val="000000"/>
                <w:sz w:val="20"/>
                <w:szCs w:val="20"/>
              </w:rPr>
              <w:t>przeprowadzona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942F0F" w:rsidRPr="0053749C">
              <w:rPr>
                <w:color w:val="000000"/>
                <w:sz w:val="20"/>
                <w:szCs w:val="20"/>
              </w:rPr>
              <w:t>co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942F0F" w:rsidRPr="0053749C">
              <w:rPr>
                <w:color w:val="000000"/>
                <w:sz w:val="20"/>
                <w:szCs w:val="20"/>
              </w:rPr>
              <w:t>najmniej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942F0F" w:rsidRPr="0053749C">
              <w:rPr>
                <w:color w:val="000000"/>
                <w:sz w:val="20"/>
                <w:szCs w:val="20"/>
              </w:rPr>
              <w:t>raz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942F0F" w:rsidRPr="0053749C">
              <w:rPr>
                <w:color w:val="000000"/>
                <w:sz w:val="20"/>
                <w:szCs w:val="20"/>
              </w:rPr>
              <w:t>na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942F0F" w:rsidRPr="0053749C">
              <w:rPr>
                <w:color w:val="000000"/>
                <w:sz w:val="20"/>
                <w:szCs w:val="20"/>
              </w:rPr>
              <w:t>12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942F0F" w:rsidRPr="0053749C">
              <w:rPr>
                <w:color w:val="000000"/>
                <w:sz w:val="20"/>
                <w:szCs w:val="20"/>
              </w:rPr>
              <w:t>miesięcy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942F0F" w:rsidRPr="0053749C">
              <w:rPr>
                <w:color w:val="000000"/>
                <w:sz w:val="20"/>
                <w:szCs w:val="20"/>
              </w:rPr>
              <w:t>w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942F0F" w:rsidRPr="0053749C">
              <w:rPr>
                <w:color w:val="000000"/>
                <w:sz w:val="20"/>
                <w:szCs w:val="20"/>
              </w:rPr>
              <w:t>oparciu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942F0F" w:rsidRPr="0053749C">
              <w:rPr>
                <w:color w:val="000000"/>
                <w:sz w:val="20"/>
                <w:szCs w:val="20"/>
              </w:rPr>
              <w:t>o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942F0F" w:rsidRPr="0053749C">
              <w:rPr>
                <w:color w:val="000000"/>
                <w:sz w:val="20"/>
                <w:szCs w:val="20"/>
              </w:rPr>
              <w:t>kliniczną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942F0F" w:rsidRPr="0053749C">
              <w:rPr>
                <w:color w:val="000000"/>
                <w:sz w:val="20"/>
                <w:szCs w:val="20"/>
              </w:rPr>
              <w:t>skalę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942F0F" w:rsidRPr="0053749C">
              <w:rPr>
                <w:sz w:val="20"/>
                <w:szCs w:val="20"/>
              </w:rPr>
              <w:t>Mayo.</w:t>
            </w:r>
          </w:p>
          <w:p w14:paraId="7768E30F" w14:textId="683A04C4" w:rsidR="005758A9" w:rsidRPr="0053749C" w:rsidRDefault="005758A9" w:rsidP="007C7B3D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bCs/>
                <w:iCs/>
                <w:sz w:val="20"/>
                <w:szCs w:val="20"/>
                <w:lang w:eastAsia="ar-SA"/>
              </w:rPr>
              <w:t>Ustekinumab</w:t>
            </w:r>
          </w:p>
          <w:p w14:paraId="14D5C71F" w14:textId="10FAEB02" w:rsidR="00092F32" w:rsidRPr="0053749C" w:rsidRDefault="00A17D84" w:rsidP="007C7B3D">
            <w:pPr>
              <w:numPr>
                <w:ilvl w:val="4"/>
                <w:numId w:val="44"/>
              </w:numPr>
              <w:suppressAutoHyphens/>
              <w:spacing w:after="60" w:line="276" w:lineRule="auto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t</w:t>
            </w:r>
            <w:r w:rsidR="00092F32" w:rsidRPr="0053749C">
              <w:rPr>
                <w:sz w:val="20"/>
                <w:szCs w:val="20"/>
              </w:rPr>
              <w:t>erapia</w:t>
            </w:r>
            <w:r w:rsidR="007C7B3D">
              <w:rPr>
                <w:sz w:val="20"/>
                <w:szCs w:val="20"/>
              </w:rPr>
              <w:t xml:space="preserve"> </w:t>
            </w:r>
            <w:r w:rsidR="00092F32" w:rsidRPr="0053749C">
              <w:rPr>
                <w:sz w:val="20"/>
                <w:szCs w:val="20"/>
              </w:rPr>
              <w:t>indukcyjna:</w:t>
            </w:r>
            <w:r w:rsidR="007C7B3D">
              <w:rPr>
                <w:sz w:val="20"/>
                <w:szCs w:val="20"/>
              </w:rPr>
              <w:t xml:space="preserve"> </w:t>
            </w:r>
            <w:r w:rsidR="000E6E7C" w:rsidRPr="0053749C">
              <w:rPr>
                <w:sz w:val="20"/>
                <w:szCs w:val="20"/>
              </w:rPr>
              <w:t>8</w:t>
            </w:r>
            <w:r w:rsidR="007C7B3D">
              <w:rPr>
                <w:sz w:val="20"/>
                <w:szCs w:val="20"/>
              </w:rPr>
              <w:t xml:space="preserve"> </w:t>
            </w:r>
            <w:r w:rsidR="000E6E7C" w:rsidRPr="0053749C">
              <w:rPr>
                <w:sz w:val="20"/>
                <w:szCs w:val="20"/>
              </w:rPr>
              <w:t>tygodni</w:t>
            </w:r>
            <w:r w:rsidR="007C7B3D">
              <w:rPr>
                <w:sz w:val="20"/>
                <w:szCs w:val="20"/>
              </w:rPr>
              <w:t xml:space="preserve"> </w:t>
            </w:r>
            <w:r w:rsidR="00B67EC8" w:rsidRPr="0053749C">
              <w:rPr>
                <w:sz w:val="20"/>
                <w:szCs w:val="20"/>
              </w:rPr>
              <w:t>(</w:t>
            </w:r>
            <w:r w:rsidR="007D202B" w:rsidRPr="0053749C">
              <w:rPr>
                <w:sz w:val="20"/>
                <w:szCs w:val="20"/>
              </w:rPr>
              <w:t>terapia</w:t>
            </w:r>
            <w:r w:rsidR="007C7B3D">
              <w:rPr>
                <w:sz w:val="20"/>
                <w:szCs w:val="20"/>
              </w:rPr>
              <w:t xml:space="preserve"> </w:t>
            </w:r>
            <w:r w:rsidR="007D202B" w:rsidRPr="0053749C">
              <w:rPr>
                <w:sz w:val="20"/>
                <w:szCs w:val="20"/>
              </w:rPr>
              <w:t>indukcyjna</w:t>
            </w:r>
            <w:r w:rsidR="007C7B3D">
              <w:rPr>
                <w:sz w:val="20"/>
                <w:szCs w:val="20"/>
              </w:rPr>
              <w:t xml:space="preserve"> </w:t>
            </w:r>
            <w:r w:rsidR="007D202B"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="007D202B" w:rsidRPr="0053749C">
              <w:rPr>
                <w:sz w:val="20"/>
                <w:szCs w:val="20"/>
              </w:rPr>
              <w:t>formie</w:t>
            </w:r>
            <w:r w:rsidR="007C7B3D">
              <w:rPr>
                <w:sz w:val="20"/>
                <w:szCs w:val="20"/>
              </w:rPr>
              <w:t xml:space="preserve"> </w:t>
            </w:r>
            <w:r w:rsidR="007D202B" w:rsidRPr="0053749C">
              <w:rPr>
                <w:sz w:val="20"/>
                <w:szCs w:val="20"/>
              </w:rPr>
              <w:t>infuzji</w:t>
            </w:r>
            <w:r w:rsidR="007C7B3D">
              <w:rPr>
                <w:sz w:val="20"/>
                <w:szCs w:val="20"/>
              </w:rPr>
              <w:t xml:space="preserve"> </w:t>
            </w:r>
            <w:r w:rsidR="007D202B" w:rsidRPr="0053749C">
              <w:rPr>
                <w:sz w:val="20"/>
                <w:szCs w:val="20"/>
              </w:rPr>
              <w:t>dożylnej);</w:t>
            </w:r>
          </w:p>
          <w:p w14:paraId="088821D6" w14:textId="1E5D3FCA" w:rsidR="00A17D84" w:rsidRPr="0053749C" w:rsidRDefault="00967DFD" w:rsidP="007C7B3D">
            <w:pPr>
              <w:numPr>
                <w:ilvl w:val="4"/>
                <w:numId w:val="44"/>
              </w:numPr>
              <w:suppressAutoHyphens/>
              <w:spacing w:after="60" w:line="276" w:lineRule="auto"/>
              <w:jc w:val="both"/>
              <w:rPr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leczenie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podtrzymujące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ustekinumabem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7F38BE" w:rsidRPr="0053749C">
              <w:rPr>
                <w:color w:val="000000"/>
                <w:sz w:val="20"/>
                <w:szCs w:val="20"/>
              </w:rPr>
              <w:t>w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7F38BE" w:rsidRPr="0053749C">
              <w:rPr>
                <w:color w:val="000000"/>
                <w:sz w:val="20"/>
                <w:szCs w:val="20"/>
              </w:rPr>
              <w:t>postaci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7F38BE" w:rsidRPr="0053749C">
              <w:rPr>
                <w:color w:val="000000"/>
                <w:sz w:val="20"/>
                <w:szCs w:val="20"/>
              </w:rPr>
              <w:t>podskórnej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może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trwać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aż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do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momentu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stwierdzenia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braku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odpowiedzi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na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leczenie.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Ocena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zasadności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kontynuacji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leczenia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powinna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być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przeprowadzona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co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najmniej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raz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na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12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miesięcy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w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oparciu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o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kliniczną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skalę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Mayo.</w:t>
            </w:r>
          </w:p>
          <w:p w14:paraId="6D14E3BF" w14:textId="440F886D" w:rsidR="002A5345" w:rsidRPr="007C7B3D" w:rsidRDefault="002A5345" w:rsidP="007C7B3D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7C7B3D">
              <w:rPr>
                <w:sz w:val="20"/>
                <w:szCs w:val="20"/>
              </w:rPr>
              <w:t>Odpowiedź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definiowana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jest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jako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zmniejszenie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aktywności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choroby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o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co</w:t>
            </w:r>
            <w:r w:rsidR="007C7B3D">
              <w:rPr>
                <w:sz w:val="20"/>
                <w:szCs w:val="20"/>
              </w:rPr>
              <w:t xml:space="preserve"> </w:t>
            </w:r>
            <w:r w:rsidR="0041605B" w:rsidRPr="007C7B3D">
              <w:rPr>
                <w:sz w:val="20"/>
                <w:szCs w:val="20"/>
              </w:rPr>
              <w:t>najmniej</w:t>
            </w:r>
            <w:r w:rsidR="007C7B3D">
              <w:rPr>
                <w:sz w:val="20"/>
                <w:szCs w:val="20"/>
              </w:rPr>
              <w:t xml:space="preserve"> </w:t>
            </w:r>
            <w:r w:rsidR="0041605B" w:rsidRPr="007C7B3D">
              <w:rPr>
                <w:sz w:val="20"/>
                <w:szCs w:val="20"/>
              </w:rPr>
              <w:t>3</w:t>
            </w:r>
            <w:r w:rsidR="007C7B3D">
              <w:rPr>
                <w:sz w:val="20"/>
                <w:szCs w:val="20"/>
              </w:rPr>
              <w:t xml:space="preserve"> </w:t>
            </w:r>
            <w:r w:rsidR="0041605B" w:rsidRPr="007C7B3D">
              <w:rPr>
                <w:sz w:val="20"/>
                <w:szCs w:val="20"/>
              </w:rPr>
              <w:t>punkty</w:t>
            </w:r>
            <w:r w:rsidR="007C7B3D">
              <w:rPr>
                <w:sz w:val="20"/>
                <w:szCs w:val="20"/>
              </w:rPr>
              <w:t xml:space="preserve"> </w:t>
            </w:r>
            <w:r w:rsidR="0041605B" w:rsidRPr="007C7B3D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="0041605B" w:rsidRPr="007C7B3D">
              <w:rPr>
                <w:sz w:val="20"/>
                <w:szCs w:val="20"/>
              </w:rPr>
              <w:t>skali</w:t>
            </w:r>
            <w:r w:rsidR="007C7B3D">
              <w:rPr>
                <w:sz w:val="20"/>
                <w:szCs w:val="20"/>
              </w:rPr>
              <w:t xml:space="preserve"> </w:t>
            </w:r>
            <w:r w:rsidR="0041605B" w:rsidRPr="007C7B3D">
              <w:rPr>
                <w:sz w:val="20"/>
                <w:szCs w:val="20"/>
              </w:rPr>
              <w:t>Mayo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albo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o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co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najmniej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20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punktów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skali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PUCAI</w:t>
            </w:r>
            <w:r w:rsidR="008B68D6" w:rsidRPr="007C7B3D">
              <w:rPr>
                <w:sz w:val="20"/>
                <w:szCs w:val="20"/>
              </w:rPr>
              <w:t>.</w:t>
            </w:r>
          </w:p>
          <w:p w14:paraId="2AA8E37E" w14:textId="77777777" w:rsidR="008B68D6" w:rsidRPr="0053749C" w:rsidRDefault="008B68D6" w:rsidP="0053749C">
            <w:p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</w:p>
          <w:p w14:paraId="55721A2F" w14:textId="699ED3A3" w:rsidR="0041605B" w:rsidRPr="0053749C" w:rsidRDefault="0041605B" w:rsidP="007C7B3D">
            <w:pPr>
              <w:numPr>
                <w:ilvl w:val="0"/>
                <w:numId w:val="44"/>
              </w:num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53749C">
              <w:rPr>
                <w:b/>
                <w:sz w:val="20"/>
                <w:szCs w:val="20"/>
              </w:rPr>
              <w:t>Zakończenie</w:t>
            </w:r>
            <w:r w:rsidR="007C7B3D">
              <w:rPr>
                <w:b/>
                <w:sz w:val="20"/>
                <w:szCs w:val="20"/>
              </w:rPr>
              <w:t xml:space="preserve"> </w:t>
            </w:r>
            <w:r w:rsidRPr="0053749C">
              <w:rPr>
                <w:b/>
                <w:sz w:val="20"/>
                <w:szCs w:val="20"/>
              </w:rPr>
              <w:t>leczenia</w:t>
            </w:r>
            <w:r w:rsidR="007C7B3D">
              <w:rPr>
                <w:b/>
                <w:sz w:val="20"/>
                <w:szCs w:val="20"/>
              </w:rPr>
              <w:t xml:space="preserve"> </w:t>
            </w:r>
            <w:r w:rsidRPr="0053749C">
              <w:rPr>
                <w:b/>
                <w:sz w:val="20"/>
                <w:szCs w:val="20"/>
              </w:rPr>
              <w:t>w</w:t>
            </w:r>
            <w:r w:rsidR="007C7B3D">
              <w:rPr>
                <w:b/>
                <w:sz w:val="20"/>
                <w:szCs w:val="20"/>
              </w:rPr>
              <w:t xml:space="preserve"> </w:t>
            </w:r>
            <w:r w:rsidRPr="0053749C">
              <w:rPr>
                <w:b/>
                <w:sz w:val="20"/>
                <w:szCs w:val="20"/>
              </w:rPr>
              <w:t>programie</w:t>
            </w:r>
          </w:p>
          <w:p w14:paraId="15636A66" w14:textId="1713BD21" w:rsidR="0041605B" w:rsidRPr="007C7B3D" w:rsidRDefault="0041605B" w:rsidP="007C7B3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C7B3D">
              <w:rPr>
                <w:color w:val="000000"/>
                <w:sz w:val="20"/>
                <w:szCs w:val="20"/>
              </w:rPr>
              <w:t>Zakończenie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leczenia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powinno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nastąpić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w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przypadku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spełnienia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przynajmniej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jednego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z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kryteriów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określonych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w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pkt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1-</w:t>
            </w:r>
            <w:r w:rsidR="00FC4906" w:rsidRPr="007C7B3D">
              <w:rPr>
                <w:color w:val="000000"/>
                <w:sz w:val="20"/>
                <w:szCs w:val="20"/>
              </w:rPr>
              <w:t>2</w:t>
            </w:r>
            <w:r w:rsidRPr="007C7B3D">
              <w:rPr>
                <w:color w:val="000000"/>
                <w:sz w:val="20"/>
                <w:szCs w:val="20"/>
              </w:rPr>
              <w:t>.</w:t>
            </w:r>
          </w:p>
          <w:p w14:paraId="21F57F0F" w14:textId="0B6C1E98" w:rsidR="0041605B" w:rsidRPr="0053749C" w:rsidRDefault="0041605B" w:rsidP="007C7B3D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S</w:t>
            </w:r>
            <w:r w:rsidR="002A5345" w:rsidRPr="0053749C">
              <w:rPr>
                <w:sz w:val="20"/>
                <w:szCs w:val="20"/>
              </w:rPr>
              <w:t>twierdzenia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b</w:t>
            </w:r>
            <w:r w:rsidRPr="0053749C">
              <w:rPr>
                <w:sz w:val="20"/>
                <w:szCs w:val="20"/>
              </w:rPr>
              <w:t>raku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odpowiedzi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na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leczenie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defi</w:t>
            </w:r>
            <w:r w:rsidR="002A5345" w:rsidRPr="0053749C">
              <w:rPr>
                <w:sz w:val="20"/>
                <w:szCs w:val="20"/>
              </w:rPr>
              <w:t>niowanej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jako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zmniejszenie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aktywności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choroby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o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co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najmniej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3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punkty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skali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Mayo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albo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o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co</w:t>
            </w:r>
            <w:r w:rsidR="007C7B3D">
              <w:rPr>
                <w:sz w:val="20"/>
                <w:szCs w:val="20"/>
              </w:rPr>
              <w:t xml:space="preserve"> </w:t>
            </w:r>
            <w:r w:rsidR="002A5345" w:rsidRPr="0053749C">
              <w:rPr>
                <w:sz w:val="20"/>
                <w:szCs w:val="20"/>
              </w:rPr>
              <w:t>najmni</w:t>
            </w:r>
            <w:r w:rsidRPr="0053749C">
              <w:rPr>
                <w:sz w:val="20"/>
                <w:szCs w:val="20"/>
              </w:rPr>
              <w:t>ej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20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punktów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skali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PUCAI;</w:t>
            </w:r>
          </w:p>
          <w:p w14:paraId="6218182C" w14:textId="19E61518" w:rsidR="0041605B" w:rsidRPr="0053749C" w:rsidRDefault="0041605B" w:rsidP="007C7B3D">
            <w:pPr>
              <w:pStyle w:val="Akapitzlist"/>
              <w:numPr>
                <w:ilvl w:val="3"/>
                <w:numId w:val="44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Wystąpienie</w:t>
            </w:r>
            <w:r w:rsidR="007C7B3D">
              <w:rPr>
                <w:sz w:val="20"/>
                <w:szCs w:val="20"/>
              </w:rPr>
              <w:t xml:space="preserve"> </w:t>
            </w:r>
            <w:r w:rsidR="00B06618" w:rsidRPr="0053749C">
              <w:rPr>
                <w:sz w:val="20"/>
                <w:szCs w:val="20"/>
              </w:rPr>
              <w:t>poważnych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działań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niepożądanych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leczenia;</w:t>
            </w:r>
          </w:p>
          <w:p w14:paraId="516432E4" w14:textId="72F0A824" w:rsidR="008B68D6" w:rsidRPr="0053749C" w:rsidRDefault="008B68D6" w:rsidP="0053749C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97" w:type="pct"/>
            <w:shd w:val="clear" w:color="auto" w:fill="auto"/>
          </w:tcPr>
          <w:p w14:paraId="0C0125AE" w14:textId="38D42FD2" w:rsidR="007B1A1F" w:rsidRPr="0053749C" w:rsidRDefault="007B1A1F" w:rsidP="007C7B3D">
            <w:pPr>
              <w:numPr>
                <w:ilvl w:val="0"/>
                <w:numId w:val="45"/>
              </w:numPr>
              <w:spacing w:before="120" w:after="60" w:line="276" w:lineRule="auto"/>
              <w:jc w:val="both"/>
              <w:rPr>
                <w:sz w:val="20"/>
                <w:szCs w:val="20"/>
              </w:rPr>
            </w:pPr>
            <w:r w:rsidRPr="0053749C">
              <w:rPr>
                <w:b/>
                <w:bCs/>
                <w:iCs/>
                <w:sz w:val="20"/>
                <w:szCs w:val="20"/>
              </w:rPr>
              <w:lastRenderedPageBreak/>
              <w:t>Dawkowanie</w:t>
            </w:r>
            <w:r w:rsidR="007C7B3D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53749C">
              <w:rPr>
                <w:b/>
                <w:bCs/>
                <w:iCs/>
                <w:sz w:val="20"/>
                <w:szCs w:val="20"/>
              </w:rPr>
              <w:t>infliksymabu</w:t>
            </w:r>
          </w:p>
          <w:p w14:paraId="230F3750" w14:textId="0AA5E884" w:rsidR="007B1A1F" w:rsidRPr="007C7B3D" w:rsidRDefault="007B1A1F" w:rsidP="007C7B3D">
            <w:pPr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7C7B3D">
              <w:rPr>
                <w:bCs/>
                <w:color w:val="000000"/>
                <w:sz w:val="20"/>
                <w:szCs w:val="20"/>
              </w:rPr>
              <w:t>Dawkowanie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infliksymabu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prowadzone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jest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zgodnie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z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dawkowaniem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określonym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w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Charakterystyce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Produktu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Leczniczego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422F2" w:rsidRPr="007C7B3D">
              <w:rPr>
                <w:bCs/>
                <w:color w:val="000000"/>
                <w:sz w:val="20"/>
                <w:szCs w:val="20"/>
              </w:rPr>
              <w:t>aktualną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422F2" w:rsidRPr="007C7B3D">
              <w:rPr>
                <w:bCs/>
                <w:color w:val="000000"/>
                <w:sz w:val="20"/>
                <w:szCs w:val="20"/>
              </w:rPr>
              <w:t>na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422F2" w:rsidRPr="007C7B3D">
              <w:rPr>
                <w:bCs/>
                <w:color w:val="000000"/>
                <w:sz w:val="20"/>
                <w:szCs w:val="20"/>
              </w:rPr>
              <w:t>dzień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422F2" w:rsidRPr="007C7B3D">
              <w:rPr>
                <w:bCs/>
                <w:color w:val="000000"/>
                <w:sz w:val="20"/>
                <w:szCs w:val="20"/>
              </w:rPr>
              <w:t>wydania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422F2" w:rsidRPr="007C7B3D">
              <w:rPr>
                <w:bCs/>
                <w:color w:val="000000"/>
                <w:sz w:val="20"/>
                <w:szCs w:val="20"/>
              </w:rPr>
              <w:t>decyzji.</w:t>
            </w:r>
          </w:p>
          <w:p w14:paraId="4C3CE69E" w14:textId="77777777" w:rsidR="008B68D6" w:rsidRPr="0053749C" w:rsidRDefault="008B68D6" w:rsidP="0053749C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19C9CD42" w14:textId="3AF32AE6" w:rsidR="007B1A1F" w:rsidRPr="0053749C" w:rsidRDefault="007B1A1F" w:rsidP="007C7B3D">
            <w:pPr>
              <w:framePr w:hSpace="181" w:wrap="around" w:vAnchor="text" w:hAnchor="margin" w:xAlign="center" w:y="1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3749C">
              <w:rPr>
                <w:b/>
                <w:bCs/>
                <w:color w:val="000000"/>
                <w:sz w:val="20"/>
                <w:szCs w:val="20"/>
              </w:rPr>
              <w:t>Dawkowanie</w:t>
            </w:r>
            <w:r w:rsidR="007C7B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b/>
                <w:bCs/>
                <w:color w:val="000000"/>
                <w:sz w:val="20"/>
                <w:szCs w:val="20"/>
              </w:rPr>
              <w:t>wedolizumabu</w:t>
            </w:r>
          </w:p>
          <w:p w14:paraId="6DD4249B" w14:textId="3CB2B084" w:rsidR="007B1A1F" w:rsidRPr="007C7B3D" w:rsidRDefault="007B1A1F" w:rsidP="007C7B3D">
            <w:pPr>
              <w:framePr w:hSpace="181" w:wrap="around" w:vAnchor="text" w:hAnchor="margin" w:xAlign="center" w:y="1"/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7C7B3D">
              <w:rPr>
                <w:bCs/>
                <w:color w:val="000000"/>
                <w:sz w:val="20"/>
                <w:szCs w:val="20"/>
              </w:rPr>
              <w:t>Dawkowanie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wedolizumabu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prowadzone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jest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zgodnie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z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dawkowaniem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określonym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w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Charakterystyce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Produktu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Leczniczego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422F2" w:rsidRPr="007C7B3D">
              <w:rPr>
                <w:bCs/>
                <w:color w:val="000000"/>
                <w:sz w:val="20"/>
                <w:szCs w:val="20"/>
              </w:rPr>
              <w:t>aktualną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422F2" w:rsidRPr="007C7B3D">
              <w:rPr>
                <w:bCs/>
                <w:color w:val="000000"/>
                <w:sz w:val="20"/>
                <w:szCs w:val="20"/>
              </w:rPr>
              <w:t>na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422F2" w:rsidRPr="007C7B3D">
              <w:rPr>
                <w:bCs/>
                <w:color w:val="000000"/>
                <w:sz w:val="20"/>
                <w:szCs w:val="20"/>
              </w:rPr>
              <w:t>dzień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422F2" w:rsidRPr="007C7B3D">
              <w:rPr>
                <w:bCs/>
                <w:color w:val="000000"/>
                <w:sz w:val="20"/>
                <w:szCs w:val="20"/>
              </w:rPr>
              <w:t>wydania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422F2" w:rsidRPr="007C7B3D">
              <w:rPr>
                <w:bCs/>
                <w:color w:val="000000"/>
                <w:sz w:val="20"/>
                <w:szCs w:val="20"/>
              </w:rPr>
              <w:t>decyzji.</w:t>
            </w:r>
          </w:p>
          <w:p w14:paraId="65A51627" w14:textId="77777777" w:rsidR="008B68D6" w:rsidRPr="0053749C" w:rsidRDefault="008B68D6" w:rsidP="0053749C">
            <w:pPr>
              <w:framePr w:hSpace="181" w:wrap="around" w:vAnchor="text" w:hAnchor="margin" w:xAlign="center" w:y="1"/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0D50405" w14:textId="2E98B36A" w:rsidR="00B004BC" w:rsidRPr="0053749C" w:rsidRDefault="00B004BC" w:rsidP="007C7B3D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3749C">
              <w:rPr>
                <w:b/>
                <w:bCs/>
                <w:color w:val="000000"/>
                <w:sz w:val="20"/>
                <w:szCs w:val="20"/>
              </w:rPr>
              <w:t>Dawkowanie</w:t>
            </w:r>
            <w:r w:rsidR="007C7B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b/>
                <w:bCs/>
                <w:color w:val="000000"/>
                <w:sz w:val="20"/>
                <w:szCs w:val="20"/>
              </w:rPr>
              <w:t>tofacytynibu</w:t>
            </w:r>
          </w:p>
          <w:p w14:paraId="370824F6" w14:textId="1EC54821" w:rsidR="00B004BC" w:rsidRPr="007C7B3D" w:rsidRDefault="00B004BC" w:rsidP="007C7B3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7C7B3D">
              <w:rPr>
                <w:bCs/>
                <w:color w:val="000000"/>
                <w:sz w:val="20"/>
                <w:szCs w:val="20"/>
              </w:rPr>
              <w:t>Dawkowanie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tofacytynibu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prowadzone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jest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zgodnie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z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dawkowaniem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określonym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w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Charakterystyce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Produktu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Leczniczego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422F2" w:rsidRPr="007C7B3D">
              <w:rPr>
                <w:bCs/>
                <w:color w:val="000000"/>
                <w:sz w:val="20"/>
                <w:szCs w:val="20"/>
              </w:rPr>
              <w:t>aktualną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422F2" w:rsidRPr="007C7B3D">
              <w:rPr>
                <w:bCs/>
                <w:color w:val="000000"/>
                <w:sz w:val="20"/>
                <w:szCs w:val="20"/>
              </w:rPr>
              <w:t>na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422F2" w:rsidRPr="007C7B3D">
              <w:rPr>
                <w:bCs/>
                <w:color w:val="000000"/>
                <w:sz w:val="20"/>
                <w:szCs w:val="20"/>
              </w:rPr>
              <w:t>dzień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422F2" w:rsidRPr="007C7B3D">
              <w:rPr>
                <w:bCs/>
                <w:color w:val="000000"/>
                <w:sz w:val="20"/>
                <w:szCs w:val="20"/>
              </w:rPr>
              <w:t>wydania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422F2" w:rsidRPr="007C7B3D">
              <w:rPr>
                <w:bCs/>
                <w:color w:val="000000"/>
                <w:sz w:val="20"/>
                <w:szCs w:val="20"/>
              </w:rPr>
              <w:t>decyzji.</w:t>
            </w:r>
          </w:p>
          <w:p w14:paraId="23C687CC" w14:textId="12545323" w:rsidR="00B6018E" w:rsidRPr="0053749C" w:rsidRDefault="00B6018E" w:rsidP="0053749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480617C4" w14:textId="1591C5BA" w:rsidR="00B6018E" w:rsidRPr="0053749C" w:rsidRDefault="00B6018E" w:rsidP="007C7B3D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3749C">
              <w:rPr>
                <w:b/>
                <w:bCs/>
                <w:color w:val="000000"/>
                <w:sz w:val="20"/>
                <w:szCs w:val="20"/>
              </w:rPr>
              <w:t>Dawkowanie</w:t>
            </w:r>
            <w:r w:rsidR="007C7B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b/>
                <w:bCs/>
                <w:color w:val="000000"/>
                <w:sz w:val="20"/>
                <w:szCs w:val="20"/>
              </w:rPr>
              <w:t>ustekinu</w:t>
            </w:r>
            <w:r w:rsidR="00A175F1" w:rsidRPr="0053749C">
              <w:rPr>
                <w:b/>
                <w:bCs/>
                <w:color w:val="000000"/>
                <w:sz w:val="20"/>
                <w:szCs w:val="20"/>
              </w:rPr>
              <w:t>mabu</w:t>
            </w:r>
          </w:p>
          <w:p w14:paraId="07610D30" w14:textId="0127474D" w:rsidR="00A175F1" w:rsidRPr="007C7B3D" w:rsidRDefault="00A175F1" w:rsidP="007C7B3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7C7B3D">
              <w:rPr>
                <w:bCs/>
                <w:color w:val="000000"/>
                <w:sz w:val="20"/>
                <w:szCs w:val="20"/>
              </w:rPr>
              <w:t>Dawkowanie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ustekinumabu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prowadzone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jest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zgodnie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z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dawkowaniem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określonym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w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lastRenderedPageBreak/>
              <w:t>Charakterystyce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Produktu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bCs/>
                <w:color w:val="000000"/>
                <w:sz w:val="20"/>
                <w:szCs w:val="20"/>
              </w:rPr>
              <w:t>Leczniczego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422F2" w:rsidRPr="007C7B3D">
              <w:rPr>
                <w:bCs/>
                <w:color w:val="000000"/>
                <w:sz w:val="20"/>
                <w:szCs w:val="20"/>
              </w:rPr>
              <w:t>aktualną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422F2" w:rsidRPr="007C7B3D">
              <w:rPr>
                <w:bCs/>
                <w:color w:val="000000"/>
                <w:sz w:val="20"/>
                <w:szCs w:val="20"/>
              </w:rPr>
              <w:t>na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422F2" w:rsidRPr="007C7B3D">
              <w:rPr>
                <w:bCs/>
                <w:color w:val="000000"/>
                <w:sz w:val="20"/>
                <w:szCs w:val="20"/>
              </w:rPr>
              <w:t>dzień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422F2" w:rsidRPr="007C7B3D">
              <w:rPr>
                <w:bCs/>
                <w:color w:val="000000"/>
                <w:sz w:val="20"/>
                <w:szCs w:val="20"/>
              </w:rPr>
              <w:t>wydania</w:t>
            </w:r>
            <w:r w:rsidR="007C7B3D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422F2" w:rsidRPr="007C7B3D">
              <w:rPr>
                <w:bCs/>
                <w:color w:val="000000"/>
                <w:sz w:val="20"/>
                <w:szCs w:val="20"/>
              </w:rPr>
              <w:t>decyzji.</w:t>
            </w:r>
          </w:p>
          <w:p w14:paraId="7DF001D2" w14:textId="77777777" w:rsidR="00A175F1" w:rsidRPr="0053749C" w:rsidRDefault="00A175F1" w:rsidP="0053749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12375C1A" w14:textId="77777777" w:rsidR="00B004BC" w:rsidRPr="0053749C" w:rsidRDefault="00B004BC" w:rsidP="0053749C">
            <w:pPr>
              <w:framePr w:hSpace="181" w:wrap="around" w:vAnchor="text" w:hAnchor="margin" w:xAlign="center" w:y="1"/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7E8D4105" w14:textId="77777777" w:rsidR="00CB1CEB" w:rsidRPr="0053749C" w:rsidRDefault="00CB1CEB" w:rsidP="0053749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70" w:type="pct"/>
            <w:shd w:val="clear" w:color="auto" w:fill="auto"/>
          </w:tcPr>
          <w:p w14:paraId="0C04609E" w14:textId="0390A28C" w:rsidR="00F87404" w:rsidRPr="0053749C" w:rsidRDefault="00F87404" w:rsidP="007C7B3D">
            <w:pPr>
              <w:numPr>
                <w:ilvl w:val="0"/>
                <w:numId w:val="46"/>
              </w:numPr>
              <w:spacing w:before="120" w:after="60" w:line="276" w:lineRule="auto"/>
              <w:jc w:val="both"/>
              <w:rPr>
                <w:b/>
                <w:sz w:val="20"/>
                <w:szCs w:val="20"/>
              </w:rPr>
            </w:pPr>
            <w:r w:rsidRPr="0053749C">
              <w:rPr>
                <w:b/>
                <w:sz w:val="20"/>
                <w:szCs w:val="20"/>
              </w:rPr>
              <w:lastRenderedPageBreak/>
              <w:t>Badania</w:t>
            </w:r>
            <w:r w:rsidR="007C7B3D">
              <w:rPr>
                <w:b/>
                <w:sz w:val="20"/>
                <w:szCs w:val="20"/>
              </w:rPr>
              <w:t xml:space="preserve"> </w:t>
            </w:r>
            <w:r w:rsidRPr="0053749C">
              <w:rPr>
                <w:b/>
                <w:sz w:val="20"/>
                <w:szCs w:val="20"/>
              </w:rPr>
              <w:t>przy</w:t>
            </w:r>
            <w:r w:rsidR="007C7B3D">
              <w:rPr>
                <w:b/>
                <w:sz w:val="20"/>
                <w:szCs w:val="20"/>
              </w:rPr>
              <w:t xml:space="preserve"> </w:t>
            </w:r>
            <w:r w:rsidRPr="0053749C">
              <w:rPr>
                <w:b/>
                <w:sz w:val="20"/>
                <w:szCs w:val="20"/>
              </w:rPr>
              <w:t>kwalifikacji</w:t>
            </w:r>
          </w:p>
          <w:p w14:paraId="19A1255B" w14:textId="3203E848" w:rsidR="00E9112E" w:rsidRPr="0053749C" w:rsidRDefault="00E9112E" w:rsidP="007C7B3D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Morfologia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krwi</w:t>
            </w:r>
            <w:r w:rsidR="00020A76" w:rsidRPr="0053749C">
              <w:rPr>
                <w:color w:val="000000"/>
                <w:sz w:val="20"/>
                <w:szCs w:val="20"/>
              </w:rPr>
              <w:t>,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D91EC3" w:rsidRPr="0053749C">
              <w:rPr>
                <w:color w:val="000000"/>
                <w:sz w:val="20"/>
                <w:szCs w:val="20"/>
              </w:rPr>
              <w:t>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D91EC3" w:rsidRPr="0053749C">
              <w:rPr>
                <w:color w:val="000000"/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  <w:lang w:eastAsia="pl-PL"/>
              </w:rPr>
              <w:t xml:space="preserve"> </w:t>
            </w:r>
            <w:r w:rsidRPr="0053749C">
              <w:rPr>
                <w:sz w:val="20"/>
                <w:szCs w:val="20"/>
                <w:lang w:eastAsia="pl-PL"/>
              </w:rPr>
              <w:t>przypadku</w:t>
            </w:r>
            <w:r w:rsidR="007C7B3D">
              <w:rPr>
                <w:sz w:val="20"/>
                <w:szCs w:val="20"/>
                <w:lang w:eastAsia="pl-PL"/>
              </w:rPr>
              <w:t xml:space="preserve"> </w:t>
            </w:r>
            <w:r w:rsidRPr="0053749C">
              <w:rPr>
                <w:sz w:val="20"/>
                <w:szCs w:val="20"/>
                <w:lang w:eastAsia="pl-PL"/>
              </w:rPr>
              <w:t>pacjentów</w:t>
            </w:r>
            <w:r w:rsidR="007C7B3D">
              <w:rPr>
                <w:sz w:val="20"/>
                <w:szCs w:val="20"/>
                <w:lang w:eastAsia="pl-PL"/>
              </w:rPr>
              <w:t xml:space="preserve"> </w:t>
            </w:r>
            <w:r w:rsidRPr="0053749C">
              <w:rPr>
                <w:sz w:val="20"/>
                <w:szCs w:val="20"/>
                <w:lang w:eastAsia="pl-PL"/>
              </w:rPr>
              <w:t>kwalifikowanych</w:t>
            </w:r>
            <w:r w:rsidR="007C7B3D">
              <w:rPr>
                <w:sz w:val="20"/>
                <w:szCs w:val="20"/>
                <w:lang w:eastAsia="pl-PL"/>
              </w:rPr>
              <w:t xml:space="preserve"> </w:t>
            </w:r>
            <w:r w:rsidRPr="0053749C">
              <w:rPr>
                <w:sz w:val="20"/>
                <w:szCs w:val="20"/>
                <w:lang w:eastAsia="pl-PL"/>
              </w:rPr>
              <w:t>do</w:t>
            </w:r>
            <w:r w:rsidR="007C7B3D">
              <w:rPr>
                <w:sz w:val="20"/>
                <w:szCs w:val="20"/>
                <w:lang w:eastAsia="pl-PL"/>
              </w:rPr>
              <w:t xml:space="preserve"> </w:t>
            </w:r>
            <w:r w:rsidRPr="0053749C">
              <w:rPr>
                <w:sz w:val="20"/>
                <w:szCs w:val="20"/>
                <w:lang w:eastAsia="pl-PL"/>
              </w:rPr>
              <w:t>leczenia</w:t>
            </w:r>
            <w:r w:rsidR="007C7B3D">
              <w:rPr>
                <w:sz w:val="20"/>
                <w:szCs w:val="20"/>
                <w:lang w:eastAsia="pl-PL"/>
              </w:rPr>
              <w:t xml:space="preserve"> </w:t>
            </w:r>
            <w:r w:rsidRPr="0053749C">
              <w:rPr>
                <w:sz w:val="20"/>
                <w:szCs w:val="20"/>
                <w:lang w:eastAsia="pl-PL"/>
              </w:rPr>
              <w:t>tofacytynibem</w:t>
            </w:r>
            <w:r w:rsidR="007C7B3D">
              <w:rPr>
                <w:sz w:val="20"/>
                <w:szCs w:val="20"/>
                <w:lang w:eastAsia="pl-PL"/>
              </w:rPr>
              <w:t xml:space="preserve"> </w:t>
            </w:r>
            <w:r w:rsidRPr="0053749C">
              <w:rPr>
                <w:sz w:val="20"/>
                <w:szCs w:val="20"/>
                <w:lang w:eastAsia="pl-PL"/>
              </w:rPr>
              <w:t>-</w:t>
            </w:r>
            <w:r w:rsidR="007C7B3D">
              <w:rPr>
                <w:sz w:val="20"/>
                <w:szCs w:val="20"/>
                <w:lang w:eastAsia="pl-PL"/>
              </w:rPr>
              <w:t xml:space="preserve"> </w:t>
            </w:r>
            <w:r w:rsidRPr="0053749C">
              <w:rPr>
                <w:sz w:val="20"/>
                <w:szCs w:val="20"/>
                <w:lang w:eastAsia="pl-PL"/>
              </w:rPr>
              <w:t>morfologia</w:t>
            </w:r>
            <w:r w:rsidR="007C7B3D">
              <w:rPr>
                <w:sz w:val="20"/>
                <w:szCs w:val="20"/>
                <w:lang w:eastAsia="pl-PL"/>
              </w:rPr>
              <w:t xml:space="preserve"> </w:t>
            </w:r>
            <w:r w:rsidRPr="0053749C">
              <w:rPr>
                <w:sz w:val="20"/>
                <w:szCs w:val="20"/>
                <w:lang w:eastAsia="pl-PL"/>
              </w:rPr>
              <w:t>krwi</w:t>
            </w:r>
            <w:r w:rsidR="007C7B3D">
              <w:rPr>
                <w:sz w:val="20"/>
                <w:szCs w:val="20"/>
                <w:lang w:eastAsia="pl-PL"/>
              </w:rPr>
              <w:t xml:space="preserve"> </w:t>
            </w:r>
            <w:r w:rsidRPr="0053749C">
              <w:rPr>
                <w:sz w:val="20"/>
                <w:szCs w:val="20"/>
                <w:lang w:eastAsia="pl-PL"/>
              </w:rPr>
              <w:t>z</w:t>
            </w:r>
            <w:r w:rsidR="007C7B3D">
              <w:rPr>
                <w:sz w:val="20"/>
                <w:szCs w:val="20"/>
                <w:lang w:eastAsia="pl-PL"/>
              </w:rPr>
              <w:t xml:space="preserve"> </w:t>
            </w:r>
            <w:r w:rsidRPr="0053749C">
              <w:rPr>
                <w:sz w:val="20"/>
                <w:szCs w:val="20"/>
                <w:lang w:eastAsia="pl-PL"/>
              </w:rPr>
              <w:t>rozmazem</w:t>
            </w:r>
            <w:r w:rsidR="007C7B3D">
              <w:rPr>
                <w:sz w:val="20"/>
                <w:szCs w:val="20"/>
                <w:lang w:eastAsia="pl-PL"/>
              </w:rPr>
              <w:t xml:space="preserve"> </w:t>
            </w:r>
            <w:r w:rsidRPr="0053749C">
              <w:rPr>
                <w:sz w:val="20"/>
                <w:szCs w:val="20"/>
                <w:lang w:eastAsia="pl-PL"/>
              </w:rPr>
              <w:t>oraz</w:t>
            </w:r>
            <w:r w:rsidR="007C7B3D">
              <w:rPr>
                <w:sz w:val="20"/>
                <w:szCs w:val="20"/>
                <w:lang w:eastAsia="pl-PL"/>
              </w:rPr>
              <w:t xml:space="preserve"> </w:t>
            </w:r>
            <w:r w:rsidRPr="0053749C">
              <w:rPr>
                <w:sz w:val="20"/>
                <w:szCs w:val="20"/>
                <w:lang w:eastAsia="pl-PL"/>
              </w:rPr>
              <w:t>oznaczeniem</w:t>
            </w:r>
            <w:r w:rsidR="007C7B3D">
              <w:rPr>
                <w:sz w:val="20"/>
                <w:szCs w:val="20"/>
                <w:lang w:eastAsia="pl-PL"/>
              </w:rPr>
              <w:t xml:space="preserve"> </w:t>
            </w:r>
            <w:r w:rsidRPr="0053749C">
              <w:rPr>
                <w:sz w:val="20"/>
                <w:szCs w:val="20"/>
                <w:lang w:eastAsia="pl-PL"/>
              </w:rPr>
              <w:t>bezwzględnej</w:t>
            </w:r>
            <w:r w:rsidR="007C7B3D">
              <w:rPr>
                <w:sz w:val="20"/>
                <w:szCs w:val="20"/>
                <w:lang w:eastAsia="pl-PL"/>
              </w:rPr>
              <w:t xml:space="preserve"> </w:t>
            </w:r>
            <w:r w:rsidRPr="0053749C">
              <w:rPr>
                <w:sz w:val="20"/>
                <w:szCs w:val="20"/>
                <w:lang w:eastAsia="pl-PL"/>
              </w:rPr>
              <w:t>liczby</w:t>
            </w:r>
            <w:r w:rsidR="007C7B3D">
              <w:rPr>
                <w:sz w:val="20"/>
                <w:szCs w:val="20"/>
                <w:lang w:eastAsia="pl-PL"/>
              </w:rPr>
              <w:t xml:space="preserve"> </w:t>
            </w:r>
            <w:r w:rsidRPr="0053749C">
              <w:rPr>
                <w:sz w:val="20"/>
                <w:szCs w:val="20"/>
                <w:lang w:eastAsia="pl-PL"/>
              </w:rPr>
              <w:t>granulocytów</w:t>
            </w:r>
            <w:r w:rsidR="007C7B3D">
              <w:rPr>
                <w:sz w:val="20"/>
                <w:szCs w:val="20"/>
                <w:lang w:eastAsia="pl-PL"/>
              </w:rPr>
              <w:t xml:space="preserve"> </w:t>
            </w:r>
            <w:r w:rsidRPr="0053749C">
              <w:rPr>
                <w:sz w:val="20"/>
                <w:szCs w:val="20"/>
                <w:lang w:eastAsia="pl-PL"/>
              </w:rPr>
              <w:t>obojętnochłonnych</w:t>
            </w:r>
            <w:r w:rsidR="007C7B3D">
              <w:rPr>
                <w:sz w:val="20"/>
                <w:szCs w:val="20"/>
                <w:lang w:eastAsia="pl-PL"/>
              </w:rPr>
              <w:t xml:space="preserve"> </w:t>
            </w:r>
            <w:r w:rsidRPr="0053749C">
              <w:rPr>
                <w:sz w:val="20"/>
                <w:szCs w:val="20"/>
                <w:lang w:eastAsia="pl-PL"/>
              </w:rPr>
              <w:t>i</w:t>
            </w:r>
            <w:r w:rsidR="007C7B3D">
              <w:rPr>
                <w:sz w:val="20"/>
                <w:szCs w:val="20"/>
                <w:lang w:eastAsia="pl-PL"/>
              </w:rPr>
              <w:t xml:space="preserve"> </w:t>
            </w:r>
            <w:r w:rsidRPr="0053749C">
              <w:rPr>
                <w:sz w:val="20"/>
                <w:szCs w:val="20"/>
                <w:lang w:eastAsia="pl-PL"/>
              </w:rPr>
              <w:t>bezwzględnej</w:t>
            </w:r>
            <w:r w:rsidR="007C7B3D">
              <w:rPr>
                <w:sz w:val="20"/>
                <w:szCs w:val="20"/>
                <w:lang w:eastAsia="pl-PL"/>
              </w:rPr>
              <w:t xml:space="preserve"> </w:t>
            </w:r>
            <w:r w:rsidRPr="0053749C">
              <w:rPr>
                <w:sz w:val="20"/>
                <w:szCs w:val="20"/>
                <w:lang w:eastAsia="pl-PL"/>
              </w:rPr>
              <w:t>liczby</w:t>
            </w:r>
            <w:r w:rsidR="007C7B3D">
              <w:rPr>
                <w:sz w:val="20"/>
                <w:szCs w:val="20"/>
                <w:lang w:eastAsia="pl-PL"/>
              </w:rPr>
              <w:t xml:space="preserve"> </w:t>
            </w:r>
            <w:r w:rsidRPr="0053749C">
              <w:rPr>
                <w:sz w:val="20"/>
                <w:szCs w:val="20"/>
                <w:lang w:eastAsia="pl-PL"/>
              </w:rPr>
              <w:t>limfocytów;</w:t>
            </w:r>
            <w:r w:rsidR="007C7B3D">
              <w:rPr>
                <w:sz w:val="20"/>
                <w:szCs w:val="20"/>
                <w:lang w:eastAsia="pl-PL"/>
              </w:rPr>
              <w:t xml:space="preserve"> </w:t>
            </w:r>
          </w:p>
          <w:p w14:paraId="0FB7780F" w14:textId="302CD729" w:rsidR="00CB1CEB" w:rsidRPr="0053749C" w:rsidRDefault="00F87404" w:rsidP="007C7B3D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Aminotransferaza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alaninowa;</w:t>
            </w:r>
          </w:p>
          <w:p w14:paraId="0C858648" w14:textId="182C248F" w:rsidR="00CB1CEB" w:rsidRPr="0053749C" w:rsidRDefault="00F87404" w:rsidP="007C7B3D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Aminotransferaza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asparaginianowa;</w:t>
            </w:r>
          </w:p>
          <w:p w14:paraId="797D3FC9" w14:textId="7B1711DB" w:rsidR="00CB1CEB" w:rsidRPr="0053749C" w:rsidRDefault="00C9608D" w:rsidP="007C7B3D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Kre</w:t>
            </w:r>
            <w:r w:rsidR="00EC17AD" w:rsidRPr="0053749C">
              <w:rPr>
                <w:color w:val="000000"/>
                <w:sz w:val="20"/>
                <w:szCs w:val="20"/>
              </w:rPr>
              <w:t>atynina</w:t>
            </w:r>
            <w:r w:rsidR="00F87404" w:rsidRPr="0053749C">
              <w:rPr>
                <w:color w:val="000000"/>
                <w:sz w:val="20"/>
                <w:szCs w:val="20"/>
              </w:rPr>
              <w:t>;</w:t>
            </w:r>
          </w:p>
          <w:p w14:paraId="5504F4BC" w14:textId="781500B1" w:rsidR="00CB1CEB" w:rsidRPr="0053749C" w:rsidRDefault="00F87404" w:rsidP="007C7B3D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Białko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D91EC3" w:rsidRPr="0053749C">
              <w:rPr>
                <w:color w:val="000000"/>
                <w:sz w:val="20"/>
                <w:szCs w:val="20"/>
              </w:rPr>
              <w:t>C</w:t>
            </w:r>
            <w:r w:rsidR="00CB1CEB" w:rsidRPr="0053749C">
              <w:rPr>
                <w:rFonts w:eastAsia="MS Gothic"/>
                <w:color w:val="000000"/>
                <w:sz w:val="20"/>
                <w:szCs w:val="20"/>
              </w:rPr>
              <w:t>‐</w:t>
            </w:r>
            <w:r w:rsidR="00CB1CEB" w:rsidRPr="0053749C">
              <w:rPr>
                <w:color w:val="000000"/>
                <w:sz w:val="20"/>
                <w:szCs w:val="20"/>
              </w:rPr>
              <w:t>reaktywne;</w:t>
            </w:r>
          </w:p>
          <w:p w14:paraId="3A2DADBC" w14:textId="57A8DA2D" w:rsidR="00CB1CEB" w:rsidRPr="0053749C" w:rsidRDefault="00F87404" w:rsidP="007C7B3D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Badanie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ogólne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moczu;</w:t>
            </w:r>
          </w:p>
          <w:p w14:paraId="056ECC2F" w14:textId="7D0DBC2F" w:rsidR="00CB1CEB" w:rsidRPr="0053749C" w:rsidRDefault="00EC17AD" w:rsidP="007C7B3D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T</w:t>
            </w:r>
            <w:r w:rsidR="00F87404" w:rsidRPr="0053749C">
              <w:rPr>
                <w:color w:val="000000"/>
                <w:sz w:val="20"/>
                <w:szCs w:val="20"/>
              </w:rPr>
              <w:t>est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D91EC3" w:rsidRPr="0053749C">
              <w:rPr>
                <w:color w:val="000000"/>
                <w:sz w:val="20"/>
                <w:szCs w:val="20"/>
              </w:rPr>
              <w:t>Q</w:t>
            </w:r>
            <w:r w:rsidR="00F87404" w:rsidRPr="0053749C">
              <w:rPr>
                <w:color w:val="000000"/>
                <w:sz w:val="20"/>
                <w:szCs w:val="20"/>
              </w:rPr>
              <w:t>uantiferon;</w:t>
            </w:r>
          </w:p>
          <w:p w14:paraId="069BD41C" w14:textId="00264CAF" w:rsidR="00CB1CEB" w:rsidRPr="0053749C" w:rsidRDefault="00F87404" w:rsidP="007C7B3D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Antygen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020A76" w:rsidRPr="0053749C">
              <w:rPr>
                <w:color w:val="000000"/>
                <w:sz w:val="20"/>
                <w:szCs w:val="20"/>
              </w:rPr>
              <w:t>HBS</w:t>
            </w:r>
            <w:r w:rsidRPr="0053749C">
              <w:rPr>
                <w:color w:val="000000"/>
                <w:sz w:val="20"/>
                <w:szCs w:val="20"/>
              </w:rPr>
              <w:t>;</w:t>
            </w:r>
          </w:p>
          <w:p w14:paraId="2324F005" w14:textId="1446C4F3" w:rsidR="00CB1CEB" w:rsidRPr="0053749C" w:rsidRDefault="00F87404" w:rsidP="007C7B3D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Przeciwciała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D91EC3" w:rsidRPr="0053749C">
              <w:rPr>
                <w:color w:val="000000"/>
                <w:sz w:val="20"/>
                <w:szCs w:val="20"/>
              </w:rPr>
              <w:t>ANTY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D91EC3" w:rsidRPr="0053749C">
              <w:rPr>
                <w:color w:val="000000"/>
                <w:sz w:val="20"/>
                <w:szCs w:val="20"/>
              </w:rPr>
              <w:t>HCV</w:t>
            </w:r>
            <w:r w:rsidRPr="0053749C">
              <w:rPr>
                <w:color w:val="000000"/>
                <w:sz w:val="20"/>
                <w:szCs w:val="20"/>
              </w:rPr>
              <w:t>;</w:t>
            </w:r>
          </w:p>
          <w:p w14:paraId="5B18ABFC" w14:textId="3BA9EDEC" w:rsidR="00CB1CEB" w:rsidRPr="0053749C" w:rsidRDefault="0015640B" w:rsidP="007C7B3D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Badanie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w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kierunku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F87404" w:rsidRPr="0053749C">
              <w:rPr>
                <w:color w:val="000000"/>
                <w:sz w:val="20"/>
                <w:szCs w:val="20"/>
              </w:rPr>
              <w:t>wirusa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302426" w:rsidRPr="0053749C">
              <w:rPr>
                <w:color w:val="000000"/>
                <w:sz w:val="20"/>
                <w:szCs w:val="20"/>
              </w:rPr>
              <w:t>HIV (</w:t>
            </w:r>
            <w:r w:rsidR="00D91EC3" w:rsidRPr="0053749C">
              <w:rPr>
                <w:color w:val="000000"/>
                <w:sz w:val="20"/>
                <w:szCs w:val="20"/>
              </w:rPr>
              <w:t>HIV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D91EC3" w:rsidRPr="0053749C">
              <w:rPr>
                <w:color w:val="000000"/>
                <w:sz w:val="20"/>
                <w:szCs w:val="20"/>
              </w:rPr>
              <w:t>AG/AB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D91EC3" w:rsidRPr="0053749C">
              <w:rPr>
                <w:color w:val="000000"/>
                <w:sz w:val="20"/>
                <w:szCs w:val="20"/>
              </w:rPr>
              <w:t>COMBO</w:t>
            </w:r>
            <w:r w:rsidR="00F87404" w:rsidRPr="0053749C">
              <w:rPr>
                <w:color w:val="000000"/>
                <w:sz w:val="20"/>
                <w:szCs w:val="20"/>
              </w:rPr>
              <w:t>);</w:t>
            </w:r>
          </w:p>
          <w:p w14:paraId="50981D14" w14:textId="0A2E05D6" w:rsidR="00CB1CEB" w:rsidRPr="0053749C" w:rsidRDefault="00F87404" w:rsidP="007C7B3D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Stężenie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elektrolitów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w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surowicy;</w:t>
            </w:r>
          </w:p>
          <w:p w14:paraId="76A05B95" w14:textId="2D3469F3" w:rsidR="00CB1CEB" w:rsidRPr="0053749C" w:rsidRDefault="00D91EC3" w:rsidP="007C7B3D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RTG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F87404" w:rsidRPr="0053749C">
              <w:rPr>
                <w:color w:val="000000"/>
                <w:sz w:val="20"/>
                <w:szCs w:val="20"/>
              </w:rPr>
              <w:t>klatki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F87404" w:rsidRPr="0053749C">
              <w:rPr>
                <w:color w:val="000000"/>
                <w:sz w:val="20"/>
                <w:szCs w:val="20"/>
              </w:rPr>
              <w:t>piersiowej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22303C" w:rsidRPr="0053749C">
              <w:rPr>
                <w:color w:val="000000"/>
                <w:sz w:val="20"/>
                <w:szCs w:val="20"/>
              </w:rPr>
              <w:t>(</w:t>
            </w:r>
            <w:r w:rsidR="0022303C" w:rsidRPr="0053749C">
              <w:rPr>
                <w:sz w:val="20"/>
                <w:szCs w:val="20"/>
              </w:rPr>
              <w:t>maksymalnie</w:t>
            </w:r>
            <w:r w:rsidR="007C7B3D">
              <w:rPr>
                <w:sz w:val="20"/>
                <w:szCs w:val="20"/>
              </w:rPr>
              <w:t xml:space="preserve"> </w:t>
            </w:r>
            <w:r w:rsidR="0022303C" w:rsidRPr="0053749C">
              <w:rPr>
                <w:sz w:val="20"/>
                <w:szCs w:val="20"/>
              </w:rPr>
              <w:t>do</w:t>
            </w:r>
            <w:r w:rsidR="007C7B3D">
              <w:rPr>
                <w:sz w:val="20"/>
                <w:szCs w:val="20"/>
              </w:rPr>
              <w:t xml:space="preserve"> </w:t>
            </w:r>
            <w:r w:rsidR="0022303C" w:rsidRPr="0053749C">
              <w:rPr>
                <w:sz w:val="20"/>
                <w:szCs w:val="20"/>
              </w:rPr>
              <w:t>3</w:t>
            </w:r>
            <w:r w:rsidR="007C7B3D">
              <w:rPr>
                <w:sz w:val="20"/>
                <w:szCs w:val="20"/>
              </w:rPr>
              <w:t xml:space="preserve"> </w:t>
            </w:r>
            <w:r w:rsidR="0022303C" w:rsidRPr="0053749C">
              <w:rPr>
                <w:sz w:val="20"/>
                <w:szCs w:val="20"/>
              </w:rPr>
              <w:t>m</w:t>
            </w:r>
            <w:r w:rsidR="00EF382D" w:rsidRPr="0053749C">
              <w:rPr>
                <w:sz w:val="20"/>
                <w:szCs w:val="20"/>
              </w:rPr>
              <w:t>iesięcy</w:t>
            </w:r>
            <w:r w:rsidR="007C7B3D">
              <w:rPr>
                <w:sz w:val="20"/>
                <w:szCs w:val="20"/>
              </w:rPr>
              <w:t xml:space="preserve"> </w:t>
            </w:r>
            <w:r w:rsidR="0022303C" w:rsidRPr="0053749C">
              <w:rPr>
                <w:sz w:val="20"/>
                <w:szCs w:val="20"/>
              </w:rPr>
              <w:t>przed</w:t>
            </w:r>
            <w:r w:rsidR="007C7B3D">
              <w:rPr>
                <w:sz w:val="20"/>
                <w:szCs w:val="20"/>
              </w:rPr>
              <w:t xml:space="preserve"> </w:t>
            </w:r>
            <w:r w:rsidR="0022303C" w:rsidRPr="0053749C">
              <w:rPr>
                <w:sz w:val="20"/>
                <w:szCs w:val="20"/>
              </w:rPr>
              <w:t>kwalifikacją);</w:t>
            </w:r>
          </w:p>
          <w:p w14:paraId="00E662BC" w14:textId="31F4750F" w:rsidR="00CB1CEB" w:rsidRPr="0053749C" w:rsidRDefault="00D91EC3" w:rsidP="007C7B3D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EKG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F87404" w:rsidRPr="0053749C">
              <w:rPr>
                <w:color w:val="000000"/>
                <w:sz w:val="20"/>
                <w:szCs w:val="20"/>
              </w:rPr>
              <w:t>z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F87404" w:rsidRPr="0053749C">
              <w:rPr>
                <w:color w:val="000000"/>
                <w:sz w:val="20"/>
                <w:szCs w:val="20"/>
              </w:rPr>
              <w:t>opisem;</w:t>
            </w:r>
          </w:p>
          <w:p w14:paraId="216686AA" w14:textId="28987D37" w:rsidR="00CB1CEB" w:rsidRPr="0053749C" w:rsidRDefault="00F87404" w:rsidP="007C7B3D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Badanie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endoskopowe;</w:t>
            </w:r>
          </w:p>
          <w:p w14:paraId="7548DC5B" w14:textId="61E6F697" w:rsidR="00CB1CEB" w:rsidRPr="0053749C" w:rsidRDefault="00F87404" w:rsidP="007C7B3D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Posiew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kału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w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kierunku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bakterii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grzybów;</w:t>
            </w:r>
          </w:p>
          <w:p w14:paraId="073A8809" w14:textId="2CA1D346" w:rsidR="00CB1CEB" w:rsidRPr="0053749C" w:rsidRDefault="00F87404" w:rsidP="007C7B3D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lastRenderedPageBreak/>
              <w:t>Badanie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kału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na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toksynę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EC22CC" w:rsidRPr="0053749C">
              <w:rPr>
                <w:color w:val="000000"/>
                <w:sz w:val="20"/>
                <w:szCs w:val="20"/>
              </w:rPr>
              <w:t>Clostridioides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EC22CC" w:rsidRPr="0053749C">
              <w:rPr>
                <w:color w:val="000000"/>
                <w:sz w:val="20"/>
                <w:szCs w:val="20"/>
              </w:rPr>
              <w:t>Difficile;</w:t>
            </w:r>
          </w:p>
          <w:p w14:paraId="55715478" w14:textId="37D6D6FB" w:rsidR="00E9112E" w:rsidRPr="0053749C" w:rsidRDefault="00E9112E" w:rsidP="007C7B3D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Lipidogram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(całkowity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cholesterol,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HDL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LDL)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oraz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trójglicerydy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przed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rozpoczęciem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leczenia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tofacyt</w:t>
            </w:r>
            <w:r w:rsidR="00EF3A59" w:rsidRPr="0053749C">
              <w:rPr>
                <w:color w:val="000000"/>
                <w:sz w:val="20"/>
                <w:szCs w:val="20"/>
              </w:rPr>
              <w:t>yn</w:t>
            </w:r>
            <w:r w:rsidRPr="0053749C">
              <w:rPr>
                <w:color w:val="000000"/>
                <w:sz w:val="20"/>
                <w:szCs w:val="20"/>
              </w:rPr>
              <w:t>ibem</w:t>
            </w:r>
            <w:r w:rsidR="005D08E3" w:rsidRPr="0053749C">
              <w:rPr>
                <w:color w:val="000000"/>
                <w:sz w:val="20"/>
                <w:szCs w:val="20"/>
              </w:rPr>
              <w:t>;</w:t>
            </w:r>
          </w:p>
          <w:p w14:paraId="72C9ECC8" w14:textId="6363F0D9" w:rsidR="00C00B39" w:rsidRPr="0053749C" w:rsidRDefault="00170F3F" w:rsidP="007C7B3D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Anty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HBc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total</w:t>
            </w:r>
            <w:r w:rsidR="00A301FE" w:rsidRPr="0053749C">
              <w:rPr>
                <w:color w:val="000000"/>
                <w:sz w:val="20"/>
                <w:szCs w:val="20"/>
              </w:rPr>
              <w:t>;</w:t>
            </w:r>
          </w:p>
          <w:p w14:paraId="4F5B4512" w14:textId="20ED74B9" w:rsidR="00170F3F" w:rsidRPr="0053749C" w:rsidRDefault="00170F3F" w:rsidP="007C7B3D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Kalprotektyna</w:t>
            </w:r>
            <w:r w:rsidR="00A301FE" w:rsidRPr="0053749C">
              <w:rPr>
                <w:color w:val="000000"/>
                <w:sz w:val="20"/>
                <w:szCs w:val="20"/>
              </w:rPr>
              <w:t>.</w:t>
            </w:r>
          </w:p>
          <w:p w14:paraId="40258918" w14:textId="77777777" w:rsidR="008B68D6" w:rsidRPr="0053749C" w:rsidRDefault="008B68D6" w:rsidP="0053749C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397"/>
              <w:contextualSpacing w:val="0"/>
              <w:jc w:val="both"/>
              <w:rPr>
                <w:color w:val="000000"/>
                <w:sz w:val="20"/>
                <w:szCs w:val="20"/>
              </w:rPr>
            </w:pPr>
          </w:p>
          <w:p w14:paraId="6B816B9A" w14:textId="1A1A58B1" w:rsidR="00E1574B" w:rsidRPr="0053749C" w:rsidRDefault="00E1574B" w:rsidP="007C7B3D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3749C">
              <w:rPr>
                <w:b/>
                <w:bCs/>
                <w:color w:val="000000"/>
                <w:sz w:val="20"/>
                <w:szCs w:val="20"/>
              </w:rPr>
              <w:t>Monitorowanie</w:t>
            </w:r>
            <w:r w:rsidR="007C7B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b/>
                <w:bCs/>
                <w:color w:val="000000"/>
                <w:sz w:val="20"/>
                <w:szCs w:val="20"/>
              </w:rPr>
              <w:t>leczenia</w:t>
            </w:r>
          </w:p>
          <w:p w14:paraId="5F09E4D6" w14:textId="6DFCB727" w:rsidR="00E1574B" w:rsidRPr="0053749C" w:rsidRDefault="007C7B3D" w:rsidP="007C7B3D">
            <w:pPr>
              <w:pStyle w:val="Akapitzlist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b/>
                <w:bCs/>
                <w:color w:val="000000"/>
                <w:sz w:val="20"/>
                <w:szCs w:val="20"/>
              </w:rPr>
              <w:t>Monitorowanie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b/>
                <w:bCs/>
                <w:color w:val="000000"/>
                <w:sz w:val="20"/>
                <w:szCs w:val="20"/>
              </w:rPr>
              <w:t>leczenia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b/>
                <w:bCs/>
                <w:color w:val="000000"/>
                <w:sz w:val="20"/>
                <w:szCs w:val="20"/>
              </w:rPr>
              <w:t>infliksymabem</w:t>
            </w:r>
          </w:p>
          <w:p w14:paraId="199CC32E" w14:textId="63E11B61" w:rsidR="00E1574B" w:rsidRPr="007C7B3D" w:rsidRDefault="00E1574B" w:rsidP="007C7B3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C7B3D">
              <w:rPr>
                <w:color w:val="000000"/>
                <w:sz w:val="20"/>
                <w:szCs w:val="20"/>
              </w:rPr>
              <w:t>W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celu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monitorowania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leczenia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świadczeniodawca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jest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zobowiązany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wykonać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nie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rzadziej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niż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w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2,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6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14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tygodniu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od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podania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pierwszej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dawki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leku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następujące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badania:</w:t>
            </w:r>
          </w:p>
          <w:p w14:paraId="2DF88298" w14:textId="330D1842" w:rsidR="00E1574B" w:rsidRPr="0053749C" w:rsidRDefault="00E1574B" w:rsidP="007C7B3D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ocena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stopnia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aktywności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choroby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w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2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6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tygodniu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od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podania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pierwszej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dawki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w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częściowej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skali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Mayo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lub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skali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PUCAI,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</w:p>
          <w:p w14:paraId="31B6D49D" w14:textId="589921D5" w:rsidR="00E1574B" w:rsidRPr="0053749C" w:rsidRDefault="00E1574B" w:rsidP="007C7B3D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ocena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stopnia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aktywności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choroby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między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6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14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tygodniem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od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podania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pierwszej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dawki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na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podstawie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pełnej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oceny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w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skali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Mayo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lub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w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skali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PUCAI</w:t>
            </w:r>
          </w:p>
          <w:p w14:paraId="4E076B3E" w14:textId="2D7EBF74" w:rsidR="00E1574B" w:rsidRPr="0053749C" w:rsidRDefault="00E1574B" w:rsidP="007C7B3D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morfologia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krwi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obwodowej,</w:t>
            </w:r>
          </w:p>
          <w:p w14:paraId="0DAA0C0F" w14:textId="77777777" w:rsidR="00E1574B" w:rsidRPr="0053749C" w:rsidRDefault="00E1574B" w:rsidP="007C7B3D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CRP.</w:t>
            </w:r>
          </w:p>
          <w:p w14:paraId="4F9D4974" w14:textId="2CE5C330" w:rsidR="00E1574B" w:rsidRPr="007C7B3D" w:rsidRDefault="00E1574B" w:rsidP="007C7B3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C7B3D">
              <w:rPr>
                <w:color w:val="000000"/>
                <w:sz w:val="20"/>
                <w:szCs w:val="20"/>
              </w:rPr>
              <w:t>W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leczeniu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podtrzymującym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świadczeniodawca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jest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zobowiązany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wykonywać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morfologię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krwi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obwodowej,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CRP,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AlAT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AspAT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oraz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ocenę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Mayo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bez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endoskopii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albo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ocenę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w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skali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PUCAI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przynajmniej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co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A301FE" w:rsidRPr="007C7B3D">
              <w:rPr>
                <w:color w:val="000000"/>
                <w:sz w:val="20"/>
                <w:szCs w:val="20"/>
              </w:rPr>
              <w:t>16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tygodni.</w:t>
            </w:r>
          </w:p>
          <w:p w14:paraId="5C306E58" w14:textId="77777777" w:rsidR="008B68D6" w:rsidRPr="0053749C" w:rsidRDefault="008B68D6" w:rsidP="0053749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6017D535" w14:textId="44521DC8" w:rsidR="00CB1CEB" w:rsidRPr="0053749C" w:rsidRDefault="00CB1CEB" w:rsidP="007C7B3D">
            <w:pPr>
              <w:pStyle w:val="Akapitzlist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3749C">
              <w:rPr>
                <w:b/>
                <w:bCs/>
                <w:color w:val="000000"/>
                <w:sz w:val="20"/>
                <w:szCs w:val="20"/>
              </w:rPr>
              <w:t>Monitorowanie</w:t>
            </w:r>
            <w:r w:rsidR="007C7B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b/>
                <w:bCs/>
                <w:color w:val="000000"/>
                <w:sz w:val="20"/>
                <w:szCs w:val="20"/>
              </w:rPr>
              <w:t>leczenia</w:t>
            </w:r>
            <w:r w:rsidR="007C7B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b/>
                <w:bCs/>
                <w:color w:val="000000"/>
                <w:sz w:val="20"/>
                <w:szCs w:val="20"/>
              </w:rPr>
              <w:t>wedolizumabem</w:t>
            </w:r>
          </w:p>
          <w:p w14:paraId="0D5B4BF1" w14:textId="7FA29E80" w:rsidR="00CB1CEB" w:rsidRPr="0053749C" w:rsidRDefault="00CB1CEB" w:rsidP="007C7B3D">
            <w:pPr>
              <w:pStyle w:val="Default"/>
              <w:spacing w:after="60" w:line="276" w:lineRule="auto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celu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monitorowania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leczenia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świadczeniodawca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jest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zobowiązany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wykonać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nie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rzadziej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niż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2,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6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14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tygodniu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od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podania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pierwszej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dawki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leku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następujące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badania:</w:t>
            </w:r>
            <w:r w:rsidR="007C7B3D">
              <w:rPr>
                <w:sz w:val="20"/>
                <w:szCs w:val="20"/>
              </w:rPr>
              <w:t xml:space="preserve"> </w:t>
            </w:r>
          </w:p>
          <w:p w14:paraId="027D0F6E" w14:textId="10069095" w:rsidR="00CB1CEB" w:rsidRPr="0053749C" w:rsidRDefault="00CB1CEB" w:rsidP="007C7B3D">
            <w:pPr>
              <w:pStyle w:val="Default"/>
              <w:numPr>
                <w:ilvl w:val="3"/>
                <w:numId w:val="46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ocena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stopnia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aktywności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choroby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2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6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tygodniu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częściowej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skali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Mayo,</w:t>
            </w:r>
            <w:r w:rsidR="007C7B3D">
              <w:rPr>
                <w:sz w:val="20"/>
                <w:szCs w:val="20"/>
              </w:rPr>
              <w:t xml:space="preserve"> </w:t>
            </w:r>
          </w:p>
          <w:p w14:paraId="12C5AF41" w14:textId="7E46C8B8" w:rsidR="00CB1CEB" w:rsidRPr="0053749C" w:rsidRDefault="00CB1CEB" w:rsidP="007C7B3D">
            <w:pPr>
              <w:pStyle w:val="Default"/>
              <w:numPr>
                <w:ilvl w:val="3"/>
                <w:numId w:val="46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lastRenderedPageBreak/>
              <w:t>ocena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efektywności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terapii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indukcyjnej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14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tygodniu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od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podania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pierwszej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dawki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na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podstawie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pełnej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oceny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skali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Mayo,</w:t>
            </w:r>
          </w:p>
          <w:p w14:paraId="44E0FE3F" w14:textId="16D5012D" w:rsidR="00CB1CEB" w:rsidRPr="0053749C" w:rsidRDefault="00CB1CEB" w:rsidP="007C7B3D">
            <w:pPr>
              <w:pStyle w:val="Default"/>
              <w:numPr>
                <w:ilvl w:val="3"/>
                <w:numId w:val="46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morfologia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z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krwi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obwodowej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z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rozmazem,</w:t>
            </w:r>
          </w:p>
          <w:p w14:paraId="0686991F" w14:textId="77777777" w:rsidR="00CB1CEB" w:rsidRPr="0053749C" w:rsidRDefault="00CB1CEB" w:rsidP="007C7B3D">
            <w:pPr>
              <w:pStyle w:val="Default"/>
              <w:numPr>
                <w:ilvl w:val="3"/>
                <w:numId w:val="46"/>
              </w:numPr>
              <w:spacing w:after="60" w:line="276" w:lineRule="auto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CRP.</w:t>
            </w:r>
          </w:p>
          <w:p w14:paraId="74ACF2C1" w14:textId="7317DF15" w:rsidR="00CB1CEB" w:rsidRPr="007C7B3D" w:rsidRDefault="00CB1CEB" w:rsidP="007C7B3D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C7B3D">
              <w:rPr>
                <w:color w:val="000000"/>
                <w:sz w:val="20"/>
                <w:szCs w:val="20"/>
              </w:rPr>
              <w:t>W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leczeniu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podtrzymującym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świadczeniodawca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jest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zobowiązany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wykonywać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morfologię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krwi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obwodowej,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CRP,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AlAT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AspAT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oraz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ocenę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Mayo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bez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endoskopii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przynajmniej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co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D22CA4" w:rsidRPr="007C7B3D">
              <w:rPr>
                <w:color w:val="000000"/>
                <w:sz w:val="20"/>
                <w:szCs w:val="20"/>
              </w:rPr>
              <w:t>16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7C7B3D">
              <w:rPr>
                <w:color w:val="000000"/>
                <w:sz w:val="20"/>
                <w:szCs w:val="20"/>
              </w:rPr>
              <w:t>tygodn</w:t>
            </w:r>
            <w:r w:rsidR="008B68D6" w:rsidRPr="007C7B3D">
              <w:rPr>
                <w:color w:val="000000"/>
                <w:sz w:val="20"/>
                <w:szCs w:val="20"/>
              </w:rPr>
              <w:t>i.</w:t>
            </w:r>
          </w:p>
          <w:p w14:paraId="38FA33B1" w14:textId="77777777" w:rsidR="008B68D6" w:rsidRPr="0053749C" w:rsidRDefault="008B68D6" w:rsidP="0053749C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7F932EC6" w14:textId="24D10104" w:rsidR="00020A76" w:rsidRPr="0053749C" w:rsidRDefault="00020A76" w:rsidP="007C7B3D">
            <w:pPr>
              <w:pStyle w:val="Akapitzlist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3749C">
              <w:rPr>
                <w:b/>
                <w:bCs/>
                <w:color w:val="000000"/>
                <w:sz w:val="20"/>
                <w:szCs w:val="20"/>
              </w:rPr>
              <w:t>Monitorowanie</w:t>
            </w:r>
            <w:r w:rsidR="007C7B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b/>
                <w:bCs/>
                <w:color w:val="000000"/>
                <w:sz w:val="20"/>
                <w:szCs w:val="20"/>
              </w:rPr>
              <w:t>leczenia</w:t>
            </w:r>
            <w:r w:rsidR="007C7B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b/>
                <w:bCs/>
                <w:color w:val="000000"/>
                <w:sz w:val="20"/>
                <w:szCs w:val="20"/>
              </w:rPr>
              <w:t>tofacytynibem</w:t>
            </w:r>
          </w:p>
          <w:p w14:paraId="6B5A1F3C" w14:textId="31B3B1C7" w:rsidR="002A609A" w:rsidRPr="007C7B3D" w:rsidRDefault="002A609A" w:rsidP="007C7B3D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7C7B3D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celu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monitorowania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leczenia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świadczeniodawca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jest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zobowiązany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wykonać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następujące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badania:</w:t>
            </w:r>
            <w:r w:rsidR="007C7B3D">
              <w:rPr>
                <w:sz w:val="20"/>
                <w:szCs w:val="20"/>
              </w:rPr>
              <w:t xml:space="preserve"> </w:t>
            </w:r>
          </w:p>
          <w:p w14:paraId="28046FFF" w14:textId="34EE48AC" w:rsidR="002A609A" w:rsidRPr="0053749C" w:rsidRDefault="002A609A" w:rsidP="007C7B3D">
            <w:pPr>
              <w:pStyle w:val="Akapitzlist"/>
              <w:numPr>
                <w:ilvl w:val="3"/>
                <w:numId w:val="4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ocena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stopnia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aktywności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choroby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2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4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tygodniu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częściowej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skali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Mayo,</w:t>
            </w:r>
          </w:p>
          <w:p w14:paraId="3475E00F" w14:textId="27CBF209" w:rsidR="00E859A2" w:rsidRPr="0053749C" w:rsidRDefault="002A609A" w:rsidP="007C7B3D">
            <w:pPr>
              <w:pStyle w:val="Akapitzlist"/>
              <w:numPr>
                <w:ilvl w:val="3"/>
                <w:numId w:val="4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ocena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skuteczności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terapii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indukcyjnej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8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tygodniu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od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podania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pierwszej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dawki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na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podstawie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pełnej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oceny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skali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Mayo</w:t>
            </w:r>
            <w:r w:rsidR="00E859A2" w:rsidRPr="0053749C">
              <w:rPr>
                <w:sz w:val="20"/>
                <w:szCs w:val="20"/>
              </w:rPr>
              <w:t>,</w:t>
            </w:r>
          </w:p>
          <w:p w14:paraId="77B3D76E" w14:textId="448877C7" w:rsidR="00E859A2" w:rsidRPr="0053749C" w:rsidRDefault="002A609A" w:rsidP="007C7B3D">
            <w:pPr>
              <w:pStyle w:val="Akapitzlist"/>
              <w:numPr>
                <w:ilvl w:val="3"/>
                <w:numId w:val="4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morfologię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krwi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z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rozmazem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oraz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oznaczeniem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bezwzględnej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liczby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granulocytów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obojętnochłonnych</w:t>
            </w:r>
            <w:r w:rsidR="007C7B3D">
              <w:rPr>
                <w:sz w:val="20"/>
                <w:szCs w:val="20"/>
              </w:rPr>
              <w:t xml:space="preserve"> </w:t>
            </w:r>
            <w:r w:rsidR="00EF3A59"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="00EF3A59" w:rsidRPr="0053749C">
              <w:rPr>
                <w:sz w:val="20"/>
                <w:szCs w:val="20"/>
              </w:rPr>
              <w:t>2</w:t>
            </w:r>
            <w:r w:rsidR="007C7B3D">
              <w:rPr>
                <w:sz w:val="20"/>
                <w:szCs w:val="20"/>
              </w:rPr>
              <w:t xml:space="preserve"> </w:t>
            </w:r>
            <w:r w:rsidR="00EF3A59" w:rsidRPr="0053749C">
              <w:rPr>
                <w:sz w:val="20"/>
                <w:szCs w:val="20"/>
              </w:rPr>
              <w:t>i</w:t>
            </w:r>
            <w:r w:rsidR="007C7B3D">
              <w:rPr>
                <w:sz w:val="20"/>
                <w:szCs w:val="20"/>
              </w:rPr>
              <w:t xml:space="preserve"> </w:t>
            </w:r>
            <w:r w:rsidR="00EF3A59" w:rsidRPr="0053749C">
              <w:rPr>
                <w:sz w:val="20"/>
                <w:szCs w:val="20"/>
              </w:rPr>
              <w:t>4</w:t>
            </w:r>
            <w:r w:rsidR="007C7B3D">
              <w:rPr>
                <w:sz w:val="20"/>
                <w:szCs w:val="20"/>
              </w:rPr>
              <w:t xml:space="preserve"> </w:t>
            </w:r>
            <w:r w:rsidR="00EF3A59" w:rsidRPr="0053749C">
              <w:rPr>
                <w:sz w:val="20"/>
                <w:szCs w:val="20"/>
              </w:rPr>
              <w:t>tygodniu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(modyfikacja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leczenia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przypadku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leukopenii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spadku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stężenia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hemoglobiny)</w:t>
            </w:r>
            <w:r w:rsidR="00E859A2" w:rsidRPr="0053749C">
              <w:rPr>
                <w:sz w:val="20"/>
                <w:szCs w:val="20"/>
              </w:rPr>
              <w:t>,</w:t>
            </w:r>
          </w:p>
          <w:p w14:paraId="0DF9288D" w14:textId="78F5AAD1" w:rsidR="002A609A" w:rsidRPr="0053749C" w:rsidRDefault="00EF3A59" w:rsidP="007C7B3D">
            <w:pPr>
              <w:pStyle w:val="Akapitzlist"/>
              <w:numPr>
                <w:ilvl w:val="3"/>
                <w:numId w:val="46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53749C">
              <w:rPr>
                <w:sz w:val="20"/>
                <w:szCs w:val="20"/>
              </w:rPr>
              <w:t>morfologię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krwi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z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rozmazem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oraz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oznaczeniem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bezwzględnej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liczby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granulocytów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obojętnochłonnych,</w:t>
            </w:r>
            <w:r w:rsidR="007C7B3D">
              <w:rPr>
                <w:sz w:val="20"/>
                <w:szCs w:val="20"/>
              </w:rPr>
              <w:t xml:space="preserve"> </w:t>
            </w:r>
            <w:r w:rsidR="002A609A" w:rsidRPr="0053749C">
              <w:rPr>
                <w:sz w:val="20"/>
                <w:szCs w:val="20"/>
              </w:rPr>
              <w:t>stężenie</w:t>
            </w:r>
            <w:r w:rsidR="007C7B3D">
              <w:rPr>
                <w:sz w:val="20"/>
                <w:szCs w:val="20"/>
              </w:rPr>
              <w:t xml:space="preserve"> </w:t>
            </w:r>
            <w:r w:rsidR="002A609A" w:rsidRPr="0053749C">
              <w:rPr>
                <w:sz w:val="20"/>
                <w:szCs w:val="20"/>
              </w:rPr>
              <w:t>białka</w:t>
            </w:r>
            <w:r w:rsidR="007C7B3D">
              <w:rPr>
                <w:sz w:val="20"/>
                <w:szCs w:val="20"/>
              </w:rPr>
              <w:t xml:space="preserve"> </w:t>
            </w:r>
            <w:r w:rsidR="002A609A" w:rsidRPr="0053749C">
              <w:rPr>
                <w:sz w:val="20"/>
                <w:szCs w:val="20"/>
              </w:rPr>
              <w:t>C-reaktywnego</w:t>
            </w:r>
            <w:r w:rsidR="007C7B3D">
              <w:rPr>
                <w:sz w:val="20"/>
                <w:szCs w:val="20"/>
              </w:rPr>
              <w:t xml:space="preserve"> </w:t>
            </w:r>
            <w:r w:rsidR="002A609A" w:rsidRPr="0053749C">
              <w:rPr>
                <w:sz w:val="20"/>
                <w:szCs w:val="20"/>
              </w:rPr>
              <w:t>(CRP)</w:t>
            </w:r>
            <w:r w:rsidR="008D0641" w:rsidRPr="0053749C">
              <w:rPr>
                <w:sz w:val="20"/>
                <w:szCs w:val="20"/>
              </w:rPr>
              <w:t>,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AspA</w:t>
            </w:r>
            <w:r w:rsidR="005B4791" w:rsidRPr="0053749C">
              <w:rPr>
                <w:sz w:val="20"/>
                <w:szCs w:val="20"/>
              </w:rPr>
              <w:t>T</w:t>
            </w:r>
            <w:r w:rsidRPr="0053749C">
              <w:rPr>
                <w:sz w:val="20"/>
                <w:szCs w:val="20"/>
              </w:rPr>
              <w:t>,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AlAT,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stężenie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cholesterolu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całkowitego,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LDL,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HDL,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trójglicerydów,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stężenie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kreatyniny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surowicy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8</w:t>
            </w:r>
            <w:r w:rsidR="007C7B3D">
              <w:rPr>
                <w:sz w:val="20"/>
                <w:szCs w:val="20"/>
              </w:rPr>
              <w:t xml:space="preserve"> </w:t>
            </w:r>
            <w:r w:rsidRPr="0053749C">
              <w:rPr>
                <w:sz w:val="20"/>
                <w:szCs w:val="20"/>
              </w:rPr>
              <w:t>tygodniu</w:t>
            </w:r>
            <w:r w:rsidR="00E859A2" w:rsidRPr="0053749C">
              <w:rPr>
                <w:sz w:val="20"/>
                <w:szCs w:val="20"/>
              </w:rPr>
              <w:t>.</w:t>
            </w:r>
          </w:p>
          <w:p w14:paraId="2A956D42" w14:textId="7B0DCC93" w:rsidR="002A609A" w:rsidRDefault="002A609A" w:rsidP="007C7B3D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7C7B3D">
              <w:rPr>
                <w:sz w:val="20"/>
                <w:szCs w:val="20"/>
              </w:rPr>
              <w:t>Jeżeli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terapia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jest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kontynuowana</w:t>
            </w:r>
            <w:r w:rsidR="00EF3A59" w:rsidRPr="007C7B3D">
              <w:rPr>
                <w:sz w:val="20"/>
                <w:szCs w:val="20"/>
              </w:rPr>
              <w:t>,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powyższe</w:t>
            </w:r>
            <w:r w:rsidR="007C7B3D">
              <w:rPr>
                <w:sz w:val="20"/>
                <w:szCs w:val="20"/>
              </w:rPr>
              <w:t xml:space="preserve"> </w:t>
            </w:r>
            <w:r w:rsidR="00EF3A59" w:rsidRPr="007C7B3D">
              <w:rPr>
                <w:sz w:val="20"/>
                <w:szCs w:val="20"/>
              </w:rPr>
              <w:t>badania</w:t>
            </w:r>
            <w:r w:rsidR="007C7B3D">
              <w:rPr>
                <w:sz w:val="20"/>
                <w:szCs w:val="20"/>
              </w:rPr>
              <w:t xml:space="preserve"> </w:t>
            </w:r>
            <w:r w:rsidR="00EF3A59" w:rsidRPr="007C7B3D">
              <w:rPr>
                <w:sz w:val="20"/>
                <w:szCs w:val="20"/>
              </w:rPr>
              <w:t>laboratoryjne</w:t>
            </w:r>
            <w:r w:rsidR="007C7B3D">
              <w:rPr>
                <w:sz w:val="20"/>
                <w:szCs w:val="20"/>
              </w:rPr>
              <w:t xml:space="preserve"> </w:t>
            </w:r>
            <w:r w:rsidR="00EF3A59" w:rsidRPr="007C7B3D">
              <w:rPr>
                <w:sz w:val="20"/>
                <w:szCs w:val="20"/>
              </w:rPr>
              <w:t>należy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powtarzać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po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każdych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kolejnych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12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tygodniach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(±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2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tyg.).</w:t>
            </w:r>
          </w:p>
          <w:p w14:paraId="1379C089" w14:textId="77777777" w:rsidR="007C7B3D" w:rsidRPr="007C7B3D" w:rsidRDefault="007C7B3D" w:rsidP="007C7B3D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607F5A72" w14:textId="1AB4B6BF" w:rsidR="00A175F1" w:rsidRPr="0053749C" w:rsidRDefault="00F23698" w:rsidP="007C7B3D">
            <w:pPr>
              <w:pStyle w:val="Akapitzlist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3749C">
              <w:rPr>
                <w:b/>
                <w:bCs/>
                <w:color w:val="000000"/>
                <w:sz w:val="20"/>
                <w:szCs w:val="20"/>
              </w:rPr>
              <w:t>Monitorowanie</w:t>
            </w:r>
            <w:r w:rsidR="007C7B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b/>
                <w:bCs/>
                <w:color w:val="000000"/>
                <w:sz w:val="20"/>
                <w:szCs w:val="20"/>
              </w:rPr>
              <w:t>leczenia</w:t>
            </w:r>
            <w:r w:rsidR="007C7B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b/>
                <w:bCs/>
                <w:color w:val="000000"/>
                <w:sz w:val="20"/>
                <w:szCs w:val="20"/>
              </w:rPr>
              <w:t>ustekinumabem</w:t>
            </w:r>
          </w:p>
          <w:p w14:paraId="2A7FCAE1" w14:textId="77777777" w:rsidR="00302426" w:rsidRDefault="00F23698" w:rsidP="00302426">
            <w:pPr>
              <w:pStyle w:val="Default"/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53749C">
              <w:rPr>
                <w:color w:val="000000" w:themeColor="text1"/>
                <w:sz w:val="20"/>
                <w:szCs w:val="20"/>
              </w:rPr>
              <w:t>W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celu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monitorowania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leczenia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świadczeniodawca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jest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zobowiązany</w:t>
            </w:r>
          </w:p>
          <w:p w14:paraId="4829CB67" w14:textId="0396D54F" w:rsidR="00F23698" w:rsidRPr="0053749C" w:rsidRDefault="00F23698" w:rsidP="007C7B3D">
            <w:pPr>
              <w:pStyle w:val="Default"/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53749C">
              <w:rPr>
                <w:color w:val="000000" w:themeColor="text1"/>
                <w:sz w:val="20"/>
                <w:szCs w:val="20"/>
              </w:rPr>
              <w:lastRenderedPageBreak/>
              <w:t>wykonać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w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8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tygodniu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od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podania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pierwszej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dawki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leku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następujące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badania:</w:t>
            </w:r>
          </w:p>
          <w:p w14:paraId="066D1932" w14:textId="5020281F" w:rsidR="00F23698" w:rsidRPr="0053749C" w:rsidRDefault="00F23698" w:rsidP="007C7B3D">
            <w:pPr>
              <w:pStyle w:val="Default"/>
              <w:numPr>
                <w:ilvl w:val="3"/>
                <w:numId w:val="46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53749C">
              <w:rPr>
                <w:color w:val="000000" w:themeColor="text1"/>
                <w:sz w:val="20"/>
                <w:szCs w:val="20"/>
              </w:rPr>
              <w:t>ocena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efektywności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terapii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indukcyjnej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na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podstawie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pełnej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oceny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w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skali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Mayo,</w:t>
            </w:r>
          </w:p>
          <w:p w14:paraId="226C406C" w14:textId="620E151D" w:rsidR="00F23698" w:rsidRPr="0053749C" w:rsidRDefault="00F23698" w:rsidP="007C7B3D">
            <w:pPr>
              <w:pStyle w:val="Default"/>
              <w:numPr>
                <w:ilvl w:val="3"/>
                <w:numId w:val="46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53749C">
              <w:rPr>
                <w:color w:val="000000" w:themeColor="text1"/>
                <w:sz w:val="20"/>
                <w:szCs w:val="20"/>
              </w:rPr>
              <w:t>morfologia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z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krwi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obwodowej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z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3749C">
              <w:rPr>
                <w:color w:val="000000" w:themeColor="text1"/>
                <w:sz w:val="20"/>
                <w:szCs w:val="20"/>
              </w:rPr>
              <w:t>rozmazem,</w:t>
            </w:r>
          </w:p>
          <w:p w14:paraId="2DF03DFC" w14:textId="77777777" w:rsidR="00F23698" w:rsidRPr="0053749C" w:rsidRDefault="00F23698" w:rsidP="007C7B3D">
            <w:pPr>
              <w:pStyle w:val="Default"/>
              <w:numPr>
                <w:ilvl w:val="3"/>
                <w:numId w:val="46"/>
              </w:numPr>
              <w:spacing w:after="60"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53749C">
              <w:rPr>
                <w:color w:val="000000" w:themeColor="text1"/>
                <w:sz w:val="20"/>
                <w:szCs w:val="20"/>
              </w:rPr>
              <w:t>CRP.</w:t>
            </w:r>
          </w:p>
          <w:p w14:paraId="2CAEC78A" w14:textId="594FF543" w:rsidR="00F23698" w:rsidRPr="007C7B3D" w:rsidRDefault="00F23698" w:rsidP="007C7B3D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7C7B3D">
              <w:rPr>
                <w:color w:val="000000" w:themeColor="text1"/>
                <w:sz w:val="20"/>
                <w:szCs w:val="20"/>
              </w:rPr>
              <w:t>W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C7B3D">
              <w:rPr>
                <w:color w:val="000000" w:themeColor="text1"/>
                <w:sz w:val="20"/>
                <w:szCs w:val="20"/>
              </w:rPr>
              <w:t>leczeniu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C7B3D">
              <w:rPr>
                <w:color w:val="000000" w:themeColor="text1"/>
                <w:sz w:val="20"/>
                <w:szCs w:val="20"/>
              </w:rPr>
              <w:t>podtrzymującym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C7B3D">
              <w:rPr>
                <w:color w:val="000000" w:themeColor="text1"/>
                <w:sz w:val="20"/>
                <w:szCs w:val="20"/>
              </w:rPr>
              <w:t>świadczeniodawca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C7B3D">
              <w:rPr>
                <w:color w:val="000000" w:themeColor="text1"/>
                <w:sz w:val="20"/>
                <w:szCs w:val="20"/>
              </w:rPr>
              <w:t>jest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C7B3D">
              <w:rPr>
                <w:color w:val="000000" w:themeColor="text1"/>
                <w:sz w:val="20"/>
                <w:szCs w:val="20"/>
              </w:rPr>
              <w:t>zobowiązany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C7B3D">
              <w:rPr>
                <w:color w:val="000000" w:themeColor="text1"/>
                <w:sz w:val="20"/>
                <w:szCs w:val="20"/>
              </w:rPr>
              <w:t>wykonywać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C7B3D">
              <w:rPr>
                <w:color w:val="000000" w:themeColor="text1"/>
                <w:sz w:val="20"/>
                <w:szCs w:val="20"/>
              </w:rPr>
              <w:t>morfologię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C7B3D">
              <w:rPr>
                <w:color w:val="000000" w:themeColor="text1"/>
                <w:sz w:val="20"/>
                <w:szCs w:val="20"/>
              </w:rPr>
              <w:t>krwi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C7B3D">
              <w:rPr>
                <w:color w:val="000000" w:themeColor="text1"/>
                <w:sz w:val="20"/>
                <w:szCs w:val="20"/>
              </w:rPr>
              <w:t>obwodowej,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C7B3D">
              <w:rPr>
                <w:color w:val="000000" w:themeColor="text1"/>
                <w:sz w:val="20"/>
                <w:szCs w:val="20"/>
              </w:rPr>
              <w:t>CRP,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C7B3D">
              <w:rPr>
                <w:color w:val="000000" w:themeColor="text1"/>
                <w:sz w:val="20"/>
                <w:szCs w:val="20"/>
              </w:rPr>
              <w:t>AlAT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C7B3D">
              <w:rPr>
                <w:color w:val="000000" w:themeColor="text1"/>
                <w:sz w:val="20"/>
                <w:szCs w:val="20"/>
              </w:rPr>
              <w:t>i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C7B3D">
              <w:rPr>
                <w:color w:val="000000" w:themeColor="text1"/>
                <w:sz w:val="20"/>
                <w:szCs w:val="20"/>
              </w:rPr>
              <w:t>AspAT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C7B3D">
              <w:rPr>
                <w:color w:val="000000" w:themeColor="text1"/>
                <w:sz w:val="20"/>
                <w:szCs w:val="20"/>
              </w:rPr>
              <w:t>oraz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C7B3D">
              <w:rPr>
                <w:color w:val="000000" w:themeColor="text1"/>
                <w:sz w:val="20"/>
                <w:szCs w:val="20"/>
              </w:rPr>
              <w:t>ocenę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C7B3D">
              <w:rPr>
                <w:color w:val="000000" w:themeColor="text1"/>
                <w:sz w:val="20"/>
                <w:szCs w:val="20"/>
              </w:rPr>
              <w:t>Mayo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C7B3D">
              <w:rPr>
                <w:color w:val="000000" w:themeColor="text1"/>
                <w:sz w:val="20"/>
                <w:szCs w:val="20"/>
              </w:rPr>
              <w:t>bez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C7B3D">
              <w:rPr>
                <w:color w:val="000000" w:themeColor="text1"/>
                <w:sz w:val="20"/>
                <w:szCs w:val="20"/>
              </w:rPr>
              <w:t>endoskopii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C7B3D">
              <w:rPr>
                <w:color w:val="000000" w:themeColor="text1"/>
                <w:sz w:val="20"/>
                <w:szCs w:val="20"/>
              </w:rPr>
              <w:t>przynajmniej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C7B3D">
              <w:rPr>
                <w:color w:val="000000" w:themeColor="text1"/>
                <w:sz w:val="20"/>
                <w:szCs w:val="20"/>
              </w:rPr>
              <w:t>co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C7B3D">
              <w:rPr>
                <w:color w:val="000000" w:themeColor="text1"/>
                <w:sz w:val="20"/>
                <w:szCs w:val="20"/>
              </w:rPr>
              <w:t>12</w:t>
            </w:r>
            <w:r w:rsidR="007C7B3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C7B3D">
              <w:rPr>
                <w:color w:val="000000" w:themeColor="text1"/>
                <w:sz w:val="20"/>
                <w:szCs w:val="20"/>
              </w:rPr>
              <w:t>tygodni.</w:t>
            </w:r>
          </w:p>
          <w:p w14:paraId="14D71E8E" w14:textId="77777777" w:rsidR="00A175F1" w:rsidRPr="0053749C" w:rsidRDefault="00A175F1" w:rsidP="0053749C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6830FF5C" w14:textId="4B4F4299" w:rsidR="00B7207C" w:rsidRPr="0053749C" w:rsidRDefault="00B7207C" w:rsidP="007C7B3D">
            <w:pPr>
              <w:pStyle w:val="Akapitzlist"/>
              <w:numPr>
                <w:ilvl w:val="1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3749C">
              <w:rPr>
                <w:b/>
                <w:bCs/>
                <w:color w:val="000000"/>
                <w:sz w:val="20"/>
                <w:szCs w:val="20"/>
              </w:rPr>
              <w:t>Optymalizacja</w:t>
            </w:r>
            <w:r w:rsidR="007C7B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b/>
                <w:bCs/>
                <w:color w:val="000000"/>
                <w:sz w:val="20"/>
                <w:szCs w:val="20"/>
              </w:rPr>
              <w:t>leczenia</w:t>
            </w:r>
          </w:p>
          <w:p w14:paraId="15A00C19" w14:textId="4EE6948C" w:rsidR="00B7207C" w:rsidRPr="007C7B3D" w:rsidRDefault="00B7207C" w:rsidP="007C7B3D">
            <w:pPr>
              <w:spacing w:after="60"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7C7B3D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celu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optymalizacji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leczenia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oraz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oceny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ryzyka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wtórnej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utraty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skuteczności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leczenia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infliksymabem,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wedolizumabem</w:t>
            </w:r>
            <w:r w:rsidR="004364F5" w:rsidRPr="007C7B3D">
              <w:rPr>
                <w:sz w:val="20"/>
                <w:szCs w:val="20"/>
              </w:rPr>
              <w:t>,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tofacytynibem</w:t>
            </w:r>
            <w:r w:rsidR="007C7B3D">
              <w:rPr>
                <w:sz w:val="20"/>
                <w:szCs w:val="20"/>
              </w:rPr>
              <w:t xml:space="preserve"> </w:t>
            </w:r>
            <w:r w:rsidR="004364F5" w:rsidRPr="007C7B3D">
              <w:rPr>
                <w:sz w:val="20"/>
                <w:szCs w:val="20"/>
              </w:rPr>
              <w:t>lub</w:t>
            </w:r>
            <w:r w:rsidR="007C7B3D">
              <w:rPr>
                <w:sz w:val="20"/>
                <w:szCs w:val="20"/>
              </w:rPr>
              <w:t xml:space="preserve"> </w:t>
            </w:r>
            <w:r w:rsidR="004364F5" w:rsidRPr="007C7B3D">
              <w:rPr>
                <w:sz w:val="20"/>
                <w:szCs w:val="20"/>
              </w:rPr>
              <w:t>ustekinumabem,</w:t>
            </w:r>
            <w:r w:rsidR="007C7B3D">
              <w:rPr>
                <w:sz w:val="20"/>
                <w:szCs w:val="20"/>
              </w:rPr>
              <w:t xml:space="preserve"> </w:t>
            </w:r>
            <w:r w:rsidR="003F6917" w:rsidRPr="007C7B3D">
              <w:rPr>
                <w:sz w:val="20"/>
                <w:szCs w:val="20"/>
              </w:rPr>
              <w:t>można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wykonać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oznaczenie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poziomu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leku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przed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kolejną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dawką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oraz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stężenia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przeciwciał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przeciwko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lekowi,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jednak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nie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częściej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niż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dwa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razy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roku.</w:t>
            </w:r>
          </w:p>
          <w:p w14:paraId="37FCD2AE" w14:textId="43B99F47" w:rsidR="00B7207C" w:rsidRPr="007C7B3D" w:rsidRDefault="00B7207C" w:rsidP="007C7B3D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7C7B3D">
              <w:rPr>
                <w:sz w:val="20"/>
                <w:szCs w:val="20"/>
              </w:rPr>
              <w:t>Ponadto</w:t>
            </w:r>
            <w:r w:rsidR="007C7B3D">
              <w:rPr>
                <w:sz w:val="20"/>
                <w:szCs w:val="20"/>
              </w:rPr>
              <w:t xml:space="preserve"> </w:t>
            </w:r>
            <w:r w:rsidR="00E04434" w:rsidRPr="007C7B3D">
              <w:rPr>
                <w:sz w:val="20"/>
                <w:szCs w:val="20"/>
              </w:rPr>
              <w:t>można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wykonać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oznaczanie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kalprotektyny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kale,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jednak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nie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częściej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niż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cztery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razy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do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roku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w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trakcie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trwania</w:t>
            </w:r>
            <w:r w:rsidR="007C7B3D">
              <w:rPr>
                <w:sz w:val="20"/>
                <w:szCs w:val="20"/>
              </w:rPr>
              <w:t xml:space="preserve"> </w:t>
            </w:r>
            <w:r w:rsidRPr="007C7B3D">
              <w:rPr>
                <w:sz w:val="20"/>
                <w:szCs w:val="20"/>
              </w:rPr>
              <w:t>leczenia.</w:t>
            </w:r>
          </w:p>
          <w:p w14:paraId="76700EBE" w14:textId="33C75FD7" w:rsidR="008B68D6" w:rsidRPr="007C7B3D" w:rsidRDefault="00B7207C" w:rsidP="0053749C">
            <w:pPr>
              <w:spacing w:after="60" w:line="276" w:lineRule="auto"/>
              <w:jc w:val="both"/>
              <w:rPr>
                <w:bCs/>
                <w:iCs/>
                <w:sz w:val="20"/>
                <w:szCs w:val="20"/>
              </w:rPr>
            </w:pPr>
            <w:r w:rsidRPr="007C7B3D">
              <w:rPr>
                <w:bCs/>
                <w:iCs/>
                <w:sz w:val="20"/>
                <w:szCs w:val="20"/>
              </w:rPr>
              <w:t>Decyzję</w:t>
            </w:r>
            <w:r w:rsidR="007C7B3D">
              <w:rPr>
                <w:bCs/>
                <w:iCs/>
                <w:sz w:val="20"/>
                <w:szCs w:val="20"/>
              </w:rPr>
              <w:t xml:space="preserve"> </w:t>
            </w:r>
            <w:r w:rsidRPr="007C7B3D">
              <w:rPr>
                <w:bCs/>
                <w:iCs/>
                <w:sz w:val="20"/>
                <w:szCs w:val="20"/>
              </w:rPr>
              <w:t>dotyczącą</w:t>
            </w:r>
            <w:r w:rsidR="007C7B3D">
              <w:rPr>
                <w:bCs/>
                <w:iCs/>
                <w:sz w:val="20"/>
                <w:szCs w:val="20"/>
              </w:rPr>
              <w:t xml:space="preserve"> </w:t>
            </w:r>
            <w:r w:rsidRPr="007C7B3D">
              <w:rPr>
                <w:bCs/>
                <w:iCs/>
                <w:sz w:val="20"/>
                <w:szCs w:val="20"/>
              </w:rPr>
              <w:t>wykonania</w:t>
            </w:r>
            <w:r w:rsidR="007C7B3D">
              <w:rPr>
                <w:bCs/>
                <w:iCs/>
                <w:sz w:val="20"/>
                <w:szCs w:val="20"/>
              </w:rPr>
              <w:t xml:space="preserve"> </w:t>
            </w:r>
            <w:r w:rsidRPr="007C7B3D">
              <w:rPr>
                <w:bCs/>
                <w:iCs/>
                <w:sz w:val="20"/>
                <w:szCs w:val="20"/>
              </w:rPr>
              <w:t>powyższych</w:t>
            </w:r>
            <w:r w:rsidR="007C7B3D">
              <w:rPr>
                <w:bCs/>
                <w:iCs/>
                <w:sz w:val="20"/>
                <w:szCs w:val="20"/>
              </w:rPr>
              <w:t xml:space="preserve"> </w:t>
            </w:r>
            <w:r w:rsidRPr="007C7B3D">
              <w:rPr>
                <w:bCs/>
                <w:iCs/>
                <w:sz w:val="20"/>
                <w:szCs w:val="20"/>
              </w:rPr>
              <w:t>badań</w:t>
            </w:r>
            <w:r w:rsidR="007C7B3D">
              <w:rPr>
                <w:bCs/>
                <w:iCs/>
                <w:sz w:val="20"/>
                <w:szCs w:val="20"/>
              </w:rPr>
              <w:t xml:space="preserve"> </w:t>
            </w:r>
            <w:r w:rsidRPr="007C7B3D">
              <w:rPr>
                <w:bCs/>
                <w:iCs/>
                <w:sz w:val="20"/>
                <w:szCs w:val="20"/>
              </w:rPr>
              <w:t>diagnostycznych</w:t>
            </w:r>
            <w:r w:rsidR="007C7B3D">
              <w:rPr>
                <w:bCs/>
                <w:iCs/>
                <w:sz w:val="20"/>
                <w:szCs w:val="20"/>
              </w:rPr>
              <w:t xml:space="preserve"> </w:t>
            </w:r>
            <w:r w:rsidRPr="007C7B3D">
              <w:rPr>
                <w:bCs/>
                <w:iCs/>
                <w:sz w:val="20"/>
                <w:szCs w:val="20"/>
              </w:rPr>
              <w:t>i</w:t>
            </w:r>
            <w:r w:rsidR="007C7B3D">
              <w:rPr>
                <w:bCs/>
                <w:iCs/>
                <w:sz w:val="20"/>
                <w:szCs w:val="20"/>
              </w:rPr>
              <w:t xml:space="preserve"> </w:t>
            </w:r>
            <w:r w:rsidRPr="007C7B3D">
              <w:rPr>
                <w:bCs/>
                <w:iCs/>
                <w:sz w:val="20"/>
                <w:szCs w:val="20"/>
              </w:rPr>
              <w:t>oznaczeń</w:t>
            </w:r>
            <w:r w:rsidR="007C7B3D">
              <w:rPr>
                <w:bCs/>
                <w:iCs/>
                <w:sz w:val="20"/>
                <w:szCs w:val="20"/>
              </w:rPr>
              <w:t xml:space="preserve"> </w:t>
            </w:r>
            <w:r w:rsidRPr="007C7B3D">
              <w:rPr>
                <w:bCs/>
                <w:iCs/>
                <w:sz w:val="20"/>
                <w:szCs w:val="20"/>
              </w:rPr>
              <w:t>mających</w:t>
            </w:r>
            <w:r w:rsidR="007C7B3D">
              <w:rPr>
                <w:bCs/>
                <w:iCs/>
                <w:sz w:val="20"/>
                <w:szCs w:val="20"/>
              </w:rPr>
              <w:t xml:space="preserve"> </w:t>
            </w:r>
            <w:r w:rsidRPr="007C7B3D">
              <w:rPr>
                <w:bCs/>
                <w:iCs/>
                <w:sz w:val="20"/>
                <w:szCs w:val="20"/>
              </w:rPr>
              <w:t>na</w:t>
            </w:r>
            <w:r w:rsidR="007C7B3D">
              <w:rPr>
                <w:bCs/>
                <w:iCs/>
                <w:sz w:val="20"/>
                <w:szCs w:val="20"/>
              </w:rPr>
              <w:t xml:space="preserve"> </w:t>
            </w:r>
            <w:r w:rsidRPr="007C7B3D">
              <w:rPr>
                <w:bCs/>
                <w:iCs/>
                <w:sz w:val="20"/>
                <w:szCs w:val="20"/>
              </w:rPr>
              <w:t>celu</w:t>
            </w:r>
            <w:r w:rsidR="007C7B3D">
              <w:rPr>
                <w:bCs/>
                <w:iCs/>
                <w:sz w:val="20"/>
                <w:szCs w:val="20"/>
              </w:rPr>
              <w:t xml:space="preserve"> </w:t>
            </w:r>
            <w:r w:rsidRPr="007C7B3D">
              <w:rPr>
                <w:bCs/>
                <w:iCs/>
                <w:sz w:val="20"/>
                <w:szCs w:val="20"/>
              </w:rPr>
              <w:t>optymalizację</w:t>
            </w:r>
            <w:r w:rsidR="007C7B3D">
              <w:rPr>
                <w:bCs/>
                <w:iCs/>
                <w:sz w:val="20"/>
                <w:szCs w:val="20"/>
              </w:rPr>
              <w:t xml:space="preserve"> </w:t>
            </w:r>
            <w:r w:rsidRPr="007C7B3D">
              <w:rPr>
                <w:bCs/>
                <w:iCs/>
                <w:sz w:val="20"/>
                <w:szCs w:val="20"/>
              </w:rPr>
              <w:t>leczenia</w:t>
            </w:r>
            <w:r w:rsidR="007C7B3D">
              <w:rPr>
                <w:bCs/>
                <w:iCs/>
                <w:sz w:val="20"/>
                <w:szCs w:val="20"/>
              </w:rPr>
              <w:t xml:space="preserve"> </w:t>
            </w:r>
            <w:r w:rsidRPr="007C7B3D">
              <w:rPr>
                <w:bCs/>
                <w:iCs/>
                <w:sz w:val="20"/>
                <w:szCs w:val="20"/>
              </w:rPr>
              <w:t>podejmuje</w:t>
            </w:r>
            <w:r w:rsidR="007C7B3D">
              <w:rPr>
                <w:bCs/>
                <w:iCs/>
                <w:sz w:val="20"/>
                <w:szCs w:val="20"/>
              </w:rPr>
              <w:t xml:space="preserve"> </w:t>
            </w:r>
            <w:r w:rsidRPr="007C7B3D">
              <w:rPr>
                <w:bCs/>
                <w:iCs/>
                <w:sz w:val="20"/>
                <w:szCs w:val="20"/>
              </w:rPr>
              <w:t>świadczeniodawca.</w:t>
            </w:r>
          </w:p>
          <w:p w14:paraId="3EBD7179" w14:textId="77777777" w:rsidR="00B7207C" w:rsidRPr="0053749C" w:rsidRDefault="00B7207C" w:rsidP="0053749C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29E9D4AB" w14:textId="62BD70DD" w:rsidR="00CB1CEB" w:rsidRPr="0053749C" w:rsidRDefault="00CB1CEB" w:rsidP="007C7B3D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53749C">
              <w:rPr>
                <w:b/>
                <w:bCs/>
                <w:color w:val="000000"/>
                <w:sz w:val="20"/>
                <w:szCs w:val="20"/>
              </w:rPr>
              <w:t>Monitorowanie</w:t>
            </w:r>
            <w:r w:rsidR="007C7B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b/>
                <w:bCs/>
                <w:color w:val="000000"/>
                <w:sz w:val="20"/>
                <w:szCs w:val="20"/>
              </w:rPr>
              <w:t>programu</w:t>
            </w:r>
          </w:p>
          <w:p w14:paraId="0A907605" w14:textId="7B973493" w:rsidR="00E1574B" w:rsidRPr="0053749C" w:rsidRDefault="00E1574B" w:rsidP="007C7B3D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Gromadzenie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w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dokumentacji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medycznej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pacjenta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danych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dotyczących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monitorowania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leczenia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każdorazowe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ich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przedstawianie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na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żądanie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kontrolerów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Narodowego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Funduszu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Zdrowia</w:t>
            </w:r>
            <w:r w:rsidR="005B4791" w:rsidRPr="0053749C">
              <w:rPr>
                <w:color w:val="000000"/>
                <w:sz w:val="20"/>
                <w:szCs w:val="20"/>
              </w:rPr>
              <w:t>.</w:t>
            </w:r>
          </w:p>
          <w:p w14:paraId="630C65BF" w14:textId="33B746CF" w:rsidR="00E1574B" w:rsidRPr="0053749C" w:rsidRDefault="00E1574B" w:rsidP="007C7B3D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Uzupełnienie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danych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zawartych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w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rejestrze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(SMPT)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dostępnym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za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pomocą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aplikacji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internetowej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udostępnionej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przez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OW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NFZ,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lastRenderedPageBreak/>
              <w:t>z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częstotliwością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zgodną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z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opisem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programu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oraz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na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zakończenie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leczenia</w:t>
            </w:r>
            <w:r w:rsidR="005B4791" w:rsidRPr="0053749C">
              <w:rPr>
                <w:color w:val="000000"/>
                <w:sz w:val="20"/>
                <w:szCs w:val="20"/>
              </w:rPr>
              <w:t>.</w:t>
            </w:r>
          </w:p>
          <w:p w14:paraId="6DA8389C" w14:textId="3F957871" w:rsidR="00CB1CEB" w:rsidRPr="0053749C" w:rsidRDefault="00E1574B" w:rsidP="007C7B3D">
            <w:pPr>
              <w:pStyle w:val="Akapitzlist"/>
              <w:numPr>
                <w:ilvl w:val="3"/>
                <w:numId w:val="4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color w:val="000000"/>
                <w:sz w:val="20"/>
                <w:szCs w:val="20"/>
              </w:rPr>
            </w:pPr>
            <w:r w:rsidRPr="0053749C">
              <w:rPr>
                <w:color w:val="000000"/>
                <w:sz w:val="20"/>
                <w:szCs w:val="20"/>
              </w:rPr>
              <w:t>Przekazywanie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informacji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sprawozdawczo-rozliczeniowych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do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NFZ: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informacje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przekazuje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się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do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NFZ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w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formie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papierowej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lub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w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formie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elektronicznej,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zgodnie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z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wymaganiami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opublikowanymi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przez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Narodowy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="00CB1CEB" w:rsidRPr="0053749C">
              <w:rPr>
                <w:color w:val="000000"/>
                <w:sz w:val="20"/>
                <w:szCs w:val="20"/>
              </w:rPr>
              <w:t>Fun</w:t>
            </w:r>
            <w:r w:rsidRPr="0053749C">
              <w:rPr>
                <w:color w:val="000000"/>
                <w:sz w:val="20"/>
                <w:szCs w:val="20"/>
              </w:rPr>
              <w:t>dusz</w:t>
            </w:r>
            <w:r w:rsidR="007C7B3D">
              <w:rPr>
                <w:color w:val="000000"/>
                <w:sz w:val="20"/>
                <w:szCs w:val="20"/>
              </w:rPr>
              <w:t xml:space="preserve"> </w:t>
            </w:r>
            <w:r w:rsidRPr="0053749C">
              <w:rPr>
                <w:color w:val="000000"/>
                <w:sz w:val="20"/>
                <w:szCs w:val="20"/>
              </w:rPr>
              <w:t>Zdrowia</w:t>
            </w:r>
            <w:r w:rsidR="005B4791" w:rsidRPr="0053749C">
              <w:rPr>
                <w:color w:val="000000"/>
                <w:sz w:val="20"/>
                <w:szCs w:val="20"/>
              </w:rPr>
              <w:t>.</w:t>
            </w:r>
          </w:p>
        </w:tc>
      </w:tr>
    </w:tbl>
    <w:p w14:paraId="6E1FF191" w14:textId="77777777" w:rsidR="00CB1CEB" w:rsidRPr="00FD5BD6" w:rsidRDefault="00CB1CEB" w:rsidP="000C3FDE">
      <w:pPr>
        <w:autoSpaceDE w:val="0"/>
        <w:autoSpaceDN w:val="0"/>
        <w:adjustRightInd w:val="0"/>
        <w:spacing w:after="60"/>
        <w:jc w:val="both"/>
        <w:rPr>
          <w:b/>
          <w:bCs/>
          <w:color w:val="000000"/>
        </w:rPr>
      </w:pPr>
    </w:p>
    <w:p w14:paraId="5A834567" w14:textId="77777777" w:rsidR="00F73569" w:rsidRPr="00FD5BD6" w:rsidRDefault="00F73569" w:rsidP="000C3FDE">
      <w:pPr>
        <w:spacing w:after="60"/>
      </w:pPr>
    </w:p>
    <w:sectPr w:rsidR="00F73569" w:rsidRPr="00FD5BD6" w:rsidSect="00BD1DB6">
      <w:pgSz w:w="16840" w:h="11907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149"/>
    <w:multiLevelType w:val="multilevel"/>
    <w:tmpl w:val="6D6ADB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5705A90"/>
    <w:multiLevelType w:val="multilevel"/>
    <w:tmpl w:val="19727E6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8315D94"/>
    <w:multiLevelType w:val="hybridMultilevel"/>
    <w:tmpl w:val="71CAD40A"/>
    <w:lvl w:ilvl="0" w:tplc="04150011">
      <w:start w:val="1"/>
      <w:numFmt w:val="decimal"/>
      <w:lvlText w:val="%1)"/>
      <w:lvlJc w:val="left"/>
      <w:pPr>
        <w:ind w:left="-1584" w:hanging="360"/>
      </w:pPr>
    </w:lvl>
    <w:lvl w:ilvl="1" w:tplc="04150019">
      <w:start w:val="1"/>
      <w:numFmt w:val="lowerLetter"/>
      <w:lvlText w:val="%2."/>
      <w:lvlJc w:val="left"/>
      <w:pPr>
        <w:ind w:left="-864" w:hanging="360"/>
      </w:pPr>
    </w:lvl>
    <w:lvl w:ilvl="2" w:tplc="0415001B" w:tentative="1">
      <w:start w:val="1"/>
      <w:numFmt w:val="lowerRoman"/>
      <w:lvlText w:val="%3."/>
      <w:lvlJc w:val="right"/>
      <w:pPr>
        <w:ind w:left="-144" w:hanging="180"/>
      </w:pPr>
    </w:lvl>
    <w:lvl w:ilvl="3" w:tplc="0415000F" w:tentative="1">
      <w:start w:val="1"/>
      <w:numFmt w:val="decimal"/>
      <w:lvlText w:val="%4."/>
      <w:lvlJc w:val="left"/>
      <w:pPr>
        <w:ind w:left="576" w:hanging="360"/>
      </w:pPr>
    </w:lvl>
    <w:lvl w:ilvl="4" w:tplc="04150019" w:tentative="1">
      <w:start w:val="1"/>
      <w:numFmt w:val="lowerLetter"/>
      <w:lvlText w:val="%5."/>
      <w:lvlJc w:val="left"/>
      <w:pPr>
        <w:ind w:left="1296" w:hanging="360"/>
      </w:pPr>
    </w:lvl>
    <w:lvl w:ilvl="5" w:tplc="0415001B" w:tentative="1">
      <w:start w:val="1"/>
      <w:numFmt w:val="lowerRoman"/>
      <w:lvlText w:val="%6."/>
      <w:lvlJc w:val="right"/>
      <w:pPr>
        <w:ind w:left="2016" w:hanging="180"/>
      </w:pPr>
    </w:lvl>
    <w:lvl w:ilvl="6" w:tplc="0415000F" w:tentative="1">
      <w:start w:val="1"/>
      <w:numFmt w:val="decimal"/>
      <w:lvlText w:val="%7."/>
      <w:lvlJc w:val="left"/>
      <w:pPr>
        <w:ind w:left="2736" w:hanging="360"/>
      </w:pPr>
    </w:lvl>
    <w:lvl w:ilvl="7" w:tplc="04150019" w:tentative="1">
      <w:start w:val="1"/>
      <w:numFmt w:val="lowerLetter"/>
      <w:lvlText w:val="%8."/>
      <w:lvlJc w:val="left"/>
      <w:pPr>
        <w:ind w:left="3456" w:hanging="360"/>
      </w:pPr>
    </w:lvl>
    <w:lvl w:ilvl="8" w:tplc="0415001B" w:tentative="1">
      <w:start w:val="1"/>
      <w:numFmt w:val="lowerRoman"/>
      <w:lvlText w:val="%9."/>
      <w:lvlJc w:val="right"/>
      <w:pPr>
        <w:ind w:left="4176" w:hanging="180"/>
      </w:pPr>
    </w:lvl>
  </w:abstractNum>
  <w:abstractNum w:abstractNumId="3" w15:restartNumberingAfterBreak="0">
    <w:nsid w:val="0B50360F"/>
    <w:multiLevelType w:val="hybridMultilevel"/>
    <w:tmpl w:val="37C02B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36000"/>
    <w:multiLevelType w:val="hybridMultilevel"/>
    <w:tmpl w:val="2BBE5B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216EC0"/>
    <w:multiLevelType w:val="hybridMultilevel"/>
    <w:tmpl w:val="37C02B8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A352D"/>
    <w:multiLevelType w:val="hybridMultilevel"/>
    <w:tmpl w:val="950EA662"/>
    <w:lvl w:ilvl="0" w:tplc="4D78541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C47E2"/>
    <w:multiLevelType w:val="hybridMultilevel"/>
    <w:tmpl w:val="C2EEDE74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502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483D12"/>
    <w:multiLevelType w:val="multilevel"/>
    <w:tmpl w:val="19727E6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1CEE7A99"/>
    <w:multiLevelType w:val="hybridMultilevel"/>
    <w:tmpl w:val="2BBE5B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FF38EA"/>
    <w:multiLevelType w:val="hybridMultilevel"/>
    <w:tmpl w:val="2BBE5B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FB72B5"/>
    <w:multiLevelType w:val="hybridMultilevel"/>
    <w:tmpl w:val="F4C6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234B65"/>
    <w:multiLevelType w:val="hybridMultilevel"/>
    <w:tmpl w:val="9F8EB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078C4"/>
    <w:multiLevelType w:val="multilevel"/>
    <w:tmpl w:val="19727E6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2D111CE9"/>
    <w:multiLevelType w:val="hybridMultilevel"/>
    <w:tmpl w:val="ADCAA7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852B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E22901"/>
    <w:multiLevelType w:val="hybridMultilevel"/>
    <w:tmpl w:val="963042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966C4F"/>
    <w:multiLevelType w:val="hybridMultilevel"/>
    <w:tmpl w:val="F0C088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E024D9"/>
    <w:multiLevelType w:val="hybridMultilevel"/>
    <w:tmpl w:val="9B164A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4C509D"/>
    <w:multiLevelType w:val="hybridMultilevel"/>
    <w:tmpl w:val="B92EA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73977"/>
    <w:multiLevelType w:val="multilevel"/>
    <w:tmpl w:val="19727E6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1" w15:restartNumberingAfterBreak="0">
    <w:nsid w:val="4FDD29B3"/>
    <w:multiLevelType w:val="hybridMultilevel"/>
    <w:tmpl w:val="85E89436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F44E7E4">
      <w:start w:val="1"/>
      <w:numFmt w:val="decimal"/>
      <w:lvlText w:val="1.%2"/>
      <w:lvlJc w:val="left"/>
      <w:pPr>
        <w:ind w:left="502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6E616E"/>
    <w:multiLevelType w:val="hybridMultilevel"/>
    <w:tmpl w:val="0E7AD1A6"/>
    <w:lvl w:ilvl="0" w:tplc="2C7A95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E3802"/>
    <w:multiLevelType w:val="hybridMultilevel"/>
    <w:tmpl w:val="CD6C2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91595"/>
    <w:multiLevelType w:val="hybridMultilevel"/>
    <w:tmpl w:val="3112F0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1C176C"/>
    <w:multiLevelType w:val="hybridMultilevel"/>
    <w:tmpl w:val="7D64F28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A57C2"/>
    <w:multiLevelType w:val="hybridMultilevel"/>
    <w:tmpl w:val="EA74299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A473BB"/>
    <w:multiLevelType w:val="hybridMultilevel"/>
    <w:tmpl w:val="2BBE5B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B91FCB"/>
    <w:multiLevelType w:val="multilevel"/>
    <w:tmpl w:val="6D6ADB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9" w15:restartNumberingAfterBreak="0">
    <w:nsid w:val="60503678"/>
    <w:multiLevelType w:val="hybridMultilevel"/>
    <w:tmpl w:val="DC821A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1D64AB"/>
    <w:multiLevelType w:val="hybridMultilevel"/>
    <w:tmpl w:val="A3A45144"/>
    <w:lvl w:ilvl="0" w:tplc="1B3C4EC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502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9B3479"/>
    <w:multiLevelType w:val="hybridMultilevel"/>
    <w:tmpl w:val="A9C6BC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9211C"/>
    <w:multiLevelType w:val="hybridMultilevel"/>
    <w:tmpl w:val="B5FC2426"/>
    <w:lvl w:ilvl="0" w:tplc="3B4C57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44FB6"/>
    <w:multiLevelType w:val="multilevel"/>
    <w:tmpl w:val="32AA11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531DAC"/>
    <w:multiLevelType w:val="hybridMultilevel"/>
    <w:tmpl w:val="6E36982A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F44E7E4">
      <w:start w:val="1"/>
      <w:numFmt w:val="decimal"/>
      <w:lvlText w:val="1.%2"/>
      <w:lvlJc w:val="left"/>
      <w:pPr>
        <w:ind w:left="502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902AC6"/>
    <w:multiLevelType w:val="hybridMultilevel"/>
    <w:tmpl w:val="450A1802"/>
    <w:lvl w:ilvl="0" w:tplc="4D78541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6F44E7E4">
      <w:start w:val="1"/>
      <w:numFmt w:val="decimal"/>
      <w:lvlText w:val="1.%2"/>
      <w:lvlJc w:val="left"/>
      <w:pPr>
        <w:ind w:left="502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9C7E0D"/>
    <w:multiLevelType w:val="hybridMultilevel"/>
    <w:tmpl w:val="3FD2B9EC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F9F782D"/>
    <w:multiLevelType w:val="multilevel"/>
    <w:tmpl w:val="6D6ADB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8" w15:restartNumberingAfterBreak="0">
    <w:nsid w:val="70E717E6"/>
    <w:multiLevelType w:val="hybridMultilevel"/>
    <w:tmpl w:val="09102BA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805DD9"/>
    <w:multiLevelType w:val="multilevel"/>
    <w:tmpl w:val="32AA11E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3D44E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50E6CA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51A3561"/>
    <w:multiLevelType w:val="hybridMultilevel"/>
    <w:tmpl w:val="FF946AE2"/>
    <w:lvl w:ilvl="0" w:tplc="D43EE678">
      <w:start w:val="1"/>
      <w:numFmt w:val="decimal"/>
      <w:lvlText w:val="%1."/>
      <w:lvlJc w:val="center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87DE1"/>
    <w:multiLevelType w:val="multilevel"/>
    <w:tmpl w:val="6D6ADB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4" w15:restartNumberingAfterBreak="0">
    <w:nsid w:val="7C55145D"/>
    <w:multiLevelType w:val="multilevel"/>
    <w:tmpl w:val="0415001D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E363254"/>
    <w:multiLevelType w:val="hybridMultilevel"/>
    <w:tmpl w:val="89ACF71C"/>
    <w:lvl w:ilvl="0" w:tplc="A16076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B1D0172E">
      <w:start w:val="1"/>
      <w:numFmt w:val="decimal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8"/>
  </w:num>
  <w:num w:numId="3">
    <w:abstractNumId w:val="10"/>
  </w:num>
  <w:num w:numId="4">
    <w:abstractNumId w:val="4"/>
  </w:num>
  <w:num w:numId="5">
    <w:abstractNumId w:val="9"/>
  </w:num>
  <w:num w:numId="6">
    <w:abstractNumId w:val="11"/>
  </w:num>
  <w:num w:numId="7">
    <w:abstractNumId w:val="3"/>
  </w:num>
  <w:num w:numId="8">
    <w:abstractNumId w:val="22"/>
  </w:num>
  <w:num w:numId="9">
    <w:abstractNumId w:val="29"/>
  </w:num>
  <w:num w:numId="10">
    <w:abstractNumId w:val="42"/>
  </w:num>
  <w:num w:numId="11">
    <w:abstractNumId w:val="5"/>
  </w:num>
  <w:num w:numId="12">
    <w:abstractNumId w:val="19"/>
  </w:num>
  <w:num w:numId="13">
    <w:abstractNumId w:val="34"/>
  </w:num>
  <w:num w:numId="14">
    <w:abstractNumId w:val="45"/>
  </w:num>
  <w:num w:numId="15">
    <w:abstractNumId w:val="36"/>
  </w:num>
  <w:num w:numId="16">
    <w:abstractNumId w:val="44"/>
  </w:num>
  <w:num w:numId="17">
    <w:abstractNumId w:val="38"/>
  </w:num>
  <w:num w:numId="18">
    <w:abstractNumId w:val="26"/>
  </w:num>
  <w:num w:numId="19">
    <w:abstractNumId w:val="23"/>
  </w:num>
  <w:num w:numId="20">
    <w:abstractNumId w:val="17"/>
  </w:num>
  <w:num w:numId="21">
    <w:abstractNumId w:val="7"/>
  </w:num>
  <w:num w:numId="22">
    <w:abstractNumId w:val="30"/>
  </w:num>
  <w:num w:numId="23">
    <w:abstractNumId w:val="35"/>
  </w:num>
  <w:num w:numId="24">
    <w:abstractNumId w:val="6"/>
  </w:num>
  <w:num w:numId="25">
    <w:abstractNumId w:val="21"/>
  </w:num>
  <w:num w:numId="26">
    <w:abstractNumId w:val="15"/>
  </w:num>
  <w:num w:numId="27">
    <w:abstractNumId w:val="2"/>
  </w:num>
  <w:num w:numId="28">
    <w:abstractNumId w:val="16"/>
  </w:num>
  <w:num w:numId="29">
    <w:abstractNumId w:val="41"/>
  </w:num>
  <w:num w:numId="30">
    <w:abstractNumId w:val="39"/>
  </w:num>
  <w:num w:numId="31">
    <w:abstractNumId w:val="33"/>
  </w:num>
  <w:num w:numId="32">
    <w:abstractNumId w:val="40"/>
  </w:num>
  <w:num w:numId="33">
    <w:abstractNumId w:val="14"/>
  </w:num>
  <w:num w:numId="34">
    <w:abstractNumId w:val="24"/>
  </w:num>
  <w:num w:numId="35">
    <w:abstractNumId w:val="12"/>
  </w:num>
  <w:num w:numId="36">
    <w:abstractNumId w:val="25"/>
  </w:num>
  <w:num w:numId="37">
    <w:abstractNumId w:val="43"/>
  </w:num>
  <w:num w:numId="38">
    <w:abstractNumId w:val="28"/>
  </w:num>
  <w:num w:numId="39">
    <w:abstractNumId w:val="37"/>
  </w:num>
  <w:num w:numId="40">
    <w:abstractNumId w:val="0"/>
  </w:num>
  <w:num w:numId="41">
    <w:abstractNumId w:val="31"/>
  </w:num>
  <w:num w:numId="42">
    <w:abstractNumId w:val="32"/>
  </w:num>
  <w:num w:numId="43">
    <w:abstractNumId w:val="20"/>
  </w:num>
  <w:num w:numId="44">
    <w:abstractNumId w:val="1"/>
  </w:num>
  <w:num w:numId="45">
    <w:abstractNumId w:val="8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EB"/>
    <w:rsid w:val="00000C37"/>
    <w:rsid w:val="00020A76"/>
    <w:rsid w:val="00057243"/>
    <w:rsid w:val="00092F32"/>
    <w:rsid w:val="00096005"/>
    <w:rsid w:val="000B30D6"/>
    <w:rsid w:val="000C3FDE"/>
    <w:rsid w:val="000C7A46"/>
    <w:rsid w:val="000E6E7C"/>
    <w:rsid w:val="000F7C4F"/>
    <w:rsid w:val="001126D3"/>
    <w:rsid w:val="0015640B"/>
    <w:rsid w:val="001627EC"/>
    <w:rsid w:val="00170F3F"/>
    <w:rsid w:val="001B6EA5"/>
    <w:rsid w:val="001E4263"/>
    <w:rsid w:val="002013E2"/>
    <w:rsid w:val="0022303C"/>
    <w:rsid w:val="002251D9"/>
    <w:rsid w:val="00225ABE"/>
    <w:rsid w:val="002263C7"/>
    <w:rsid w:val="002341F7"/>
    <w:rsid w:val="002556BA"/>
    <w:rsid w:val="00257177"/>
    <w:rsid w:val="00281A0E"/>
    <w:rsid w:val="002A35A5"/>
    <w:rsid w:val="002A5345"/>
    <w:rsid w:val="002A609A"/>
    <w:rsid w:val="002B52A4"/>
    <w:rsid w:val="002F2E50"/>
    <w:rsid w:val="00302426"/>
    <w:rsid w:val="00314577"/>
    <w:rsid w:val="003512CF"/>
    <w:rsid w:val="003612DC"/>
    <w:rsid w:val="003836AD"/>
    <w:rsid w:val="00394D06"/>
    <w:rsid w:val="0039799B"/>
    <w:rsid w:val="003A498A"/>
    <w:rsid w:val="003F6917"/>
    <w:rsid w:val="004032AD"/>
    <w:rsid w:val="0041605B"/>
    <w:rsid w:val="004364F5"/>
    <w:rsid w:val="004413A3"/>
    <w:rsid w:val="00441EF4"/>
    <w:rsid w:val="004460AF"/>
    <w:rsid w:val="00464616"/>
    <w:rsid w:val="004D630F"/>
    <w:rsid w:val="004E6283"/>
    <w:rsid w:val="00520F1F"/>
    <w:rsid w:val="00524837"/>
    <w:rsid w:val="0053749C"/>
    <w:rsid w:val="005564D0"/>
    <w:rsid w:val="0055737E"/>
    <w:rsid w:val="005758A9"/>
    <w:rsid w:val="00580E3A"/>
    <w:rsid w:val="005B4791"/>
    <w:rsid w:val="005D08E3"/>
    <w:rsid w:val="005F2B06"/>
    <w:rsid w:val="00620285"/>
    <w:rsid w:val="00625DF0"/>
    <w:rsid w:val="006310E3"/>
    <w:rsid w:val="0063383C"/>
    <w:rsid w:val="00642DE2"/>
    <w:rsid w:val="00655949"/>
    <w:rsid w:val="006838F6"/>
    <w:rsid w:val="0069651B"/>
    <w:rsid w:val="006D3F86"/>
    <w:rsid w:val="00701249"/>
    <w:rsid w:val="00701BE3"/>
    <w:rsid w:val="007059C0"/>
    <w:rsid w:val="0078324A"/>
    <w:rsid w:val="00786959"/>
    <w:rsid w:val="007A0E1D"/>
    <w:rsid w:val="007A612A"/>
    <w:rsid w:val="007B1A1F"/>
    <w:rsid w:val="007B5551"/>
    <w:rsid w:val="007C19B5"/>
    <w:rsid w:val="007C7B3D"/>
    <w:rsid w:val="007D202B"/>
    <w:rsid w:val="007D4B7D"/>
    <w:rsid w:val="007E2DA6"/>
    <w:rsid w:val="007F38BE"/>
    <w:rsid w:val="00840372"/>
    <w:rsid w:val="008B3FF1"/>
    <w:rsid w:val="008B68D6"/>
    <w:rsid w:val="008C6D50"/>
    <w:rsid w:val="008D0641"/>
    <w:rsid w:val="008D5861"/>
    <w:rsid w:val="0093091F"/>
    <w:rsid w:val="00940EF9"/>
    <w:rsid w:val="00942F0F"/>
    <w:rsid w:val="00967DFD"/>
    <w:rsid w:val="009C3134"/>
    <w:rsid w:val="009C5349"/>
    <w:rsid w:val="009D2D15"/>
    <w:rsid w:val="009D6A9F"/>
    <w:rsid w:val="009E12F4"/>
    <w:rsid w:val="00A021A9"/>
    <w:rsid w:val="00A175F1"/>
    <w:rsid w:val="00A17D84"/>
    <w:rsid w:val="00A301FE"/>
    <w:rsid w:val="00A36FA3"/>
    <w:rsid w:val="00A61F85"/>
    <w:rsid w:val="00A752D5"/>
    <w:rsid w:val="00AA3FF6"/>
    <w:rsid w:val="00AA7447"/>
    <w:rsid w:val="00AB0DC9"/>
    <w:rsid w:val="00AB6583"/>
    <w:rsid w:val="00AE29BE"/>
    <w:rsid w:val="00AF1A44"/>
    <w:rsid w:val="00B004BC"/>
    <w:rsid w:val="00B06618"/>
    <w:rsid w:val="00B25641"/>
    <w:rsid w:val="00B2590D"/>
    <w:rsid w:val="00B40839"/>
    <w:rsid w:val="00B6018E"/>
    <w:rsid w:val="00B67EC8"/>
    <w:rsid w:val="00B7207C"/>
    <w:rsid w:val="00B7281A"/>
    <w:rsid w:val="00B74588"/>
    <w:rsid w:val="00B76CDF"/>
    <w:rsid w:val="00B947FF"/>
    <w:rsid w:val="00BA723C"/>
    <w:rsid w:val="00BB1BF4"/>
    <w:rsid w:val="00BF7FB8"/>
    <w:rsid w:val="00C00B39"/>
    <w:rsid w:val="00C250DD"/>
    <w:rsid w:val="00C35966"/>
    <w:rsid w:val="00C422F2"/>
    <w:rsid w:val="00C85598"/>
    <w:rsid w:val="00C877C7"/>
    <w:rsid w:val="00C9608D"/>
    <w:rsid w:val="00CA2610"/>
    <w:rsid w:val="00CA280E"/>
    <w:rsid w:val="00CB1CEB"/>
    <w:rsid w:val="00CB2B3A"/>
    <w:rsid w:val="00D032FA"/>
    <w:rsid w:val="00D22CA4"/>
    <w:rsid w:val="00D25501"/>
    <w:rsid w:val="00D265D8"/>
    <w:rsid w:val="00D30180"/>
    <w:rsid w:val="00D35DAE"/>
    <w:rsid w:val="00D86D4D"/>
    <w:rsid w:val="00D91EC3"/>
    <w:rsid w:val="00D96DA9"/>
    <w:rsid w:val="00DD6DFF"/>
    <w:rsid w:val="00DF4644"/>
    <w:rsid w:val="00E02F61"/>
    <w:rsid w:val="00E0401D"/>
    <w:rsid w:val="00E04434"/>
    <w:rsid w:val="00E1574B"/>
    <w:rsid w:val="00E859A2"/>
    <w:rsid w:val="00E9112E"/>
    <w:rsid w:val="00EA4BA7"/>
    <w:rsid w:val="00EA4BF0"/>
    <w:rsid w:val="00EC17AD"/>
    <w:rsid w:val="00EC22CC"/>
    <w:rsid w:val="00EF382D"/>
    <w:rsid w:val="00EF3A59"/>
    <w:rsid w:val="00F23698"/>
    <w:rsid w:val="00F36DAC"/>
    <w:rsid w:val="00F53542"/>
    <w:rsid w:val="00F73569"/>
    <w:rsid w:val="00F77289"/>
    <w:rsid w:val="00F8165F"/>
    <w:rsid w:val="00F87404"/>
    <w:rsid w:val="00F92DAA"/>
    <w:rsid w:val="00FA4A72"/>
    <w:rsid w:val="00FC4906"/>
    <w:rsid w:val="00FD2907"/>
    <w:rsid w:val="00FD5BD6"/>
    <w:rsid w:val="00FE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32E3"/>
  <w15:chartTrackingRefBased/>
  <w15:docId w15:val="{E2DEC65B-E262-4D84-BD2C-82F2A9D2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CB1CEB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CB1CEB"/>
    <w:pPr>
      <w:ind w:left="720"/>
      <w:contextualSpacing/>
    </w:pPr>
  </w:style>
  <w:style w:type="paragraph" w:customStyle="1" w:styleId="Default">
    <w:name w:val="Default"/>
    <w:rsid w:val="00CB1C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A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A59"/>
    <w:rPr>
      <w:rFonts w:ascii="Segoe UI" w:eastAsia="Times New Roman" w:hAnsi="Segoe UI" w:cs="Segoe UI"/>
      <w:sz w:val="18"/>
      <w:szCs w:val="18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2D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2D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2D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2DA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464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B0CF5-BE5F-4EBE-9676-4979FDDB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1766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Bonek Przemysław</dc:creator>
  <cp:keywords/>
  <dc:description/>
  <cp:lastModifiedBy>Królak-Buzakowska Joanna</cp:lastModifiedBy>
  <cp:revision>4</cp:revision>
  <dcterms:created xsi:type="dcterms:W3CDTF">2021-12-09T11:57:00Z</dcterms:created>
  <dcterms:modified xsi:type="dcterms:W3CDTF">2021-12-09T12:10:00Z</dcterms:modified>
</cp:coreProperties>
</file>