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296B" w14:textId="3AF241AD" w:rsidR="00740B50" w:rsidRDefault="00000000">
      <w:pPr>
        <w:tabs>
          <w:tab w:val="center" w:pos="5033"/>
        </w:tabs>
        <w:spacing w:after="0" w:line="259" w:lineRule="auto"/>
        <w:ind w:left="-910" w:right="0" w:firstLine="0"/>
        <w:jc w:val="left"/>
      </w:pPr>
      <w:r>
        <w:t xml:space="preserve"> </w:t>
      </w:r>
      <w:r>
        <w:tab/>
        <w:t xml:space="preserve">POWIATOWA STACJA SANITARNO-EPIDEMIOLOGICZNA W </w:t>
      </w:r>
      <w:r w:rsidR="000554AB">
        <w:t>ALEKSANDROWIE KUJAWSKIM</w:t>
      </w:r>
    </w:p>
    <w:p w14:paraId="4790CD08" w14:textId="77777777" w:rsidR="00740B50" w:rsidRDefault="00000000">
      <w:pPr>
        <w:spacing w:after="5" w:line="259" w:lineRule="auto"/>
        <w:ind w:left="0" w:right="243" w:firstLine="0"/>
        <w:jc w:val="right"/>
      </w:pPr>
      <w:r>
        <w:t xml:space="preserve">______________________________________________________________________________ </w:t>
      </w:r>
    </w:p>
    <w:p w14:paraId="1916799C" w14:textId="77777777" w:rsidR="00740B50" w:rsidRDefault="00000000">
      <w:pPr>
        <w:spacing w:after="165" w:line="259" w:lineRule="auto"/>
        <w:ind w:left="528"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E441703" w14:textId="77777777" w:rsidR="00740B50" w:rsidRDefault="00000000">
      <w:pPr>
        <w:pStyle w:val="Nagwek1"/>
      </w:pPr>
      <w:r>
        <w:t xml:space="preserve">                                Obszar: epidemiologii </w:t>
      </w:r>
    </w:p>
    <w:p w14:paraId="72829EC8" w14:textId="77777777" w:rsidR="000554AB" w:rsidRDefault="000554AB" w:rsidP="000554AB">
      <w:pPr>
        <w:spacing w:after="160"/>
        <w:ind w:right="52"/>
      </w:pPr>
      <w:r>
        <w:t xml:space="preserve">Dotyczy podmiotów wykonujących działalność leczniczą. Podmiot wykonujący działalność leczniczą – zgodnie z Ustawą o działalności leczniczej jest to jeden z poniższych podmiotów: </w:t>
      </w:r>
    </w:p>
    <w:p w14:paraId="18124815" w14:textId="77777777" w:rsidR="000554AB" w:rsidRDefault="000554AB" w:rsidP="000554AB">
      <w:pPr>
        <w:numPr>
          <w:ilvl w:val="1"/>
          <w:numId w:val="2"/>
        </w:numPr>
        <w:spacing w:after="9" w:line="250" w:lineRule="auto"/>
        <w:ind w:right="52" w:hanging="334"/>
      </w:pPr>
      <w:r>
        <w:t xml:space="preserve">praktyka zawodowa lekarza lub lekarza dentysty, </w:t>
      </w:r>
    </w:p>
    <w:p w14:paraId="106416FD" w14:textId="77777777" w:rsidR="000554AB" w:rsidRDefault="000554AB" w:rsidP="000554AB">
      <w:pPr>
        <w:numPr>
          <w:ilvl w:val="1"/>
          <w:numId w:val="2"/>
        </w:numPr>
        <w:spacing w:after="9" w:line="250" w:lineRule="auto"/>
        <w:ind w:right="52" w:hanging="334"/>
      </w:pPr>
      <w:r>
        <w:t xml:space="preserve">praktyka zawodowa pielęgniarki lub położnej, </w:t>
      </w:r>
    </w:p>
    <w:p w14:paraId="6AD294B7" w14:textId="77777777" w:rsidR="000554AB" w:rsidRDefault="000554AB" w:rsidP="000554AB">
      <w:pPr>
        <w:numPr>
          <w:ilvl w:val="1"/>
          <w:numId w:val="2"/>
        </w:numPr>
        <w:spacing w:after="9" w:line="250" w:lineRule="auto"/>
        <w:ind w:right="52" w:hanging="334"/>
      </w:pPr>
      <w:r>
        <w:t xml:space="preserve">praktyka zawodowa fizjoterapeuty, </w:t>
      </w:r>
    </w:p>
    <w:p w14:paraId="2BA02226" w14:textId="77777777" w:rsidR="000554AB" w:rsidRDefault="000554AB" w:rsidP="000554AB">
      <w:pPr>
        <w:numPr>
          <w:ilvl w:val="1"/>
          <w:numId w:val="2"/>
        </w:numPr>
        <w:spacing w:after="9" w:line="250" w:lineRule="auto"/>
        <w:ind w:right="52" w:hanging="334"/>
      </w:pPr>
      <w:r>
        <w:t xml:space="preserve">praktyka zawodowa diagnosty laboratoryjnego, </w:t>
      </w:r>
    </w:p>
    <w:p w14:paraId="39CC265A" w14:textId="77777777" w:rsidR="00944B06" w:rsidRDefault="000554AB" w:rsidP="000554AB">
      <w:pPr>
        <w:numPr>
          <w:ilvl w:val="1"/>
          <w:numId w:val="2"/>
        </w:numPr>
        <w:spacing w:after="12" w:line="250" w:lineRule="auto"/>
        <w:ind w:right="52" w:hanging="334"/>
      </w:pPr>
      <w:r>
        <w:t xml:space="preserve">podmiot leczniczy, </w:t>
      </w:r>
    </w:p>
    <w:p w14:paraId="394AD469" w14:textId="43D7D961" w:rsidR="000554AB" w:rsidRDefault="000554AB" w:rsidP="000554AB">
      <w:pPr>
        <w:numPr>
          <w:ilvl w:val="1"/>
          <w:numId w:val="2"/>
        </w:numPr>
        <w:spacing w:after="12" w:line="250" w:lineRule="auto"/>
        <w:ind w:right="52" w:hanging="334"/>
      </w:pPr>
      <w:r>
        <w:t xml:space="preserve">zakład leczniczy. </w:t>
      </w:r>
    </w:p>
    <w:p w14:paraId="2479DF92" w14:textId="77777777" w:rsidR="000554AB" w:rsidRPr="000554AB" w:rsidRDefault="000554AB" w:rsidP="000554AB"/>
    <w:p w14:paraId="6533908D" w14:textId="77777777" w:rsidR="00740B50" w:rsidRDefault="00000000">
      <w:pPr>
        <w:spacing w:after="32"/>
        <w:ind w:left="533" w:right="0"/>
      </w:pPr>
      <w:r>
        <w:t xml:space="preserve">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 </w:t>
      </w:r>
    </w:p>
    <w:p w14:paraId="063D4F7C" w14:textId="77777777" w:rsidR="00740B50" w:rsidRDefault="00000000">
      <w:pPr>
        <w:spacing w:after="31" w:line="259" w:lineRule="auto"/>
        <w:ind w:left="528" w:right="0" w:firstLine="0"/>
        <w:jc w:val="left"/>
      </w:pPr>
      <w:r>
        <w:t xml:space="preserve"> </w:t>
      </w:r>
    </w:p>
    <w:p w14:paraId="791F0EDA" w14:textId="77777777" w:rsidR="00740B50" w:rsidRDefault="00000000">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651" w:right="44"/>
      </w:pPr>
      <w:r>
        <w:t xml:space="preserve">Podmioty lecznicze w rodzaju szpitale - wysokie ryzyko szerzenia się zakażeń  </w:t>
      </w:r>
    </w:p>
    <w:p w14:paraId="3789B3FC" w14:textId="77777777" w:rsidR="00740B50" w:rsidRDefault="00000000">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651" w:right="44"/>
      </w:pPr>
      <w:r>
        <w:t xml:space="preserve">(niezależnie od profilu)  </w:t>
      </w:r>
    </w:p>
    <w:p w14:paraId="38CAAEE0" w14:textId="77777777" w:rsidR="00740B50" w:rsidRDefault="00000000">
      <w:pPr>
        <w:pBdr>
          <w:top w:val="single" w:sz="4" w:space="0" w:color="000000"/>
          <w:left w:val="single" w:sz="4" w:space="0" w:color="000000"/>
          <w:bottom w:val="single" w:sz="4" w:space="0" w:color="000000"/>
          <w:right w:val="single" w:sz="4" w:space="0" w:color="000000"/>
        </w:pBdr>
        <w:shd w:val="clear" w:color="auto" w:fill="BFBFBF"/>
        <w:spacing w:after="0" w:line="259" w:lineRule="auto"/>
        <w:ind w:left="651" w:right="44"/>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wielochorobowość.  </w:t>
      </w:r>
    </w:p>
    <w:p w14:paraId="52A3A988" w14:textId="77777777" w:rsidR="00740B50" w:rsidRDefault="00000000">
      <w:pPr>
        <w:spacing w:after="19" w:line="259" w:lineRule="auto"/>
        <w:ind w:left="528" w:right="0" w:firstLine="0"/>
        <w:jc w:val="left"/>
      </w:pPr>
      <w:r>
        <w:t xml:space="preserve"> </w:t>
      </w:r>
    </w:p>
    <w:p w14:paraId="6BAB9E4B" w14:textId="77777777" w:rsidR="00740B50" w:rsidRDefault="00000000">
      <w:pPr>
        <w:spacing w:after="0" w:line="259" w:lineRule="auto"/>
        <w:ind w:left="528" w:right="0" w:firstLine="0"/>
        <w:jc w:val="left"/>
      </w:pPr>
      <w:r>
        <w:t xml:space="preserve"> </w:t>
      </w:r>
    </w:p>
    <w:tbl>
      <w:tblPr>
        <w:tblStyle w:val="TableGrid"/>
        <w:tblW w:w="8992" w:type="dxa"/>
        <w:tblInd w:w="556" w:type="dxa"/>
        <w:tblCellMar>
          <w:top w:w="100" w:type="dxa"/>
          <w:left w:w="107" w:type="dxa"/>
          <w:right w:w="85" w:type="dxa"/>
        </w:tblCellMar>
        <w:tblLook w:val="04A0" w:firstRow="1" w:lastRow="0" w:firstColumn="1" w:lastColumn="0" w:noHBand="0" w:noVBand="1"/>
      </w:tblPr>
      <w:tblGrid>
        <w:gridCol w:w="8992"/>
      </w:tblGrid>
      <w:tr w:rsidR="00740B50" w14:paraId="37E56F8F" w14:textId="77777777">
        <w:trPr>
          <w:trHeight w:val="942"/>
        </w:trPr>
        <w:tc>
          <w:tcPr>
            <w:tcW w:w="8992" w:type="dxa"/>
            <w:tcBorders>
              <w:top w:val="single" w:sz="4" w:space="0" w:color="000000"/>
              <w:left w:val="single" w:sz="4" w:space="0" w:color="000000"/>
              <w:bottom w:val="single" w:sz="4" w:space="0" w:color="000000"/>
              <w:right w:val="single" w:sz="4" w:space="0" w:color="000000"/>
            </w:tcBorders>
            <w:shd w:val="clear" w:color="auto" w:fill="BFBFBF"/>
          </w:tcPr>
          <w:p w14:paraId="31E4A5EC" w14:textId="77777777" w:rsidR="00740B50" w:rsidRDefault="00000000">
            <w:pPr>
              <w:spacing w:after="0" w:line="259" w:lineRule="auto"/>
              <w:ind w:left="0" w:right="0" w:firstLine="0"/>
              <w:jc w:val="left"/>
            </w:pPr>
            <w:r>
              <w:t xml:space="preserve">Szpitale 1 dniowe: średnie ryzyko szerzenia się zakażeń  </w:t>
            </w:r>
          </w:p>
          <w:p w14:paraId="2BBE202F" w14:textId="77777777" w:rsidR="00740B50" w:rsidRDefault="00000000">
            <w:pPr>
              <w:spacing w:after="0" w:line="259" w:lineRule="auto"/>
              <w:ind w:left="0" w:right="0" w:firstLine="0"/>
            </w:pPr>
            <w:r>
              <w:rPr>
                <w:u w:val="single" w:color="000000"/>
              </w:rPr>
              <w:t>Uzasadnienie:</w:t>
            </w:r>
            <w:r>
              <w:t xml:space="preserve"> krótkotrwała hospitalizacja zazwyczaj u osób w dobrym stanie ogólnym, bez wielochorobowości, inwazyjne metody lecznicze.  </w:t>
            </w:r>
          </w:p>
        </w:tc>
      </w:tr>
      <w:tr w:rsidR="00740B50" w14:paraId="16685A63" w14:textId="77777777">
        <w:trPr>
          <w:trHeight w:val="1488"/>
        </w:trPr>
        <w:tc>
          <w:tcPr>
            <w:tcW w:w="8992" w:type="dxa"/>
            <w:tcBorders>
              <w:top w:val="single" w:sz="4" w:space="0" w:color="000000"/>
              <w:left w:val="single" w:sz="4" w:space="0" w:color="000000"/>
              <w:bottom w:val="single" w:sz="4" w:space="0" w:color="000000"/>
              <w:right w:val="single" w:sz="4" w:space="0" w:color="000000"/>
            </w:tcBorders>
            <w:shd w:val="clear" w:color="auto" w:fill="BFBFBF"/>
          </w:tcPr>
          <w:p w14:paraId="77F59B89" w14:textId="77777777" w:rsidR="00740B50" w:rsidRDefault="00000000">
            <w:pPr>
              <w:spacing w:after="2" w:line="234" w:lineRule="auto"/>
              <w:ind w:left="0" w:right="0" w:firstLine="0"/>
            </w:pPr>
            <w:r>
              <w:t xml:space="preserve">Zakłady opiekuńczo-lecznicze, opiekuńczo-pielęgnacyjne - wysokie ryzyko szerzenia się zakażeń </w:t>
            </w:r>
          </w:p>
          <w:p w14:paraId="245CC7C3" w14:textId="77777777" w:rsidR="00740B50" w:rsidRDefault="00000000">
            <w:pPr>
              <w:spacing w:after="0" w:line="259" w:lineRule="auto"/>
              <w:ind w:left="0" w:right="60" w:firstLine="0"/>
            </w:pPr>
            <w:r>
              <w:rPr>
                <w:u w:val="single" w:color="000000"/>
              </w:rPr>
              <w:t>Uzasadnienie:</w:t>
            </w:r>
            <w:r>
              <w:t xml:space="preserve"> wysokie ryzyko szerzenia się zakażeń ze względu na wielochorobowość i starczy wiek pacjentów, różny trudny do oceny stan immunologiczny, długi czas przebywania w nich pacjentów, wcześniejsze pobyty pacjentów w szpitalach. </w:t>
            </w:r>
          </w:p>
        </w:tc>
      </w:tr>
      <w:tr w:rsidR="00740B50" w14:paraId="1CB33714" w14:textId="77777777">
        <w:trPr>
          <w:trHeight w:val="1486"/>
        </w:trPr>
        <w:tc>
          <w:tcPr>
            <w:tcW w:w="8992" w:type="dxa"/>
            <w:tcBorders>
              <w:top w:val="single" w:sz="4" w:space="0" w:color="000000"/>
              <w:left w:val="single" w:sz="4" w:space="0" w:color="000000"/>
              <w:bottom w:val="single" w:sz="4" w:space="0" w:color="000000"/>
              <w:right w:val="single" w:sz="4" w:space="0" w:color="000000"/>
            </w:tcBorders>
            <w:shd w:val="clear" w:color="auto" w:fill="BFBFBF"/>
          </w:tcPr>
          <w:p w14:paraId="3C603393" w14:textId="77777777" w:rsidR="00740B50" w:rsidRDefault="00000000">
            <w:pPr>
              <w:spacing w:after="2" w:line="234" w:lineRule="auto"/>
              <w:ind w:left="0" w:right="0" w:firstLine="0"/>
            </w:pPr>
            <w:r>
              <w:t xml:space="preserve">Podmioty lecznicze w rodzaju sanatoria, ośrodki rehabilitacji - średnie ryzyko szerzenia się zakażeń </w:t>
            </w:r>
          </w:p>
          <w:p w14:paraId="51A75D4D" w14:textId="77777777" w:rsidR="00740B50" w:rsidRDefault="00000000">
            <w:pPr>
              <w:spacing w:after="0" w:line="259" w:lineRule="auto"/>
              <w:ind w:left="0" w:right="60" w:firstLine="0"/>
            </w:pPr>
            <w:r>
              <w:rPr>
                <w:u w:val="single" w:color="000000"/>
              </w:rPr>
              <w:t>Uzasadnienie:</w:t>
            </w:r>
            <w:r>
              <w:t xml:space="preserve"> Osoby zazwyczaj rokujące powrót do zdrowia i sprawności, często starszy wiek i wielochorobowość, małoinwazyjne procedury diagnostyczne i lecznicze, pobyt kilkutygodniowy (długotrwały).  </w:t>
            </w:r>
          </w:p>
        </w:tc>
      </w:tr>
      <w:tr w:rsidR="00740B50" w14:paraId="2976F735" w14:textId="77777777">
        <w:trPr>
          <w:trHeight w:val="1241"/>
        </w:trPr>
        <w:tc>
          <w:tcPr>
            <w:tcW w:w="8992" w:type="dxa"/>
            <w:tcBorders>
              <w:top w:val="single" w:sz="4" w:space="0" w:color="000000"/>
              <w:left w:val="single" w:sz="4" w:space="0" w:color="000000"/>
              <w:bottom w:val="single" w:sz="4" w:space="0" w:color="000000"/>
              <w:right w:val="single" w:sz="4" w:space="0" w:color="000000"/>
            </w:tcBorders>
            <w:shd w:val="clear" w:color="auto" w:fill="BFBFBF"/>
          </w:tcPr>
          <w:p w14:paraId="2254C785" w14:textId="77777777" w:rsidR="00740B50" w:rsidRDefault="00000000">
            <w:pPr>
              <w:spacing w:after="0" w:line="259" w:lineRule="auto"/>
              <w:ind w:left="0" w:right="64" w:firstLine="0"/>
            </w:pPr>
            <w:r>
              <w:lastRenderedPageBreak/>
              <w:t xml:space="preserve">Podmioty lecznicze ambulatoryjne tj. przychodnie i praktyki lekarskie i pielęgniarskie (za  wyjątkiem zabiegowych), fizjoterapia - niskie ryzyko szerzenia się zakażeń </w:t>
            </w:r>
            <w:r>
              <w:rPr>
                <w:u w:val="single" w:color="000000"/>
              </w:rPr>
              <w:t>Uzasadnienie:</w:t>
            </w:r>
            <w:r>
              <w:t xml:space="preserve"> małe nasilenie procedur inwazyjnych, zazwyczaj prawidłowy stan immunologiczny pacjentów, krótki pobyt pacjenta w podmiocie leczniczym.  </w:t>
            </w:r>
          </w:p>
        </w:tc>
      </w:tr>
      <w:tr w:rsidR="00740B50" w14:paraId="73E63DB7" w14:textId="77777777">
        <w:trPr>
          <w:trHeight w:val="2354"/>
        </w:trPr>
        <w:tc>
          <w:tcPr>
            <w:tcW w:w="8992" w:type="dxa"/>
            <w:tcBorders>
              <w:top w:val="single" w:sz="4" w:space="0" w:color="000000"/>
              <w:left w:val="single" w:sz="4" w:space="0" w:color="000000"/>
              <w:bottom w:val="single" w:sz="4" w:space="0" w:color="000000"/>
              <w:right w:val="single" w:sz="4" w:space="0" w:color="000000"/>
            </w:tcBorders>
            <w:shd w:val="clear" w:color="auto" w:fill="BFBFBF"/>
          </w:tcPr>
          <w:p w14:paraId="53F68771" w14:textId="77777777" w:rsidR="00740B50" w:rsidRDefault="00000000">
            <w:pPr>
              <w:spacing w:after="2" w:line="234" w:lineRule="auto"/>
              <w:ind w:left="0" w:right="61" w:firstLine="0"/>
            </w:pPr>
            <w:r>
              <w:t xml:space="preserve">Podmioty lecznicze ambulatoryjne - zabiegowe: tj. przychodnie i praktyki lekarskie (np. chirurgiczne, stomatologiczne, ginekologiczne, laryngologiczne i wykonujące zabiegi endoskopowe) – średnie ryzyko szerzenia się zakażeń </w:t>
            </w:r>
          </w:p>
          <w:p w14:paraId="33B6D610" w14:textId="77777777" w:rsidR="00740B50" w:rsidRDefault="00000000">
            <w:pPr>
              <w:spacing w:after="0" w:line="257" w:lineRule="auto"/>
              <w:ind w:left="0" w:right="40" w:firstLine="0"/>
              <w:jc w:val="left"/>
            </w:pPr>
            <w:r>
              <w:rPr>
                <w:u w:val="single" w:color="000000"/>
              </w:rPr>
              <w:t>Uzasadnienie:</w:t>
            </w:r>
            <w:r>
              <w:t xml:space="preserve"> Inwazyjne procedury diagnostyczne i lecznicze, ale krótki pobyt pacjenta  w podmiocie leczniczym, zazwyczaj prawidłowy stan immunologiczny  </w:t>
            </w:r>
          </w:p>
          <w:p w14:paraId="083EFFC1" w14:textId="77777777" w:rsidR="00740B50" w:rsidRDefault="00000000">
            <w:pPr>
              <w:spacing w:after="0" w:line="259" w:lineRule="auto"/>
              <w:ind w:left="0" w:firstLine="0"/>
            </w:pPr>
            <w:r>
              <w:t xml:space="preserve">Uwaga: Jeżeli podmiot leczniczy ambulatoryjny prowadzi zarówno zabiegową i niezabiegową, to powinien być przypisany do kategorii średniego ryzyka szerzenia się zakażeń.  </w:t>
            </w:r>
          </w:p>
        </w:tc>
      </w:tr>
    </w:tbl>
    <w:p w14:paraId="62DA94EF" w14:textId="77777777" w:rsidR="00740B50" w:rsidRDefault="00000000">
      <w:pPr>
        <w:spacing w:after="21" w:line="259" w:lineRule="auto"/>
        <w:ind w:left="528" w:right="0" w:firstLine="0"/>
        <w:jc w:val="left"/>
      </w:pPr>
      <w:r>
        <w:t xml:space="preserve"> </w:t>
      </w:r>
    </w:p>
    <w:p w14:paraId="76906D9C" w14:textId="77777777" w:rsidR="00740B50" w:rsidRDefault="00000000">
      <w:pPr>
        <w:spacing w:after="19" w:line="259" w:lineRule="auto"/>
        <w:ind w:left="528" w:right="0" w:firstLine="0"/>
        <w:jc w:val="left"/>
      </w:pPr>
      <w:r>
        <w:t xml:space="preserve"> </w:t>
      </w:r>
    </w:p>
    <w:p w14:paraId="19918C60" w14:textId="0EE01646" w:rsidR="00740B50" w:rsidRDefault="00000000" w:rsidP="000554AB">
      <w:pPr>
        <w:spacing w:after="21" w:line="259" w:lineRule="auto"/>
        <w:ind w:left="528" w:right="0" w:firstLine="0"/>
        <w:jc w:val="left"/>
      </w:pPr>
      <w:r>
        <w:t xml:space="preserve"> </w:t>
      </w:r>
    </w:p>
    <w:tbl>
      <w:tblPr>
        <w:tblStyle w:val="TableGrid"/>
        <w:tblW w:w="7924" w:type="dxa"/>
        <w:tblInd w:w="556" w:type="dxa"/>
        <w:tblCellMar>
          <w:top w:w="101" w:type="dxa"/>
          <w:left w:w="107" w:type="dxa"/>
          <w:right w:w="88" w:type="dxa"/>
        </w:tblCellMar>
        <w:tblLook w:val="04A0" w:firstRow="1" w:lastRow="0" w:firstColumn="1" w:lastColumn="0" w:noHBand="0" w:noVBand="1"/>
      </w:tblPr>
      <w:tblGrid>
        <w:gridCol w:w="7924"/>
      </w:tblGrid>
      <w:tr w:rsidR="00740B50" w14:paraId="75737161" w14:textId="77777777">
        <w:trPr>
          <w:trHeight w:val="346"/>
        </w:trPr>
        <w:tc>
          <w:tcPr>
            <w:tcW w:w="7924" w:type="dxa"/>
            <w:tcBorders>
              <w:top w:val="single" w:sz="4" w:space="0" w:color="000000"/>
              <w:left w:val="single" w:sz="4" w:space="0" w:color="000000"/>
              <w:bottom w:val="single" w:sz="4" w:space="0" w:color="000000"/>
              <w:right w:val="single" w:sz="4" w:space="0" w:color="000000"/>
            </w:tcBorders>
            <w:shd w:val="clear" w:color="auto" w:fill="BFBFBF"/>
          </w:tcPr>
          <w:p w14:paraId="7FC2F665" w14:textId="77777777" w:rsidR="00740B50" w:rsidRDefault="00000000">
            <w:pPr>
              <w:spacing w:after="0" w:line="259" w:lineRule="auto"/>
              <w:ind w:left="0" w:right="0" w:firstLine="0"/>
              <w:jc w:val="left"/>
            </w:pPr>
            <w:r>
              <w:rPr>
                <w:u w:val="single" w:color="000000"/>
              </w:rPr>
              <w:t>Inne podmioty lecznicze:</w:t>
            </w:r>
            <w:r>
              <w:t xml:space="preserve">  </w:t>
            </w:r>
          </w:p>
        </w:tc>
      </w:tr>
      <w:tr w:rsidR="00740B50" w14:paraId="2C2EADF9" w14:textId="77777777">
        <w:trPr>
          <w:trHeight w:val="1242"/>
        </w:trPr>
        <w:tc>
          <w:tcPr>
            <w:tcW w:w="7924" w:type="dxa"/>
            <w:tcBorders>
              <w:top w:val="single" w:sz="4" w:space="0" w:color="000000"/>
              <w:left w:val="single" w:sz="4" w:space="0" w:color="000000"/>
              <w:bottom w:val="single" w:sz="4" w:space="0" w:color="000000"/>
              <w:right w:val="single" w:sz="4" w:space="0" w:color="000000"/>
            </w:tcBorders>
            <w:shd w:val="clear" w:color="auto" w:fill="BFBFBF"/>
          </w:tcPr>
          <w:p w14:paraId="68D19DA2" w14:textId="77777777" w:rsidR="00740B50" w:rsidRDefault="00000000">
            <w:pPr>
              <w:spacing w:after="0" w:line="259" w:lineRule="auto"/>
              <w:ind w:left="0" w:right="0" w:firstLine="0"/>
              <w:jc w:val="left"/>
            </w:pPr>
            <w:r>
              <w:t xml:space="preserve">Stacje krwiodawstwa – niskie ryzyko szerzenia się zakażeń  </w:t>
            </w:r>
          </w:p>
          <w:p w14:paraId="4C993262" w14:textId="77777777" w:rsidR="00740B50" w:rsidRDefault="00000000">
            <w:pPr>
              <w:spacing w:after="0" w:line="259" w:lineRule="auto"/>
              <w:ind w:left="0" w:right="61" w:firstLine="0"/>
            </w:pPr>
            <w:r>
              <w:rPr>
                <w:u w:val="single" w:color="000000"/>
              </w:rPr>
              <w:t>Uzasadnienie:</w:t>
            </w:r>
            <w:r>
              <w:t xml:space="preserve"> krótkotrwałe inwazyjne procedury pobrania krwi, wykonywane u osób zdrowych z prawidłowym stanem immunologicznym, z użyciem sprzętu jednorazowego.  </w:t>
            </w:r>
          </w:p>
        </w:tc>
      </w:tr>
      <w:tr w:rsidR="00740B50" w14:paraId="70A72601" w14:textId="77777777">
        <w:trPr>
          <w:trHeight w:val="1241"/>
        </w:trPr>
        <w:tc>
          <w:tcPr>
            <w:tcW w:w="7924" w:type="dxa"/>
            <w:tcBorders>
              <w:top w:val="single" w:sz="4" w:space="0" w:color="000000"/>
              <w:left w:val="single" w:sz="4" w:space="0" w:color="000000"/>
              <w:bottom w:val="single" w:sz="4" w:space="0" w:color="000000"/>
              <w:right w:val="single" w:sz="4" w:space="0" w:color="000000"/>
            </w:tcBorders>
            <w:shd w:val="clear" w:color="auto" w:fill="BFBFBF"/>
          </w:tcPr>
          <w:p w14:paraId="15D4F12B" w14:textId="77777777" w:rsidR="00740B50" w:rsidRDefault="00000000">
            <w:pPr>
              <w:spacing w:after="0" w:line="259" w:lineRule="auto"/>
              <w:ind w:left="0" w:right="0" w:firstLine="0"/>
              <w:jc w:val="left"/>
            </w:pPr>
            <w:r>
              <w:t xml:space="preserve">Stacje dializ – średnie ryzyko szerzenia się zakażeń  </w:t>
            </w:r>
          </w:p>
          <w:p w14:paraId="2534AB94" w14:textId="77777777" w:rsidR="00740B50" w:rsidRDefault="00000000">
            <w:pPr>
              <w:spacing w:after="0" w:line="259" w:lineRule="auto"/>
              <w:ind w:left="0" w:right="60" w:firstLine="0"/>
            </w:pPr>
            <w:r>
              <w:rPr>
                <w:u w:val="single" w:color="000000"/>
              </w:rPr>
              <w:t>Uzasadnienie:</w:t>
            </w:r>
            <w:r>
              <w:t xml:space="preserve"> długotrwałe i powtarzane wielokrotnie inwazyjne procedury zabiegowe, u osób z niewydolnością narządową, często z wielochorobowością i trudnym do oceny stanem immunologicznym.  </w:t>
            </w:r>
          </w:p>
        </w:tc>
      </w:tr>
      <w:tr w:rsidR="00740B50" w14:paraId="1AFE52C0" w14:textId="77777777">
        <w:trPr>
          <w:trHeight w:val="944"/>
        </w:trPr>
        <w:tc>
          <w:tcPr>
            <w:tcW w:w="7924" w:type="dxa"/>
            <w:tcBorders>
              <w:top w:val="single" w:sz="4" w:space="0" w:color="000000"/>
              <w:left w:val="single" w:sz="4" w:space="0" w:color="000000"/>
              <w:bottom w:val="single" w:sz="4" w:space="0" w:color="000000"/>
              <w:right w:val="single" w:sz="4" w:space="0" w:color="000000"/>
            </w:tcBorders>
            <w:shd w:val="clear" w:color="auto" w:fill="BFBFBF"/>
          </w:tcPr>
          <w:p w14:paraId="5769DB04" w14:textId="77777777" w:rsidR="00740B50" w:rsidRDefault="00000000">
            <w:pPr>
              <w:spacing w:after="0" w:line="259" w:lineRule="auto"/>
              <w:ind w:left="0" w:right="0" w:firstLine="0"/>
              <w:jc w:val="left"/>
            </w:pPr>
            <w:r>
              <w:t xml:space="preserve">Punkty pobrań krwi - niskie ryzyko szerzenia się zakażeń  </w:t>
            </w:r>
          </w:p>
          <w:p w14:paraId="1303FC9A" w14:textId="77777777" w:rsidR="00740B50" w:rsidRDefault="00000000">
            <w:pPr>
              <w:spacing w:after="0" w:line="259" w:lineRule="auto"/>
              <w:ind w:left="0" w:right="0" w:firstLine="0"/>
            </w:pPr>
            <w:r>
              <w:rPr>
                <w:u w:val="single" w:color="000000"/>
              </w:rPr>
              <w:t>Uzasadnienie</w:t>
            </w:r>
            <w:r>
              <w:t xml:space="preserve">: Krótkotrwałe inwazyjne procedury diagnostyczne, krótki pobyt w podmiocie leczniczym.  </w:t>
            </w:r>
          </w:p>
        </w:tc>
      </w:tr>
      <w:tr w:rsidR="00740B50" w14:paraId="42A66AE3" w14:textId="77777777">
        <w:trPr>
          <w:trHeight w:val="1837"/>
        </w:trPr>
        <w:tc>
          <w:tcPr>
            <w:tcW w:w="7924" w:type="dxa"/>
            <w:tcBorders>
              <w:top w:val="single" w:sz="4" w:space="0" w:color="000000"/>
              <w:left w:val="single" w:sz="4" w:space="0" w:color="000000"/>
              <w:bottom w:val="single" w:sz="4" w:space="0" w:color="000000"/>
              <w:right w:val="single" w:sz="4" w:space="0" w:color="000000"/>
            </w:tcBorders>
            <w:shd w:val="clear" w:color="auto" w:fill="BFBFBF"/>
          </w:tcPr>
          <w:p w14:paraId="29B94912" w14:textId="77777777" w:rsidR="00740B50" w:rsidRDefault="00000000">
            <w:pPr>
              <w:spacing w:after="0" w:line="259" w:lineRule="auto"/>
              <w:ind w:left="0" w:right="0" w:firstLine="0"/>
              <w:jc w:val="left"/>
            </w:pPr>
            <w:r>
              <w:t xml:space="preserve">Punkty szczepień - niskie ryzyko szerzenia się zakażeń </w:t>
            </w:r>
          </w:p>
          <w:p w14:paraId="44350FA8" w14:textId="77777777" w:rsidR="00740B50" w:rsidRDefault="00000000">
            <w:pPr>
              <w:spacing w:after="0" w:line="259" w:lineRule="auto"/>
              <w:ind w:left="0" w:right="59" w:firstLine="0"/>
            </w:pPr>
            <w:r>
              <w:rPr>
                <w:u w:val="single" w:color="000000"/>
              </w:rPr>
              <w:t>Uzasadnienie:</w:t>
            </w:r>
            <w:r>
              <w:t xml:space="preserve"> Krótkotrwałe inwazyjne procedury diagnostyczne, sprzęt jednorazowy krótki pobyt w podmiocie leczniczym, przeprowadzane u osób zazwyczaj zdrowych Uwaga: Punkty szczepień podlegają corocznym kontrolom problemowym związanym z realizacją PSO w przypadku zbiegu kontroli można odstąpić od kontroli planowej.  </w:t>
            </w:r>
          </w:p>
        </w:tc>
      </w:tr>
    </w:tbl>
    <w:p w14:paraId="055F4B8D" w14:textId="77777777" w:rsidR="00740B50" w:rsidRDefault="00000000">
      <w:pPr>
        <w:spacing w:after="21" w:line="259" w:lineRule="auto"/>
        <w:ind w:left="528" w:right="0" w:firstLine="0"/>
        <w:jc w:val="left"/>
      </w:pPr>
      <w:r>
        <w:t xml:space="preserve"> </w:t>
      </w:r>
    </w:p>
    <w:p w14:paraId="33E225D5" w14:textId="77777777" w:rsidR="00740B50" w:rsidRDefault="00000000">
      <w:pPr>
        <w:spacing w:after="39"/>
        <w:ind w:left="533" w:right="0"/>
      </w:pPr>
      <w:r>
        <w:t xml:space="preserve">Uwagi ogólne dla wszystkich obszarów </w:t>
      </w:r>
    </w:p>
    <w:p w14:paraId="05D22C68" w14:textId="77777777" w:rsidR="00740B50" w:rsidRDefault="00000000">
      <w:pPr>
        <w:ind w:left="898" w:right="0"/>
      </w:pPr>
      <w:r>
        <w:t>1.</w:t>
      </w:r>
      <w:r>
        <w:rPr>
          <w:rFonts w:ascii="Arial" w:eastAsia="Arial" w:hAnsi="Arial" w:cs="Arial"/>
        </w:rPr>
        <w:t xml:space="preserve"> </w:t>
      </w:r>
      <w:r>
        <w:t xml:space="preserve">Częstotliwość kontroli:  </w:t>
      </w:r>
    </w:p>
    <w:p w14:paraId="6AFE44F4" w14:textId="77777777" w:rsidR="00740B50" w:rsidRDefault="00000000">
      <w:pPr>
        <w:ind w:left="1258" w:right="0"/>
      </w:pPr>
      <w:r>
        <w:rPr>
          <w:u w:val="single" w:color="000000"/>
        </w:rPr>
        <w:t>Wysokie ryzyko</w:t>
      </w:r>
      <w:r>
        <w:t xml:space="preserve">: tak często, jak to konieczne dla zapewnienia skutecznego stosowania odpowiednich przepisów, z uwzględnieniem wysokiego ryzyka wystąpienia nieprawidłowości oraz środków niezbędnych do jego ograniczenia. </w:t>
      </w:r>
    </w:p>
    <w:p w14:paraId="37A8472B" w14:textId="77777777" w:rsidR="00740B50" w:rsidRDefault="00000000">
      <w:pPr>
        <w:ind w:left="1258" w:right="0"/>
      </w:pPr>
      <w:r>
        <w:rPr>
          <w:u w:val="single" w:color="000000"/>
        </w:rPr>
        <w:t>Średnie ryzyko</w:t>
      </w:r>
      <w:r>
        <w:t xml:space="preserve">: nie częściej niż raz w ciągu 3 lat.  </w:t>
      </w:r>
    </w:p>
    <w:p w14:paraId="4DBF0048" w14:textId="77777777" w:rsidR="00740B50" w:rsidRDefault="00000000">
      <w:pPr>
        <w:ind w:left="1258" w:right="0"/>
      </w:pPr>
      <w:r>
        <w:rPr>
          <w:u w:val="single" w:color="000000"/>
        </w:rPr>
        <w:t>Niskie ryzyko</w:t>
      </w:r>
      <w:r>
        <w:t xml:space="preserve">; nie częściej niż raz w ciągu 5 lat. </w:t>
      </w:r>
    </w:p>
    <w:p w14:paraId="337AA4D2" w14:textId="77777777" w:rsidR="00740B50" w:rsidRDefault="00000000">
      <w:pPr>
        <w:spacing w:after="226"/>
        <w:ind w:left="533" w:right="0"/>
      </w:pPr>
      <w:r>
        <w:lastRenderedPageBreak/>
        <w:t xml:space="preserve">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 </w:t>
      </w:r>
    </w:p>
    <w:p w14:paraId="0311DDE4" w14:textId="77777777" w:rsidR="00740B50" w:rsidRDefault="00000000">
      <w:pPr>
        <w:spacing w:after="30"/>
        <w:ind w:left="533" w:right="0"/>
      </w:pPr>
      <w:r>
        <w:t xml:space="preserve">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t>
      </w:r>
    </w:p>
    <w:p w14:paraId="5F7A1FE2" w14:textId="77777777" w:rsidR="00740B50" w:rsidRDefault="00000000">
      <w:pPr>
        <w:ind w:left="533" w:right="0"/>
      </w:pPr>
      <w:r>
        <w:t xml:space="preserve">wystąpienia nieprawidłowości oraz środków niezbędnych do jego ograniczania. Daje to </w:t>
      </w:r>
    </w:p>
    <w:p w14:paraId="6B2619D0" w14:textId="77777777" w:rsidR="00740B50" w:rsidRDefault="00000000">
      <w:pPr>
        <w:spacing w:after="225"/>
        <w:ind w:left="533" w:right="0"/>
      </w:pPr>
      <w:r>
        <w:t xml:space="preserve">możliwość uznaniowego decydowania o częstości kontroli. </w:t>
      </w:r>
    </w:p>
    <w:p w14:paraId="1D8120D2" w14:textId="7E1CFA89" w:rsidR="00740B50" w:rsidRDefault="00000000" w:rsidP="000554AB">
      <w:pPr>
        <w:spacing w:after="0" w:line="259" w:lineRule="auto"/>
        <w:ind w:left="528" w:right="0" w:firstLine="0"/>
        <w:jc w:val="left"/>
      </w:pPr>
      <w:r>
        <w:t xml:space="preserve"> </w:t>
      </w:r>
    </w:p>
    <w:p w14:paraId="7DD4E23D" w14:textId="77777777" w:rsidR="00740B50" w:rsidRDefault="00000000">
      <w:pPr>
        <w:ind w:left="533" w:right="0"/>
      </w:pPr>
      <w:r>
        <w:t xml:space="preserve">Przesłanki podwyższenia lub obniżenia kategorii ryzyka:  </w:t>
      </w:r>
    </w:p>
    <w:p w14:paraId="6AF84913" w14:textId="77777777" w:rsidR="00740B50" w:rsidRDefault="00000000">
      <w:pPr>
        <w:numPr>
          <w:ilvl w:val="0"/>
          <w:numId w:val="1"/>
        </w:numPr>
        <w:ind w:right="0" w:hanging="360"/>
      </w:pPr>
      <w:r>
        <w:t xml:space="preserve">Jeżeli w wyniku wcześniejszych kontroli nie stwierdzano nieprawidłowości podmiot leczniczy może zostać przesunięty do niższej kategorii ryzyka (z wysokiej do średniej lub średniej do niskiej) i być kontrolowany rzadziej.  </w:t>
      </w:r>
    </w:p>
    <w:p w14:paraId="5218551D" w14:textId="77777777" w:rsidR="00740B50" w:rsidRDefault="00000000">
      <w:pPr>
        <w:numPr>
          <w:ilvl w:val="0"/>
          <w:numId w:val="1"/>
        </w:numPr>
        <w:ind w:right="0"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0A861314" w14:textId="77777777" w:rsidR="00740B50" w:rsidRDefault="00000000">
      <w:pPr>
        <w:numPr>
          <w:ilvl w:val="0"/>
          <w:numId w:val="1"/>
        </w:numPr>
        <w:ind w:right="0"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54969C10" w14:textId="77777777" w:rsidR="00740B50" w:rsidRDefault="00000000">
      <w:pPr>
        <w:numPr>
          <w:ilvl w:val="0"/>
          <w:numId w:val="1"/>
        </w:numPr>
        <w:ind w:right="0" w:hanging="360"/>
      </w:pPr>
      <w:r>
        <w:t xml:space="preserve">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 </w:t>
      </w:r>
    </w:p>
    <w:p w14:paraId="30EDFBB0" w14:textId="77777777" w:rsidR="00740B50" w:rsidRDefault="00000000">
      <w:pPr>
        <w:numPr>
          <w:ilvl w:val="0"/>
          <w:numId w:val="1"/>
        </w:numPr>
        <w:ind w:right="0"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34DD5BAA" w14:textId="77777777" w:rsidR="00740B50" w:rsidRDefault="00000000">
      <w:pPr>
        <w:spacing w:after="19" w:line="259" w:lineRule="auto"/>
        <w:ind w:left="528" w:right="0" w:firstLine="0"/>
        <w:jc w:val="left"/>
      </w:pPr>
      <w:r>
        <w:t xml:space="preserve"> </w:t>
      </w:r>
    </w:p>
    <w:p w14:paraId="2B126299" w14:textId="77777777" w:rsidR="00740B50" w:rsidRDefault="00000000">
      <w:pPr>
        <w:spacing w:after="21" w:line="259" w:lineRule="auto"/>
        <w:ind w:left="528" w:right="0" w:firstLine="0"/>
        <w:jc w:val="left"/>
      </w:pPr>
      <w:r>
        <w:t xml:space="preserve"> </w:t>
      </w:r>
    </w:p>
    <w:p w14:paraId="4F1B9020" w14:textId="66A8D35B" w:rsidR="00740B50" w:rsidRDefault="00740B50" w:rsidP="00944B06">
      <w:pPr>
        <w:spacing w:after="21" w:line="259" w:lineRule="auto"/>
        <w:ind w:right="0"/>
        <w:jc w:val="left"/>
      </w:pPr>
    </w:p>
    <w:sectPr w:rsidR="00740B50">
      <w:headerReference w:type="even" r:id="rId7"/>
      <w:headerReference w:type="default" r:id="rId8"/>
      <w:footerReference w:type="even" r:id="rId9"/>
      <w:footerReference w:type="default" r:id="rId10"/>
      <w:headerReference w:type="first" r:id="rId11"/>
      <w:footerReference w:type="first" r:id="rId12"/>
      <w:pgSz w:w="11906" w:h="16838"/>
      <w:pgMar w:top="765" w:right="1415" w:bottom="1475" w:left="88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93214" w14:textId="77777777" w:rsidR="000B16BF" w:rsidRDefault="000B16BF" w:rsidP="000554AB">
      <w:pPr>
        <w:spacing w:after="0" w:line="240" w:lineRule="auto"/>
      </w:pPr>
      <w:r>
        <w:separator/>
      </w:r>
    </w:p>
  </w:endnote>
  <w:endnote w:type="continuationSeparator" w:id="0">
    <w:p w14:paraId="31D8F26A" w14:textId="77777777" w:rsidR="000B16BF" w:rsidRDefault="000B16BF" w:rsidP="000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1B2EE" w14:textId="77777777" w:rsidR="007D5292" w:rsidRDefault="007D52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2C10" w14:textId="2189012B" w:rsidR="000554AB" w:rsidRDefault="000554AB">
    <w:pPr>
      <w:pStyle w:val="Stopka"/>
    </w:pPr>
  </w:p>
  <w:p w14:paraId="52D71F71" w14:textId="11895195" w:rsidR="005E15B8" w:rsidRDefault="000554AB" w:rsidP="005E15B8">
    <w:pPr>
      <w:pStyle w:val="Stopka"/>
      <w:ind w:left="0" w:firstLine="0"/>
    </w:pPr>
    <w:r>
      <w:rPr>
        <w:rFonts w:ascii="Calibri" w:eastAsia="Calibri" w:hAnsi="Calibri" w:cs="Calibri"/>
        <w:sz w:val="22"/>
      </w:rPr>
      <w:tab/>
    </w:r>
    <w:sdt>
      <w:sdtPr>
        <w:id w:val="244082681"/>
        <w:docPartObj>
          <w:docPartGallery w:val="Page Numbers (Bottom of Page)"/>
          <w:docPartUnique/>
        </w:docPartObj>
      </w:sdtPr>
      <w:sdtContent>
        <w:sdt>
          <w:sdtPr>
            <w:id w:val="-1705238520"/>
            <w:docPartObj>
              <w:docPartGallery w:val="Page Numbers (Top of Page)"/>
              <w:docPartUnique/>
            </w:docPartObj>
          </w:sdtPr>
          <w:sdtContent>
            <w:r w:rsidR="005E15B8">
              <w:tab/>
              <w:t xml:space="preserve">Strona </w:t>
            </w:r>
            <w:r w:rsidR="005E15B8">
              <w:rPr>
                <w:b/>
                <w:bCs/>
              </w:rPr>
              <w:fldChar w:fldCharType="begin"/>
            </w:r>
            <w:r w:rsidR="005E15B8">
              <w:rPr>
                <w:b/>
                <w:bCs/>
              </w:rPr>
              <w:instrText>PAGE</w:instrText>
            </w:r>
            <w:r w:rsidR="005E15B8">
              <w:rPr>
                <w:b/>
                <w:bCs/>
              </w:rPr>
              <w:fldChar w:fldCharType="separate"/>
            </w:r>
            <w:r w:rsidR="005E15B8">
              <w:rPr>
                <w:b/>
                <w:bCs/>
              </w:rPr>
              <w:t>1</w:t>
            </w:r>
            <w:r w:rsidR="005E15B8">
              <w:rPr>
                <w:b/>
                <w:bCs/>
              </w:rPr>
              <w:fldChar w:fldCharType="end"/>
            </w:r>
            <w:r w:rsidR="005E15B8">
              <w:t xml:space="preserve"> z </w:t>
            </w:r>
            <w:r w:rsidR="005E15B8">
              <w:rPr>
                <w:b/>
                <w:bCs/>
              </w:rPr>
              <w:fldChar w:fldCharType="begin"/>
            </w:r>
            <w:r w:rsidR="005E15B8">
              <w:rPr>
                <w:b/>
                <w:bCs/>
              </w:rPr>
              <w:instrText>NUMPAGES</w:instrText>
            </w:r>
            <w:r w:rsidR="005E15B8">
              <w:rPr>
                <w:b/>
                <w:bCs/>
              </w:rPr>
              <w:fldChar w:fldCharType="separate"/>
            </w:r>
            <w:r w:rsidR="005E15B8">
              <w:rPr>
                <w:b/>
                <w:bCs/>
              </w:rPr>
              <w:t>22</w:t>
            </w:r>
            <w:r w:rsidR="005E15B8">
              <w:rPr>
                <w:b/>
                <w:bCs/>
              </w:rPr>
              <w:fldChar w:fldCharType="end"/>
            </w:r>
          </w:sdtContent>
        </w:sdt>
      </w:sdtContent>
    </w:sdt>
  </w:p>
  <w:p w14:paraId="21DE00BA" w14:textId="73725942" w:rsidR="005E15B8" w:rsidRDefault="005E15B8" w:rsidP="005E15B8">
    <w:pPr>
      <w:ind w:left="432" w:right="1077"/>
    </w:pPr>
    <w:r>
      <w:t xml:space="preserve">załącznik nr 1 do P(KR)-01  </w:t>
    </w:r>
  </w:p>
  <w:p w14:paraId="5CCEAEC5" w14:textId="1B6E290E" w:rsidR="005E15B8" w:rsidRDefault="005E15B8" w:rsidP="005E15B8">
    <w:pPr>
      <w:ind w:left="432" w:right="1077"/>
    </w:pPr>
    <w:r>
      <w:t xml:space="preserve">wydanie 1 załącznika, z dnia </w:t>
    </w:r>
    <w:r w:rsidR="008D67E4">
      <w:t>31</w:t>
    </w:r>
    <w:r>
      <w:t>.</w:t>
    </w:r>
    <w:r w:rsidR="008D67E4">
      <w:t>12</w:t>
    </w:r>
    <w:r>
      <w:t>.202</w:t>
    </w:r>
    <w:r w:rsidR="008D67E4">
      <w:t>5</w:t>
    </w:r>
    <w:r>
      <w:t xml:space="preserve">                                                                                </w:t>
    </w:r>
  </w:p>
  <w:p w14:paraId="28BB4978" w14:textId="1AD762F3" w:rsidR="000554AB" w:rsidRDefault="000554AB" w:rsidP="005E15B8">
    <w:pPr>
      <w:tabs>
        <w:tab w:val="center" w:pos="1662"/>
        <w:tab w:val="center" w:pos="3361"/>
      </w:tabs>
      <w:spacing w:after="3"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7B8B" w14:textId="77777777" w:rsidR="007D5292" w:rsidRDefault="007D52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6767A" w14:textId="77777777" w:rsidR="000B16BF" w:rsidRDefault="000B16BF" w:rsidP="000554AB">
      <w:pPr>
        <w:spacing w:after="0" w:line="240" w:lineRule="auto"/>
      </w:pPr>
      <w:r>
        <w:separator/>
      </w:r>
    </w:p>
  </w:footnote>
  <w:footnote w:type="continuationSeparator" w:id="0">
    <w:p w14:paraId="5975838E" w14:textId="77777777" w:rsidR="000B16BF" w:rsidRDefault="000B16BF" w:rsidP="00055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5212" w14:textId="77777777" w:rsidR="007D5292" w:rsidRDefault="007D52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B5035" w14:textId="77777777" w:rsidR="007D5292" w:rsidRDefault="007D52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ED35" w14:textId="77777777" w:rsidR="007D5292" w:rsidRDefault="007D52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435"/>
    <w:multiLevelType w:val="hybridMultilevel"/>
    <w:tmpl w:val="5BCE716C"/>
    <w:lvl w:ilvl="0" w:tplc="DC10ECA0">
      <w:start w:val="1"/>
      <w:numFmt w:val="decimal"/>
      <w:lvlText w:val="%1."/>
      <w:lvlJc w:val="left"/>
      <w:pPr>
        <w:ind w:left="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540E4C2">
      <w:start w:val="1"/>
      <w:numFmt w:val="bullet"/>
      <w:lvlText w:val="•"/>
      <w:lvlJc w:val="left"/>
      <w:pPr>
        <w:ind w:left="65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9C62C2E4">
      <w:start w:val="1"/>
      <w:numFmt w:val="bullet"/>
      <w:lvlText w:val="▪"/>
      <w:lvlJc w:val="left"/>
      <w:pPr>
        <w:ind w:left="14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1A242610">
      <w:start w:val="1"/>
      <w:numFmt w:val="bullet"/>
      <w:lvlText w:val="•"/>
      <w:lvlJc w:val="left"/>
      <w:pPr>
        <w:ind w:left="21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9BC6799C">
      <w:start w:val="1"/>
      <w:numFmt w:val="bullet"/>
      <w:lvlText w:val="o"/>
      <w:lvlJc w:val="left"/>
      <w:pPr>
        <w:ind w:left="28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DC8CA6FC">
      <w:start w:val="1"/>
      <w:numFmt w:val="bullet"/>
      <w:lvlText w:val="▪"/>
      <w:lvlJc w:val="left"/>
      <w:pPr>
        <w:ind w:left="35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BFE2C3D8">
      <w:start w:val="1"/>
      <w:numFmt w:val="bullet"/>
      <w:lvlText w:val="•"/>
      <w:lvlJc w:val="left"/>
      <w:pPr>
        <w:ind w:left="42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4121D8A">
      <w:start w:val="1"/>
      <w:numFmt w:val="bullet"/>
      <w:lvlText w:val="o"/>
      <w:lvlJc w:val="left"/>
      <w:pPr>
        <w:ind w:left="50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B248FA8">
      <w:start w:val="1"/>
      <w:numFmt w:val="bullet"/>
      <w:lvlText w:val="▪"/>
      <w:lvlJc w:val="left"/>
      <w:pPr>
        <w:ind w:left="57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E976C24"/>
    <w:multiLevelType w:val="hybridMultilevel"/>
    <w:tmpl w:val="0084271A"/>
    <w:lvl w:ilvl="0" w:tplc="74FE9F32">
      <w:start w:val="1"/>
      <w:numFmt w:val="decimal"/>
      <w:lvlText w:val="%1."/>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366CCA">
      <w:start w:val="1"/>
      <w:numFmt w:val="lowerLetter"/>
      <w:lvlText w:val="%2"/>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9464">
      <w:start w:val="1"/>
      <w:numFmt w:val="lowerRoman"/>
      <w:lvlText w:val="%3"/>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A95E2">
      <w:start w:val="1"/>
      <w:numFmt w:val="decimal"/>
      <w:lvlText w:val="%4"/>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8E61D0">
      <w:start w:val="1"/>
      <w:numFmt w:val="lowerLetter"/>
      <w:lvlText w:val="%5"/>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0DBB6">
      <w:start w:val="1"/>
      <w:numFmt w:val="lowerRoman"/>
      <w:lvlText w:val="%6"/>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A8940A">
      <w:start w:val="1"/>
      <w:numFmt w:val="decimal"/>
      <w:lvlText w:val="%7"/>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C861C8">
      <w:start w:val="1"/>
      <w:numFmt w:val="lowerLetter"/>
      <w:lvlText w:val="%8"/>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8CCF60">
      <w:start w:val="1"/>
      <w:numFmt w:val="lowerRoman"/>
      <w:lvlText w:val="%9"/>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3173286">
    <w:abstractNumId w:val="1"/>
  </w:num>
  <w:num w:numId="2" w16cid:durableId="17226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50"/>
    <w:rsid w:val="00025C5D"/>
    <w:rsid w:val="000554AB"/>
    <w:rsid w:val="000B16BF"/>
    <w:rsid w:val="001B72B7"/>
    <w:rsid w:val="001C025C"/>
    <w:rsid w:val="002C55A1"/>
    <w:rsid w:val="003E0EFB"/>
    <w:rsid w:val="00466DB0"/>
    <w:rsid w:val="004C17FA"/>
    <w:rsid w:val="005E15B8"/>
    <w:rsid w:val="00740B50"/>
    <w:rsid w:val="007D5292"/>
    <w:rsid w:val="007E4F05"/>
    <w:rsid w:val="008D67E4"/>
    <w:rsid w:val="00944B06"/>
    <w:rsid w:val="00BB1C05"/>
    <w:rsid w:val="00F32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B2E5"/>
  <w15:docId w15:val="{91913B28-E300-47A4-88D6-8C19F0AE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 w:line="247" w:lineRule="auto"/>
      <w:ind w:left="538" w:right="62" w:hanging="10"/>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352" w:line="259" w:lineRule="auto"/>
      <w:ind w:left="1616"/>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0554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54AB"/>
    <w:rPr>
      <w:rFonts w:ascii="Times New Roman" w:eastAsia="Times New Roman" w:hAnsi="Times New Roman" w:cs="Times New Roman"/>
      <w:color w:val="000000"/>
    </w:rPr>
  </w:style>
  <w:style w:type="paragraph" w:styleId="Stopka">
    <w:name w:val="footer"/>
    <w:basedOn w:val="Normalny"/>
    <w:link w:val="StopkaZnak"/>
    <w:uiPriority w:val="99"/>
    <w:unhideWhenUsed/>
    <w:rsid w:val="000554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54AB"/>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961</Words>
  <Characters>5769</Characters>
  <Application>Microsoft Office Word</Application>
  <DocSecurity>0</DocSecurity>
  <Lines>48</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PSSE Brodnica - Anna Kujawa</dc:creator>
  <cp:keywords/>
  <cp:lastModifiedBy>PSSE Aleksandrów Kujawski - Łukasz Mrówczyński</cp:lastModifiedBy>
  <cp:revision>10</cp:revision>
  <dcterms:created xsi:type="dcterms:W3CDTF">2026-01-08T07:04:00Z</dcterms:created>
  <dcterms:modified xsi:type="dcterms:W3CDTF">2026-01-12T09:11:00Z</dcterms:modified>
</cp:coreProperties>
</file>