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8B7D1" w14:textId="5EFB3059" w:rsidR="006B2168" w:rsidRPr="00385CFC" w:rsidRDefault="000268AD" w:rsidP="006B2168">
      <w:pPr>
        <w:jc w:val="both"/>
        <w:rPr>
          <w:rFonts w:ascii="Arial" w:hAnsi="Arial" w:cs="Arial"/>
          <w:b/>
          <w:color w:val="538135" w:themeColor="accent6" w:themeShade="BF"/>
          <w:sz w:val="21"/>
          <w:szCs w:val="21"/>
        </w:rPr>
      </w:pPr>
      <w:r w:rsidRPr="00385CFC">
        <w:rPr>
          <w:rFonts w:ascii="Arial" w:hAnsi="Arial" w:cs="Arial"/>
          <w:b/>
          <w:color w:val="538135" w:themeColor="accent6" w:themeShade="BF"/>
          <w:sz w:val="21"/>
          <w:szCs w:val="21"/>
        </w:rPr>
        <w:t xml:space="preserve">Przykładowe </w:t>
      </w:r>
      <w:r w:rsidR="006B2168" w:rsidRPr="00385CFC">
        <w:rPr>
          <w:rFonts w:ascii="Arial" w:hAnsi="Arial" w:cs="Arial"/>
          <w:b/>
          <w:color w:val="538135" w:themeColor="accent6" w:themeShade="BF"/>
          <w:sz w:val="21"/>
          <w:szCs w:val="21"/>
        </w:rPr>
        <w:t>opracowani</w:t>
      </w:r>
      <w:r w:rsidRPr="00385CFC">
        <w:rPr>
          <w:rFonts w:ascii="Arial" w:hAnsi="Arial" w:cs="Arial"/>
          <w:b/>
          <w:color w:val="538135" w:themeColor="accent6" w:themeShade="BF"/>
          <w:sz w:val="21"/>
          <w:szCs w:val="21"/>
        </w:rPr>
        <w:t>e</w:t>
      </w:r>
      <w:r w:rsidR="006B2168" w:rsidRPr="00385CFC">
        <w:rPr>
          <w:rFonts w:ascii="Arial" w:hAnsi="Arial" w:cs="Arial"/>
          <w:b/>
          <w:color w:val="538135" w:themeColor="accent6" w:themeShade="BF"/>
          <w:sz w:val="21"/>
          <w:szCs w:val="21"/>
        </w:rPr>
        <w:t xml:space="preserve"> </w:t>
      </w:r>
      <w:r w:rsidR="007D374E" w:rsidRPr="00385CFC">
        <w:rPr>
          <w:rFonts w:ascii="Arial" w:hAnsi="Arial" w:cs="Arial"/>
          <w:b/>
          <w:color w:val="538135" w:themeColor="accent6" w:themeShade="BF"/>
          <w:sz w:val="21"/>
          <w:szCs w:val="21"/>
        </w:rPr>
        <w:t>specyfikacji warunków zamówienia</w:t>
      </w:r>
      <w:r w:rsidR="00324CF2" w:rsidRPr="00385CFC">
        <w:rPr>
          <w:rFonts w:ascii="Arial" w:hAnsi="Arial" w:cs="Arial"/>
          <w:b/>
          <w:color w:val="538135" w:themeColor="accent6" w:themeShade="BF"/>
          <w:sz w:val="21"/>
          <w:szCs w:val="21"/>
        </w:rPr>
        <w:t xml:space="preserve"> – Część </w:t>
      </w:r>
      <w:r w:rsidR="006B2168" w:rsidRPr="00385CFC">
        <w:rPr>
          <w:rFonts w:ascii="Arial" w:hAnsi="Arial" w:cs="Arial"/>
          <w:b/>
          <w:color w:val="538135" w:themeColor="accent6" w:themeShade="BF"/>
          <w:sz w:val="21"/>
          <w:szCs w:val="21"/>
        </w:rPr>
        <w:t>sposób oceny ofert w kryterium „Koszt cyklu życia budynku”.</w:t>
      </w:r>
    </w:p>
    <w:p w14:paraId="102165A3" w14:textId="77777777" w:rsidR="006B2168" w:rsidRPr="00385CFC" w:rsidRDefault="006B2168" w:rsidP="006B2168">
      <w:pPr>
        <w:pStyle w:val="Akapitzlist"/>
        <w:ind w:left="1068"/>
        <w:jc w:val="both"/>
        <w:rPr>
          <w:rFonts w:ascii="Arial" w:hAnsi="Arial" w:cs="Arial"/>
          <w:b/>
          <w:color w:val="806000" w:themeColor="accent4" w:themeShade="80"/>
          <w:sz w:val="21"/>
          <w:szCs w:val="21"/>
        </w:rPr>
      </w:pPr>
    </w:p>
    <w:p w14:paraId="23BA9396" w14:textId="4BDE07A6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/>
          <w:color w:val="538135" w:themeColor="accent6" w:themeShade="BF"/>
          <w:sz w:val="21"/>
          <w:szCs w:val="21"/>
        </w:rPr>
      </w:pPr>
      <w:r w:rsidRPr="00385CFC">
        <w:rPr>
          <w:rFonts w:ascii="Arial" w:hAnsi="Arial" w:cs="Arial"/>
          <w:b/>
          <w:color w:val="538135" w:themeColor="accent6" w:themeShade="BF"/>
          <w:sz w:val="21"/>
          <w:szCs w:val="21"/>
        </w:rPr>
        <w:t xml:space="preserve">Charakterystyka budynku dla potrzeb przykładu </w:t>
      </w:r>
    </w:p>
    <w:p w14:paraId="78131C5B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/>
          <w:color w:val="538135" w:themeColor="accent6" w:themeShade="BF"/>
          <w:sz w:val="21"/>
          <w:szCs w:val="21"/>
        </w:rPr>
      </w:pPr>
    </w:p>
    <w:p w14:paraId="1FD84A2B" w14:textId="3CCF4EE9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/>
          <w:color w:val="538135" w:themeColor="accent6" w:themeShade="BF"/>
          <w:sz w:val="21"/>
          <w:szCs w:val="21"/>
        </w:rPr>
      </w:pPr>
      <w:r w:rsidRPr="00385CFC">
        <w:rPr>
          <w:rFonts w:ascii="Arial" w:hAnsi="Arial" w:cs="Arial"/>
          <w:b/>
          <w:color w:val="538135" w:themeColor="accent6" w:themeShade="BF"/>
          <w:sz w:val="21"/>
          <w:szCs w:val="21"/>
        </w:rPr>
        <w:t>Przedmiotem zamówienia jest budynek żłobka w miejscowości X</w:t>
      </w:r>
    </w:p>
    <w:p w14:paraId="47BCB1F7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/>
          <w:color w:val="538135" w:themeColor="accent6" w:themeShade="BF"/>
          <w:sz w:val="21"/>
          <w:szCs w:val="21"/>
        </w:rPr>
      </w:pPr>
    </w:p>
    <w:p w14:paraId="2D042DB8" w14:textId="1033B57D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/>
          <w:color w:val="538135" w:themeColor="accent6" w:themeShade="BF"/>
          <w:sz w:val="21"/>
          <w:szCs w:val="21"/>
        </w:rPr>
      </w:pPr>
      <w:r w:rsidRPr="00385CFC">
        <w:rPr>
          <w:rFonts w:ascii="Arial" w:hAnsi="Arial" w:cs="Arial"/>
          <w:b/>
          <w:color w:val="538135" w:themeColor="accent6" w:themeShade="BF"/>
          <w:sz w:val="21"/>
          <w:szCs w:val="21"/>
        </w:rPr>
        <w:t xml:space="preserve">Dane ogólne </w:t>
      </w:r>
    </w:p>
    <w:p w14:paraId="760322E9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POWIERZCHNIA ZABUDOWY    355,60 m</w:t>
      </w: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  <w:vertAlign w:val="superscript"/>
        </w:rPr>
        <w:t>2</w:t>
      </w:r>
    </w:p>
    <w:p w14:paraId="715F48F7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POWIERZCHNIA CAŁKOWITA   911,70 m</w:t>
      </w: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  <w:vertAlign w:val="superscript"/>
        </w:rPr>
        <w:t>2</w:t>
      </w:r>
    </w:p>
    <w:p w14:paraId="6F7F238A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podziemie  463,60 m</w:t>
      </w: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  <w:vertAlign w:val="superscript"/>
        </w:rPr>
        <w:t>2</w:t>
      </w:r>
    </w:p>
    <w:p w14:paraId="7B83500D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parter   355,60 m</w:t>
      </w: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  <w:vertAlign w:val="superscript"/>
        </w:rPr>
        <w:t>2</w:t>
      </w:r>
    </w:p>
    <w:p w14:paraId="77A30AB7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piętro   92,50 m</w:t>
      </w: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  <w:vertAlign w:val="superscript"/>
        </w:rPr>
        <w:t>2</w:t>
      </w:r>
    </w:p>
    <w:p w14:paraId="44DF0265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POWIERZCHNIA UŻYTKOWA   752,12 m</w:t>
      </w: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  <w:vertAlign w:val="superscript"/>
        </w:rPr>
        <w:t>2</w:t>
      </w:r>
    </w:p>
    <w:p w14:paraId="3A6BB688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podziemie   394,61 m</w:t>
      </w: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  <w:vertAlign w:val="superscript"/>
        </w:rPr>
        <w:t>2</w:t>
      </w:r>
    </w:p>
    <w:p w14:paraId="51465114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parter   291,33 m</w:t>
      </w: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  <w:vertAlign w:val="superscript"/>
        </w:rPr>
        <w:t>2</w:t>
      </w:r>
    </w:p>
    <w:p w14:paraId="11A145A9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piętro  66,18 m</w:t>
      </w: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  <w:vertAlign w:val="superscript"/>
        </w:rPr>
        <w:t>2</w:t>
      </w:r>
    </w:p>
    <w:p w14:paraId="72FA0C41" w14:textId="3946C5FF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KUBATURA   3</w:t>
      </w:r>
      <w:r w:rsidR="005846CF"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 </w:t>
      </w: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610,44 m</w:t>
      </w: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  <w:vertAlign w:val="superscript"/>
        </w:rPr>
        <w:t>3</w:t>
      </w:r>
    </w:p>
    <w:p w14:paraId="258FD0FD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wysokość 9,02m</w:t>
      </w:r>
    </w:p>
    <w:p w14:paraId="19513B7A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szerokość elewacji frontowej  16,57m</w:t>
      </w:r>
    </w:p>
    <w:p w14:paraId="5C636852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długość elewacji bocznej  22,16m</w:t>
      </w:r>
    </w:p>
    <w:p w14:paraId="6CA60A0C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</w:p>
    <w:p w14:paraId="78DB5AE4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Projektowany obiekt ŻŁOBKA  jest budynkiem piętrowym  z podziemiem.</w:t>
      </w:r>
    </w:p>
    <w:p w14:paraId="123AD012" w14:textId="3F452405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Budynek przeznaczony będzie do prowadzenia opieki dziennej nad dziećmi  w wieku 6 miesięcy</w:t>
      </w:r>
      <w:r w:rsidR="00B259FE"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 </w:t>
      </w: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-3 lata  dla łącznie 50 dzieci w 2 grupach. </w:t>
      </w:r>
    </w:p>
    <w:p w14:paraId="754D0419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</w:p>
    <w:p w14:paraId="26A330D0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Wysokość pomieszczeń   3,00 m.</w:t>
      </w:r>
    </w:p>
    <w:p w14:paraId="5D946D9C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</w:p>
    <w:p w14:paraId="223DCF8B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FORMA ARCHITEKTONICZNA</w:t>
      </w:r>
    </w:p>
    <w:p w14:paraId="384FC11E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Budynek żłobka to obiekt dwu kondygnacyjny z podpiwniczeniem . Część nadziemna składa się z dwóch przenikających się brył. </w:t>
      </w:r>
    </w:p>
    <w:p w14:paraId="66B06986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</w:p>
    <w:p w14:paraId="18CD1A6A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TECHNOLOGIA BUDOWY</w:t>
      </w:r>
    </w:p>
    <w:p w14:paraId="0F7B1B18" w14:textId="7F0B09A2" w:rsidR="00771196" w:rsidRPr="00385CFC" w:rsidRDefault="00771196" w:rsidP="00B72548">
      <w:pPr>
        <w:spacing w:before="120" w:after="120" w:line="240" w:lineRule="auto"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Obiekt zaprojektowany jest w technologii żelbetu wylewanego w układzie ścienno-szkieletowym.  Posadowienie  w II kategorii geotechnicznej w prostych warunkach gruntowych. Płyta fundamentowa  wylewana żelbetonowa wodoszczelna, ściany podziemia zewnętrzne wylewane, wewnętrzne z bloczków betonowych, zewnętrzne z pustaków ceramicznych z dociepleniem styropianem. Stropy, słupy, podciągi i schody wylewane żelbetowe. </w:t>
      </w:r>
    </w:p>
    <w:p w14:paraId="00CB1F3F" w14:textId="77777777" w:rsidR="00771196" w:rsidRPr="00385CFC" w:rsidRDefault="00771196" w:rsidP="00B72548">
      <w:pPr>
        <w:spacing w:before="120" w:after="120" w:line="240" w:lineRule="auto"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Dach płaski  na stropie niewentylowany.   </w:t>
      </w:r>
    </w:p>
    <w:p w14:paraId="14FD4AA2" w14:textId="011A043A" w:rsidR="00771196" w:rsidRPr="00385CFC" w:rsidRDefault="00771196" w:rsidP="00B72548">
      <w:pPr>
        <w:spacing w:before="120" w:after="120" w:line="240" w:lineRule="auto"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Budynek podłączony będzie do wodociągu i kanalizacji sanitarnej miejskiej. Wody deszczowe odprowadzone będą  powierzchniowo na terenie własnym.</w:t>
      </w:r>
      <w:r w:rsidR="00CA7A65"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 </w:t>
      </w: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Zaopatrzenie w energię elektryczną zapewni wykonanie przyłącza zgodnie z warunkami zakładu energetycznego.  Ogrzewanie i c</w:t>
      </w:r>
      <w:r w:rsidR="00CA7A65"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iepł</w:t>
      </w:r>
      <w:r w:rsidR="008012AF"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ą</w:t>
      </w:r>
      <w:r w:rsidR="00CA7A65"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 wodę</w:t>
      </w: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 zapewni własna kotłownia na gaz. Na dachu zamontowane będą wentylatory.</w:t>
      </w:r>
    </w:p>
    <w:p w14:paraId="1F25E15F" w14:textId="77777777" w:rsidR="00CA7A65" w:rsidRPr="00385CFC" w:rsidRDefault="00CA7A65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</w:p>
    <w:p w14:paraId="5424E578" w14:textId="0A5FFAD1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KONSTRUKCJA </w:t>
      </w:r>
    </w:p>
    <w:p w14:paraId="26840469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1.   FUNDAMENTY</w:t>
      </w:r>
    </w:p>
    <w:p w14:paraId="31AA057D" w14:textId="4A50E951" w:rsidR="00771196" w:rsidRPr="00385CFC" w:rsidRDefault="00B72548" w:rsidP="00B72548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      </w:t>
      </w:r>
      <w:r w:rsidR="00771196"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płyta fundamentowa i ściany fundamentowe żelbetowe wylewane, wodoszczelne, </w:t>
      </w:r>
    </w:p>
    <w:p w14:paraId="62A161FA" w14:textId="4E1C47DA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2.  ŚCIANY   KONSTRUKCYJNE</w:t>
      </w:r>
    </w:p>
    <w:p w14:paraId="6B1D815B" w14:textId="3A241D8C" w:rsidR="00771196" w:rsidRPr="00385CFC" w:rsidRDefault="00771196" w:rsidP="00B72548">
      <w:pPr>
        <w:spacing w:line="240" w:lineRule="auto"/>
        <w:ind w:left="345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wylewane żelbetowe, główne ściany w podziemiu murowane z bloczków betonowych, w </w:t>
      </w:r>
      <w:proofErr w:type="spellStart"/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nadziemiu</w:t>
      </w:r>
      <w:proofErr w:type="spellEnd"/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 z cegły pełnej 12cm</w:t>
      </w:r>
    </w:p>
    <w:p w14:paraId="65F85F4A" w14:textId="29021991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      ściany zewnętrzne murowane ceramiczne U 25 cm bez wnęk grzejnikowych,</w:t>
      </w:r>
    </w:p>
    <w:p w14:paraId="046C94FE" w14:textId="4FB770EC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3.  STROPY</w:t>
      </w:r>
    </w:p>
    <w:p w14:paraId="1691A596" w14:textId="553914C1" w:rsidR="00771196" w:rsidRPr="00385CFC" w:rsidRDefault="00771196" w:rsidP="00B72548">
      <w:pPr>
        <w:spacing w:line="240" w:lineRule="auto"/>
        <w:ind w:left="345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strop żelbetowy, wylewany ze zbrojeniem krzyżowym,</w:t>
      </w:r>
      <w:r w:rsidR="00B72548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 </w:t>
      </w: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nadproża, podciągi mocno obciążone – żelbetowe wylewane</w:t>
      </w:r>
    </w:p>
    <w:p w14:paraId="6C8A203D" w14:textId="6AF3E76F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4.  SCHODY</w:t>
      </w:r>
    </w:p>
    <w:p w14:paraId="0A03BF92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lastRenderedPageBreak/>
        <w:t xml:space="preserve">      wylewane żelbetowe płytowe</w:t>
      </w:r>
    </w:p>
    <w:p w14:paraId="4CD8FDCF" w14:textId="76CDECB0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5.  KOMINY</w:t>
      </w:r>
    </w:p>
    <w:p w14:paraId="68532875" w14:textId="3B76F29D" w:rsidR="00771196" w:rsidRPr="00385CFC" w:rsidRDefault="00771196" w:rsidP="00B72548">
      <w:pPr>
        <w:spacing w:line="240" w:lineRule="auto"/>
        <w:ind w:left="345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przewody wentylacji mechanicznej z blachy ponad dach obmurowane,</w:t>
      </w:r>
      <w:r w:rsidR="00B72548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 </w:t>
      </w: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przewody wentylacyjne grawitacyjne  z pustaków wentylacyjnych ceramiczny</w:t>
      </w:r>
      <w:r w:rsidR="00FC12C5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ch obmurowanych  cegłą pełną klas </w:t>
      </w: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150  12 cm, przewód spalinowy kotłowni</w:t>
      </w:r>
      <w:r w:rsidR="00B72548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 z  rur z blachy kwasoodpornej, </w:t>
      </w: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czapki kominów żelbetowe z betonu wodoszczelnego z kapinosem</w:t>
      </w:r>
    </w:p>
    <w:p w14:paraId="5943FE59" w14:textId="6C536A2F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6.  STROPODACH  </w:t>
      </w:r>
    </w:p>
    <w:p w14:paraId="2081811D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      na płycie stropowej,  niewentylowany</w:t>
      </w:r>
    </w:p>
    <w:p w14:paraId="5AB53575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</w:p>
    <w:p w14:paraId="443CFF57" w14:textId="0A5C4C6D" w:rsidR="005846CF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WYKOŃCZENIE ZEWNĘTRZ</w:t>
      </w:r>
      <w:r w:rsidR="005846CF"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E</w:t>
      </w:r>
    </w:p>
    <w:p w14:paraId="03CC507F" w14:textId="21F161AD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1.  ŚCIANY</w:t>
      </w:r>
    </w:p>
    <w:p w14:paraId="573D7BAE" w14:textId="617DB261" w:rsidR="00771196" w:rsidRPr="00385CFC" w:rsidRDefault="00B72548" w:rsidP="00B72548">
      <w:pPr>
        <w:spacing w:line="240" w:lineRule="auto"/>
        <w:ind w:left="240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ściana </w:t>
      </w:r>
      <w:r w:rsidR="00771196"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cokołowa i fragmenty ścian wykończone okładziną z gresu,</w:t>
      </w:r>
      <w:r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 </w:t>
      </w:r>
      <w:r w:rsidR="00771196"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ściany tynkowane – tynk na siatce (włókno szklane na styropianie system typu </w:t>
      </w:r>
      <w:proofErr w:type="spellStart"/>
      <w:r w:rsidR="00771196"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dryvit</w:t>
      </w:r>
      <w:proofErr w:type="spellEnd"/>
      <w:r w:rsidR="00771196"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 z</w:t>
      </w:r>
      <w:r w:rsidR="005846CF"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 </w:t>
      </w:r>
      <w:r w:rsidR="00771196"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zabezpieczeniem silikonem</w:t>
      </w:r>
    </w:p>
    <w:p w14:paraId="6CBE94C8" w14:textId="51E1652F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2.  STOLARKA- ŚLUSARKA</w:t>
      </w:r>
    </w:p>
    <w:p w14:paraId="442FBF69" w14:textId="0F0339A5" w:rsidR="00771196" w:rsidRPr="00385CFC" w:rsidRDefault="00771196" w:rsidP="00B72548">
      <w:pPr>
        <w:spacing w:line="240" w:lineRule="auto"/>
        <w:ind w:left="345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ślusarka zewn. okienna aluminiowa z </w:t>
      </w:r>
      <w:proofErr w:type="spellStart"/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okuciami</w:t>
      </w:r>
      <w:proofErr w:type="spellEnd"/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 obwiedniowymi, uchylno- rozwieralna, U=1,1</w:t>
      </w:r>
      <w:r w:rsidR="005846CF"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 </w:t>
      </w: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W/m2K, ze szkleniem bezpiecznym, o podwyższonej izolacyjności akustycznej</w:t>
      </w:r>
      <w:r w:rsidR="00B72548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; </w:t>
      </w: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drzwi wejściowe aluminiow</w:t>
      </w:r>
      <w:r w:rsidR="00B72548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e ze szkleniem  antywłamaniowe; </w:t>
      </w: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okna podziemia typu </w:t>
      </w:r>
      <w:r w:rsidR="00FC12C5">
        <w:rPr>
          <w:rFonts w:ascii="Arial" w:hAnsi="Arial" w:cs="Arial"/>
          <w:bCs/>
          <w:color w:val="806000" w:themeColor="accent4" w:themeShade="80"/>
          <w:sz w:val="21"/>
          <w:szCs w:val="21"/>
        </w:rPr>
        <w:t>dwukomorowe</w:t>
      </w:r>
    </w:p>
    <w:p w14:paraId="76CEEF51" w14:textId="3E123D3D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3.  STROPODACH</w:t>
      </w:r>
    </w:p>
    <w:p w14:paraId="38FF6E50" w14:textId="383077C7" w:rsidR="00771196" w:rsidRPr="00385CFC" w:rsidRDefault="00771196" w:rsidP="00B72548">
      <w:pPr>
        <w:spacing w:line="240" w:lineRule="auto"/>
        <w:ind w:left="285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dach  z pokryciem z dachówki bitumicznej</w:t>
      </w:r>
      <w:r w:rsidR="00B72548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; </w:t>
      </w: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obróbki dachowe, okapniki okienne z blachy powlekanej  rynny i rury spustowe PCV</w:t>
      </w:r>
      <w:r w:rsidR="00B72548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; </w:t>
      </w: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parapety zewnętrzne przyziemia kamienne</w:t>
      </w:r>
    </w:p>
    <w:p w14:paraId="3A37BB98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4.   POSADZKI ZEWNĘTRZNE</w:t>
      </w:r>
    </w:p>
    <w:p w14:paraId="07248978" w14:textId="0CE83986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      betonowe kostki na podsypce żwirowej i piaskowej,  </w:t>
      </w:r>
    </w:p>
    <w:p w14:paraId="1FBA6C81" w14:textId="1263CF1B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5.   BALUSTRADY  </w:t>
      </w:r>
      <w:proofErr w:type="spellStart"/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balustrady</w:t>
      </w:r>
      <w:proofErr w:type="spellEnd"/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  tarasu wys. min.130cm,  pochwyty z rur stalowych  </w:t>
      </w:r>
    </w:p>
    <w:p w14:paraId="4DE15546" w14:textId="52ED3478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6.   KOMINY</w:t>
      </w:r>
    </w:p>
    <w:p w14:paraId="5891320C" w14:textId="4EB1A11B" w:rsidR="00771196" w:rsidRPr="00385CFC" w:rsidRDefault="00771196" w:rsidP="00B72548">
      <w:pPr>
        <w:spacing w:line="240" w:lineRule="auto"/>
        <w:ind w:left="345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tynkowane na styropianie, czapki kominowe betonowe ze środkiem impregnującym,</w:t>
      </w:r>
      <w:r w:rsidR="00D40A19"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 xml:space="preserve"> </w:t>
      </w:r>
      <w:r w:rsidRPr="00385CFC">
        <w:rPr>
          <w:rFonts w:ascii="Arial" w:hAnsi="Arial" w:cs="Arial"/>
          <w:bCs/>
          <w:color w:val="806000" w:themeColor="accent4" w:themeShade="80"/>
          <w:sz w:val="21"/>
          <w:szCs w:val="21"/>
        </w:rPr>
        <w:t>wyloty kominów zabezpieczone siatką z blachy cięto-ciągnionej kwasoodpornej lub siatką z tworzywa PCV</w:t>
      </w:r>
    </w:p>
    <w:p w14:paraId="2A0B5720" w14:textId="77777777" w:rsidR="00771196" w:rsidRPr="00385CFC" w:rsidRDefault="00771196" w:rsidP="00771196">
      <w:pPr>
        <w:spacing w:line="240" w:lineRule="auto"/>
        <w:contextualSpacing/>
        <w:jc w:val="both"/>
        <w:rPr>
          <w:rFonts w:ascii="Arial" w:hAnsi="Arial" w:cs="Arial"/>
          <w:bCs/>
          <w:color w:val="806000" w:themeColor="accent4" w:themeShade="80"/>
          <w:sz w:val="21"/>
          <w:szCs w:val="21"/>
        </w:rPr>
      </w:pPr>
    </w:p>
    <w:p w14:paraId="38DEC9C0" w14:textId="77777777" w:rsidR="00671AA1" w:rsidRPr="00FB23DE" w:rsidRDefault="00671AA1" w:rsidP="007E070F">
      <w:pPr>
        <w:spacing w:line="240" w:lineRule="auto"/>
        <w:contextualSpacing/>
        <w:jc w:val="both"/>
        <w:rPr>
          <w:rFonts w:ascii="Arial" w:hAnsi="Arial" w:cs="Arial"/>
          <w:b/>
          <w:color w:val="538135" w:themeColor="accent6" w:themeShade="BF"/>
          <w:sz w:val="21"/>
          <w:szCs w:val="21"/>
        </w:rPr>
      </w:pPr>
    </w:p>
    <w:p w14:paraId="3B2D8184" w14:textId="19D2AA58" w:rsidR="000F6B1C" w:rsidRPr="005568F2" w:rsidRDefault="005568F2" w:rsidP="007E070F">
      <w:pPr>
        <w:spacing w:line="240" w:lineRule="auto"/>
        <w:contextualSpacing/>
        <w:jc w:val="both"/>
        <w:rPr>
          <w:rFonts w:ascii="Arial" w:hAnsi="Arial" w:cs="Arial"/>
          <w:b/>
          <w:color w:val="538135" w:themeColor="accent6" w:themeShade="BF"/>
          <w:sz w:val="21"/>
          <w:szCs w:val="21"/>
        </w:rPr>
      </w:pPr>
      <w:r w:rsidRPr="005568F2">
        <w:rPr>
          <w:rFonts w:ascii="Arial" w:hAnsi="Arial" w:cs="Arial"/>
          <w:b/>
          <w:color w:val="538135" w:themeColor="accent6" w:themeShade="BF"/>
          <w:sz w:val="21"/>
          <w:szCs w:val="21"/>
        </w:rPr>
        <w:t>SPOSÓB OCENY OFERT Z ZASTOSOWANIEM KRYTERIUM „KOSZT CYKLU ŻYCIA BUDYNKU”</w:t>
      </w:r>
    </w:p>
    <w:p w14:paraId="6448174E" w14:textId="3CB2F6DC" w:rsidR="006B2168" w:rsidRPr="00385CFC" w:rsidRDefault="006B2168" w:rsidP="007E070F">
      <w:pPr>
        <w:spacing w:line="240" w:lineRule="auto"/>
        <w:contextualSpacing/>
        <w:jc w:val="both"/>
        <w:rPr>
          <w:rFonts w:ascii="Arial" w:hAnsi="Arial" w:cs="Arial"/>
          <w:b/>
          <w:i/>
          <w:color w:val="806000" w:themeColor="accent4" w:themeShade="80"/>
          <w:sz w:val="21"/>
          <w:szCs w:val="21"/>
        </w:rPr>
      </w:pPr>
    </w:p>
    <w:p w14:paraId="17F95468" w14:textId="77777777" w:rsidR="006B2168" w:rsidRPr="00385CFC" w:rsidRDefault="006B2168" w:rsidP="006B2168">
      <w:pPr>
        <w:spacing w:line="240" w:lineRule="auto"/>
        <w:contextualSpacing/>
        <w:jc w:val="both"/>
        <w:rPr>
          <w:rFonts w:ascii="Arial" w:hAnsi="Arial" w:cs="Arial"/>
          <w:b/>
          <w:i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/>
          <w:color w:val="806000" w:themeColor="accent4" w:themeShade="80"/>
          <w:sz w:val="21"/>
          <w:szCs w:val="21"/>
        </w:rPr>
        <w:t>Nazwa kryterium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: </w:t>
      </w:r>
      <w:bookmarkStart w:id="0" w:name="_Hlk529878672"/>
      <w:r w:rsidRPr="00385CFC">
        <w:rPr>
          <w:rFonts w:ascii="Arial" w:hAnsi="Arial" w:cs="Arial"/>
          <w:b/>
          <w:i/>
          <w:color w:val="806000" w:themeColor="accent4" w:themeShade="80"/>
          <w:sz w:val="21"/>
          <w:szCs w:val="21"/>
        </w:rPr>
        <w:t>koszt cyklu życia budynku</w:t>
      </w:r>
      <w:bookmarkEnd w:id="0"/>
    </w:p>
    <w:p w14:paraId="5327CD55" w14:textId="4E7432E4" w:rsidR="006B2168" w:rsidRPr="00385CFC" w:rsidRDefault="006B2168" w:rsidP="006B2168">
      <w:pPr>
        <w:spacing w:line="240" w:lineRule="auto"/>
        <w:contextualSpacing/>
        <w:jc w:val="both"/>
        <w:rPr>
          <w:rFonts w:ascii="Arial" w:hAnsi="Arial" w:cs="Arial"/>
          <w:b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b/>
          <w:color w:val="806000" w:themeColor="accent4" w:themeShade="80"/>
          <w:sz w:val="21"/>
          <w:szCs w:val="21"/>
        </w:rPr>
        <w:t>Waga</w:t>
      </w:r>
      <w:r w:rsidR="00771196" w:rsidRPr="00385CFC">
        <w:rPr>
          <w:rFonts w:ascii="Arial" w:hAnsi="Arial" w:cs="Arial"/>
          <w:b/>
          <w:color w:val="806000" w:themeColor="accent4" w:themeShade="80"/>
          <w:sz w:val="21"/>
          <w:szCs w:val="21"/>
        </w:rPr>
        <w:t xml:space="preserve"> 100</w:t>
      </w:r>
      <w:r w:rsidRPr="00385CFC">
        <w:rPr>
          <w:rFonts w:ascii="Arial" w:hAnsi="Arial" w:cs="Arial"/>
          <w:b/>
          <w:color w:val="806000" w:themeColor="accent4" w:themeShade="80"/>
          <w:sz w:val="21"/>
          <w:szCs w:val="21"/>
        </w:rPr>
        <w:t xml:space="preserve"> %</w:t>
      </w:r>
    </w:p>
    <w:p w14:paraId="779DBCBB" w14:textId="77777777" w:rsidR="00671AA1" w:rsidRPr="00385CFC" w:rsidRDefault="00671AA1" w:rsidP="00671AA1">
      <w:pPr>
        <w:tabs>
          <w:tab w:val="left" w:pos="0"/>
        </w:tabs>
        <w:spacing w:before="120" w:after="120" w:line="360" w:lineRule="auto"/>
        <w:ind w:left="708"/>
        <w:contextualSpacing/>
        <w:jc w:val="both"/>
        <w:rPr>
          <w:rFonts w:ascii="Arial" w:hAnsi="Arial" w:cs="Arial"/>
          <w:i/>
          <w:color w:val="806000" w:themeColor="accent4" w:themeShade="80"/>
          <w:sz w:val="21"/>
          <w:szCs w:val="21"/>
        </w:rPr>
      </w:pPr>
    </w:p>
    <w:p w14:paraId="73DE2989" w14:textId="0139EBCE" w:rsidR="00671AA1" w:rsidRPr="00385CFC" w:rsidRDefault="00671AA1" w:rsidP="00671AA1">
      <w:pPr>
        <w:tabs>
          <w:tab w:val="left" w:pos="0"/>
        </w:tabs>
        <w:spacing w:before="120" w:after="120" w:line="360" w:lineRule="auto"/>
        <w:contextualSpacing/>
        <w:jc w:val="both"/>
        <w:rPr>
          <w:rFonts w:ascii="Arial" w:hAnsi="Arial" w:cs="Arial"/>
          <w:iCs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iCs/>
          <w:color w:val="806000" w:themeColor="accent4" w:themeShade="80"/>
          <w:sz w:val="21"/>
          <w:szCs w:val="21"/>
        </w:rPr>
        <w:t>Ilość punktów w kryterium „koszt cyklu życia budynku” zostanie obliczona wg wzoru:</w:t>
      </w:r>
    </w:p>
    <w:p w14:paraId="2CEC6A33" w14:textId="6F361EEE" w:rsidR="00671AA1" w:rsidRPr="00385CFC" w:rsidRDefault="00385CFC" w:rsidP="00E415CB">
      <w:pPr>
        <w:spacing w:line="360" w:lineRule="auto"/>
        <w:ind w:left="3828" w:hanging="851"/>
        <w:contextualSpacing/>
        <w:jc w:val="both"/>
        <w:rPr>
          <w:rFonts w:ascii="Arial" w:hAnsi="Arial" w:cs="Arial"/>
          <w:b/>
          <w:i/>
          <w:color w:val="538135" w:themeColor="accent6" w:themeShade="BF"/>
          <w:sz w:val="20"/>
          <w:szCs w:val="20"/>
        </w:rPr>
      </w:pPr>
      <w:bookmarkStart w:id="1" w:name="_Hlk22723401"/>
      <w:r>
        <w:rPr>
          <w:rFonts w:ascii="Arial" w:hAnsi="Arial" w:cs="Arial"/>
          <w:i/>
          <w:color w:val="806000" w:themeColor="accent4" w:themeShade="80"/>
          <w:sz w:val="20"/>
          <w:szCs w:val="20"/>
        </w:rPr>
        <w:t xml:space="preserve">  </w:t>
      </w:r>
      <w:r w:rsidR="00671AA1" w:rsidRPr="00385CFC">
        <w:rPr>
          <w:rFonts w:ascii="Arial" w:hAnsi="Arial" w:cs="Arial"/>
          <w:b/>
          <w:i/>
          <w:color w:val="538135" w:themeColor="accent6" w:themeShade="BF"/>
          <w:sz w:val="20"/>
          <w:szCs w:val="20"/>
        </w:rPr>
        <w:t xml:space="preserve">Koszt cyklu życia budynku </w:t>
      </w:r>
      <w:bookmarkEnd w:id="1"/>
      <w:r w:rsidR="00671AA1" w:rsidRPr="00385CFC">
        <w:rPr>
          <w:rFonts w:ascii="Arial" w:hAnsi="Arial" w:cs="Arial"/>
          <w:b/>
          <w:i/>
          <w:color w:val="538135" w:themeColor="accent6" w:themeShade="BF"/>
          <w:sz w:val="20"/>
          <w:szCs w:val="20"/>
        </w:rPr>
        <w:t>oferty o najniższym koszcie</w:t>
      </w:r>
    </w:p>
    <w:p w14:paraId="04B30311" w14:textId="268449E9" w:rsidR="00671AA1" w:rsidRPr="00385CFC" w:rsidRDefault="00671AA1" w:rsidP="00671AA1">
      <w:pPr>
        <w:spacing w:line="360" w:lineRule="auto"/>
        <w:contextualSpacing/>
        <w:jc w:val="both"/>
        <w:rPr>
          <w:rFonts w:ascii="Arial" w:hAnsi="Arial" w:cs="Arial"/>
          <w:b/>
          <w:i/>
          <w:color w:val="538135" w:themeColor="accent6" w:themeShade="BF"/>
          <w:sz w:val="20"/>
          <w:szCs w:val="20"/>
        </w:rPr>
      </w:pPr>
      <w:r w:rsidRPr="00385CFC">
        <w:rPr>
          <w:rFonts w:ascii="Arial" w:hAnsi="Arial" w:cs="Arial"/>
          <w:b/>
          <w:i/>
          <w:color w:val="538135" w:themeColor="accent6" w:themeShade="BF"/>
          <w:sz w:val="20"/>
          <w:szCs w:val="20"/>
        </w:rPr>
        <w:t>liczba punktów oferty ocenianej = --------------------------------------------</w:t>
      </w:r>
      <w:r w:rsidR="00385CFC" w:rsidRPr="00385CFC">
        <w:rPr>
          <w:rFonts w:ascii="Arial" w:hAnsi="Arial" w:cs="Arial"/>
          <w:b/>
          <w:i/>
          <w:color w:val="538135" w:themeColor="accent6" w:themeShade="BF"/>
          <w:sz w:val="20"/>
          <w:szCs w:val="20"/>
        </w:rPr>
        <w:t>--------------------------</w:t>
      </w:r>
      <w:r w:rsidR="00385CFC">
        <w:rPr>
          <w:rFonts w:ascii="Arial" w:hAnsi="Arial" w:cs="Arial"/>
          <w:b/>
          <w:i/>
          <w:color w:val="538135" w:themeColor="accent6" w:themeShade="BF"/>
          <w:sz w:val="20"/>
          <w:szCs w:val="20"/>
        </w:rPr>
        <w:t>-</w:t>
      </w:r>
      <w:r w:rsidR="00385CFC" w:rsidRPr="00385CFC">
        <w:rPr>
          <w:rFonts w:ascii="Arial" w:hAnsi="Arial" w:cs="Arial"/>
          <w:b/>
          <w:i/>
          <w:color w:val="538135" w:themeColor="accent6" w:themeShade="BF"/>
          <w:sz w:val="20"/>
          <w:szCs w:val="20"/>
        </w:rPr>
        <w:t>-</w:t>
      </w:r>
      <w:r w:rsidRPr="00385CFC">
        <w:rPr>
          <w:rFonts w:ascii="Arial" w:hAnsi="Arial" w:cs="Arial"/>
          <w:b/>
          <w:i/>
          <w:color w:val="538135" w:themeColor="accent6" w:themeShade="BF"/>
          <w:sz w:val="20"/>
          <w:szCs w:val="20"/>
        </w:rPr>
        <w:t xml:space="preserve">--- x </w:t>
      </w:r>
      <w:r w:rsidR="00771196" w:rsidRPr="00385CFC">
        <w:rPr>
          <w:rFonts w:ascii="Arial" w:hAnsi="Arial" w:cs="Arial"/>
          <w:b/>
          <w:i/>
          <w:color w:val="538135" w:themeColor="accent6" w:themeShade="BF"/>
          <w:sz w:val="20"/>
          <w:szCs w:val="20"/>
        </w:rPr>
        <w:t>100</w:t>
      </w:r>
      <w:r w:rsidRPr="00385CFC">
        <w:rPr>
          <w:rFonts w:ascii="Arial" w:hAnsi="Arial" w:cs="Arial"/>
          <w:b/>
          <w:i/>
          <w:color w:val="538135" w:themeColor="accent6" w:themeShade="BF"/>
          <w:sz w:val="20"/>
          <w:szCs w:val="20"/>
        </w:rPr>
        <w:t xml:space="preserve"> pkt</w:t>
      </w:r>
    </w:p>
    <w:p w14:paraId="6289632A" w14:textId="154EBAA0" w:rsidR="00671AA1" w:rsidRPr="00385CFC" w:rsidRDefault="00671AA1" w:rsidP="00671AA1">
      <w:pPr>
        <w:tabs>
          <w:tab w:val="left" w:pos="4536"/>
        </w:tabs>
        <w:spacing w:line="360" w:lineRule="auto"/>
        <w:ind w:left="426"/>
        <w:contextualSpacing/>
        <w:jc w:val="both"/>
        <w:rPr>
          <w:rFonts w:ascii="Arial" w:hAnsi="Arial" w:cs="Arial"/>
          <w:b/>
          <w:i/>
          <w:color w:val="538135" w:themeColor="accent6" w:themeShade="BF"/>
          <w:sz w:val="20"/>
          <w:szCs w:val="20"/>
        </w:rPr>
      </w:pPr>
      <w:r w:rsidRPr="00385CFC">
        <w:rPr>
          <w:rFonts w:ascii="Arial" w:hAnsi="Arial" w:cs="Arial"/>
          <w:b/>
          <w:i/>
          <w:color w:val="538135" w:themeColor="accent6" w:themeShade="BF"/>
          <w:sz w:val="20"/>
          <w:szCs w:val="20"/>
        </w:rPr>
        <w:t xml:space="preserve">                                                 </w:t>
      </w:r>
      <w:r w:rsidR="00385CFC" w:rsidRPr="00385CFC">
        <w:rPr>
          <w:rFonts w:ascii="Arial" w:hAnsi="Arial" w:cs="Arial"/>
          <w:b/>
          <w:i/>
          <w:color w:val="538135" w:themeColor="accent6" w:themeShade="BF"/>
          <w:sz w:val="20"/>
          <w:szCs w:val="20"/>
        </w:rPr>
        <w:t xml:space="preserve">          </w:t>
      </w:r>
      <w:r w:rsidRPr="00385CFC">
        <w:rPr>
          <w:rFonts w:ascii="Arial" w:hAnsi="Arial" w:cs="Arial"/>
          <w:b/>
          <w:i/>
          <w:color w:val="538135" w:themeColor="accent6" w:themeShade="BF"/>
          <w:sz w:val="20"/>
          <w:szCs w:val="20"/>
        </w:rPr>
        <w:t>Koszt cyklu życia budynku oferty ocenianej</w:t>
      </w:r>
    </w:p>
    <w:p w14:paraId="2E3FAEBB" w14:textId="77777777" w:rsidR="00671AA1" w:rsidRPr="00385CFC" w:rsidRDefault="00671AA1" w:rsidP="00671AA1">
      <w:pPr>
        <w:spacing w:line="240" w:lineRule="auto"/>
        <w:contextualSpacing/>
        <w:jc w:val="both"/>
        <w:rPr>
          <w:rFonts w:ascii="Arial" w:hAnsi="Arial" w:cs="Arial"/>
          <w:b/>
          <w:color w:val="806000" w:themeColor="accent4" w:themeShade="80"/>
          <w:sz w:val="21"/>
          <w:szCs w:val="21"/>
        </w:rPr>
      </w:pPr>
    </w:p>
    <w:p w14:paraId="55B5A337" w14:textId="77777777" w:rsidR="006B2168" w:rsidRPr="00385CFC" w:rsidRDefault="006B2168" w:rsidP="007E070F">
      <w:pPr>
        <w:spacing w:line="240" w:lineRule="auto"/>
        <w:contextualSpacing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</w:p>
    <w:p w14:paraId="31078327" w14:textId="5A5C7B63" w:rsidR="004C6EF8" w:rsidRPr="00385CFC" w:rsidRDefault="007B2D03" w:rsidP="007E070F">
      <w:pPr>
        <w:spacing w:line="240" w:lineRule="auto"/>
        <w:contextualSpacing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>Zamawiający dok</w:t>
      </w:r>
      <w:r w:rsidR="000829FE" w:rsidRPr="00385CFC">
        <w:rPr>
          <w:rFonts w:ascii="Arial" w:hAnsi="Arial" w:cs="Arial"/>
          <w:color w:val="806000" w:themeColor="accent4" w:themeShade="80"/>
          <w:sz w:val="21"/>
          <w:szCs w:val="21"/>
        </w:rPr>
        <w:t>on</w:t>
      </w:r>
      <w:r w:rsidR="00AC3D9A" w:rsidRPr="00385CFC">
        <w:rPr>
          <w:rFonts w:ascii="Arial" w:hAnsi="Arial" w:cs="Arial"/>
          <w:color w:val="806000" w:themeColor="accent4" w:themeShade="80"/>
          <w:sz w:val="21"/>
          <w:szCs w:val="21"/>
        </w:rPr>
        <w:t>a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oceny ofert w </w:t>
      </w:r>
      <w:bookmarkStart w:id="2" w:name="_Hlk530473027"/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kryterium </w:t>
      </w:r>
      <w:r w:rsidR="00E02A47" w:rsidRPr="00385CFC">
        <w:rPr>
          <w:rFonts w:ascii="Arial" w:hAnsi="Arial" w:cs="Arial"/>
          <w:color w:val="806000" w:themeColor="accent4" w:themeShade="80"/>
          <w:sz w:val="21"/>
          <w:szCs w:val="21"/>
        </w:rPr>
        <w:t>„</w:t>
      </w:r>
      <w:r w:rsidRPr="00385CFC">
        <w:rPr>
          <w:rFonts w:ascii="Arial" w:hAnsi="Arial" w:cs="Arial"/>
          <w:i/>
          <w:color w:val="806000" w:themeColor="accent4" w:themeShade="80"/>
          <w:sz w:val="21"/>
          <w:szCs w:val="21"/>
        </w:rPr>
        <w:t>koszt cyklu życia budynku</w:t>
      </w:r>
      <w:r w:rsidR="00E02A47" w:rsidRPr="00385CFC">
        <w:rPr>
          <w:rFonts w:ascii="Arial" w:hAnsi="Arial" w:cs="Arial"/>
          <w:i/>
          <w:color w:val="806000" w:themeColor="accent4" w:themeShade="80"/>
          <w:sz w:val="21"/>
          <w:szCs w:val="21"/>
        </w:rPr>
        <w:t>”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</w:t>
      </w:r>
      <w:bookmarkEnd w:id="2"/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z wykorzystaniem rachunku kosztów cyklu życia </w:t>
      </w:r>
      <w:r w:rsidR="00BF7405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zgodnie </w:t>
      </w:r>
      <w:r w:rsidR="007D374E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z </w:t>
      </w:r>
      <w:r w:rsidR="002533C4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rozporządzeniem </w:t>
      </w:r>
      <w:r w:rsidR="009E1587" w:rsidRPr="009E1587">
        <w:rPr>
          <w:rFonts w:ascii="Arial" w:hAnsi="Arial" w:cs="Arial"/>
          <w:color w:val="806000" w:themeColor="accent4" w:themeShade="80"/>
          <w:sz w:val="21"/>
          <w:szCs w:val="21"/>
        </w:rPr>
        <w:t xml:space="preserve">Ministra Rozwoju i Technologii z dnia 23 listopada 2021 r. w sprawie metody kalkulacji kosztów cyklu życia budynków oraz sposobu przedstawiania informacji o tych kosztach </w:t>
      </w:r>
      <w:r w:rsidR="002533C4" w:rsidRPr="00385CFC">
        <w:rPr>
          <w:rFonts w:ascii="Arial" w:hAnsi="Arial" w:cs="Arial"/>
          <w:color w:val="806000" w:themeColor="accent4" w:themeShade="80"/>
          <w:sz w:val="21"/>
          <w:szCs w:val="21"/>
        </w:rPr>
        <w:t>(Dz.U. 20</w:t>
      </w:r>
      <w:r w:rsidR="009E1587">
        <w:rPr>
          <w:rFonts w:ascii="Arial" w:hAnsi="Arial" w:cs="Arial"/>
          <w:color w:val="806000" w:themeColor="accent4" w:themeShade="80"/>
          <w:sz w:val="21"/>
          <w:szCs w:val="21"/>
        </w:rPr>
        <w:t>21</w:t>
      </w:r>
      <w:r w:rsidR="002533C4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r. poz. </w:t>
      </w:r>
      <w:r w:rsidR="009E1587">
        <w:rPr>
          <w:rFonts w:ascii="Arial" w:hAnsi="Arial" w:cs="Arial"/>
          <w:color w:val="806000" w:themeColor="accent4" w:themeShade="80"/>
          <w:sz w:val="21"/>
          <w:szCs w:val="21"/>
        </w:rPr>
        <w:t>2276</w:t>
      </w:r>
      <w:r w:rsidR="002533C4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). </w:t>
      </w:r>
      <w:r w:rsidR="00A120BD" w:rsidRPr="00385CFC">
        <w:rPr>
          <w:rFonts w:ascii="Arial" w:hAnsi="Arial" w:cs="Arial"/>
          <w:color w:val="806000" w:themeColor="accent4" w:themeShade="80"/>
          <w:sz w:val="21"/>
          <w:szCs w:val="21"/>
        </w:rPr>
        <w:t>W rachunku kosztów cyklu życia budynku zamawiający nie uwzględni podatku od towarów i usług.</w:t>
      </w:r>
      <w:r w:rsidR="00675B43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</w:t>
      </w:r>
    </w:p>
    <w:p w14:paraId="063A0247" w14:textId="13CF4307" w:rsidR="000842FB" w:rsidRPr="00385CFC" w:rsidRDefault="000842FB" w:rsidP="007E070F">
      <w:pPr>
        <w:spacing w:before="150" w:after="0" w:line="240" w:lineRule="auto"/>
        <w:contextualSpacing/>
        <w:jc w:val="both"/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</w:pPr>
      <w:bookmarkStart w:id="3" w:name="_Hlk530473066"/>
      <w:r w:rsidRPr="00385CFC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 xml:space="preserve">Kalkulację kosztów cyklu życia budynku </w:t>
      </w:r>
      <w:r w:rsidR="000829FE" w:rsidRPr="00385CFC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>z</w:t>
      </w:r>
      <w:r w:rsidRPr="00385CFC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>amawiający oblicz</w:t>
      </w:r>
      <w:r w:rsidR="00DA6EC6" w:rsidRPr="00385CFC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>y</w:t>
      </w:r>
      <w:r w:rsidR="000829FE" w:rsidRPr="00385CFC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 xml:space="preserve"> odrębnie dla każdej ze złożonych ofert </w:t>
      </w:r>
      <w:bookmarkEnd w:id="3"/>
      <w:r w:rsidRPr="00385CFC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 xml:space="preserve"> na podstawie danych przekazanych przez wykonawców w </w:t>
      </w:r>
      <w:r w:rsidR="009E1587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>ich</w:t>
      </w:r>
      <w:r w:rsidR="000829FE" w:rsidRPr="00385CFC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 xml:space="preserve"> </w:t>
      </w:r>
      <w:r w:rsidRPr="00385CFC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>ofertach jako sumę kosztów nabycia, użytkowania oraz utrzymania budynku</w:t>
      </w:r>
      <w:r w:rsidR="009E1587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 xml:space="preserve"> żłobka</w:t>
      </w:r>
      <w:r w:rsidRPr="00385CFC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>, obliczoną według wzoru:</w:t>
      </w:r>
    </w:p>
    <w:p w14:paraId="6E8464BF" w14:textId="77777777" w:rsidR="00402337" w:rsidRPr="00385CFC" w:rsidRDefault="00402337" w:rsidP="007E070F">
      <w:pPr>
        <w:spacing w:before="150" w:after="0" w:line="240" w:lineRule="auto"/>
        <w:contextualSpacing/>
        <w:jc w:val="both"/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pl-PL"/>
        </w:rPr>
      </w:pPr>
    </w:p>
    <w:p w14:paraId="7A762233" w14:textId="77777777" w:rsidR="000842FB" w:rsidRPr="00FB23DE" w:rsidRDefault="000842FB" w:rsidP="007E070F">
      <w:pPr>
        <w:spacing w:before="150" w:after="0" w:line="240" w:lineRule="auto"/>
        <w:ind w:left="72"/>
        <w:contextualSpacing/>
        <w:jc w:val="both"/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pl-PL"/>
        </w:rPr>
      </w:pPr>
      <w:r w:rsidRPr="00385CFC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ab/>
      </w:r>
      <w:r w:rsidRPr="00385CFC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ab/>
      </w: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  <w:iCs/>
                <w:color w:val="538135" w:themeColor="accent6" w:themeShade="BF"/>
                <w:kern w:val="24"/>
                <w:sz w:val="21"/>
                <w:szCs w:val="21"/>
                <w:lang w:eastAsia="pl-PL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538135" w:themeColor="accent6" w:themeShade="BF"/>
                <w:kern w:val="24"/>
                <w:sz w:val="21"/>
                <w:szCs w:val="21"/>
                <w:lang w:eastAsia="pl-PL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color w:val="538135" w:themeColor="accent6" w:themeShade="BF"/>
                <w:kern w:val="24"/>
                <w:sz w:val="21"/>
                <w:szCs w:val="21"/>
                <w:lang w:eastAsia="pl-PL"/>
              </w:rPr>
              <m:t>g</m:t>
            </m:r>
          </m:sub>
        </m:sSub>
      </m:oMath>
      <w:r w:rsidRPr="00FB23DE">
        <w:rPr>
          <w:rFonts w:ascii="Arial" w:eastAsiaTheme="minorEastAsia" w:hAnsi="Arial" w:cs="Arial"/>
          <w:b/>
          <w:bCs/>
          <w:color w:val="538135" w:themeColor="accent6" w:themeShade="BF"/>
          <w:kern w:val="24"/>
          <w:sz w:val="21"/>
          <w:szCs w:val="21"/>
          <w:lang w:eastAsia="pl-PL"/>
        </w:rPr>
        <w:t xml:space="preserve"> =  </w:t>
      </w: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  <w:iCs/>
                <w:color w:val="538135" w:themeColor="accent6" w:themeShade="BF"/>
                <w:kern w:val="24"/>
                <w:sz w:val="21"/>
                <w:szCs w:val="21"/>
                <w:lang w:eastAsia="pl-PL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538135" w:themeColor="accent6" w:themeShade="BF"/>
                <w:kern w:val="24"/>
                <w:sz w:val="21"/>
                <w:szCs w:val="21"/>
                <w:lang w:eastAsia="pl-PL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color w:val="538135" w:themeColor="accent6" w:themeShade="BF"/>
                <w:kern w:val="24"/>
                <w:sz w:val="21"/>
                <w:szCs w:val="21"/>
                <w:lang w:eastAsia="pl-PL"/>
              </w:rPr>
              <m:t>n</m:t>
            </m:r>
          </m:sub>
        </m:sSub>
      </m:oMath>
      <w:r w:rsidRPr="00FB23DE">
        <w:rPr>
          <w:rFonts w:ascii="Arial" w:eastAsiaTheme="minorEastAsia" w:hAnsi="Arial" w:cs="Arial"/>
          <w:b/>
          <w:bCs/>
          <w:color w:val="538135" w:themeColor="accent6" w:themeShade="BF"/>
          <w:kern w:val="24"/>
          <w:sz w:val="21"/>
          <w:szCs w:val="21"/>
          <w:lang w:eastAsia="pl-PL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  <w:iCs/>
                <w:color w:val="538135" w:themeColor="accent6" w:themeShade="BF"/>
                <w:kern w:val="24"/>
                <w:sz w:val="21"/>
                <w:szCs w:val="21"/>
                <w:lang w:eastAsia="pl-PL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538135" w:themeColor="accent6" w:themeShade="BF"/>
                <w:kern w:val="24"/>
                <w:sz w:val="21"/>
                <w:szCs w:val="21"/>
                <w:lang w:eastAsia="pl-PL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color w:val="538135" w:themeColor="accent6" w:themeShade="BF"/>
                <w:kern w:val="24"/>
                <w:sz w:val="21"/>
                <w:szCs w:val="21"/>
                <w:lang w:eastAsia="pl-PL"/>
              </w:rPr>
              <m:t>uz</m:t>
            </m:r>
          </m:sub>
        </m:sSub>
      </m:oMath>
      <w:r w:rsidRPr="00FB23DE">
        <w:rPr>
          <w:rFonts w:ascii="Arial" w:eastAsiaTheme="minorEastAsia" w:hAnsi="Arial" w:cs="Arial"/>
          <w:b/>
          <w:bCs/>
          <w:color w:val="538135" w:themeColor="accent6" w:themeShade="BF"/>
          <w:kern w:val="24"/>
          <w:sz w:val="21"/>
          <w:szCs w:val="21"/>
          <w:lang w:eastAsia="pl-PL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  <w:iCs/>
                <w:color w:val="538135" w:themeColor="accent6" w:themeShade="BF"/>
                <w:kern w:val="24"/>
                <w:sz w:val="21"/>
                <w:szCs w:val="21"/>
                <w:lang w:eastAsia="pl-PL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538135" w:themeColor="accent6" w:themeShade="BF"/>
                <w:kern w:val="24"/>
                <w:sz w:val="21"/>
                <w:szCs w:val="21"/>
                <w:lang w:eastAsia="pl-PL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color w:val="538135" w:themeColor="accent6" w:themeShade="BF"/>
                <w:kern w:val="24"/>
                <w:sz w:val="21"/>
                <w:szCs w:val="21"/>
                <w:lang w:eastAsia="pl-PL"/>
              </w:rPr>
              <m:t>ut</m:t>
            </m:r>
          </m:sub>
        </m:sSub>
      </m:oMath>
    </w:p>
    <w:p w14:paraId="210AF883" w14:textId="77777777" w:rsidR="000842FB" w:rsidRPr="00385CFC" w:rsidRDefault="000842FB" w:rsidP="007E070F">
      <w:pPr>
        <w:spacing w:before="150" w:after="0" w:line="240" w:lineRule="auto"/>
        <w:ind w:left="72"/>
        <w:contextualSpacing/>
        <w:jc w:val="both"/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pl-PL"/>
        </w:rPr>
      </w:pPr>
      <w:r w:rsidRPr="00385CFC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>gdzie:</w:t>
      </w:r>
    </w:p>
    <w:p w14:paraId="3CEC8857" w14:textId="77777777" w:rsidR="000842FB" w:rsidRPr="00385CFC" w:rsidRDefault="00000000" w:rsidP="007E070F">
      <w:pPr>
        <w:widowControl w:val="0"/>
        <w:autoSpaceDE w:val="0"/>
        <w:autoSpaceDN w:val="0"/>
        <w:adjustRightInd w:val="0"/>
        <w:spacing w:after="0" w:line="240" w:lineRule="auto"/>
        <w:ind w:left="792"/>
        <w:contextualSpacing/>
        <w:jc w:val="both"/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pl-PL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  <w:iCs/>
                <w:color w:val="806000" w:themeColor="accent4" w:themeShade="80"/>
                <w:kern w:val="24"/>
                <w:sz w:val="21"/>
                <w:szCs w:val="21"/>
                <w:lang w:eastAsia="pl-PL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806000" w:themeColor="accent4" w:themeShade="80"/>
                <w:kern w:val="24"/>
                <w:sz w:val="21"/>
                <w:szCs w:val="21"/>
                <w:lang w:eastAsia="pl-PL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color w:val="806000" w:themeColor="accent4" w:themeShade="80"/>
                <w:kern w:val="24"/>
                <w:sz w:val="21"/>
                <w:szCs w:val="21"/>
                <w:lang w:eastAsia="pl-PL"/>
              </w:rPr>
              <m:t>g</m:t>
            </m:r>
          </m:sub>
        </m:sSub>
        <m:r>
          <m:rPr>
            <m:sty m:val="b"/>
          </m:rPr>
          <w:rPr>
            <w:rFonts w:ascii="Cambria Math" w:eastAsiaTheme="minorEastAsia" w:hAnsi="Cambria Math" w:cs="Arial"/>
            <w:color w:val="806000" w:themeColor="accent4" w:themeShade="80"/>
            <w:kern w:val="24"/>
            <w:sz w:val="21"/>
            <w:szCs w:val="21"/>
            <w:lang w:eastAsia="pl-PL"/>
          </w:rPr>
          <m:t> </m:t>
        </m:r>
      </m:oMath>
      <w:r w:rsidR="000842FB" w:rsidRPr="00385CFC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>– koszty cyklu życia budynku w 30-letnim okresie życia budynku, zwanym dalej „okresem obliczeniowym”,</w:t>
      </w:r>
    </w:p>
    <w:p w14:paraId="593747C6" w14:textId="77777777" w:rsidR="000842FB" w:rsidRPr="00FB23DE" w:rsidRDefault="00000000" w:rsidP="007E070F">
      <w:pPr>
        <w:widowControl w:val="0"/>
        <w:autoSpaceDE w:val="0"/>
        <w:autoSpaceDN w:val="0"/>
        <w:adjustRightInd w:val="0"/>
        <w:spacing w:after="0" w:line="240" w:lineRule="auto"/>
        <w:ind w:left="792"/>
        <w:contextualSpacing/>
        <w:jc w:val="both"/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pl-PL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  <w:iCs/>
                <w:color w:val="806000" w:themeColor="accent4" w:themeShade="80"/>
                <w:kern w:val="24"/>
                <w:sz w:val="21"/>
                <w:szCs w:val="21"/>
                <w:lang w:eastAsia="pl-PL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806000" w:themeColor="accent4" w:themeShade="80"/>
                <w:kern w:val="24"/>
                <w:sz w:val="21"/>
                <w:szCs w:val="21"/>
                <w:lang w:eastAsia="pl-PL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color w:val="806000" w:themeColor="accent4" w:themeShade="80"/>
                <w:kern w:val="24"/>
                <w:sz w:val="21"/>
                <w:szCs w:val="21"/>
                <w:lang w:eastAsia="pl-PL"/>
              </w:rPr>
              <m:t>n</m:t>
            </m:r>
          </m:sub>
        </m:sSub>
      </m:oMath>
      <w:r w:rsidR="000842FB" w:rsidRPr="00FB23DE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 xml:space="preserve"> – koszty nabycia,</w:t>
      </w:r>
    </w:p>
    <w:p w14:paraId="38C94C6C" w14:textId="77777777" w:rsidR="000842FB" w:rsidRPr="00FB23DE" w:rsidRDefault="00000000" w:rsidP="007E070F">
      <w:pPr>
        <w:widowControl w:val="0"/>
        <w:autoSpaceDE w:val="0"/>
        <w:autoSpaceDN w:val="0"/>
        <w:adjustRightInd w:val="0"/>
        <w:spacing w:after="0" w:line="240" w:lineRule="auto"/>
        <w:ind w:left="792"/>
        <w:contextualSpacing/>
        <w:jc w:val="both"/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pl-PL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  <w:iCs/>
                <w:color w:val="806000" w:themeColor="accent4" w:themeShade="80"/>
                <w:kern w:val="24"/>
                <w:sz w:val="21"/>
                <w:szCs w:val="21"/>
                <w:lang w:eastAsia="pl-PL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806000" w:themeColor="accent4" w:themeShade="80"/>
                <w:kern w:val="24"/>
                <w:sz w:val="21"/>
                <w:szCs w:val="21"/>
                <w:lang w:eastAsia="pl-PL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color w:val="806000" w:themeColor="accent4" w:themeShade="80"/>
                <w:kern w:val="24"/>
                <w:sz w:val="21"/>
                <w:szCs w:val="21"/>
                <w:lang w:eastAsia="pl-PL"/>
              </w:rPr>
              <m:t>uz</m:t>
            </m:r>
          </m:sub>
        </m:sSub>
      </m:oMath>
      <w:r w:rsidR="000842FB" w:rsidRPr="00FB23DE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 xml:space="preserve"> – koszty użytkowania,</w:t>
      </w:r>
    </w:p>
    <w:p w14:paraId="1D85AEBE" w14:textId="77777777" w:rsidR="000842FB" w:rsidRPr="00FB23DE" w:rsidRDefault="00000000" w:rsidP="007E070F">
      <w:pPr>
        <w:widowControl w:val="0"/>
        <w:autoSpaceDE w:val="0"/>
        <w:autoSpaceDN w:val="0"/>
        <w:adjustRightInd w:val="0"/>
        <w:spacing w:after="0" w:line="240" w:lineRule="auto"/>
        <w:ind w:left="792"/>
        <w:contextualSpacing/>
        <w:jc w:val="both"/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pl-PL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  <w:iCs/>
                <w:color w:val="806000" w:themeColor="accent4" w:themeShade="80"/>
                <w:kern w:val="24"/>
                <w:sz w:val="21"/>
                <w:szCs w:val="21"/>
                <w:lang w:eastAsia="pl-PL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806000" w:themeColor="accent4" w:themeShade="80"/>
                <w:kern w:val="24"/>
                <w:sz w:val="21"/>
                <w:szCs w:val="21"/>
                <w:lang w:eastAsia="pl-PL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color w:val="806000" w:themeColor="accent4" w:themeShade="80"/>
                <w:kern w:val="24"/>
                <w:sz w:val="21"/>
                <w:szCs w:val="21"/>
                <w:lang w:eastAsia="pl-PL"/>
              </w:rPr>
              <m:t>ut</m:t>
            </m:r>
          </m:sub>
        </m:sSub>
      </m:oMath>
      <w:r w:rsidR="000842FB" w:rsidRPr="00FB23DE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 xml:space="preserve"> – koszty utrzymania.</w:t>
      </w:r>
    </w:p>
    <w:p w14:paraId="2C8D6AE5" w14:textId="77777777" w:rsidR="000842FB" w:rsidRPr="00385CFC" w:rsidRDefault="000842FB" w:rsidP="007E070F">
      <w:pPr>
        <w:widowControl w:val="0"/>
        <w:autoSpaceDE w:val="0"/>
        <w:autoSpaceDN w:val="0"/>
        <w:adjustRightInd w:val="0"/>
        <w:spacing w:after="0" w:line="240" w:lineRule="auto"/>
        <w:ind w:left="431"/>
        <w:contextualSpacing/>
        <w:jc w:val="both"/>
        <w:rPr>
          <w:rFonts w:ascii="Arial" w:eastAsiaTheme="minorEastAsia" w:hAnsi="Arial" w:cs="Arial"/>
          <w:b/>
          <w:color w:val="806000" w:themeColor="accent4" w:themeShade="80"/>
          <w:sz w:val="21"/>
          <w:szCs w:val="21"/>
          <w:lang w:eastAsia="pl-PL"/>
        </w:rPr>
      </w:pPr>
    </w:p>
    <w:p w14:paraId="201ECFFC" w14:textId="7F7F5C25" w:rsidR="00F174D7" w:rsidRPr="00385CFC" w:rsidRDefault="004F4E32" w:rsidP="00F174D7">
      <w:pPr>
        <w:spacing w:line="240" w:lineRule="auto"/>
        <w:contextualSpacing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Kalkulację kosztów cyklu życia budynku zamawiający obliczy na </w:t>
      </w:r>
      <w:r w:rsidR="00122144" w:rsidRPr="00385CFC">
        <w:rPr>
          <w:rFonts w:ascii="Arial" w:hAnsi="Arial" w:cs="Arial"/>
          <w:color w:val="806000" w:themeColor="accent4" w:themeShade="80"/>
          <w:sz w:val="21"/>
          <w:szCs w:val="21"/>
        </w:rPr>
        <w:t>F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>ormularzu danych do określenia kosztów cyklu życia budynku</w:t>
      </w:r>
      <w:r w:rsidR="00FC02C5" w:rsidRPr="00385CFC">
        <w:rPr>
          <w:rFonts w:ascii="Arial" w:hAnsi="Arial" w:cs="Arial"/>
          <w:color w:val="806000" w:themeColor="accent4" w:themeShade="80"/>
          <w:sz w:val="21"/>
          <w:szCs w:val="21"/>
        </w:rPr>
        <w:t>, dalej jako  „Formularz danych”,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odrębnie dla każdej ze złożonych ofert.</w:t>
      </w:r>
      <w:r w:rsidR="00F358E9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</w:t>
      </w:r>
      <w:bookmarkStart w:id="4" w:name="_Hlk529882196"/>
      <w:r w:rsidR="00BB0F87" w:rsidRPr="00385CFC">
        <w:rPr>
          <w:rFonts w:ascii="Arial" w:hAnsi="Arial" w:cs="Arial"/>
          <w:color w:val="806000" w:themeColor="accent4" w:themeShade="80"/>
          <w:sz w:val="21"/>
          <w:szCs w:val="21"/>
        </w:rPr>
        <w:t>Do wypełnienia Formularza zamawiający korzysta z informacji zawartych w opisie przedmiotu zamówienia tj. odpowiednio z dokumentacji projektowej i specyfikacji technicznych wykonania i odbioru robót budowlanych albo programu funkcjonalno- użytkowego</w:t>
      </w:r>
      <w:r w:rsidR="00655ABB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opracowanych na podstawie rozporządzenia </w:t>
      </w:r>
      <w:r w:rsidR="009E1587" w:rsidRPr="009E1587">
        <w:rPr>
          <w:rFonts w:ascii="Arial" w:hAnsi="Arial" w:cs="Arial"/>
          <w:color w:val="806000" w:themeColor="accent4" w:themeShade="80"/>
          <w:sz w:val="21"/>
          <w:szCs w:val="21"/>
        </w:rPr>
        <w:t xml:space="preserve">Ministra Rozwoju i Technologii z dnia 20 grudnia 2021 r. w sprawie szczegółowego zakresu i formy dokumentacji projektowej, specyfikacji technicznych wykonania i odbioru robót budowlanych oraz programu funkcjonalno-użytkowego </w:t>
      </w:r>
      <w:r w:rsidR="00655ABB" w:rsidRPr="00385CFC">
        <w:rPr>
          <w:rFonts w:ascii="Arial" w:hAnsi="Arial" w:cs="Arial"/>
          <w:color w:val="806000" w:themeColor="accent4" w:themeShade="80"/>
          <w:sz w:val="21"/>
          <w:szCs w:val="21"/>
        </w:rPr>
        <w:t>(</w:t>
      </w:r>
      <w:proofErr w:type="spellStart"/>
      <w:r w:rsidR="00655ABB" w:rsidRPr="00385CFC">
        <w:rPr>
          <w:rFonts w:ascii="Arial" w:hAnsi="Arial" w:cs="Arial"/>
          <w:color w:val="806000" w:themeColor="accent4" w:themeShade="80"/>
          <w:sz w:val="21"/>
          <w:szCs w:val="21"/>
        </w:rPr>
        <w:t>t.j</w:t>
      </w:r>
      <w:proofErr w:type="spellEnd"/>
      <w:r w:rsidR="00655ABB" w:rsidRPr="00385CFC">
        <w:rPr>
          <w:rFonts w:ascii="Arial" w:hAnsi="Arial" w:cs="Arial"/>
          <w:color w:val="806000" w:themeColor="accent4" w:themeShade="80"/>
          <w:sz w:val="21"/>
          <w:szCs w:val="21"/>
        </w:rPr>
        <w:t>. Dz. U. 20</w:t>
      </w:r>
      <w:r w:rsidR="009E1587">
        <w:rPr>
          <w:rFonts w:ascii="Arial" w:hAnsi="Arial" w:cs="Arial"/>
          <w:color w:val="806000" w:themeColor="accent4" w:themeShade="80"/>
          <w:sz w:val="21"/>
          <w:szCs w:val="21"/>
        </w:rPr>
        <w:t>21</w:t>
      </w:r>
      <w:r w:rsidR="00655ABB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r. poz. </w:t>
      </w:r>
      <w:r w:rsidR="009E1587">
        <w:rPr>
          <w:rFonts w:ascii="Arial" w:hAnsi="Arial" w:cs="Arial"/>
          <w:color w:val="806000" w:themeColor="accent4" w:themeShade="80"/>
          <w:sz w:val="21"/>
          <w:szCs w:val="21"/>
        </w:rPr>
        <w:t>2454</w:t>
      </w:r>
      <w:r w:rsidR="00655ABB" w:rsidRPr="00385CFC">
        <w:rPr>
          <w:rFonts w:ascii="Arial" w:hAnsi="Arial" w:cs="Arial"/>
          <w:color w:val="806000" w:themeColor="accent4" w:themeShade="80"/>
          <w:sz w:val="21"/>
          <w:szCs w:val="21"/>
        </w:rPr>
        <w:t>).</w:t>
      </w:r>
      <w:r w:rsidR="00F174D7">
        <w:rPr>
          <w:rFonts w:ascii="Arial" w:hAnsi="Arial" w:cs="Arial"/>
          <w:color w:val="806000" w:themeColor="accent4" w:themeShade="80"/>
          <w:sz w:val="21"/>
          <w:szCs w:val="21"/>
        </w:rPr>
        <w:t xml:space="preserve"> </w:t>
      </w:r>
    </w:p>
    <w:p w14:paraId="108552F3" w14:textId="5114EAEB" w:rsidR="00E55FBF" w:rsidRPr="00385CFC" w:rsidRDefault="00E55FBF" w:rsidP="007E070F">
      <w:pPr>
        <w:spacing w:line="240" w:lineRule="auto"/>
        <w:contextualSpacing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</w:p>
    <w:p w14:paraId="4D5A9873" w14:textId="77777777" w:rsidR="00771196" w:rsidRPr="00385CFC" w:rsidRDefault="00771196" w:rsidP="007E070F">
      <w:pPr>
        <w:spacing w:line="240" w:lineRule="auto"/>
        <w:contextualSpacing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</w:p>
    <w:p w14:paraId="1E7B4FA9" w14:textId="63D90E0A" w:rsidR="000842FB" w:rsidRPr="00385CFC" w:rsidRDefault="00F358E9" w:rsidP="007E070F">
      <w:pPr>
        <w:spacing w:line="240" w:lineRule="auto"/>
        <w:contextualSpacing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Wzór </w:t>
      </w:r>
      <w:r w:rsidR="00122144" w:rsidRPr="00385CFC">
        <w:rPr>
          <w:rFonts w:ascii="Arial" w:hAnsi="Arial" w:cs="Arial"/>
          <w:color w:val="806000" w:themeColor="accent4" w:themeShade="80"/>
          <w:sz w:val="21"/>
          <w:szCs w:val="21"/>
        </w:rPr>
        <w:t>F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ormularza </w:t>
      </w:r>
      <w:r w:rsidR="00C34835" w:rsidRPr="00385CFC">
        <w:rPr>
          <w:rFonts w:ascii="Arial" w:hAnsi="Arial" w:cs="Arial"/>
          <w:color w:val="806000" w:themeColor="accent4" w:themeShade="80"/>
          <w:sz w:val="21"/>
          <w:szCs w:val="21"/>
        </w:rPr>
        <w:t>danych</w:t>
      </w:r>
      <w:r w:rsidR="00B825DF" w:rsidRPr="00385CFC">
        <w:rPr>
          <w:rFonts w:ascii="Arial" w:hAnsi="Arial" w:cs="Arial"/>
          <w:color w:val="806000" w:themeColor="accent4" w:themeShade="80"/>
          <w:sz w:val="21"/>
          <w:szCs w:val="21"/>
        </w:rPr>
        <w:t>, składający się z niżej opracowanych Tabel 1-5</w:t>
      </w:r>
      <w:r w:rsidR="00C34835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>stanowi załącznik</w:t>
      </w:r>
      <w:r w:rsidR="002B483F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nr …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do </w:t>
      </w:r>
      <w:r w:rsidR="002B483F" w:rsidRPr="00385CFC">
        <w:rPr>
          <w:rFonts w:ascii="Arial" w:hAnsi="Arial" w:cs="Arial"/>
          <w:color w:val="806000" w:themeColor="accent4" w:themeShade="80"/>
          <w:sz w:val="21"/>
          <w:szCs w:val="21"/>
        </w:rPr>
        <w:t>specyfikacji  warunków zamówienia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>.</w:t>
      </w:r>
      <w:bookmarkEnd w:id="4"/>
      <w:r w:rsidR="00675B43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</w:t>
      </w:r>
    </w:p>
    <w:p w14:paraId="7C72187C" w14:textId="77777777" w:rsidR="007E070F" w:rsidRPr="00385CFC" w:rsidRDefault="007E070F" w:rsidP="007E070F">
      <w:pPr>
        <w:spacing w:line="240" w:lineRule="auto"/>
        <w:contextualSpacing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</w:p>
    <w:p w14:paraId="0F70C798" w14:textId="2D2841D3" w:rsidR="00297F29" w:rsidRPr="00385CFC" w:rsidRDefault="00F03179" w:rsidP="007E070F">
      <w:pPr>
        <w:spacing w:line="240" w:lineRule="auto"/>
        <w:contextualSpacing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>Tabela nr 1</w:t>
      </w:r>
    </w:p>
    <w:tbl>
      <w:tblPr>
        <w:tblStyle w:val="Tabelasiatki6kolorowaakcent6"/>
        <w:tblW w:w="8908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20" w:firstRow="1" w:lastRow="0" w:firstColumn="0" w:lastColumn="0" w:noHBand="0" w:noVBand="1"/>
      </w:tblPr>
      <w:tblGrid>
        <w:gridCol w:w="3107"/>
        <w:gridCol w:w="5801"/>
      </w:tblGrid>
      <w:tr w:rsidR="00385CFC" w:rsidRPr="00385CFC" w14:paraId="4CBAEA53" w14:textId="1C7C7D7D" w:rsidTr="00FB2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tcW w:w="3107" w:type="dxa"/>
            <w:tcBorders>
              <w:bottom w:val="none" w:sz="0" w:space="0" w:color="auto"/>
            </w:tcBorders>
            <w:hideMark/>
          </w:tcPr>
          <w:p w14:paraId="61B3E090" w14:textId="77777777" w:rsidR="00613DF9" w:rsidRPr="00385CFC" w:rsidRDefault="00613DF9" w:rsidP="007E070F">
            <w:pPr>
              <w:contextualSpacing/>
              <w:jc w:val="both"/>
              <w:rPr>
                <w:rFonts w:ascii="Arial" w:eastAsia="Times New Roman" w:hAnsi="Arial" w:cs="Arial"/>
                <w:color w:val="806000" w:themeColor="accent4" w:themeShade="80"/>
                <w:sz w:val="21"/>
                <w:szCs w:val="21"/>
                <w:lang w:eastAsia="pl-PL"/>
              </w:rPr>
            </w:pPr>
            <w:r w:rsidRPr="00385CFC">
              <w:rPr>
                <w:rFonts w:ascii="Arial" w:eastAsia="Times New Roman" w:hAnsi="Arial" w:cs="Arial"/>
                <w:color w:val="806000" w:themeColor="accent4" w:themeShade="80"/>
                <w:kern w:val="24"/>
                <w:sz w:val="21"/>
                <w:szCs w:val="21"/>
                <w:lang w:eastAsia="pl-PL"/>
              </w:rPr>
              <w:t>Nazwa nadana zamówieniu przez zamawiającego</w:t>
            </w:r>
          </w:p>
        </w:tc>
        <w:tc>
          <w:tcPr>
            <w:tcW w:w="5801" w:type="dxa"/>
            <w:tcBorders>
              <w:bottom w:val="none" w:sz="0" w:space="0" w:color="auto"/>
            </w:tcBorders>
          </w:tcPr>
          <w:p w14:paraId="6EE6D9D5" w14:textId="1ADABBF3" w:rsidR="00613DF9" w:rsidRPr="00385CFC" w:rsidRDefault="0098749D" w:rsidP="007E070F">
            <w:pPr>
              <w:contextualSpacing/>
              <w:jc w:val="both"/>
              <w:rPr>
                <w:rFonts w:ascii="Arial" w:eastAsia="Times New Roman" w:hAnsi="Arial" w:cs="Arial"/>
                <w:b w:val="0"/>
                <w:bCs w:val="0"/>
                <w:color w:val="806000" w:themeColor="accent4" w:themeShade="80"/>
                <w:kern w:val="24"/>
                <w:sz w:val="21"/>
                <w:szCs w:val="21"/>
                <w:lang w:eastAsia="pl-PL"/>
              </w:rPr>
            </w:pPr>
            <w:r w:rsidRPr="00385CFC">
              <w:rPr>
                <w:rFonts w:ascii="Arial" w:eastAsia="Times New Roman" w:hAnsi="Arial" w:cs="Arial"/>
                <w:color w:val="806000" w:themeColor="accent4" w:themeShade="80"/>
                <w:kern w:val="24"/>
                <w:sz w:val="21"/>
                <w:szCs w:val="21"/>
                <w:lang w:eastAsia="pl-PL"/>
              </w:rPr>
              <w:t>Budowa budynku</w:t>
            </w:r>
            <w:r w:rsidR="00DC6A10" w:rsidRPr="00385CFC">
              <w:rPr>
                <w:rFonts w:ascii="Arial" w:eastAsia="Times New Roman" w:hAnsi="Arial" w:cs="Arial"/>
                <w:color w:val="806000" w:themeColor="accent4" w:themeShade="80"/>
                <w:kern w:val="24"/>
                <w:sz w:val="21"/>
                <w:szCs w:val="21"/>
                <w:lang w:eastAsia="pl-PL"/>
              </w:rPr>
              <w:t xml:space="preserve"> ż</w:t>
            </w:r>
            <w:r w:rsidRPr="00385CFC">
              <w:rPr>
                <w:rFonts w:ascii="Arial" w:eastAsia="Times New Roman" w:hAnsi="Arial" w:cs="Arial"/>
                <w:color w:val="806000" w:themeColor="accent4" w:themeShade="80"/>
                <w:kern w:val="24"/>
                <w:sz w:val="21"/>
                <w:szCs w:val="21"/>
                <w:lang w:eastAsia="pl-PL"/>
              </w:rPr>
              <w:t>łobka w miejscowości X</w:t>
            </w:r>
          </w:p>
        </w:tc>
      </w:tr>
      <w:tr w:rsidR="00385CFC" w:rsidRPr="00385CFC" w14:paraId="0837BB63" w14:textId="293FADC7" w:rsidTr="00FB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tcW w:w="3107" w:type="dxa"/>
            <w:hideMark/>
          </w:tcPr>
          <w:p w14:paraId="39BC4F37" w14:textId="77777777" w:rsidR="00613DF9" w:rsidRPr="00385CFC" w:rsidRDefault="00613DF9" w:rsidP="007E070F">
            <w:pPr>
              <w:contextualSpacing/>
              <w:jc w:val="both"/>
              <w:rPr>
                <w:rFonts w:ascii="Arial" w:eastAsia="Times New Roman" w:hAnsi="Arial" w:cs="Arial"/>
                <w:color w:val="806000" w:themeColor="accent4" w:themeShade="80"/>
                <w:sz w:val="21"/>
                <w:szCs w:val="21"/>
                <w:lang w:eastAsia="pl-PL"/>
              </w:rPr>
            </w:pPr>
            <w:r w:rsidRPr="00385CFC">
              <w:rPr>
                <w:rFonts w:ascii="Arial" w:eastAsia="Times New Roman" w:hAnsi="Arial" w:cs="Arial"/>
                <w:color w:val="806000" w:themeColor="accent4" w:themeShade="80"/>
                <w:kern w:val="24"/>
                <w:sz w:val="21"/>
                <w:szCs w:val="21"/>
                <w:lang w:eastAsia="pl-PL"/>
              </w:rPr>
              <w:t>Wykonawca</w:t>
            </w:r>
          </w:p>
        </w:tc>
        <w:tc>
          <w:tcPr>
            <w:tcW w:w="5801" w:type="dxa"/>
          </w:tcPr>
          <w:p w14:paraId="0AFA6644" w14:textId="77777777" w:rsidR="00613DF9" w:rsidRPr="00385CFC" w:rsidRDefault="00613DF9" w:rsidP="007E070F">
            <w:pPr>
              <w:contextualSpacing/>
              <w:jc w:val="both"/>
              <w:rPr>
                <w:rFonts w:ascii="Arial" w:eastAsia="Times New Roman" w:hAnsi="Arial" w:cs="Arial"/>
                <w:color w:val="806000" w:themeColor="accent4" w:themeShade="80"/>
                <w:kern w:val="24"/>
                <w:sz w:val="21"/>
                <w:szCs w:val="21"/>
                <w:lang w:eastAsia="pl-PL"/>
              </w:rPr>
            </w:pPr>
          </w:p>
        </w:tc>
      </w:tr>
      <w:tr w:rsidR="00385CFC" w:rsidRPr="00385CFC" w14:paraId="2A64A048" w14:textId="4331F04E" w:rsidTr="00FB23DE">
        <w:trPr>
          <w:trHeight w:val="420"/>
        </w:trPr>
        <w:tc>
          <w:tcPr>
            <w:tcW w:w="3107" w:type="dxa"/>
            <w:hideMark/>
          </w:tcPr>
          <w:p w14:paraId="5D1C869A" w14:textId="77777777" w:rsidR="00613DF9" w:rsidRPr="00385CFC" w:rsidRDefault="00613DF9" w:rsidP="007E070F">
            <w:pPr>
              <w:contextualSpacing/>
              <w:jc w:val="both"/>
              <w:rPr>
                <w:rFonts w:ascii="Arial" w:eastAsia="Times New Roman" w:hAnsi="Arial" w:cs="Arial"/>
                <w:color w:val="806000" w:themeColor="accent4" w:themeShade="80"/>
                <w:sz w:val="21"/>
                <w:szCs w:val="21"/>
                <w:lang w:eastAsia="pl-PL"/>
              </w:rPr>
            </w:pPr>
            <w:r w:rsidRPr="00385CFC">
              <w:rPr>
                <w:rFonts w:ascii="Arial" w:eastAsia="Times New Roman" w:hAnsi="Arial" w:cs="Arial"/>
                <w:color w:val="806000" w:themeColor="accent4" w:themeShade="80"/>
                <w:kern w:val="24"/>
                <w:sz w:val="21"/>
                <w:szCs w:val="21"/>
                <w:lang w:eastAsia="pl-PL"/>
              </w:rPr>
              <w:t>Zamawiający</w:t>
            </w:r>
          </w:p>
        </w:tc>
        <w:tc>
          <w:tcPr>
            <w:tcW w:w="5801" w:type="dxa"/>
          </w:tcPr>
          <w:p w14:paraId="6DDCC39D" w14:textId="4F3F675E" w:rsidR="00613DF9" w:rsidRPr="00385CFC" w:rsidRDefault="006767FB" w:rsidP="007E070F">
            <w:pPr>
              <w:contextualSpacing/>
              <w:jc w:val="both"/>
              <w:rPr>
                <w:rFonts w:ascii="Arial" w:eastAsia="Times New Roman" w:hAnsi="Arial" w:cs="Arial"/>
                <w:color w:val="806000" w:themeColor="accent4" w:themeShade="80"/>
                <w:kern w:val="24"/>
                <w:sz w:val="21"/>
                <w:szCs w:val="21"/>
                <w:lang w:eastAsia="pl-PL"/>
              </w:rPr>
            </w:pPr>
            <w:r w:rsidRPr="00385CFC">
              <w:rPr>
                <w:rFonts w:ascii="Arial" w:eastAsia="Times New Roman" w:hAnsi="Arial" w:cs="Arial"/>
                <w:color w:val="806000" w:themeColor="accent4" w:themeShade="80"/>
                <w:kern w:val="24"/>
                <w:sz w:val="21"/>
                <w:szCs w:val="21"/>
                <w:lang w:eastAsia="pl-PL"/>
              </w:rPr>
              <w:t xml:space="preserve"> Gmina X</w:t>
            </w:r>
          </w:p>
        </w:tc>
      </w:tr>
      <w:tr w:rsidR="00385CFC" w:rsidRPr="00385CFC" w14:paraId="664E1421" w14:textId="494951B9" w:rsidTr="00FB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tcW w:w="3107" w:type="dxa"/>
            <w:hideMark/>
          </w:tcPr>
          <w:p w14:paraId="7165B7EE" w14:textId="77777777" w:rsidR="00613DF9" w:rsidRPr="00385CFC" w:rsidRDefault="00613DF9" w:rsidP="007E070F">
            <w:pPr>
              <w:contextualSpacing/>
              <w:jc w:val="both"/>
              <w:rPr>
                <w:rFonts w:ascii="Arial" w:eastAsia="Times New Roman" w:hAnsi="Arial" w:cs="Arial"/>
                <w:color w:val="806000" w:themeColor="accent4" w:themeShade="80"/>
                <w:sz w:val="21"/>
                <w:szCs w:val="21"/>
                <w:lang w:eastAsia="pl-PL"/>
              </w:rPr>
            </w:pPr>
            <w:r w:rsidRPr="00385CFC">
              <w:rPr>
                <w:rFonts w:ascii="Arial" w:eastAsia="Times New Roman" w:hAnsi="Arial" w:cs="Arial"/>
                <w:color w:val="806000" w:themeColor="accent4" w:themeShade="80"/>
                <w:kern w:val="24"/>
                <w:sz w:val="21"/>
                <w:szCs w:val="21"/>
                <w:lang w:eastAsia="pl-PL"/>
              </w:rPr>
              <w:t>Data wypełnienia formularza</w:t>
            </w:r>
          </w:p>
        </w:tc>
        <w:tc>
          <w:tcPr>
            <w:tcW w:w="5801" w:type="dxa"/>
          </w:tcPr>
          <w:p w14:paraId="1CD1116F" w14:textId="77777777" w:rsidR="00613DF9" w:rsidRPr="00385CFC" w:rsidRDefault="00613DF9" w:rsidP="007E070F">
            <w:pPr>
              <w:contextualSpacing/>
              <w:jc w:val="both"/>
              <w:rPr>
                <w:rFonts w:ascii="Arial" w:eastAsia="Times New Roman" w:hAnsi="Arial" w:cs="Arial"/>
                <w:color w:val="806000" w:themeColor="accent4" w:themeShade="80"/>
                <w:kern w:val="24"/>
                <w:sz w:val="21"/>
                <w:szCs w:val="21"/>
                <w:lang w:eastAsia="pl-PL"/>
              </w:rPr>
            </w:pPr>
          </w:p>
        </w:tc>
      </w:tr>
    </w:tbl>
    <w:p w14:paraId="69691B24" w14:textId="77777777" w:rsidR="009B2EC3" w:rsidRPr="00385CFC" w:rsidRDefault="009B2EC3" w:rsidP="007E070F">
      <w:pPr>
        <w:spacing w:line="240" w:lineRule="auto"/>
        <w:contextualSpacing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</w:p>
    <w:p w14:paraId="3727D538" w14:textId="373DA6CB" w:rsidR="0021102D" w:rsidRDefault="0021102D" w:rsidP="007E070F">
      <w:pPr>
        <w:spacing w:line="240" w:lineRule="auto"/>
        <w:contextualSpacing/>
        <w:jc w:val="both"/>
        <w:rPr>
          <w:rFonts w:ascii="Arial" w:hAnsi="Arial" w:cs="Arial"/>
          <w:b/>
          <w:color w:val="538135" w:themeColor="accent6" w:themeShade="BF"/>
          <w:sz w:val="21"/>
          <w:szCs w:val="21"/>
          <w:u w:val="single"/>
        </w:rPr>
      </w:pPr>
    </w:p>
    <w:p w14:paraId="53348DD1" w14:textId="77777777" w:rsidR="005102EB" w:rsidRDefault="005102EB" w:rsidP="007E070F">
      <w:pPr>
        <w:spacing w:line="240" w:lineRule="auto"/>
        <w:contextualSpacing/>
        <w:jc w:val="both"/>
        <w:rPr>
          <w:rFonts w:ascii="Arial" w:hAnsi="Arial" w:cs="Arial"/>
          <w:b/>
          <w:color w:val="538135" w:themeColor="accent6" w:themeShade="BF"/>
          <w:sz w:val="21"/>
          <w:szCs w:val="21"/>
          <w:u w:val="single"/>
        </w:rPr>
      </w:pPr>
    </w:p>
    <w:p w14:paraId="65EB90D3" w14:textId="4571BB36" w:rsidR="00613DF9" w:rsidRPr="00FB23DE" w:rsidRDefault="00613DF9" w:rsidP="0021102D">
      <w:pPr>
        <w:spacing w:before="120" w:after="120" w:line="240" w:lineRule="auto"/>
        <w:jc w:val="both"/>
        <w:rPr>
          <w:rFonts w:ascii="Arial" w:hAnsi="Arial" w:cs="Arial"/>
          <w:b/>
          <w:color w:val="538135" w:themeColor="accent6" w:themeShade="BF"/>
          <w:sz w:val="21"/>
          <w:szCs w:val="21"/>
          <w:u w:val="single"/>
        </w:rPr>
      </w:pPr>
      <w:r w:rsidRPr="00FB23DE">
        <w:rPr>
          <w:rFonts w:ascii="Arial" w:hAnsi="Arial" w:cs="Arial"/>
          <w:b/>
          <w:color w:val="538135" w:themeColor="accent6" w:themeShade="BF"/>
          <w:sz w:val="21"/>
          <w:szCs w:val="21"/>
          <w:u w:val="single"/>
        </w:rPr>
        <w:t>Koszty nabycia</w:t>
      </w:r>
    </w:p>
    <w:p w14:paraId="0E0FB5FB" w14:textId="7CA26513" w:rsidR="00F03179" w:rsidRDefault="00C34835" w:rsidP="0021102D">
      <w:pPr>
        <w:spacing w:before="120" w:after="120" w:line="240" w:lineRule="auto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>Koszt</w:t>
      </w:r>
      <w:r w:rsidR="00C43A81" w:rsidRPr="00385CFC">
        <w:rPr>
          <w:rFonts w:ascii="Arial" w:hAnsi="Arial" w:cs="Arial"/>
          <w:color w:val="806000" w:themeColor="accent4" w:themeShade="80"/>
          <w:sz w:val="21"/>
          <w:szCs w:val="21"/>
        </w:rPr>
        <w:t>y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nabycia </w:t>
      </w:r>
      <w:r w:rsidR="0017607E" w:rsidRPr="00385CFC">
        <w:rPr>
          <w:rFonts w:ascii="Arial" w:hAnsi="Arial" w:cs="Arial"/>
          <w:color w:val="806000" w:themeColor="accent4" w:themeShade="80"/>
          <w:sz w:val="21"/>
          <w:szCs w:val="21"/>
        </w:rPr>
        <w:t>Z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>amawiający określ</w:t>
      </w:r>
      <w:r w:rsidR="005054F2" w:rsidRPr="00385CFC">
        <w:rPr>
          <w:rFonts w:ascii="Arial" w:hAnsi="Arial" w:cs="Arial"/>
          <w:color w:val="806000" w:themeColor="accent4" w:themeShade="80"/>
          <w:sz w:val="21"/>
          <w:szCs w:val="21"/>
        </w:rPr>
        <w:t>a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na podstawie ceny oferty. </w:t>
      </w:r>
      <w:r w:rsidR="00771196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Obliczenia ceny oferty Wykonawca dokona zgodnie z częścią SWZ Sposób obliczenia ceny.</w:t>
      </w:r>
    </w:p>
    <w:p w14:paraId="51A2F922" w14:textId="20AD02DD" w:rsidR="00AD78B7" w:rsidRPr="00EB23FC" w:rsidRDefault="00F174D7" w:rsidP="00AD78B7">
      <w:pPr>
        <w:spacing w:before="120" w:after="120" w:line="240" w:lineRule="auto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>
        <w:rPr>
          <w:rFonts w:ascii="Arial" w:hAnsi="Arial" w:cs="Arial"/>
          <w:b/>
          <w:color w:val="806000" w:themeColor="accent4" w:themeShade="80"/>
          <w:sz w:val="21"/>
          <w:szCs w:val="21"/>
          <w:u w:val="single"/>
        </w:rPr>
        <w:t>[</w:t>
      </w:r>
      <w:r w:rsidR="00AD78B7" w:rsidRPr="00F174D7">
        <w:rPr>
          <w:rFonts w:ascii="Arial" w:hAnsi="Arial" w:cs="Arial"/>
          <w:b/>
          <w:color w:val="806000" w:themeColor="accent4" w:themeShade="80"/>
          <w:sz w:val="21"/>
          <w:szCs w:val="21"/>
          <w:u w:val="single"/>
        </w:rPr>
        <w:t>Wskazówka dla zamawiającego:</w:t>
      </w:r>
      <w:r w:rsidR="00AD78B7" w:rsidRPr="005102EB">
        <w:rPr>
          <w:rFonts w:ascii="Arial" w:hAnsi="Arial" w:cs="Arial"/>
          <w:color w:val="806000" w:themeColor="accent4" w:themeShade="80"/>
          <w:sz w:val="21"/>
          <w:szCs w:val="21"/>
        </w:rPr>
        <w:t xml:space="preserve"> Opis sposobu obliczenia ceny oferty zamawiający powinien określić w specyfikacji warunków zamówienia odmiennie dla postępowań na wykonanie robót budowlanych, odmiennie dla postępowań na zaprojektowanie i wykonanie robót budowlanych, uwzględniając przedmiot zamówienia i przyjętą w warunkach umowy formę wynagrodzenia. W tym celu zamawiający może wykorzystać postanowienia specyfikacji istotnych warunków zamówienia, które stosuje w przypadku o</w:t>
      </w:r>
      <w:r>
        <w:rPr>
          <w:rFonts w:ascii="Arial" w:hAnsi="Arial" w:cs="Arial"/>
          <w:color w:val="806000" w:themeColor="accent4" w:themeShade="80"/>
          <w:sz w:val="21"/>
          <w:szCs w:val="21"/>
        </w:rPr>
        <w:t>ceny oferty w kryterium – cena.]</w:t>
      </w:r>
    </w:p>
    <w:p w14:paraId="2B28AAB3" w14:textId="77777777" w:rsidR="00AD78B7" w:rsidRPr="00385CFC" w:rsidRDefault="00AD78B7" w:rsidP="0021102D">
      <w:pPr>
        <w:spacing w:before="120" w:after="120" w:line="240" w:lineRule="auto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</w:p>
    <w:p w14:paraId="7F47FE94" w14:textId="5052A920" w:rsidR="007E070F" w:rsidRPr="00E94A42" w:rsidRDefault="00771196" w:rsidP="00E94A42">
      <w:pPr>
        <w:spacing w:before="120" w:after="120" w:line="240" w:lineRule="auto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E94A42">
        <w:rPr>
          <w:rFonts w:ascii="Arial" w:hAnsi="Arial" w:cs="Arial"/>
          <w:color w:val="806000" w:themeColor="accent4" w:themeShade="80"/>
          <w:sz w:val="21"/>
          <w:szCs w:val="21"/>
        </w:rPr>
        <w:t>Sposób obliczenia ceny</w:t>
      </w:r>
      <w:r w:rsidR="008D7561" w:rsidRPr="00E94A42">
        <w:rPr>
          <w:rFonts w:ascii="Arial" w:hAnsi="Arial" w:cs="Arial"/>
          <w:color w:val="806000" w:themeColor="accent4" w:themeShade="80"/>
          <w:sz w:val="21"/>
          <w:szCs w:val="21"/>
        </w:rPr>
        <w:t xml:space="preserve"> </w:t>
      </w:r>
      <w:r w:rsidR="00DE3D04" w:rsidRPr="00E94A42">
        <w:rPr>
          <w:rFonts w:ascii="Arial" w:hAnsi="Arial" w:cs="Arial"/>
          <w:color w:val="806000" w:themeColor="accent4" w:themeShade="80"/>
          <w:sz w:val="21"/>
          <w:szCs w:val="21"/>
        </w:rPr>
        <w:t>- przykładowy</w:t>
      </w:r>
    </w:p>
    <w:p w14:paraId="0D7BDD9F" w14:textId="3FBD12AE" w:rsidR="00771196" w:rsidRPr="00E94A42" w:rsidRDefault="00771196" w:rsidP="00E94A42">
      <w:pPr>
        <w:pStyle w:val="Akapitzlist"/>
        <w:numPr>
          <w:ilvl w:val="0"/>
          <w:numId w:val="10"/>
        </w:numPr>
        <w:spacing w:before="120" w:after="120"/>
        <w:ind w:left="360"/>
        <w:contextualSpacing w:val="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E94A42">
        <w:rPr>
          <w:rFonts w:ascii="Arial" w:hAnsi="Arial" w:cs="Arial"/>
          <w:color w:val="806000" w:themeColor="accent4" w:themeShade="80"/>
          <w:sz w:val="21"/>
          <w:szCs w:val="21"/>
        </w:rPr>
        <w:t>Wykonawca poda cenę oferty w Formularzu ofertowym obliczoną na zasadach jak niżej. Wzór formularza ofertowego stanowi Załącznik nr .. do SWZ.</w:t>
      </w:r>
    </w:p>
    <w:p w14:paraId="644B9EF1" w14:textId="50181424" w:rsidR="00280F8C" w:rsidRPr="00E94A42" w:rsidRDefault="00771196" w:rsidP="00E94A42">
      <w:pPr>
        <w:pStyle w:val="Akapitzlist"/>
        <w:numPr>
          <w:ilvl w:val="0"/>
          <w:numId w:val="10"/>
        </w:numPr>
        <w:spacing w:before="120" w:after="120"/>
        <w:ind w:left="360"/>
        <w:contextualSpacing w:val="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E94A42">
        <w:rPr>
          <w:rFonts w:ascii="Arial" w:hAnsi="Arial" w:cs="Arial"/>
          <w:color w:val="806000" w:themeColor="accent4" w:themeShade="80"/>
          <w:sz w:val="21"/>
          <w:szCs w:val="21"/>
        </w:rPr>
        <w:t xml:space="preserve">Cena oferty zostanie </w:t>
      </w:r>
      <w:r w:rsidR="008012AF" w:rsidRPr="00E94A42">
        <w:rPr>
          <w:rFonts w:ascii="Arial" w:hAnsi="Arial" w:cs="Arial"/>
          <w:color w:val="806000" w:themeColor="accent4" w:themeShade="80"/>
          <w:sz w:val="21"/>
          <w:szCs w:val="21"/>
        </w:rPr>
        <w:t xml:space="preserve">obliczona </w:t>
      </w:r>
      <w:r w:rsidRPr="00E94A42">
        <w:rPr>
          <w:rFonts w:ascii="Arial" w:hAnsi="Arial" w:cs="Arial"/>
          <w:color w:val="806000" w:themeColor="accent4" w:themeShade="80"/>
          <w:sz w:val="21"/>
          <w:szCs w:val="21"/>
        </w:rPr>
        <w:t xml:space="preserve"> przez Wykonawcę - w oparciu o Kosztorys ofertowy opracowany na podstawie przedmiaru robót zamieszczonego w dokumentacji projektowej. Kosztorys ofertowy wykonawca załącza do oferty.</w:t>
      </w:r>
      <w:r w:rsidR="00280F8C" w:rsidRPr="00E94A42">
        <w:rPr>
          <w:rFonts w:ascii="Arial" w:hAnsi="Arial" w:cs="Arial"/>
          <w:color w:val="806000" w:themeColor="accent4" w:themeShade="80"/>
          <w:sz w:val="21"/>
          <w:szCs w:val="21"/>
        </w:rPr>
        <w:t xml:space="preserve"> Wszystkie błędy ujawnione w dokumentacji projektowej, specyfikacjach technicznych wykonania i odbioru robót budowlanych oraz w</w:t>
      </w:r>
      <w:r w:rsidR="003C02DC">
        <w:rPr>
          <w:rFonts w:ascii="Arial" w:hAnsi="Arial" w:cs="Arial"/>
          <w:color w:val="806000" w:themeColor="accent4" w:themeShade="80"/>
          <w:sz w:val="21"/>
          <w:szCs w:val="21"/>
        </w:rPr>
        <w:t> </w:t>
      </w:r>
      <w:r w:rsidR="00280F8C" w:rsidRPr="00E94A42">
        <w:rPr>
          <w:rFonts w:ascii="Arial" w:hAnsi="Arial" w:cs="Arial"/>
          <w:color w:val="806000" w:themeColor="accent4" w:themeShade="80"/>
          <w:sz w:val="21"/>
          <w:szCs w:val="21"/>
        </w:rPr>
        <w:t>przedmiarze robót lub innych częściach SWZ Wykonawca powinien zgłosić Zamawiającemu przed terminem składania ofert.</w:t>
      </w:r>
    </w:p>
    <w:p w14:paraId="22E8C0C4" w14:textId="76A04FFF" w:rsidR="00321509" w:rsidRPr="00E94A42" w:rsidRDefault="00321509" w:rsidP="00E94A42">
      <w:pPr>
        <w:pStyle w:val="Akapitzlist"/>
        <w:numPr>
          <w:ilvl w:val="0"/>
          <w:numId w:val="10"/>
        </w:numPr>
        <w:spacing w:before="120" w:after="120"/>
        <w:ind w:left="360"/>
        <w:contextualSpacing w:val="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E94A42">
        <w:rPr>
          <w:rFonts w:ascii="Arial" w:hAnsi="Arial" w:cs="Arial"/>
          <w:color w:val="806000" w:themeColor="accent4" w:themeShade="80"/>
          <w:sz w:val="21"/>
          <w:szCs w:val="21"/>
        </w:rPr>
        <w:t>Wykonawca nie może samodzielnie wprowadzić żadnych zmian do przedmiaru oraz nie może pominąć żadnej pozycji przedmiarowej  z wyjątkiem sytuacji, gdy wykonawca zaoferuje zmiany rozwiązań projektowych w celu obniżenia kosztów cyklu życia. W takim przypadku Wykonawca dokona zmiany przedmiaru rob</w:t>
      </w:r>
      <w:r w:rsidR="009E1587">
        <w:rPr>
          <w:rFonts w:ascii="Arial" w:hAnsi="Arial" w:cs="Arial"/>
          <w:color w:val="806000" w:themeColor="accent4" w:themeShade="80"/>
          <w:sz w:val="21"/>
          <w:szCs w:val="21"/>
        </w:rPr>
        <w:t>ó</w:t>
      </w:r>
      <w:r w:rsidRPr="00E94A42">
        <w:rPr>
          <w:rFonts w:ascii="Arial" w:hAnsi="Arial" w:cs="Arial"/>
          <w:color w:val="806000" w:themeColor="accent4" w:themeShade="80"/>
          <w:sz w:val="21"/>
          <w:szCs w:val="21"/>
        </w:rPr>
        <w:t>t dostosowując go do zaoferowanego rozwiązania projektowego i na tej podstawie opracuje Kosztorys ofertowy.</w:t>
      </w:r>
    </w:p>
    <w:p w14:paraId="79B7F662" w14:textId="77777777" w:rsidR="00BD0BF3" w:rsidRPr="00E94A42" w:rsidRDefault="00BD0BF3" w:rsidP="00E94A42">
      <w:pPr>
        <w:pStyle w:val="Akapitzlist"/>
        <w:numPr>
          <w:ilvl w:val="0"/>
          <w:numId w:val="10"/>
        </w:numPr>
        <w:spacing w:before="120" w:after="120"/>
        <w:ind w:left="360"/>
        <w:contextualSpacing w:val="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E94A42">
        <w:rPr>
          <w:rFonts w:ascii="Arial" w:hAnsi="Arial" w:cs="Arial"/>
          <w:color w:val="806000" w:themeColor="accent4" w:themeShade="80"/>
          <w:sz w:val="21"/>
          <w:szCs w:val="21"/>
        </w:rPr>
        <w:t>Kosztorys ofertowy wykonawca załącza do oferty.</w:t>
      </w:r>
    </w:p>
    <w:p w14:paraId="049D562F" w14:textId="77777777" w:rsidR="00BD0BF3" w:rsidRPr="00E94A42" w:rsidRDefault="00BD0BF3" w:rsidP="00E94A42">
      <w:pPr>
        <w:spacing w:before="120" w:after="12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</w:p>
    <w:p w14:paraId="4EEE2469" w14:textId="719F2589" w:rsidR="00771196" w:rsidRPr="00E94A42" w:rsidRDefault="00771196" w:rsidP="00E94A42">
      <w:pPr>
        <w:pStyle w:val="Akapitzlist"/>
        <w:numPr>
          <w:ilvl w:val="0"/>
          <w:numId w:val="10"/>
        </w:numPr>
        <w:spacing w:before="120" w:after="120"/>
        <w:ind w:left="360"/>
        <w:contextualSpacing w:val="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E94A42">
        <w:rPr>
          <w:rFonts w:ascii="Arial" w:hAnsi="Arial" w:cs="Arial"/>
          <w:color w:val="806000" w:themeColor="accent4" w:themeShade="80"/>
          <w:sz w:val="21"/>
          <w:szCs w:val="21"/>
        </w:rPr>
        <w:t>Kosztorys ofertowy dla poszczególnych branż objętych przedmiarem należy sporządzić metodą kalkulacji uproszczonej ściśle według kolejności wyszczególnionych w nich pozycji. Wykonawca określi ceny jednostkowe netto oraz wartości netto dla wszystkich poz</w:t>
      </w:r>
      <w:r w:rsidR="00321509" w:rsidRPr="00E94A42">
        <w:rPr>
          <w:rFonts w:ascii="Arial" w:hAnsi="Arial" w:cs="Arial"/>
          <w:color w:val="806000" w:themeColor="accent4" w:themeShade="80"/>
          <w:sz w:val="21"/>
          <w:szCs w:val="21"/>
        </w:rPr>
        <w:t>ycji wymienionych w przedmiarze lub odpowiednio zmienionym przedmiarze.</w:t>
      </w:r>
    </w:p>
    <w:p w14:paraId="20F7A291" w14:textId="69D06DE3" w:rsidR="00771196" w:rsidRPr="00E94A42" w:rsidRDefault="00771196" w:rsidP="00E94A42">
      <w:pPr>
        <w:pStyle w:val="Akapitzlist"/>
        <w:numPr>
          <w:ilvl w:val="0"/>
          <w:numId w:val="10"/>
        </w:numPr>
        <w:spacing w:before="120" w:after="120"/>
        <w:ind w:left="360"/>
        <w:contextualSpacing w:val="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E94A42">
        <w:rPr>
          <w:rFonts w:ascii="Arial" w:hAnsi="Arial" w:cs="Arial"/>
          <w:color w:val="806000" w:themeColor="accent4" w:themeShade="80"/>
          <w:sz w:val="21"/>
          <w:szCs w:val="21"/>
        </w:rPr>
        <w:t xml:space="preserve">Do </w:t>
      </w:r>
      <w:r w:rsidR="008012AF" w:rsidRPr="00E94A42">
        <w:rPr>
          <w:rFonts w:ascii="Arial" w:hAnsi="Arial" w:cs="Arial"/>
          <w:color w:val="806000" w:themeColor="accent4" w:themeShade="80"/>
          <w:sz w:val="21"/>
          <w:szCs w:val="21"/>
        </w:rPr>
        <w:t>obliczonej</w:t>
      </w:r>
      <w:r w:rsidRPr="00E94A42">
        <w:rPr>
          <w:rFonts w:ascii="Arial" w:hAnsi="Arial" w:cs="Arial"/>
          <w:color w:val="806000" w:themeColor="accent4" w:themeShade="80"/>
          <w:sz w:val="21"/>
          <w:szCs w:val="21"/>
        </w:rPr>
        <w:t xml:space="preserve"> ceny ofertowej netto Wykonawca dodaje wartość podatku VAT. Stawka podatku VAT winna być określona zgodnie z ustawą z dnia 11 marca 2004 r. o podatku od towarów i usług (tj. Dz. U. 20</w:t>
      </w:r>
      <w:r w:rsidR="009E1587">
        <w:rPr>
          <w:rFonts w:ascii="Arial" w:hAnsi="Arial" w:cs="Arial"/>
          <w:color w:val="806000" w:themeColor="accent4" w:themeShade="80"/>
          <w:sz w:val="21"/>
          <w:szCs w:val="21"/>
        </w:rPr>
        <w:t>21</w:t>
      </w:r>
      <w:r w:rsidRPr="00E94A42">
        <w:rPr>
          <w:rFonts w:ascii="Arial" w:hAnsi="Arial" w:cs="Arial"/>
          <w:color w:val="806000" w:themeColor="accent4" w:themeShade="80"/>
          <w:sz w:val="21"/>
          <w:szCs w:val="21"/>
        </w:rPr>
        <w:t xml:space="preserve"> poz. </w:t>
      </w:r>
      <w:r w:rsidR="009E1587">
        <w:rPr>
          <w:rFonts w:ascii="Arial" w:hAnsi="Arial" w:cs="Arial"/>
          <w:color w:val="806000" w:themeColor="accent4" w:themeShade="80"/>
          <w:sz w:val="21"/>
          <w:szCs w:val="21"/>
        </w:rPr>
        <w:t>685</w:t>
      </w:r>
      <w:r w:rsidRPr="00E94A42">
        <w:rPr>
          <w:rFonts w:ascii="Arial" w:hAnsi="Arial" w:cs="Arial"/>
          <w:color w:val="806000" w:themeColor="accent4" w:themeShade="80"/>
          <w:sz w:val="21"/>
          <w:szCs w:val="21"/>
        </w:rPr>
        <w:t xml:space="preserve"> ze. zm.).</w:t>
      </w:r>
    </w:p>
    <w:p w14:paraId="05158982" w14:textId="22EA1F76" w:rsidR="00BA2F62" w:rsidRPr="00E94A42" w:rsidRDefault="00771196" w:rsidP="00E94A42">
      <w:pPr>
        <w:pStyle w:val="Akapitzlist"/>
        <w:numPr>
          <w:ilvl w:val="0"/>
          <w:numId w:val="10"/>
        </w:numPr>
        <w:spacing w:before="120" w:after="120"/>
        <w:ind w:left="360"/>
        <w:contextualSpacing w:val="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E94A42">
        <w:rPr>
          <w:rFonts w:ascii="Arial" w:hAnsi="Arial" w:cs="Arial"/>
          <w:color w:val="806000" w:themeColor="accent4" w:themeShade="80"/>
          <w:sz w:val="21"/>
          <w:szCs w:val="21"/>
        </w:rPr>
        <w:t xml:space="preserve">Tak </w:t>
      </w:r>
      <w:r w:rsidR="008012AF" w:rsidRPr="00E94A42">
        <w:rPr>
          <w:rFonts w:ascii="Arial" w:hAnsi="Arial" w:cs="Arial"/>
          <w:color w:val="806000" w:themeColor="accent4" w:themeShade="80"/>
          <w:sz w:val="21"/>
          <w:szCs w:val="21"/>
        </w:rPr>
        <w:t>obliczoną</w:t>
      </w:r>
      <w:r w:rsidRPr="00E94A42">
        <w:rPr>
          <w:rFonts w:ascii="Arial" w:hAnsi="Arial" w:cs="Arial"/>
          <w:color w:val="806000" w:themeColor="accent4" w:themeShade="80"/>
          <w:sz w:val="21"/>
          <w:szCs w:val="21"/>
        </w:rPr>
        <w:t xml:space="preserve"> cenę z </w:t>
      </w:r>
      <w:r w:rsidR="00BA2F62" w:rsidRPr="00E94A42">
        <w:rPr>
          <w:rFonts w:ascii="Arial" w:hAnsi="Arial" w:cs="Arial"/>
          <w:color w:val="806000" w:themeColor="accent4" w:themeShade="80"/>
          <w:sz w:val="21"/>
          <w:szCs w:val="21"/>
        </w:rPr>
        <w:t xml:space="preserve">podatkiem VAT Wykonawca zamieszcza w Tabeli nr 1 jako cenę oferty brutto. </w:t>
      </w:r>
    </w:p>
    <w:p w14:paraId="7D372FE6" w14:textId="46C99B92" w:rsidR="00771196" w:rsidRPr="00E94A42" w:rsidRDefault="00771196" w:rsidP="00E94A42">
      <w:pPr>
        <w:pStyle w:val="Akapitzlist"/>
        <w:numPr>
          <w:ilvl w:val="0"/>
          <w:numId w:val="10"/>
        </w:numPr>
        <w:spacing w:before="120" w:after="120"/>
        <w:ind w:left="360"/>
        <w:contextualSpacing w:val="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E94A42">
        <w:rPr>
          <w:rFonts w:ascii="Arial" w:hAnsi="Arial" w:cs="Arial"/>
          <w:color w:val="806000" w:themeColor="accent4" w:themeShade="80"/>
          <w:sz w:val="21"/>
          <w:szCs w:val="21"/>
        </w:rPr>
        <w:t xml:space="preserve">Cena oferty powinna obejmować całkowity koszt wykonania zamówienia, w tym również wszelkie koszty towarzyszące wykonaniu, o których mowa w </w:t>
      </w:r>
      <w:r w:rsidR="00FE0795" w:rsidRPr="00E94A42">
        <w:rPr>
          <w:rFonts w:ascii="Arial" w:hAnsi="Arial" w:cs="Arial"/>
          <w:color w:val="806000" w:themeColor="accent4" w:themeShade="80"/>
          <w:sz w:val="21"/>
          <w:szCs w:val="21"/>
        </w:rPr>
        <w:t>specyfikacji warunków zamówienia</w:t>
      </w:r>
      <w:r w:rsidRPr="00E94A42">
        <w:rPr>
          <w:rFonts w:ascii="Arial" w:hAnsi="Arial" w:cs="Arial"/>
          <w:color w:val="806000" w:themeColor="accent4" w:themeShade="80"/>
          <w:sz w:val="21"/>
          <w:szCs w:val="21"/>
        </w:rPr>
        <w:t>, jakie Wykonawca poniesie na wykonanie przedmiotu zamówienia, w szczególności:</w:t>
      </w:r>
    </w:p>
    <w:p w14:paraId="09EBF916" w14:textId="5B1A7F60" w:rsidR="006D43EC" w:rsidRPr="006D43EC" w:rsidRDefault="006D43EC" w:rsidP="006D43EC">
      <w:pPr>
        <w:pStyle w:val="Akapitzlist"/>
        <w:numPr>
          <w:ilvl w:val="1"/>
          <w:numId w:val="12"/>
        </w:numPr>
        <w:spacing w:before="120" w:after="12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6D43EC">
        <w:rPr>
          <w:rFonts w:ascii="Arial" w:hAnsi="Arial" w:cs="Arial"/>
          <w:color w:val="806000" w:themeColor="accent4" w:themeShade="80"/>
          <w:sz w:val="21"/>
          <w:szCs w:val="21"/>
        </w:rPr>
        <w:t>koszty materiałów budowlanych niezbędne do wykonania przedmiotu zamówienia;</w:t>
      </w:r>
    </w:p>
    <w:p w14:paraId="3CBF6E79" w14:textId="77777777" w:rsidR="006D43EC" w:rsidRPr="006D43EC" w:rsidRDefault="006D43EC" w:rsidP="006D43EC">
      <w:pPr>
        <w:pStyle w:val="Akapitzlist"/>
        <w:numPr>
          <w:ilvl w:val="1"/>
          <w:numId w:val="12"/>
        </w:numPr>
        <w:spacing w:before="120" w:after="12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6D43EC">
        <w:rPr>
          <w:rFonts w:ascii="Arial" w:hAnsi="Arial" w:cs="Arial"/>
          <w:color w:val="806000" w:themeColor="accent4" w:themeShade="80"/>
          <w:sz w:val="21"/>
          <w:szCs w:val="21"/>
        </w:rPr>
        <w:t>koszty sprzętu budowlanego;</w:t>
      </w:r>
    </w:p>
    <w:p w14:paraId="16FDFB9D" w14:textId="77777777" w:rsidR="006D43EC" w:rsidRPr="006D43EC" w:rsidRDefault="006D43EC" w:rsidP="006D43EC">
      <w:pPr>
        <w:pStyle w:val="Akapitzlist"/>
        <w:numPr>
          <w:ilvl w:val="1"/>
          <w:numId w:val="12"/>
        </w:numPr>
        <w:spacing w:before="120" w:after="12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6D43EC">
        <w:rPr>
          <w:rFonts w:ascii="Arial" w:hAnsi="Arial" w:cs="Arial"/>
          <w:color w:val="806000" w:themeColor="accent4" w:themeShade="80"/>
          <w:sz w:val="21"/>
          <w:szCs w:val="21"/>
        </w:rPr>
        <w:t>koszty pośrednie budowy, w tym koszty ogólne budowy i zarządu;</w:t>
      </w:r>
    </w:p>
    <w:p w14:paraId="28AA7FD7" w14:textId="77777777" w:rsidR="006D43EC" w:rsidRPr="006D43EC" w:rsidRDefault="006D43EC" w:rsidP="006D43EC">
      <w:pPr>
        <w:pStyle w:val="Akapitzlist"/>
        <w:numPr>
          <w:ilvl w:val="1"/>
          <w:numId w:val="12"/>
        </w:numPr>
        <w:spacing w:before="120" w:after="12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6D43EC">
        <w:rPr>
          <w:rFonts w:ascii="Arial" w:hAnsi="Arial" w:cs="Arial"/>
          <w:color w:val="806000" w:themeColor="accent4" w:themeShade="80"/>
          <w:sz w:val="21"/>
          <w:szCs w:val="21"/>
        </w:rPr>
        <w:t>koszty dojazdu, podatków, opłaty celne i itp.;</w:t>
      </w:r>
    </w:p>
    <w:p w14:paraId="2FF731B9" w14:textId="77777777" w:rsidR="006D43EC" w:rsidRPr="006D43EC" w:rsidRDefault="006D43EC" w:rsidP="006D43EC">
      <w:pPr>
        <w:pStyle w:val="Akapitzlist"/>
        <w:numPr>
          <w:ilvl w:val="1"/>
          <w:numId w:val="12"/>
        </w:numPr>
        <w:spacing w:before="120" w:after="12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6D43EC">
        <w:rPr>
          <w:rFonts w:ascii="Arial" w:hAnsi="Arial" w:cs="Arial"/>
          <w:color w:val="806000" w:themeColor="accent4" w:themeShade="80"/>
          <w:sz w:val="21"/>
          <w:szCs w:val="21"/>
        </w:rPr>
        <w:t xml:space="preserve">pełne koszty pracy, w tym pozapłacowe koszty pracy, które pokrywają wynagrodzenie pracowników co najmniej równe minimalnemu wynagrodzeniu za pracę albo wynagrodzenie uwzględniające minimalną stawkę godzinową (art. 225 ust. 3 pkt 4 </w:t>
      </w:r>
      <w:proofErr w:type="spellStart"/>
      <w:r w:rsidRPr="006D43EC">
        <w:rPr>
          <w:rFonts w:ascii="Arial" w:hAnsi="Arial" w:cs="Arial"/>
          <w:color w:val="806000" w:themeColor="accent4" w:themeShade="80"/>
          <w:sz w:val="21"/>
          <w:szCs w:val="21"/>
        </w:rPr>
        <w:t>Pzp</w:t>
      </w:r>
      <w:proofErr w:type="spellEnd"/>
      <w:r w:rsidRPr="006D43EC">
        <w:rPr>
          <w:rFonts w:ascii="Arial" w:hAnsi="Arial" w:cs="Arial"/>
          <w:color w:val="806000" w:themeColor="accent4" w:themeShade="80"/>
          <w:sz w:val="21"/>
          <w:szCs w:val="21"/>
        </w:rPr>
        <w:t xml:space="preserve">); </w:t>
      </w:r>
    </w:p>
    <w:p w14:paraId="393B5F26" w14:textId="77777777" w:rsidR="006D43EC" w:rsidRPr="006D43EC" w:rsidRDefault="006D43EC" w:rsidP="006D43EC">
      <w:pPr>
        <w:pStyle w:val="Akapitzlist"/>
        <w:numPr>
          <w:ilvl w:val="1"/>
          <w:numId w:val="12"/>
        </w:numPr>
        <w:spacing w:before="120" w:after="12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6D43EC">
        <w:rPr>
          <w:rFonts w:ascii="Arial" w:hAnsi="Arial" w:cs="Arial"/>
          <w:color w:val="806000" w:themeColor="accent4" w:themeShade="80"/>
          <w:sz w:val="21"/>
          <w:szCs w:val="21"/>
        </w:rPr>
        <w:t>koszty prac towarzyszących i robót tymczasowych niezbędnych do wykonania zamówienia;</w:t>
      </w:r>
    </w:p>
    <w:p w14:paraId="35BDFF96" w14:textId="77777777" w:rsidR="006D43EC" w:rsidRPr="006D43EC" w:rsidRDefault="006D43EC" w:rsidP="006D43EC">
      <w:pPr>
        <w:pStyle w:val="Akapitzlist"/>
        <w:numPr>
          <w:ilvl w:val="1"/>
          <w:numId w:val="12"/>
        </w:numPr>
        <w:spacing w:before="120" w:after="12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6D43EC">
        <w:rPr>
          <w:rFonts w:ascii="Arial" w:hAnsi="Arial" w:cs="Arial"/>
          <w:color w:val="806000" w:themeColor="accent4" w:themeShade="80"/>
          <w:sz w:val="21"/>
          <w:szCs w:val="21"/>
        </w:rPr>
        <w:t>koszty zorganizowania zaplecza budowy;</w:t>
      </w:r>
    </w:p>
    <w:p w14:paraId="5502DB9B" w14:textId="77777777" w:rsidR="006D43EC" w:rsidRPr="006D43EC" w:rsidRDefault="006D43EC" w:rsidP="006D43EC">
      <w:pPr>
        <w:pStyle w:val="Akapitzlist"/>
        <w:numPr>
          <w:ilvl w:val="1"/>
          <w:numId w:val="12"/>
        </w:numPr>
        <w:spacing w:before="120" w:after="12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6D43EC">
        <w:rPr>
          <w:rFonts w:ascii="Arial" w:hAnsi="Arial" w:cs="Arial"/>
          <w:color w:val="806000" w:themeColor="accent4" w:themeShade="80"/>
          <w:sz w:val="21"/>
          <w:szCs w:val="21"/>
        </w:rPr>
        <w:t>koszty zabezpieczenia wykonywanych robót ze względów bhp, p.poż. i ochrony środowiska;</w:t>
      </w:r>
    </w:p>
    <w:p w14:paraId="69AFB966" w14:textId="77777777" w:rsidR="006D43EC" w:rsidRPr="006D43EC" w:rsidRDefault="006D43EC" w:rsidP="006D43EC">
      <w:pPr>
        <w:pStyle w:val="Akapitzlist"/>
        <w:numPr>
          <w:ilvl w:val="1"/>
          <w:numId w:val="12"/>
        </w:numPr>
        <w:spacing w:before="120" w:after="12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6D43EC">
        <w:rPr>
          <w:rFonts w:ascii="Arial" w:hAnsi="Arial" w:cs="Arial"/>
          <w:color w:val="806000" w:themeColor="accent4" w:themeShade="80"/>
          <w:sz w:val="21"/>
          <w:szCs w:val="21"/>
        </w:rPr>
        <w:t>koszty opracowania dokumentacji powykonawczej;</w:t>
      </w:r>
    </w:p>
    <w:p w14:paraId="15687412" w14:textId="77777777" w:rsidR="006D43EC" w:rsidRPr="006D43EC" w:rsidRDefault="006D43EC" w:rsidP="006D43EC">
      <w:pPr>
        <w:pStyle w:val="Akapitzlist"/>
        <w:numPr>
          <w:ilvl w:val="1"/>
          <w:numId w:val="12"/>
        </w:numPr>
        <w:spacing w:before="120" w:after="12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6D43EC">
        <w:rPr>
          <w:rFonts w:ascii="Arial" w:hAnsi="Arial" w:cs="Arial"/>
          <w:color w:val="806000" w:themeColor="accent4" w:themeShade="80"/>
          <w:sz w:val="21"/>
          <w:szCs w:val="21"/>
        </w:rPr>
        <w:t>koszty praw autorskich do utworów w rozumieniu ustawy o prawach autorskich opracowanych w trakcie realizacji umowy przez wykonawcę;</w:t>
      </w:r>
    </w:p>
    <w:p w14:paraId="63398D3C" w14:textId="77777777" w:rsidR="006D43EC" w:rsidRPr="006D43EC" w:rsidRDefault="006D43EC" w:rsidP="006D43EC">
      <w:pPr>
        <w:pStyle w:val="Akapitzlist"/>
        <w:numPr>
          <w:ilvl w:val="1"/>
          <w:numId w:val="12"/>
        </w:numPr>
        <w:spacing w:before="120" w:after="12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6D43EC">
        <w:rPr>
          <w:rFonts w:ascii="Arial" w:hAnsi="Arial" w:cs="Arial"/>
          <w:color w:val="806000" w:themeColor="accent4" w:themeShade="80"/>
          <w:sz w:val="21"/>
          <w:szCs w:val="21"/>
        </w:rPr>
        <w:t>koszty wyżej nie wymienione a wynikające z wymagań projektowanych postanowień umowy;</w:t>
      </w:r>
    </w:p>
    <w:p w14:paraId="31EC2791" w14:textId="77777777" w:rsidR="006D43EC" w:rsidRPr="006D43EC" w:rsidRDefault="006D43EC" w:rsidP="006D43EC">
      <w:pPr>
        <w:pStyle w:val="Akapitzlist"/>
        <w:numPr>
          <w:ilvl w:val="1"/>
          <w:numId w:val="12"/>
        </w:numPr>
        <w:spacing w:before="120" w:after="12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6D43EC">
        <w:rPr>
          <w:rFonts w:ascii="Arial" w:hAnsi="Arial" w:cs="Arial"/>
          <w:color w:val="806000" w:themeColor="accent4" w:themeShade="80"/>
          <w:sz w:val="21"/>
          <w:szCs w:val="21"/>
        </w:rPr>
        <w:t>koszty usuwania wad i usterek, które wystąpią w okresie rękojmi za wady i gwarancji jakości;</w:t>
      </w:r>
    </w:p>
    <w:p w14:paraId="4BB6A750" w14:textId="77777777" w:rsidR="006D43EC" w:rsidRPr="006D43EC" w:rsidRDefault="006D43EC" w:rsidP="006D43EC">
      <w:pPr>
        <w:pStyle w:val="Akapitzlist"/>
        <w:numPr>
          <w:ilvl w:val="1"/>
          <w:numId w:val="12"/>
        </w:numPr>
        <w:spacing w:before="120" w:after="12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6D43EC">
        <w:rPr>
          <w:rFonts w:ascii="Arial" w:hAnsi="Arial" w:cs="Arial"/>
          <w:color w:val="806000" w:themeColor="accent4" w:themeShade="80"/>
          <w:sz w:val="21"/>
          <w:szCs w:val="21"/>
        </w:rPr>
        <w:t>zysk wykonawcy, zysk kalkulowany przez wykonawcę nie może być  przeznaczony na pokrycie nakładów związanych z wykonywaniem prac projektowych i robót lecz stanowi założoną w cenie nadwyżkę przychodów pieniężnych nad kosztami.</w:t>
      </w:r>
    </w:p>
    <w:p w14:paraId="295A54DC" w14:textId="42465433" w:rsidR="00771196" w:rsidRPr="006D43EC" w:rsidRDefault="006D43EC" w:rsidP="00CF6FA9">
      <w:pPr>
        <w:pStyle w:val="Akapitzlist"/>
        <w:numPr>
          <w:ilvl w:val="0"/>
          <w:numId w:val="10"/>
        </w:numPr>
        <w:spacing w:before="120" w:after="120"/>
        <w:ind w:left="360"/>
        <w:contextualSpacing w:val="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>
        <w:rPr>
          <w:rFonts w:ascii="Arial" w:hAnsi="Arial" w:cs="Arial"/>
          <w:color w:val="806000" w:themeColor="accent4" w:themeShade="80"/>
          <w:sz w:val="21"/>
          <w:szCs w:val="21"/>
        </w:rPr>
        <w:t>K</w:t>
      </w:r>
      <w:r w:rsidR="00771196" w:rsidRPr="006D43EC">
        <w:rPr>
          <w:rFonts w:ascii="Arial" w:hAnsi="Arial" w:cs="Arial"/>
          <w:color w:val="806000" w:themeColor="accent4" w:themeShade="80"/>
          <w:sz w:val="21"/>
          <w:szCs w:val="21"/>
        </w:rPr>
        <w:t>oszty towarzyszące wykonaniu przedmiotu zamówienia, których nie ujęto w odrębnych pozycjach w przedmiarze robót, Wykonawca powinien ująć w cenach jednostkowych pozycji opisanych w Kosztorysie ofertowym.</w:t>
      </w:r>
    </w:p>
    <w:p w14:paraId="20A1D353" w14:textId="77777777" w:rsidR="00BD0BF3" w:rsidRDefault="00771196" w:rsidP="00E94A42">
      <w:pPr>
        <w:pStyle w:val="Akapitzlist"/>
        <w:numPr>
          <w:ilvl w:val="0"/>
          <w:numId w:val="10"/>
        </w:numPr>
        <w:spacing w:before="120" w:after="120"/>
        <w:ind w:left="360"/>
        <w:contextualSpacing w:val="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Cena oferty winna być podana w złotych polskich. </w:t>
      </w:r>
    </w:p>
    <w:p w14:paraId="4FD901F0" w14:textId="3F61F87F" w:rsidR="00771196" w:rsidRPr="00385CFC" w:rsidRDefault="00771196" w:rsidP="00E94A42">
      <w:pPr>
        <w:pStyle w:val="Akapitzlist"/>
        <w:numPr>
          <w:ilvl w:val="0"/>
          <w:numId w:val="10"/>
        </w:numPr>
        <w:spacing w:before="120" w:after="120"/>
        <w:ind w:left="360"/>
        <w:contextualSpacing w:val="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Cena oferty </w:t>
      </w:r>
      <w:r w:rsidR="008012AF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(a także wszystkie jej składniki) 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>winna być wyrażona z dokładnością do dwóch miejsc po przecinku z odpowiednim zaokrągleniem w dół lub w górę w następujący sposób: w</w:t>
      </w:r>
      <w:r w:rsidR="003C02DC">
        <w:rPr>
          <w:rFonts w:ascii="Arial" w:hAnsi="Arial" w:cs="Arial"/>
          <w:color w:val="806000" w:themeColor="accent4" w:themeShade="80"/>
          <w:sz w:val="21"/>
          <w:szCs w:val="21"/>
        </w:rPr>
        <w:t> 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>dół – jeżeli kolejna cyfra jest mniejsza od 5, w górę – jeżeli kolejna cyfra jest większa od 5 lub równa 5.</w:t>
      </w:r>
    </w:p>
    <w:p w14:paraId="264BC082" w14:textId="101F2A66" w:rsidR="00771196" w:rsidRPr="00385CFC" w:rsidRDefault="00771196" w:rsidP="00E94A42">
      <w:pPr>
        <w:pStyle w:val="Akapitzlist"/>
        <w:numPr>
          <w:ilvl w:val="0"/>
          <w:numId w:val="10"/>
        </w:numPr>
        <w:spacing w:before="120" w:after="120"/>
        <w:ind w:left="360"/>
        <w:contextualSpacing w:val="0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podatku.]</w:t>
      </w:r>
    </w:p>
    <w:p w14:paraId="4131882B" w14:textId="77777777" w:rsidR="00771196" w:rsidRPr="00385CFC" w:rsidRDefault="00771196" w:rsidP="004F05E4">
      <w:pPr>
        <w:spacing w:before="120" w:after="120" w:line="240" w:lineRule="auto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</w:p>
    <w:p w14:paraId="448C0742" w14:textId="1B455C7A" w:rsidR="007E070F" w:rsidRPr="00385CFC" w:rsidRDefault="00F03179" w:rsidP="007E070F">
      <w:pPr>
        <w:spacing w:line="240" w:lineRule="auto"/>
        <w:contextualSpacing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lastRenderedPageBreak/>
        <w:t>Tabela nr 2</w:t>
      </w:r>
      <w:r w:rsidR="005E2741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</w:t>
      </w:r>
      <w:r w:rsidR="00BE1A0A">
        <w:rPr>
          <w:rFonts w:ascii="Arial" w:hAnsi="Arial" w:cs="Arial"/>
          <w:color w:val="806000" w:themeColor="accent4" w:themeShade="80"/>
          <w:sz w:val="21"/>
          <w:szCs w:val="21"/>
        </w:rPr>
        <w:t xml:space="preserve">- </w:t>
      </w:r>
      <w:r w:rsidR="007E070F" w:rsidRPr="00385CFC">
        <w:rPr>
          <w:rFonts w:ascii="Arial" w:hAnsi="Arial" w:cs="Arial"/>
          <w:color w:val="806000" w:themeColor="accent4" w:themeShade="80"/>
          <w:sz w:val="21"/>
          <w:szCs w:val="21"/>
        </w:rPr>
        <w:t>Koszty nabycia</w:t>
      </w:r>
    </w:p>
    <w:p w14:paraId="294E19B2" w14:textId="77777777" w:rsidR="007E070F" w:rsidRPr="00385CFC" w:rsidRDefault="007E070F" w:rsidP="007E070F">
      <w:pPr>
        <w:spacing w:line="240" w:lineRule="auto"/>
        <w:contextualSpacing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</w:p>
    <w:tbl>
      <w:tblPr>
        <w:tblStyle w:val="Tabelasiatki6kolorowaakcent6"/>
        <w:tblW w:w="9052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20" w:firstRow="1" w:lastRow="0" w:firstColumn="0" w:lastColumn="0" w:noHBand="0" w:noVBand="1"/>
      </w:tblPr>
      <w:tblGrid>
        <w:gridCol w:w="3681"/>
        <w:gridCol w:w="2546"/>
        <w:gridCol w:w="2825"/>
      </w:tblGrid>
      <w:tr w:rsidR="00385CFC" w:rsidRPr="00385CFC" w14:paraId="5F85C3A3" w14:textId="4C06C79C" w:rsidTr="00FB2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</w:trPr>
        <w:tc>
          <w:tcPr>
            <w:tcW w:w="9052" w:type="dxa"/>
            <w:gridSpan w:val="3"/>
            <w:tcBorders>
              <w:bottom w:val="none" w:sz="0" w:space="0" w:color="auto"/>
            </w:tcBorders>
            <w:hideMark/>
          </w:tcPr>
          <w:p w14:paraId="3B247D6B" w14:textId="07903B9B" w:rsidR="005154EA" w:rsidRPr="00385CFC" w:rsidRDefault="005154EA" w:rsidP="007E070F">
            <w:pPr>
              <w:contextualSpacing/>
              <w:jc w:val="both"/>
              <w:rPr>
                <w:rFonts w:ascii="Arial" w:eastAsiaTheme="minorEastAsia" w:hAnsi="Arial" w:cs="Arial"/>
                <w:color w:val="806000" w:themeColor="accent4" w:themeShade="80"/>
                <w:kern w:val="24"/>
                <w:sz w:val="21"/>
                <w:szCs w:val="21"/>
                <w:lang w:eastAsia="pl-PL"/>
              </w:rPr>
            </w:pPr>
            <w:r w:rsidRPr="00385CFC">
              <w:rPr>
                <w:rFonts w:ascii="Arial" w:eastAsiaTheme="minorEastAsia" w:hAnsi="Arial" w:cs="Arial"/>
                <w:color w:val="806000" w:themeColor="accent4" w:themeShade="80"/>
                <w:kern w:val="24"/>
                <w:sz w:val="21"/>
                <w:szCs w:val="21"/>
                <w:lang w:eastAsia="pl-PL"/>
              </w:rPr>
              <w:t>Rodzaje grup kosztów</w:t>
            </w:r>
          </w:p>
        </w:tc>
      </w:tr>
      <w:tr w:rsidR="00385CFC" w:rsidRPr="00385CFC" w14:paraId="4076B5DC" w14:textId="6A9001AE" w:rsidTr="00740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3681" w:type="dxa"/>
            <w:hideMark/>
          </w:tcPr>
          <w:p w14:paraId="29AF2DA4" w14:textId="77777777" w:rsidR="005154EA" w:rsidRPr="00385CFC" w:rsidRDefault="005154EA" w:rsidP="007E070F">
            <w:pPr>
              <w:contextualSpacing/>
              <w:jc w:val="both"/>
              <w:rPr>
                <w:rFonts w:ascii="Arial" w:eastAsia="Times New Roman" w:hAnsi="Arial" w:cs="Arial"/>
                <w:color w:val="806000" w:themeColor="accent4" w:themeShade="80"/>
                <w:sz w:val="21"/>
                <w:szCs w:val="21"/>
                <w:lang w:eastAsia="pl-PL"/>
              </w:rPr>
            </w:pPr>
            <w:r w:rsidRPr="00385CFC">
              <w:rPr>
                <w:rFonts w:ascii="Arial" w:eastAsia="Times New Roman" w:hAnsi="Arial" w:cs="Arial"/>
                <w:b/>
                <w:bCs/>
                <w:color w:val="806000" w:themeColor="accent4" w:themeShade="80"/>
                <w:kern w:val="24"/>
                <w:sz w:val="21"/>
                <w:szCs w:val="21"/>
                <w:lang w:eastAsia="pl-PL"/>
              </w:rPr>
              <w:t>Koszty nabycia</w:t>
            </w:r>
          </w:p>
        </w:tc>
        <w:tc>
          <w:tcPr>
            <w:tcW w:w="2546" w:type="dxa"/>
          </w:tcPr>
          <w:p w14:paraId="47198570" w14:textId="75A11C88" w:rsidR="005154EA" w:rsidRPr="00385CFC" w:rsidRDefault="005154EA" w:rsidP="007E070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806000" w:themeColor="accent4" w:themeShade="80"/>
                <w:kern w:val="24"/>
                <w:sz w:val="21"/>
                <w:szCs w:val="21"/>
                <w:lang w:eastAsia="pl-PL"/>
              </w:rPr>
            </w:pPr>
            <w:r w:rsidRPr="00385CFC">
              <w:rPr>
                <w:rFonts w:ascii="Arial" w:eastAsia="Times New Roman" w:hAnsi="Arial" w:cs="Arial"/>
                <w:b/>
                <w:bCs/>
                <w:color w:val="806000" w:themeColor="accent4" w:themeShade="80"/>
                <w:kern w:val="24"/>
                <w:sz w:val="21"/>
                <w:szCs w:val="21"/>
                <w:lang w:eastAsia="pl-PL"/>
              </w:rPr>
              <w:t>Brutto</w:t>
            </w:r>
          </w:p>
        </w:tc>
        <w:tc>
          <w:tcPr>
            <w:tcW w:w="2825" w:type="dxa"/>
          </w:tcPr>
          <w:p w14:paraId="319D6DCB" w14:textId="29A638C4" w:rsidR="005154EA" w:rsidRPr="00385CFC" w:rsidRDefault="005154EA" w:rsidP="007E070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806000" w:themeColor="accent4" w:themeShade="80"/>
                <w:kern w:val="24"/>
                <w:sz w:val="21"/>
                <w:szCs w:val="21"/>
                <w:lang w:eastAsia="pl-PL"/>
              </w:rPr>
            </w:pPr>
            <w:r w:rsidRPr="00385CFC">
              <w:rPr>
                <w:rFonts w:ascii="Arial" w:eastAsia="Times New Roman" w:hAnsi="Arial" w:cs="Arial"/>
                <w:b/>
                <w:bCs/>
                <w:color w:val="806000" w:themeColor="accent4" w:themeShade="80"/>
                <w:kern w:val="24"/>
                <w:sz w:val="21"/>
                <w:szCs w:val="21"/>
                <w:lang w:eastAsia="pl-PL"/>
              </w:rPr>
              <w:t>Netto (</w:t>
            </w:r>
            <w:r w:rsidR="00627C02" w:rsidRPr="00385CFC">
              <w:rPr>
                <w:rFonts w:ascii="Arial" w:eastAsia="Times New Roman" w:hAnsi="Arial" w:cs="Arial"/>
                <w:b/>
                <w:bCs/>
                <w:color w:val="806000" w:themeColor="accent4" w:themeShade="80"/>
                <w:kern w:val="24"/>
                <w:sz w:val="21"/>
                <w:szCs w:val="21"/>
                <w:lang w:eastAsia="pl-PL"/>
              </w:rPr>
              <w:t>bez podatku od towarów i usług</w:t>
            </w:r>
            <w:r w:rsidRPr="00385CFC">
              <w:rPr>
                <w:rFonts w:ascii="Arial" w:eastAsia="Times New Roman" w:hAnsi="Arial" w:cs="Arial"/>
                <w:b/>
                <w:bCs/>
                <w:color w:val="806000" w:themeColor="accent4" w:themeShade="80"/>
                <w:kern w:val="24"/>
                <w:sz w:val="21"/>
                <w:szCs w:val="21"/>
                <w:lang w:eastAsia="pl-PL"/>
              </w:rPr>
              <w:t>)</w:t>
            </w:r>
          </w:p>
        </w:tc>
      </w:tr>
      <w:tr w:rsidR="00FB23DE" w:rsidRPr="00385CFC" w14:paraId="119EEC0D" w14:textId="33488D58" w:rsidTr="00740FEB">
        <w:trPr>
          <w:trHeight w:val="402"/>
        </w:trPr>
        <w:tc>
          <w:tcPr>
            <w:tcW w:w="3681" w:type="dxa"/>
            <w:hideMark/>
          </w:tcPr>
          <w:p w14:paraId="252B8520" w14:textId="68DC7278" w:rsidR="005154EA" w:rsidRPr="00385CFC" w:rsidRDefault="005154EA" w:rsidP="007E070F">
            <w:pPr>
              <w:contextualSpacing/>
              <w:jc w:val="both"/>
              <w:rPr>
                <w:rFonts w:ascii="Arial" w:eastAsia="Times New Roman" w:hAnsi="Arial" w:cs="Arial"/>
                <w:color w:val="806000" w:themeColor="accent4" w:themeShade="80"/>
                <w:sz w:val="21"/>
                <w:szCs w:val="21"/>
                <w:lang w:eastAsia="pl-PL"/>
              </w:rPr>
            </w:pPr>
            <w:r w:rsidRPr="00385CFC">
              <w:rPr>
                <w:rFonts w:ascii="Arial" w:eastAsia="Times New Roman" w:hAnsi="Arial" w:cs="Arial"/>
                <w:color w:val="806000" w:themeColor="accent4" w:themeShade="80"/>
                <w:kern w:val="24"/>
                <w:sz w:val="21"/>
                <w:szCs w:val="21"/>
                <w:lang w:eastAsia="pl-PL"/>
              </w:rPr>
              <w:t xml:space="preserve">Cena oferty </w:t>
            </w:r>
          </w:p>
        </w:tc>
        <w:tc>
          <w:tcPr>
            <w:tcW w:w="2546" w:type="dxa"/>
          </w:tcPr>
          <w:p w14:paraId="3E6DC7C3" w14:textId="77777777" w:rsidR="005154EA" w:rsidRPr="00385CFC" w:rsidRDefault="005154EA" w:rsidP="007E070F">
            <w:pPr>
              <w:contextualSpacing/>
              <w:jc w:val="both"/>
              <w:rPr>
                <w:rFonts w:ascii="Arial" w:eastAsia="Times New Roman" w:hAnsi="Arial" w:cs="Arial"/>
                <w:color w:val="806000" w:themeColor="accent4" w:themeShade="80"/>
                <w:kern w:val="24"/>
                <w:sz w:val="21"/>
                <w:szCs w:val="21"/>
                <w:lang w:eastAsia="pl-PL"/>
              </w:rPr>
            </w:pPr>
          </w:p>
        </w:tc>
        <w:tc>
          <w:tcPr>
            <w:tcW w:w="2825" w:type="dxa"/>
          </w:tcPr>
          <w:p w14:paraId="01633D58" w14:textId="77777777" w:rsidR="005154EA" w:rsidRPr="00385CFC" w:rsidRDefault="005154EA" w:rsidP="007E070F">
            <w:pPr>
              <w:contextualSpacing/>
              <w:jc w:val="both"/>
              <w:rPr>
                <w:rFonts w:ascii="Arial" w:eastAsia="Times New Roman" w:hAnsi="Arial" w:cs="Arial"/>
                <w:color w:val="806000" w:themeColor="accent4" w:themeShade="80"/>
                <w:kern w:val="24"/>
                <w:sz w:val="21"/>
                <w:szCs w:val="21"/>
                <w:lang w:eastAsia="pl-PL"/>
              </w:rPr>
            </w:pPr>
          </w:p>
        </w:tc>
      </w:tr>
    </w:tbl>
    <w:p w14:paraId="7E5FAB0D" w14:textId="6CFC643A" w:rsidR="009B2EC3" w:rsidRPr="00385CFC" w:rsidRDefault="009B2EC3" w:rsidP="007E070F">
      <w:pPr>
        <w:spacing w:line="240" w:lineRule="auto"/>
        <w:contextualSpacing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</w:p>
    <w:p w14:paraId="5D14858F" w14:textId="77777777" w:rsidR="0021102D" w:rsidRDefault="0021102D" w:rsidP="007E070F">
      <w:pPr>
        <w:spacing w:line="240" w:lineRule="auto"/>
        <w:contextualSpacing/>
        <w:jc w:val="both"/>
        <w:rPr>
          <w:rFonts w:ascii="Arial" w:hAnsi="Arial" w:cs="Arial"/>
          <w:b/>
          <w:color w:val="538135" w:themeColor="accent6" w:themeShade="BF"/>
          <w:sz w:val="21"/>
          <w:szCs w:val="21"/>
          <w:u w:val="single"/>
        </w:rPr>
      </w:pPr>
    </w:p>
    <w:p w14:paraId="299DFA43" w14:textId="6B61EE22" w:rsidR="00613DF9" w:rsidRPr="00FB23DE" w:rsidRDefault="00613DF9" w:rsidP="0021102D">
      <w:pPr>
        <w:spacing w:before="120" w:after="120" w:line="240" w:lineRule="auto"/>
        <w:jc w:val="both"/>
        <w:rPr>
          <w:rFonts w:ascii="Arial" w:hAnsi="Arial" w:cs="Arial"/>
          <w:b/>
          <w:color w:val="538135" w:themeColor="accent6" w:themeShade="BF"/>
          <w:sz w:val="21"/>
          <w:szCs w:val="21"/>
          <w:u w:val="single"/>
        </w:rPr>
      </w:pPr>
      <w:r w:rsidRPr="00FB23DE">
        <w:rPr>
          <w:rFonts w:ascii="Arial" w:hAnsi="Arial" w:cs="Arial"/>
          <w:b/>
          <w:color w:val="538135" w:themeColor="accent6" w:themeShade="BF"/>
          <w:sz w:val="21"/>
          <w:szCs w:val="21"/>
          <w:u w:val="single"/>
        </w:rPr>
        <w:t>Koszty użytkowania</w:t>
      </w:r>
    </w:p>
    <w:p w14:paraId="78EA26DF" w14:textId="7A4D4439" w:rsidR="00CB5FBD" w:rsidRPr="00385CFC" w:rsidRDefault="00CB5FBD" w:rsidP="0021102D">
      <w:pPr>
        <w:spacing w:before="120" w:after="120" w:line="240" w:lineRule="auto"/>
        <w:jc w:val="both"/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</w:pP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>Koszt</w:t>
      </w:r>
      <w:r w:rsidR="003839FE" w:rsidRPr="00385CFC">
        <w:rPr>
          <w:rFonts w:ascii="Arial" w:hAnsi="Arial" w:cs="Arial"/>
          <w:color w:val="806000" w:themeColor="accent4" w:themeShade="80"/>
          <w:sz w:val="21"/>
          <w:szCs w:val="21"/>
        </w:rPr>
        <w:t>y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użytkowania zamawiający obliczy </w:t>
      </w:r>
      <w:r w:rsidR="003C3C42" w:rsidRPr="003C3C42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>jako sumę iloczynów ilości zużywanej w ciągu roku energii końcowej lub nośników energii oraz wody, cen jednostkowych energii końcowej lub nośnika energii oraz wody i okresu obliczeniowego</w:t>
      </w:r>
      <w:r w:rsidRPr="00385CFC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>, według wzoru:</w:t>
      </w:r>
    </w:p>
    <w:p w14:paraId="62C06493" w14:textId="77777777" w:rsidR="008D7A5D" w:rsidRPr="00385CFC" w:rsidRDefault="008D7A5D" w:rsidP="007E070F">
      <w:pPr>
        <w:spacing w:before="150" w:line="240" w:lineRule="auto"/>
        <w:ind w:left="-142"/>
        <w:contextualSpacing/>
        <w:jc w:val="both"/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pl-PL"/>
        </w:rPr>
      </w:pPr>
    </w:p>
    <w:p w14:paraId="37CE5846" w14:textId="77777777" w:rsidR="003C3C42" w:rsidRPr="00511022" w:rsidRDefault="00000000" w:rsidP="003C3C42">
      <w:pPr>
        <w:pStyle w:val="WMATFIZCHEMwzrmatfizlubchem"/>
        <w:spacing w:line="240" w:lineRule="auto"/>
        <w:contextualSpacing/>
        <w:rPr>
          <w:rFonts w:ascii="Verdana" w:hAnsi="Verdana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uz</m:t>
              </m:r>
            </m:sub>
          </m:sSub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=30∙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2"/>
                  <w:szCs w:val="22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k=1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n</m:t>
              </m:r>
            </m:sup>
            <m:e>
              <m:r>
                <w:rPr>
                  <w:rFonts w:ascii="Cambria Math" w:hAnsi="Cambria Math"/>
                  <w:sz w:val="22"/>
                  <w:szCs w:val="22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∙</m:t>
              </m:r>
            </m:e>
          </m:nary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 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jn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)</m:t>
          </m:r>
        </m:oMath>
      </m:oMathPara>
    </w:p>
    <w:p w14:paraId="09DF42CF" w14:textId="77777777" w:rsidR="008D7A5D" w:rsidRPr="00385CFC" w:rsidRDefault="008D7A5D" w:rsidP="007E070F">
      <w:pPr>
        <w:spacing w:before="150" w:after="0" w:line="240" w:lineRule="auto"/>
        <w:ind w:left="72"/>
        <w:contextualSpacing/>
        <w:jc w:val="both"/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</w:pPr>
    </w:p>
    <w:p w14:paraId="02C03283" w14:textId="77777777" w:rsidR="00CB5FBD" w:rsidRPr="00385CFC" w:rsidRDefault="00CB5FBD" w:rsidP="005D6805">
      <w:pPr>
        <w:spacing w:before="120" w:after="120" w:line="240" w:lineRule="auto"/>
        <w:ind w:left="72"/>
        <w:jc w:val="both"/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pl-PL"/>
        </w:rPr>
      </w:pPr>
      <w:r w:rsidRPr="00385CFC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>gdzie:</w:t>
      </w:r>
    </w:p>
    <w:p w14:paraId="5F846471" w14:textId="6D36D1E4" w:rsidR="003C3C42" w:rsidRPr="003C3C42" w:rsidRDefault="003C3C42" w:rsidP="003C3C42">
      <w:pPr>
        <w:widowControl w:val="0"/>
        <w:autoSpaceDE w:val="0"/>
        <w:autoSpaceDN w:val="0"/>
        <w:adjustRightInd w:val="0"/>
        <w:spacing w:after="0" w:line="240" w:lineRule="auto"/>
        <w:ind w:firstLine="431"/>
        <w:contextualSpacing/>
        <w:jc w:val="both"/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</w:pPr>
      <w:r w:rsidRPr="003C3C42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>30 – okres obliczeniowy,</w:t>
      </w:r>
    </w:p>
    <w:p w14:paraId="750E2820" w14:textId="77777777" w:rsidR="003C3C42" w:rsidRPr="003C3C42" w:rsidRDefault="003C3C42" w:rsidP="003C3C42">
      <w:pPr>
        <w:widowControl w:val="0"/>
        <w:autoSpaceDE w:val="0"/>
        <w:autoSpaceDN w:val="0"/>
        <w:adjustRightInd w:val="0"/>
        <w:spacing w:after="0" w:line="240" w:lineRule="auto"/>
        <w:ind w:firstLine="431"/>
        <w:contextualSpacing/>
        <w:jc w:val="both"/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</w:pPr>
      <w:r w:rsidRPr="003C3C42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 xml:space="preserve">n </w:t>
      </w:r>
      <w:r w:rsidRPr="003C3C42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ab/>
        <w:t>– każdy kolejny rodzaj energii końcowej lub nośnika energii oraz wody,</w:t>
      </w:r>
    </w:p>
    <w:p w14:paraId="3B26551A" w14:textId="6B1F1362" w:rsidR="003C3C42" w:rsidRPr="003C3C42" w:rsidRDefault="003C3C42" w:rsidP="003C3C42">
      <w:pPr>
        <w:widowControl w:val="0"/>
        <w:autoSpaceDE w:val="0"/>
        <w:autoSpaceDN w:val="0"/>
        <w:adjustRightInd w:val="0"/>
        <w:spacing w:after="0" w:line="240" w:lineRule="auto"/>
        <w:ind w:firstLine="431"/>
        <w:contextualSpacing/>
        <w:jc w:val="both"/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</w:pPr>
      <w:r w:rsidRPr="003C3C42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>En – ilość n-tej energii końcowej lub n-tego nośnika energii oraz wody zużywanej w ciągu roku,</w:t>
      </w:r>
    </w:p>
    <w:p w14:paraId="131FD748" w14:textId="223784AC" w:rsidR="00CB5FBD" w:rsidRPr="00385CFC" w:rsidRDefault="003C3C42" w:rsidP="003C3C42">
      <w:pPr>
        <w:widowControl w:val="0"/>
        <w:autoSpaceDE w:val="0"/>
        <w:autoSpaceDN w:val="0"/>
        <w:adjustRightInd w:val="0"/>
        <w:spacing w:after="0" w:line="240" w:lineRule="auto"/>
        <w:ind w:firstLine="431"/>
        <w:contextualSpacing/>
        <w:jc w:val="both"/>
        <w:rPr>
          <w:rFonts w:ascii="Arial" w:eastAsiaTheme="minorEastAsia" w:hAnsi="Arial" w:cs="Arial"/>
          <w:b/>
          <w:color w:val="806000" w:themeColor="accent4" w:themeShade="80"/>
          <w:sz w:val="21"/>
          <w:szCs w:val="21"/>
          <w:lang w:eastAsia="pl-PL"/>
        </w:rPr>
      </w:pPr>
      <w:proofErr w:type="spellStart"/>
      <w:r w:rsidRPr="003C3C42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>Cjn</w:t>
      </w:r>
      <w:proofErr w:type="spellEnd"/>
      <w:r w:rsidRPr="003C3C42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 xml:space="preserve"> – cena jednostkowa n-tej energii końcowej lub n-tego nośnika energii oraz wody.</w:t>
      </w:r>
    </w:p>
    <w:p w14:paraId="603256C9" w14:textId="5CD5CA7C" w:rsidR="00CB5FBD" w:rsidRPr="00385CFC" w:rsidRDefault="00CB5FBD" w:rsidP="004F05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</w:pPr>
      <w:r w:rsidRPr="00385CFC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>Koszty użytkowania na potrzeby kalkulacji kosztów cyklu życia zamawiający oblicz</w:t>
      </w:r>
      <w:r w:rsidR="005054F2" w:rsidRPr="00385CFC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>a</w:t>
      </w:r>
      <w:r w:rsidRPr="00385CFC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 xml:space="preserve"> na podstawie zużycia energii na potrzeby ogrzewania budynku, przygotowania ciepłej wody użytkowej, chłodzenia budynku, zaopatrzenia w wodę</w:t>
      </w:r>
      <w:r w:rsidR="00413771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 xml:space="preserve"> </w:t>
      </w:r>
      <w:r w:rsidR="00413771" w:rsidRPr="00413771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>z uwzględnieniem odprowadzania ścieków</w:t>
      </w:r>
      <w:r w:rsidR="00413771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>,</w:t>
      </w:r>
      <w:r w:rsidR="00413771" w:rsidRPr="00413771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 xml:space="preserve"> </w:t>
      </w:r>
      <w:r w:rsidRPr="00385CFC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>oświetlenia wbudowanego</w:t>
      </w:r>
      <w:r w:rsidR="00413771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 xml:space="preserve"> oraz zasilania dźwigów</w:t>
      </w:r>
    </w:p>
    <w:p w14:paraId="55568C52" w14:textId="7264FC92" w:rsidR="00CB5FBD" w:rsidRPr="00385CFC" w:rsidRDefault="001073DB" w:rsidP="004F05E4">
      <w:pPr>
        <w:spacing w:before="120" w:after="120" w:line="240" w:lineRule="auto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W tym celu zamawiający </w:t>
      </w:r>
      <w:r w:rsidR="003839FE" w:rsidRPr="00385CFC">
        <w:rPr>
          <w:rFonts w:ascii="Arial" w:hAnsi="Arial" w:cs="Arial"/>
          <w:color w:val="806000" w:themeColor="accent4" w:themeShade="80"/>
          <w:sz w:val="21"/>
          <w:szCs w:val="21"/>
        </w:rPr>
        <w:t>określ</w:t>
      </w:r>
      <w:r w:rsidR="00F659D6">
        <w:rPr>
          <w:rFonts w:ascii="Arial" w:hAnsi="Arial" w:cs="Arial"/>
          <w:color w:val="806000" w:themeColor="accent4" w:themeShade="80"/>
          <w:sz w:val="21"/>
          <w:szCs w:val="21"/>
        </w:rPr>
        <w:t>a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</w:t>
      </w:r>
      <w:r w:rsidR="003D627E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w Formularzu </w:t>
      </w:r>
      <w:r w:rsidR="007B3326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danych </w:t>
      </w:r>
      <w:r w:rsidR="0034656B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na podstawie 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>charakterystyk</w:t>
      </w:r>
      <w:r w:rsidR="0034656B" w:rsidRPr="00385CFC">
        <w:rPr>
          <w:rFonts w:ascii="Arial" w:hAnsi="Arial" w:cs="Arial"/>
          <w:color w:val="806000" w:themeColor="accent4" w:themeShade="80"/>
          <w:sz w:val="21"/>
          <w:szCs w:val="21"/>
        </w:rPr>
        <w:t>i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energetyczn</w:t>
      </w:r>
      <w:r w:rsidR="0034656B" w:rsidRPr="00385CFC">
        <w:rPr>
          <w:rFonts w:ascii="Arial" w:hAnsi="Arial" w:cs="Arial"/>
          <w:color w:val="806000" w:themeColor="accent4" w:themeShade="80"/>
          <w:sz w:val="21"/>
          <w:szCs w:val="21"/>
        </w:rPr>
        <w:t>ej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budynku</w:t>
      </w:r>
      <w:r w:rsidR="0034656B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>maksymaln</w:t>
      </w:r>
      <w:r w:rsidR="0034656B" w:rsidRPr="00385CFC">
        <w:rPr>
          <w:rFonts w:ascii="Arial" w:hAnsi="Arial" w:cs="Arial"/>
          <w:color w:val="806000" w:themeColor="accent4" w:themeShade="80"/>
          <w:sz w:val="21"/>
          <w:szCs w:val="21"/>
        </w:rPr>
        <w:t>ą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iloś</w:t>
      </w:r>
      <w:r w:rsidR="0034656B" w:rsidRPr="00385CFC">
        <w:rPr>
          <w:rFonts w:ascii="Arial" w:hAnsi="Arial" w:cs="Arial"/>
          <w:color w:val="806000" w:themeColor="accent4" w:themeShade="80"/>
          <w:sz w:val="21"/>
          <w:szCs w:val="21"/>
        </w:rPr>
        <w:t>ć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energii końcowej lub nośników energii zużywanych w ciągu roku, oraz maksymalne zużycie wody w ciągu roku</w:t>
      </w:r>
      <w:r w:rsidR="003839FE" w:rsidRPr="00385CFC">
        <w:rPr>
          <w:rFonts w:ascii="Arial" w:hAnsi="Arial" w:cs="Arial"/>
          <w:color w:val="806000" w:themeColor="accent4" w:themeShade="80"/>
          <w:sz w:val="21"/>
          <w:szCs w:val="21"/>
        </w:rPr>
        <w:t>, a</w:t>
      </w:r>
      <w:r w:rsidR="00791150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także ceny jednostkowe energii końcowej lub nośników energii oraz wody, które przyjmie do obliczenia kosztów użytkowania.</w:t>
      </w:r>
    </w:p>
    <w:p w14:paraId="3E8B84EB" w14:textId="2C86EC6A" w:rsidR="00F174D7" w:rsidRDefault="00F174D7" w:rsidP="005102EB">
      <w:pPr>
        <w:spacing w:before="120" w:after="120" w:line="240" w:lineRule="auto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>
        <w:rPr>
          <w:rFonts w:ascii="Arial" w:hAnsi="Arial" w:cs="Arial"/>
          <w:b/>
          <w:color w:val="806000" w:themeColor="accent4" w:themeShade="80"/>
          <w:sz w:val="21"/>
          <w:szCs w:val="21"/>
          <w:u w:val="single"/>
        </w:rPr>
        <w:t>[</w:t>
      </w:r>
      <w:r w:rsidR="005102EB" w:rsidRPr="00F174D7">
        <w:rPr>
          <w:rFonts w:ascii="Arial" w:hAnsi="Arial" w:cs="Arial"/>
          <w:b/>
          <w:color w:val="806000" w:themeColor="accent4" w:themeShade="80"/>
          <w:sz w:val="21"/>
          <w:szCs w:val="21"/>
          <w:u w:val="single"/>
        </w:rPr>
        <w:t>Wskazówka dla zamawiającego:</w:t>
      </w:r>
      <w:r w:rsidR="005102EB" w:rsidRPr="005102EB">
        <w:rPr>
          <w:rFonts w:ascii="Arial" w:hAnsi="Arial" w:cs="Arial"/>
          <w:color w:val="806000" w:themeColor="accent4" w:themeShade="80"/>
          <w:sz w:val="21"/>
          <w:szCs w:val="21"/>
        </w:rPr>
        <w:t xml:space="preserve"> Charakterystykę energetyczną budynku zamawiający  opracowuje zgodnie z przepisami wydanymi na podstawie art. 15 ustawy z dnia 29 sierpnia 2014 r. o charakterystyce energetycznej budynków (</w:t>
      </w:r>
      <w:proofErr w:type="spellStart"/>
      <w:r w:rsidR="005102EB" w:rsidRPr="005102EB">
        <w:rPr>
          <w:rFonts w:ascii="Arial" w:hAnsi="Arial" w:cs="Arial"/>
          <w:color w:val="806000" w:themeColor="accent4" w:themeShade="80"/>
          <w:sz w:val="21"/>
          <w:szCs w:val="21"/>
        </w:rPr>
        <w:t>t.j</w:t>
      </w:r>
      <w:proofErr w:type="spellEnd"/>
      <w:r w:rsidR="005102EB" w:rsidRPr="005102EB">
        <w:rPr>
          <w:rFonts w:ascii="Arial" w:hAnsi="Arial" w:cs="Arial"/>
          <w:color w:val="806000" w:themeColor="accent4" w:themeShade="80"/>
          <w:sz w:val="21"/>
          <w:szCs w:val="21"/>
        </w:rPr>
        <w:t>. Dz. U. 20</w:t>
      </w:r>
      <w:r w:rsidR="00ED5079">
        <w:rPr>
          <w:rFonts w:ascii="Arial" w:hAnsi="Arial" w:cs="Arial"/>
          <w:color w:val="806000" w:themeColor="accent4" w:themeShade="80"/>
          <w:sz w:val="21"/>
          <w:szCs w:val="21"/>
        </w:rPr>
        <w:t>21</w:t>
      </w:r>
      <w:r w:rsidR="005102EB" w:rsidRPr="005102EB">
        <w:rPr>
          <w:rFonts w:ascii="Arial" w:hAnsi="Arial" w:cs="Arial"/>
          <w:color w:val="806000" w:themeColor="accent4" w:themeShade="80"/>
          <w:sz w:val="21"/>
          <w:szCs w:val="21"/>
        </w:rPr>
        <w:t xml:space="preserve"> r. poz. </w:t>
      </w:r>
      <w:r w:rsidR="00ED5079">
        <w:rPr>
          <w:rFonts w:ascii="Arial" w:hAnsi="Arial" w:cs="Arial"/>
          <w:color w:val="806000" w:themeColor="accent4" w:themeShade="80"/>
          <w:sz w:val="21"/>
          <w:szCs w:val="21"/>
        </w:rPr>
        <w:t>497</w:t>
      </w:r>
      <w:r w:rsidR="005102EB" w:rsidRPr="005102EB">
        <w:rPr>
          <w:rFonts w:ascii="Arial" w:hAnsi="Arial" w:cs="Arial"/>
          <w:color w:val="806000" w:themeColor="accent4" w:themeShade="80"/>
          <w:sz w:val="21"/>
          <w:szCs w:val="21"/>
        </w:rPr>
        <w:t xml:space="preserve"> z </w:t>
      </w:r>
      <w:proofErr w:type="spellStart"/>
      <w:r w:rsidR="005102EB" w:rsidRPr="005102EB">
        <w:rPr>
          <w:rFonts w:ascii="Arial" w:hAnsi="Arial" w:cs="Arial"/>
          <w:color w:val="806000" w:themeColor="accent4" w:themeShade="80"/>
          <w:sz w:val="21"/>
          <w:szCs w:val="21"/>
        </w:rPr>
        <w:t>późn</w:t>
      </w:r>
      <w:proofErr w:type="spellEnd"/>
      <w:r w:rsidR="005102EB" w:rsidRPr="005102EB">
        <w:rPr>
          <w:rFonts w:ascii="Arial" w:hAnsi="Arial" w:cs="Arial"/>
          <w:color w:val="806000" w:themeColor="accent4" w:themeShade="80"/>
          <w:sz w:val="21"/>
          <w:szCs w:val="21"/>
        </w:rPr>
        <w:t xml:space="preserve">. zm.). Sposób jej obliczenia i przedstawienia określa rozporządzenie Ministra Infrastruktury i Rozwoju z dnia 27 lutego 2015 r. w sprawie metodologii wyznaczania charakterystyki energetycznej budynku lub części budynku oraz świadectw charakterystyki energetycznej (Dz.U. 2015 r. poz. 376 z </w:t>
      </w:r>
      <w:proofErr w:type="spellStart"/>
      <w:r w:rsidR="005102EB" w:rsidRPr="005102EB">
        <w:rPr>
          <w:rFonts w:ascii="Arial" w:hAnsi="Arial" w:cs="Arial"/>
          <w:color w:val="806000" w:themeColor="accent4" w:themeShade="80"/>
          <w:sz w:val="21"/>
          <w:szCs w:val="21"/>
        </w:rPr>
        <w:t>późn</w:t>
      </w:r>
      <w:proofErr w:type="spellEnd"/>
      <w:r w:rsidR="005102EB" w:rsidRPr="005102EB">
        <w:rPr>
          <w:rFonts w:ascii="Arial" w:hAnsi="Arial" w:cs="Arial"/>
          <w:color w:val="806000" w:themeColor="accent4" w:themeShade="80"/>
          <w:sz w:val="21"/>
          <w:szCs w:val="21"/>
        </w:rPr>
        <w:t xml:space="preserve">. zm.). Ceny jednostkowe energii końcowej lub nośników energii oraz wody, zamawiający </w:t>
      </w:r>
      <w:r w:rsidR="003C3C42" w:rsidRPr="003C3C42">
        <w:rPr>
          <w:rFonts w:ascii="Arial" w:hAnsi="Arial" w:cs="Arial"/>
          <w:color w:val="806000" w:themeColor="accent4" w:themeShade="80"/>
          <w:sz w:val="21"/>
          <w:szCs w:val="21"/>
        </w:rPr>
        <w:t>określa w</w:t>
      </w:r>
      <w:r w:rsidR="003C02DC">
        <w:rPr>
          <w:rFonts w:ascii="Arial" w:hAnsi="Arial" w:cs="Arial"/>
          <w:color w:val="806000" w:themeColor="accent4" w:themeShade="80"/>
          <w:sz w:val="21"/>
          <w:szCs w:val="21"/>
        </w:rPr>
        <w:t> </w:t>
      </w:r>
      <w:r w:rsidR="003C3C42" w:rsidRPr="003C3C42">
        <w:rPr>
          <w:rFonts w:ascii="Arial" w:hAnsi="Arial" w:cs="Arial"/>
          <w:color w:val="806000" w:themeColor="accent4" w:themeShade="80"/>
          <w:sz w:val="21"/>
          <w:szCs w:val="21"/>
        </w:rPr>
        <w:t>dokumentach zamówienia na podstawie umów zawartych przez niego z dostawcami energii końcowej lub nośników energii oraz wody z uwzględnieniem odprowadzania ścieków lub taryfikatorów publikowanych przez dostawców energii końcowej lub nośników energii oraz wody</w:t>
      </w:r>
      <w:r>
        <w:rPr>
          <w:rFonts w:ascii="Arial" w:hAnsi="Arial" w:cs="Arial"/>
          <w:color w:val="806000" w:themeColor="accent4" w:themeShade="80"/>
          <w:sz w:val="21"/>
          <w:szCs w:val="21"/>
        </w:rPr>
        <w:t>.]</w:t>
      </w:r>
    </w:p>
    <w:p w14:paraId="14E1ECFA" w14:textId="4F2874E6" w:rsidR="00413771" w:rsidRDefault="00F174D7" w:rsidP="005102EB">
      <w:pPr>
        <w:spacing w:before="120" w:after="120" w:line="240" w:lineRule="auto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>
        <w:rPr>
          <w:rFonts w:ascii="Arial" w:hAnsi="Arial" w:cs="Arial"/>
          <w:b/>
          <w:color w:val="806000" w:themeColor="accent4" w:themeShade="80"/>
          <w:sz w:val="21"/>
          <w:szCs w:val="21"/>
          <w:u w:val="single"/>
        </w:rPr>
        <w:t>[</w:t>
      </w:r>
      <w:r w:rsidR="005102EB" w:rsidRPr="00F174D7">
        <w:rPr>
          <w:rFonts w:ascii="Arial" w:hAnsi="Arial" w:cs="Arial"/>
          <w:b/>
          <w:color w:val="806000" w:themeColor="accent4" w:themeShade="80"/>
          <w:sz w:val="21"/>
          <w:szCs w:val="21"/>
          <w:u w:val="single"/>
        </w:rPr>
        <w:t>Wskazówka dla zamawiającego:</w:t>
      </w:r>
      <w:r w:rsidR="005102EB" w:rsidRPr="005102EB">
        <w:rPr>
          <w:rFonts w:ascii="Arial" w:hAnsi="Arial" w:cs="Arial"/>
          <w:color w:val="806000" w:themeColor="accent4" w:themeShade="80"/>
          <w:sz w:val="21"/>
          <w:szCs w:val="21"/>
        </w:rPr>
        <w:t xml:space="preserve"> Dla zamówień na wykonanie robót budowlanych potrzebne dane do wypełnienia Formularza danych zamawiający pozyska z dokumentacji projektowej, w</w:t>
      </w:r>
      <w:r w:rsidR="003C02DC">
        <w:rPr>
          <w:rFonts w:ascii="Arial" w:hAnsi="Arial" w:cs="Arial"/>
          <w:color w:val="806000" w:themeColor="accent4" w:themeShade="80"/>
          <w:sz w:val="21"/>
          <w:szCs w:val="21"/>
        </w:rPr>
        <w:t> </w:t>
      </w:r>
      <w:r w:rsidR="005102EB" w:rsidRPr="005102EB">
        <w:rPr>
          <w:rFonts w:ascii="Arial" w:hAnsi="Arial" w:cs="Arial"/>
          <w:color w:val="806000" w:themeColor="accent4" w:themeShade="80"/>
          <w:sz w:val="21"/>
          <w:szCs w:val="21"/>
        </w:rPr>
        <w:t>szczególności z projektu budowlanego, którego integralną częścią jest charakterystyka energetyczna budynku</w:t>
      </w:r>
      <w:r w:rsidR="00ED5079">
        <w:rPr>
          <w:rFonts w:ascii="Arial" w:hAnsi="Arial" w:cs="Arial"/>
          <w:color w:val="806000" w:themeColor="accent4" w:themeShade="80"/>
          <w:sz w:val="21"/>
          <w:szCs w:val="21"/>
        </w:rPr>
        <w:t xml:space="preserve"> </w:t>
      </w:r>
      <w:r w:rsidR="007C3B26">
        <w:rPr>
          <w:rFonts w:ascii="Arial" w:hAnsi="Arial" w:cs="Arial"/>
          <w:color w:val="806000" w:themeColor="accent4" w:themeShade="80"/>
          <w:sz w:val="21"/>
          <w:szCs w:val="21"/>
        </w:rPr>
        <w:t>objęta</w:t>
      </w:r>
      <w:r w:rsidR="00ED5079">
        <w:rPr>
          <w:rFonts w:ascii="Arial" w:hAnsi="Arial" w:cs="Arial"/>
          <w:color w:val="806000" w:themeColor="accent4" w:themeShade="80"/>
          <w:sz w:val="21"/>
          <w:szCs w:val="21"/>
        </w:rPr>
        <w:t xml:space="preserve"> projek</w:t>
      </w:r>
      <w:r w:rsidR="007C3B26">
        <w:rPr>
          <w:rFonts w:ascii="Arial" w:hAnsi="Arial" w:cs="Arial"/>
          <w:color w:val="806000" w:themeColor="accent4" w:themeShade="80"/>
          <w:sz w:val="21"/>
          <w:szCs w:val="21"/>
        </w:rPr>
        <w:t>tem</w:t>
      </w:r>
      <w:r w:rsidR="00ED5079">
        <w:rPr>
          <w:rFonts w:ascii="Arial" w:hAnsi="Arial" w:cs="Arial"/>
          <w:color w:val="806000" w:themeColor="accent4" w:themeShade="80"/>
          <w:sz w:val="21"/>
          <w:szCs w:val="21"/>
        </w:rPr>
        <w:t xml:space="preserve"> technicznym</w:t>
      </w:r>
      <w:r w:rsidR="005102EB" w:rsidRPr="005102EB">
        <w:rPr>
          <w:rFonts w:ascii="Arial" w:hAnsi="Arial" w:cs="Arial"/>
          <w:color w:val="806000" w:themeColor="accent4" w:themeShade="80"/>
          <w:sz w:val="21"/>
          <w:szCs w:val="21"/>
        </w:rPr>
        <w:t xml:space="preserve">. </w:t>
      </w:r>
      <w:bookmarkStart w:id="5" w:name="_Hlk96339216"/>
      <w:r w:rsidR="00413771">
        <w:rPr>
          <w:rFonts w:ascii="Arial" w:hAnsi="Arial" w:cs="Arial"/>
          <w:color w:val="806000" w:themeColor="accent4" w:themeShade="80"/>
          <w:sz w:val="21"/>
          <w:szCs w:val="21"/>
        </w:rPr>
        <w:t xml:space="preserve">Projekt budowlany opracowywany jest na podstawie </w:t>
      </w:r>
      <w:r w:rsidR="00413771" w:rsidRPr="00413771">
        <w:rPr>
          <w:rFonts w:ascii="Arial" w:hAnsi="Arial" w:cs="Arial"/>
          <w:color w:val="806000" w:themeColor="accent4" w:themeShade="80"/>
          <w:sz w:val="21"/>
          <w:szCs w:val="21"/>
        </w:rPr>
        <w:t xml:space="preserve">rozporządzenia Ministra Rozwoju z dnia 11 września 2020 r. w sprawie szczegółowego zakresu i formy projektu budowlanego (Dz.U z 2020 r. poz. 1609 z </w:t>
      </w:r>
      <w:proofErr w:type="spellStart"/>
      <w:r w:rsidR="00413771" w:rsidRPr="00413771">
        <w:rPr>
          <w:rFonts w:ascii="Arial" w:hAnsi="Arial" w:cs="Arial"/>
          <w:color w:val="806000" w:themeColor="accent4" w:themeShade="80"/>
          <w:sz w:val="21"/>
          <w:szCs w:val="21"/>
        </w:rPr>
        <w:t>późn</w:t>
      </w:r>
      <w:proofErr w:type="spellEnd"/>
      <w:r w:rsidR="00413771" w:rsidRPr="00413771">
        <w:rPr>
          <w:rFonts w:ascii="Arial" w:hAnsi="Arial" w:cs="Arial"/>
          <w:color w:val="806000" w:themeColor="accent4" w:themeShade="80"/>
          <w:sz w:val="21"/>
          <w:szCs w:val="21"/>
        </w:rPr>
        <w:t>. zm.)</w:t>
      </w:r>
    </w:p>
    <w:bookmarkEnd w:id="5"/>
    <w:p w14:paraId="6DD75384" w14:textId="3F3E8FF2" w:rsidR="005102EB" w:rsidRDefault="005102EB" w:rsidP="005102EB">
      <w:pPr>
        <w:spacing w:before="120" w:after="120" w:line="240" w:lineRule="auto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5102EB">
        <w:rPr>
          <w:rFonts w:ascii="Arial" w:hAnsi="Arial" w:cs="Arial"/>
          <w:color w:val="806000" w:themeColor="accent4" w:themeShade="80"/>
          <w:sz w:val="21"/>
          <w:szCs w:val="21"/>
        </w:rPr>
        <w:t xml:space="preserve">W przypadku zamówień na zaprojektowanie i wykonanie robót budowlanych o takie dane należy uzupełnić </w:t>
      </w:r>
      <w:bookmarkStart w:id="6" w:name="_Hlk530470403"/>
      <w:r w:rsidRPr="005102EB">
        <w:rPr>
          <w:rFonts w:ascii="Arial" w:hAnsi="Arial" w:cs="Arial"/>
          <w:color w:val="806000" w:themeColor="accent4" w:themeShade="80"/>
          <w:sz w:val="21"/>
          <w:szCs w:val="21"/>
        </w:rPr>
        <w:t>program funkcjonalno- użytkowy</w:t>
      </w:r>
      <w:bookmarkEnd w:id="6"/>
      <w:r w:rsidRPr="005102EB">
        <w:rPr>
          <w:rFonts w:ascii="Arial" w:hAnsi="Arial" w:cs="Arial"/>
          <w:color w:val="806000" w:themeColor="accent4" w:themeShade="80"/>
          <w:sz w:val="21"/>
          <w:szCs w:val="21"/>
        </w:rPr>
        <w:t xml:space="preserve">. Wymaganie takie zamawiający winien postawić jego autorowi.  Obowiązek zamieszczenia w programie funkcjonalno- użytkowym charakterystyki </w:t>
      </w:r>
      <w:r w:rsidRPr="005102EB">
        <w:rPr>
          <w:rFonts w:ascii="Arial" w:hAnsi="Arial" w:cs="Arial"/>
          <w:color w:val="806000" w:themeColor="accent4" w:themeShade="80"/>
          <w:sz w:val="21"/>
          <w:szCs w:val="21"/>
        </w:rPr>
        <w:lastRenderedPageBreak/>
        <w:t>energetycznej budynku i maksymalnego zużycia wody w budynku nie wynika z obowiąz</w:t>
      </w:r>
      <w:r w:rsidR="00F174D7">
        <w:rPr>
          <w:rFonts w:ascii="Arial" w:hAnsi="Arial" w:cs="Arial"/>
          <w:color w:val="806000" w:themeColor="accent4" w:themeShade="80"/>
          <w:sz w:val="21"/>
          <w:szCs w:val="21"/>
        </w:rPr>
        <w:t>ujących przepisów.]</w:t>
      </w:r>
    </w:p>
    <w:p w14:paraId="70109681" w14:textId="3AA882BA" w:rsidR="005102EB" w:rsidRDefault="005102EB">
      <w:pPr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</w:rPr>
      </w:pPr>
    </w:p>
    <w:p w14:paraId="70714532" w14:textId="3521E30F" w:rsidR="003A6E15" w:rsidRPr="00385CFC" w:rsidRDefault="003839FE" w:rsidP="007E070F">
      <w:pPr>
        <w:spacing w:line="240" w:lineRule="auto"/>
        <w:contextualSpacing/>
        <w:jc w:val="both"/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</w:rPr>
      </w:pPr>
      <w:r w:rsidRPr="00385CFC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</w:rPr>
        <w:t>Tabela nr 3</w:t>
      </w:r>
      <w:r w:rsidR="00BE1A0A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</w:rPr>
        <w:t xml:space="preserve"> - </w:t>
      </w:r>
      <w:r w:rsidR="003A6E15" w:rsidRPr="00385CFC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</w:rPr>
        <w:t>Koszty użytkowania</w:t>
      </w:r>
    </w:p>
    <w:p w14:paraId="37FB52AD" w14:textId="3F9F7869" w:rsidR="00AA6278" w:rsidRPr="00385CFC" w:rsidRDefault="00AA6278" w:rsidP="007E070F">
      <w:pPr>
        <w:spacing w:line="240" w:lineRule="auto"/>
        <w:contextualSpacing/>
        <w:jc w:val="both"/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</w:rPr>
      </w:pPr>
    </w:p>
    <w:tbl>
      <w:tblPr>
        <w:tblStyle w:val="Tabelasiatki6kolorowaakcent6"/>
        <w:tblW w:w="10348" w:type="dxa"/>
        <w:tblInd w:w="-572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ayout w:type="fixed"/>
        <w:tblLook w:val="0420" w:firstRow="1" w:lastRow="0" w:firstColumn="0" w:lastColumn="0" w:noHBand="0" w:noVBand="1"/>
      </w:tblPr>
      <w:tblGrid>
        <w:gridCol w:w="709"/>
        <w:gridCol w:w="1276"/>
        <w:gridCol w:w="992"/>
        <w:gridCol w:w="1701"/>
        <w:gridCol w:w="1559"/>
        <w:gridCol w:w="1560"/>
        <w:gridCol w:w="1134"/>
        <w:gridCol w:w="1417"/>
      </w:tblGrid>
      <w:tr w:rsidR="00385CFC" w:rsidRPr="004F05E4" w14:paraId="06F00D0A" w14:textId="77777777" w:rsidTr="004F0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</w:trPr>
        <w:tc>
          <w:tcPr>
            <w:tcW w:w="709" w:type="dxa"/>
            <w:vMerge w:val="restart"/>
            <w:tcBorders>
              <w:bottom w:val="none" w:sz="0" w:space="0" w:color="auto"/>
            </w:tcBorders>
            <w:hideMark/>
          </w:tcPr>
          <w:p w14:paraId="57D680C2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proofErr w:type="spellStart"/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1276" w:type="dxa"/>
            <w:vMerge w:val="restart"/>
            <w:tcBorders>
              <w:bottom w:val="none" w:sz="0" w:space="0" w:color="auto"/>
            </w:tcBorders>
            <w:hideMark/>
          </w:tcPr>
          <w:p w14:paraId="5B166C9D" w14:textId="77777777" w:rsidR="00AA6278" w:rsidRPr="004F05E4" w:rsidRDefault="00AA6278" w:rsidP="00AA6278">
            <w:pPr>
              <w:ind w:left="30"/>
              <w:contextualSpacing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1.Rodzaje grup kosztów</w:t>
            </w:r>
          </w:p>
        </w:tc>
        <w:tc>
          <w:tcPr>
            <w:tcW w:w="8363" w:type="dxa"/>
            <w:gridSpan w:val="6"/>
            <w:tcBorders>
              <w:bottom w:val="none" w:sz="0" w:space="0" w:color="auto"/>
            </w:tcBorders>
            <w:hideMark/>
          </w:tcPr>
          <w:p w14:paraId="0651B096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</w:tr>
      <w:tr w:rsidR="00385CFC" w:rsidRPr="004F05E4" w14:paraId="61AD8E15" w14:textId="77777777" w:rsidTr="00740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7"/>
        </w:trPr>
        <w:tc>
          <w:tcPr>
            <w:tcW w:w="709" w:type="dxa"/>
            <w:vMerge/>
            <w:hideMark/>
          </w:tcPr>
          <w:p w14:paraId="4230E1FE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hideMark/>
          </w:tcPr>
          <w:p w14:paraId="685AB14D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hideMark/>
          </w:tcPr>
          <w:p w14:paraId="7A50C39E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Rodzaj nośnika</w:t>
            </w:r>
          </w:p>
          <w:p w14:paraId="076D6CC7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energii</w:t>
            </w:r>
          </w:p>
          <w:p w14:paraId="0BF2C2D2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(wypełnia zamawiający)</w:t>
            </w:r>
          </w:p>
        </w:tc>
        <w:tc>
          <w:tcPr>
            <w:tcW w:w="1701" w:type="dxa"/>
            <w:hideMark/>
          </w:tcPr>
          <w:p w14:paraId="7B28B26D" w14:textId="2B7B585A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Maksymalna ilość zużytej</w:t>
            </w:r>
            <w:r w:rsidR="00740FEB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 xml:space="preserve"> w ciągu roku </w:t>
            </w: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 xml:space="preserve"> energii</w:t>
            </w:r>
          </w:p>
          <w:p w14:paraId="6351EC04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końcowej/ nośnika</w:t>
            </w:r>
          </w:p>
          <w:p w14:paraId="58D84F5C" w14:textId="30C0EA8C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 xml:space="preserve">energii/wody </w:t>
            </w:r>
            <w:r w:rsidR="00740FEB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 xml:space="preserve">z uwzględnieniem odprowadzenia ścieków </w:t>
            </w:r>
          </w:p>
          <w:p w14:paraId="7D696A90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(wypełnia zamawiający)</w:t>
            </w:r>
          </w:p>
          <w:p w14:paraId="502A16F7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hideMark/>
          </w:tcPr>
          <w:p w14:paraId="79BFD6EC" w14:textId="40E7F3B2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 xml:space="preserve">Ilość zużytej </w:t>
            </w:r>
            <w:r w:rsidR="00740FEB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 xml:space="preserve">w ciągu roku </w:t>
            </w: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energii</w:t>
            </w:r>
          </w:p>
          <w:p w14:paraId="4FA509BA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końcowej/ nośnika</w:t>
            </w:r>
          </w:p>
          <w:p w14:paraId="0973174A" w14:textId="1D7CBC6C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 xml:space="preserve">energii/wody </w:t>
            </w:r>
            <w:r w:rsidR="00740FEB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 xml:space="preserve">z uwzględnieniem odprowadzania ścieków </w:t>
            </w:r>
          </w:p>
          <w:p w14:paraId="1F5128E2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(wypełnia wykonawca)</w:t>
            </w:r>
          </w:p>
          <w:p w14:paraId="079A2605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hideMark/>
          </w:tcPr>
          <w:p w14:paraId="3FB13EF8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Cena jednostkowa</w:t>
            </w:r>
          </w:p>
          <w:p w14:paraId="3DC1C259" w14:textId="3878FB92" w:rsidR="00740FEB" w:rsidRPr="00740FEB" w:rsidRDefault="00AA6278" w:rsidP="00740FEB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energii końcowej/nośnika</w:t>
            </w: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 xml:space="preserve"> </w:t>
            </w: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energii/wody</w:t>
            </w:r>
            <w:r w:rsidR="00740FEB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 xml:space="preserve"> </w:t>
            </w:r>
            <w:r w:rsidR="00740FEB" w:rsidRPr="00740FEB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z uwzględnieniem</w:t>
            </w:r>
          </w:p>
          <w:p w14:paraId="4D499DBC" w14:textId="77777777" w:rsidR="00740FEB" w:rsidRPr="00740FEB" w:rsidRDefault="00740FEB" w:rsidP="00740FEB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740FEB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odprowadzania</w:t>
            </w:r>
          </w:p>
          <w:p w14:paraId="0DC98FEE" w14:textId="1C350120" w:rsidR="00AA6278" w:rsidRPr="004F05E4" w:rsidRDefault="00740FEB" w:rsidP="00740FEB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740FEB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ścieków</w:t>
            </w:r>
            <w:r w:rsidR="00AA6278"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 xml:space="preserve"> </w:t>
            </w:r>
          </w:p>
          <w:p w14:paraId="08A35D27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(wypełnia zamawiający)</w:t>
            </w:r>
          </w:p>
        </w:tc>
        <w:tc>
          <w:tcPr>
            <w:tcW w:w="1134" w:type="dxa"/>
            <w:hideMark/>
          </w:tcPr>
          <w:p w14:paraId="7E3963C7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Koszty</w:t>
            </w:r>
          </w:p>
          <w:p w14:paraId="7AB5B57C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roczne</w:t>
            </w:r>
          </w:p>
          <w:p w14:paraId="28006157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5x6</w:t>
            </w:r>
          </w:p>
          <w:p w14:paraId="31A313DC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(wypełnia zamawia-</w:t>
            </w:r>
            <w:proofErr w:type="spellStart"/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jący</w:t>
            </w:r>
            <w:proofErr w:type="spellEnd"/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)</w:t>
            </w:r>
          </w:p>
          <w:p w14:paraId="583D9CD0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417" w:type="dxa"/>
            <w:hideMark/>
          </w:tcPr>
          <w:p w14:paraId="4EB5B2C0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Koszty w całym</w:t>
            </w:r>
          </w:p>
          <w:p w14:paraId="2B974BC3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okresie</w:t>
            </w:r>
          </w:p>
          <w:p w14:paraId="664253C6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obliczeniowym</w:t>
            </w:r>
          </w:p>
          <w:p w14:paraId="1994CE44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7x30 lat</w:t>
            </w:r>
          </w:p>
          <w:p w14:paraId="7CB9B96D" w14:textId="7FAFFBB6" w:rsidR="00AA6278" w:rsidRPr="004F05E4" w:rsidRDefault="004F05E4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(wypełnia zamawia</w:t>
            </w:r>
            <w:r w:rsidR="00AA6278"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jący)</w:t>
            </w:r>
          </w:p>
          <w:p w14:paraId="7C0B89AC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[zł]</w:t>
            </w:r>
          </w:p>
        </w:tc>
      </w:tr>
      <w:tr w:rsidR="00385CFC" w:rsidRPr="004F05E4" w14:paraId="4FBF5268" w14:textId="77777777" w:rsidTr="00740FEB">
        <w:trPr>
          <w:trHeight w:val="213"/>
        </w:trPr>
        <w:tc>
          <w:tcPr>
            <w:tcW w:w="709" w:type="dxa"/>
          </w:tcPr>
          <w:p w14:paraId="5A30AC8B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 xml:space="preserve">  1</w:t>
            </w:r>
          </w:p>
        </w:tc>
        <w:tc>
          <w:tcPr>
            <w:tcW w:w="1276" w:type="dxa"/>
          </w:tcPr>
          <w:p w14:paraId="18584670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 xml:space="preserve">          2</w:t>
            </w:r>
          </w:p>
        </w:tc>
        <w:tc>
          <w:tcPr>
            <w:tcW w:w="992" w:type="dxa"/>
          </w:tcPr>
          <w:p w14:paraId="0D92E66C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01" w:type="dxa"/>
          </w:tcPr>
          <w:p w14:paraId="579E6565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</w:tcPr>
          <w:p w14:paraId="72A4BB51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</w:tcPr>
          <w:p w14:paraId="34B2F448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34" w:type="dxa"/>
          </w:tcPr>
          <w:p w14:paraId="505250B0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7" w:type="dxa"/>
          </w:tcPr>
          <w:p w14:paraId="00EE4450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8</w:t>
            </w:r>
          </w:p>
        </w:tc>
      </w:tr>
      <w:tr w:rsidR="00385CFC" w:rsidRPr="004F05E4" w14:paraId="2C496A3F" w14:textId="77777777" w:rsidTr="00740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tcW w:w="709" w:type="dxa"/>
            <w:hideMark/>
          </w:tcPr>
          <w:p w14:paraId="79C93319" w14:textId="77777777" w:rsidR="00AA6278" w:rsidRPr="00605AFF" w:rsidRDefault="00AA6278" w:rsidP="00605AFF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605AFF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1.1</w:t>
            </w:r>
          </w:p>
        </w:tc>
        <w:tc>
          <w:tcPr>
            <w:tcW w:w="1276" w:type="dxa"/>
            <w:hideMark/>
          </w:tcPr>
          <w:p w14:paraId="36BA5126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Theme="minorEastAsia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Ogrzewanie budynku</w:t>
            </w:r>
          </w:p>
        </w:tc>
        <w:tc>
          <w:tcPr>
            <w:tcW w:w="992" w:type="dxa"/>
            <w:hideMark/>
          </w:tcPr>
          <w:p w14:paraId="24C7FD71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Gaz ziemny</w:t>
            </w:r>
          </w:p>
        </w:tc>
        <w:tc>
          <w:tcPr>
            <w:tcW w:w="1701" w:type="dxa"/>
            <w:hideMark/>
          </w:tcPr>
          <w:p w14:paraId="27529B57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39 650,7</w:t>
            </w:r>
          </w:p>
        </w:tc>
        <w:tc>
          <w:tcPr>
            <w:tcW w:w="1559" w:type="dxa"/>
          </w:tcPr>
          <w:p w14:paraId="271E106E" w14:textId="01A7C425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hideMark/>
          </w:tcPr>
          <w:p w14:paraId="47690BCD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0,33zł/KWH</w:t>
            </w:r>
          </w:p>
        </w:tc>
        <w:tc>
          <w:tcPr>
            <w:tcW w:w="1134" w:type="dxa"/>
          </w:tcPr>
          <w:p w14:paraId="23F68806" w14:textId="6765390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43CD0BC5" w14:textId="09E66960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</w:tr>
      <w:tr w:rsidR="00385CFC" w:rsidRPr="004F05E4" w14:paraId="77981578" w14:textId="77777777" w:rsidTr="00740FEB">
        <w:trPr>
          <w:trHeight w:val="525"/>
        </w:trPr>
        <w:tc>
          <w:tcPr>
            <w:tcW w:w="709" w:type="dxa"/>
            <w:hideMark/>
          </w:tcPr>
          <w:p w14:paraId="177DB906" w14:textId="77777777" w:rsidR="00AA6278" w:rsidRPr="00605AFF" w:rsidRDefault="00AA6278" w:rsidP="00605AFF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605AFF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1.2</w:t>
            </w:r>
          </w:p>
        </w:tc>
        <w:tc>
          <w:tcPr>
            <w:tcW w:w="1276" w:type="dxa"/>
            <w:hideMark/>
          </w:tcPr>
          <w:p w14:paraId="4D2FCF41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Theme="minorEastAsia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Przygotowanie ciepłej</w:t>
            </w:r>
          </w:p>
          <w:p w14:paraId="3E2ED3AB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Theme="minorEastAsia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wody użytkowej</w:t>
            </w:r>
          </w:p>
        </w:tc>
        <w:tc>
          <w:tcPr>
            <w:tcW w:w="992" w:type="dxa"/>
            <w:hideMark/>
          </w:tcPr>
          <w:p w14:paraId="257B25E8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Gaz ziemny</w:t>
            </w:r>
          </w:p>
        </w:tc>
        <w:tc>
          <w:tcPr>
            <w:tcW w:w="1701" w:type="dxa"/>
            <w:hideMark/>
          </w:tcPr>
          <w:p w14:paraId="006A0682" w14:textId="77777777" w:rsidR="00AA6278" w:rsidRPr="004F05E4" w:rsidRDefault="00AA6278" w:rsidP="00AA6278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7 414,9</w:t>
            </w:r>
          </w:p>
        </w:tc>
        <w:tc>
          <w:tcPr>
            <w:tcW w:w="1559" w:type="dxa"/>
          </w:tcPr>
          <w:p w14:paraId="7E8858CD" w14:textId="1C1C7E9C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hideMark/>
          </w:tcPr>
          <w:p w14:paraId="4FC3BDCA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0,33zł/kWh</w:t>
            </w:r>
          </w:p>
        </w:tc>
        <w:tc>
          <w:tcPr>
            <w:tcW w:w="1134" w:type="dxa"/>
          </w:tcPr>
          <w:p w14:paraId="2354C647" w14:textId="70C0C5ED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064747BF" w14:textId="3149A161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</w:tr>
      <w:tr w:rsidR="00385CFC" w:rsidRPr="004F05E4" w14:paraId="2E550630" w14:textId="77777777" w:rsidTr="00740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tcW w:w="709" w:type="dxa"/>
            <w:hideMark/>
          </w:tcPr>
          <w:p w14:paraId="207C8772" w14:textId="77777777" w:rsidR="00AA6278" w:rsidRPr="00605AFF" w:rsidRDefault="00AA6278" w:rsidP="00605AFF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605AFF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1.3</w:t>
            </w:r>
          </w:p>
        </w:tc>
        <w:tc>
          <w:tcPr>
            <w:tcW w:w="1276" w:type="dxa"/>
            <w:hideMark/>
          </w:tcPr>
          <w:p w14:paraId="6464D4C9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Theme="minorEastAsia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Chłodzenie budynku</w:t>
            </w:r>
          </w:p>
        </w:tc>
        <w:tc>
          <w:tcPr>
            <w:tcW w:w="992" w:type="dxa"/>
            <w:hideMark/>
          </w:tcPr>
          <w:p w14:paraId="0B4421F4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------</w:t>
            </w:r>
          </w:p>
        </w:tc>
        <w:tc>
          <w:tcPr>
            <w:tcW w:w="1701" w:type="dxa"/>
            <w:hideMark/>
          </w:tcPr>
          <w:p w14:paraId="4FD73594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------</w:t>
            </w:r>
          </w:p>
        </w:tc>
        <w:tc>
          <w:tcPr>
            <w:tcW w:w="1559" w:type="dxa"/>
          </w:tcPr>
          <w:p w14:paraId="0E2F417D" w14:textId="0C31DEDF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hideMark/>
          </w:tcPr>
          <w:p w14:paraId="45F02044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-----</w:t>
            </w:r>
          </w:p>
        </w:tc>
        <w:tc>
          <w:tcPr>
            <w:tcW w:w="1134" w:type="dxa"/>
          </w:tcPr>
          <w:p w14:paraId="2812B1F6" w14:textId="7FA0E4CF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7041FB5D" w14:textId="2E75FE13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</w:tr>
      <w:tr w:rsidR="00385CFC" w:rsidRPr="004F05E4" w14:paraId="3F120081" w14:textId="77777777" w:rsidTr="00740FEB">
        <w:trPr>
          <w:trHeight w:val="427"/>
        </w:trPr>
        <w:tc>
          <w:tcPr>
            <w:tcW w:w="709" w:type="dxa"/>
            <w:hideMark/>
          </w:tcPr>
          <w:p w14:paraId="0EDB2C64" w14:textId="77777777" w:rsidR="00AA6278" w:rsidRPr="00605AFF" w:rsidRDefault="00AA6278" w:rsidP="00605AFF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605AFF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4</w:t>
            </w:r>
          </w:p>
        </w:tc>
        <w:tc>
          <w:tcPr>
            <w:tcW w:w="1276" w:type="dxa"/>
            <w:hideMark/>
          </w:tcPr>
          <w:p w14:paraId="0942C0B6" w14:textId="3D6FFC6C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Zaopatrzenie w wodę</w:t>
            </w:r>
            <w:r w:rsidR="00865516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 xml:space="preserve"> z </w:t>
            </w:r>
            <w:r w:rsidR="00865516" w:rsidRPr="00865516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uwzględnieniem odprowadzania ścieków</w:t>
            </w:r>
          </w:p>
        </w:tc>
        <w:tc>
          <w:tcPr>
            <w:tcW w:w="992" w:type="dxa"/>
            <w:hideMark/>
          </w:tcPr>
          <w:p w14:paraId="60E7CB6D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Wodociąg miejski</w:t>
            </w:r>
          </w:p>
        </w:tc>
        <w:tc>
          <w:tcPr>
            <w:tcW w:w="1701" w:type="dxa"/>
            <w:hideMark/>
          </w:tcPr>
          <w:p w14:paraId="3773EF1D" w14:textId="02D4928B" w:rsidR="00AA6278" w:rsidRPr="004F05E4" w:rsidRDefault="00A7127B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2 340m3/rok</w:t>
            </w:r>
          </w:p>
        </w:tc>
        <w:tc>
          <w:tcPr>
            <w:tcW w:w="1559" w:type="dxa"/>
          </w:tcPr>
          <w:p w14:paraId="75A8EF31" w14:textId="703FD8D4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hideMark/>
          </w:tcPr>
          <w:p w14:paraId="6CED2BD3" w14:textId="0696A480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9,85 zł/m3</w:t>
            </w:r>
          </w:p>
        </w:tc>
        <w:tc>
          <w:tcPr>
            <w:tcW w:w="1134" w:type="dxa"/>
          </w:tcPr>
          <w:p w14:paraId="61B735C3" w14:textId="19741924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4C965A46" w14:textId="5A76C518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</w:tr>
      <w:tr w:rsidR="00385CFC" w:rsidRPr="004F05E4" w14:paraId="435BA929" w14:textId="77777777" w:rsidTr="00740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tcW w:w="709" w:type="dxa"/>
            <w:hideMark/>
          </w:tcPr>
          <w:p w14:paraId="30AA1CDF" w14:textId="77777777" w:rsidR="00AA6278" w:rsidRPr="00605AFF" w:rsidRDefault="00AA6278" w:rsidP="00605AFF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605AFF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5</w:t>
            </w:r>
          </w:p>
        </w:tc>
        <w:tc>
          <w:tcPr>
            <w:tcW w:w="1276" w:type="dxa"/>
            <w:hideMark/>
          </w:tcPr>
          <w:p w14:paraId="09225FD8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Oświetlenie</w:t>
            </w:r>
          </w:p>
          <w:p w14:paraId="06C3AA3A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wbudowane</w:t>
            </w:r>
          </w:p>
        </w:tc>
        <w:tc>
          <w:tcPr>
            <w:tcW w:w="992" w:type="dxa"/>
            <w:hideMark/>
          </w:tcPr>
          <w:p w14:paraId="1B6634DC" w14:textId="7C38FD09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Energia elektryczna</w:t>
            </w:r>
          </w:p>
        </w:tc>
        <w:tc>
          <w:tcPr>
            <w:tcW w:w="1701" w:type="dxa"/>
            <w:hideMark/>
          </w:tcPr>
          <w:p w14:paraId="3B06A1D5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11 513,7</w:t>
            </w:r>
          </w:p>
        </w:tc>
        <w:tc>
          <w:tcPr>
            <w:tcW w:w="1559" w:type="dxa"/>
          </w:tcPr>
          <w:p w14:paraId="087B2DEB" w14:textId="5C6E2DF8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hideMark/>
          </w:tcPr>
          <w:p w14:paraId="789D330F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0,60zł/kWh</w:t>
            </w:r>
          </w:p>
        </w:tc>
        <w:tc>
          <w:tcPr>
            <w:tcW w:w="1134" w:type="dxa"/>
          </w:tcPr>
          <w:p w14:paraId="41BCCA79" w14:textId="7A740BA9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02B05FE6" w14:textId="15F53161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</w:tr>
      <w:tr w:rsidR="00865516" w:rsidRPr="004F05E4" w14:paraId="2C5669DC" w14:textId="77777777" w:rsidTr="00740FEB">
        <w:trPr>
          <w:trHeight w:val="611"/>
        </w:trPr>
        <w:tc>
          <w:tcPr>
            <w:tcW w:w="709" w:type="dxa"/>
          </w:tcPr>
          <w:p w14:paraId="151AA2D1" w14:textId="77777777" w:rsidR="00865516" w:rsidRPr="00605AFF" w:rsidRDefault="00865516" w:rsidP="00605AFF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E4E34C" w14:textId="109B5467" w:rsidR="00865516" w:rsidRPr="004F05E4" w:rsidRDefault="00865516" w:rsidP="00AA6278">
            <w:pPr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Zasilanie dźwigów</w:t>
            </w:r>
          </w:p>
        </w:tc>
        <w:tc>
          <w:tcPr>
            <w:tcW w:w="992" w:type="dxa"/>
          </w:tcPr>
          <w:p w14:paraId="1CF0BD5E" w14:textId="77777777" w:rsidR="00865516" w:rsidRPr="004F05E4" w:rsidRDefault="00865516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14:paraId="5A9D820F" w14:textId="77777777" w:rsidR="00865516" w:rsidRPr="004F05E4" w:rsidRDefault="00865516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67935B27" w14:textId="77777777" w:rsidR="00865516" w:rsidRPr="004F05E4" w:rsidRDefault="00865516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14:paraId="1B1CE1FA" w14:textId="77777777" w:rsidR="00865516" w:rsidRPr="004F05E4" w:rsidRDefault="00865516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3E16027F" w14:textId="77777777" w:rsidR="00865516" w:rsidRPr="004F05E4" w:rsidRDefault="00865516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6D6A9155" w14:textId="77777777" w:rsidR="00865516" w:rsidRPr="004F05E4" w:rsidRDefault="00865516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</w:tr>
      <w:tr w:rsidR="00385CFC" w:rsidRPr="004F05E4" w14:paraId="08A0EDE4" w14:textId="77777777" w:rsidTr="00740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tcW w:w="709" w:type="dxa"/>
            <w:hideMark/>
          </w:tcPr>
          <w:p w14:paraId="2E7562FD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hideMark/>
          </w:tcPr>
          <w:p w14:paraId="68634D43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4F05E4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2693" w:type="dxa"/>
            <w:gridSpan w:val="2"/>
            <w:hideMark/>
          </w:tcPr>
          <w:p w14:paraId="4497FCE0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hideMark/>
          </w:tcPr>
          <w:p w14:paraId="15CCE8AE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hideMark/>
          </w:tcPr>
          <w:p w14:paraId="710723BD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39F30345" w14:textId="77777777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3AD1406A" w14:textId="50F03FCA" w:rsidR="00AA6278" w:rsidRPr="004F05E4" w:rsidRDefault="00AA6278" w:rsidP="00AA6278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</w:tr>
    </w:tbl>
    <w:p w14:paraId="20D2ECF7" w14:textId="77777777" w:rsidR="00AA6278" w:rsidRPr="00385CFC" w:rsidRDefault="00AA6278" w:rsidP="00AA6278">
      <w:pPr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</w:p>
    <w:p w14:paraId="0C67C82E" w14:textId="6316696A" w:rsidR="00F128F6" w:rsidRPr="00106C39" w:rsidRDefault="00CB65BE" w:rsidP="00106C39">
      <w:pPr>
        <w:spacing w:before="120" w:after="120" w:line="240" w:lineRule="auto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Wykonawca przedstawi w ofercie przewidywaną ilość energii końcowej lub nośnika energii oraz wody zużywanych w ciągu roku w budynku, którego budowę </w:t>
      </w:r>
      <w:r w:rsidR="007B3326" w:rsidRPr="00385CFC">
        <w:rPr>
          <w:rFonts w:ascii="Arial" w:hAnsi="Arial" w:cs="Arial"/>
          <w:color w:val="806000" w:themeColor="accent4" w:themeShade="80"/>
          <w:sz w:val="21"/>
          <w:szCs w:val="21"/>
        </w:rPr>
        <w:t>oferuje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. W przypadku, gdy podana przez wykonawcę w ofercie </w:t>
      </w:r>
      <w:bookmarkStart w:id="7" w:name="_Hlk530470931"/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przewidywana ilość energii końcowej, nośnika energii lub wody zużywana w ciągu roku </w:t>
      </w:r>
      <w:bookmarkEnd w:id="7"/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jest niższa od wartości maksymalnej wskazanej przez zamawiającego, wykonawca przedstawi w ofercie rozwiązania, których zastosowanie zapewni osiągnięcie wskazanych przez </w:t>
      </w:r>
      <w:r w:rsidR="00B920D1">
        <w:rPr>
          <w:rFonts w:ascii="Arial" w:hAnsi="Arial" w:cs="Arial"/>
          <w:color w:val="806000" w:themeColor="accent4" w:themeShade="80"/>
          <w:sz w:val="21"/>
          <w:szCs w:val="21"/>
        </w:rPr>
        <w:t>niego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wartości.</w:t>
      </w:r>
      <w:r w:rsidR="00BF7CF4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Dla zaproponowanego rozwiązania wykonawca przedstawi zaktualizowan</w:t>
      </w:r>
      <w:r w:rsidR="00A7127B" w:rsidRPr="00385CFC">
        <w:rPr>
          <w:rFonts w:ascii="Arial" w:hAnsi="Arial" w:cs="Arial"/>
          <w:color w:val="806000" w:themeColor="accent4" w:themeShade="80"/>
          <w:sz w:val="21"/>
          <w:szCs w:val="21"/>
        </w:rPr>
        <w:t>ą</w:t>
      </w:r>
      <w:r w:rsidR="00BF7CF4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do przyjętego rozwiązania chara</w:t>
      </w:r>
      <w:r w:rsidR="008013C7">
        <w:rPr>
          <w:rFonts w:ascii="Arial" w:hAnsi="Arial" w:cs="Arial"/>
          <w:color w:val="806000" w:themeColor="accent4" w:themeShade="80"/>
          <w:sz w:val="21"/>
          <w:szCs w:val="21"/>
        </w:rPr>
        <w:t xml:space="preserve">kterystykę energetyczną budynku </w:t>
      </w:r>
      <w:r w:rsidR="008013C7" w:rsidRPr="00E94A42">
        <w:rPr>
          <w:rFonts w:ascii="Arial" w:hAnsi="Arial" w:cs="Arial"/>
          <w:color w:val="806000" w:themeColor="accent4" w:themeShade="80"/>
          <w:sz w:val="21"/>
          <w:szCs w:val="21"/>
        </w:rPr>
        <w:t>i zmieniony przedmiar robót.</w:t>
      </w:r>
    </w:p>
    <w:p w14:paraId="33628626" w14:textId="111F8BFF" w:rsidR="00C064B9" w:rsidRPr="00385CFC" w:rsidRDefault="00C064B9" w:rsidP="00106C39">
      <w:pPr>
        <w:spacing w:before="120" w:after="120" w:line="240" w:lineRule="auto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>Po obliczeniu kosztów użytkowania dla danej oferty zamawiający pomniejszy go o podatek od towarów i usług</w:t>
      </w:r>
      <w:r w:rsidR="00110842">
        <w:rPr>
          <w:rStyle w:val="Odwoanieprzypisudolnego"/>
          <w:rFonts w:ascii="Arial" w:hAnsi="Arial" w:cs="Arial"/>
          <w:color w:val="806000" w:themeColor="accent4" w:themeShade="80"/>
          <w:sz w:val="21"/>
          <w:szCs w:val="21"/>
        </w:rPr>
        <w:footnoteReference w:id="1"/>
      </w:r>
      <w:r w:rsidR="00110842">
        <w:rPr>
          <w:rFonts w:ascii="Arial" w:hAnsi="Arial" w:cs="Arial"/>
          <w:color w:val="806000" w:themeColor="accent4" w:themeShade="80"/>
          <w:sz w:val="21"/>
          <w:szCs w:val="21"/>
        </w:rPr>
        <w:t>.</w:t>
      </w:r>
      <w:r w:rsidR="00627C02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</w:t>
      </w:r>
    </w:p>
    <w:p w14:paraId="3195125A" w14:textId="77777777" w:rsidR="00BE26D5" w:rsidRDefault="005102EB" w:rsidP="00106C39">
      <w:pPr>
        <w:spacing w:before="120" w:after="120" w:line="240" w:lineRule="auto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F174D7">
        <w:rPr>
          <w:rFonts w:ascii="Arial" w:hAnsi="Arial" w:cs="Arial"/>
          <w:b/>
          <w:color w:val="806000" w:themeColor="accent4" w:themeShade="80"/>
          <w:sz w:val="21"/>
          <w:szCs w:val="21"/>
        </w:rPr>
        <w:t>[</w:t>
      </w:r>
      <w:r w:rsidRPr="00F174D7">
        <w:rPr>
          <w:rFonts w:ascii="Arial" w:hAnsi="Arial" w:cs="Arial"/>
          <w:b/>
          <w:color w:val="806000" w:themeColor="accent4" w:themeShade="80"/>
          <w:sz w:val="21"/>
          <w:szCs w:val="21"/>
          <w:u w:val="single"/>
        </w:rPr>
        <w:t>Wskazówka dla zamawiającego:</w:t>
      </w:r>
      <w:r w:rsidRPr="005102EB">
        <w:rPr>
          <w:rFonts w:ascii="Arial" w:hAnsi="Arial" w:cs="Arial"/>
          <w:color w:val="806000" w:themeColor="accent4" w:themeShade="80"/>
          <w:sz w:val="21"/>
          <w:szCs w:val="21"/>
        </w:rPr>
        <w:t xml:space="preserve"> w celu zweryfikowania informacji podanych przez wykonawców, zamawiający obok wymagania określenia przewidywanej iloś</w:t>
      </w:r>
      <w:r w:rsidR="005B4B82">
        <w:rPr>
          <w:rFonts w:ascii="Arial" w:hAnsi="Arial" w:cs="Arial"/>
          <w:color w:val="806000" w:themeColor="accent4" w:themeShade="80"/>
          <w:sz w:val="21"/>
          <w:szCs w:val="21"/>
        </w:rPr>
        <w:t>ci</w:t>
      </w:r>
      <w:r w:rsidRPr="005102EB">
        <w:rPr>
          <w:rFonts w:ascii="Arial" w:hAnsi="Arial" w:cs="Arial"/>
          <w:color w:val="806000" w:themeColor="accent4" w:themeShade="80"/>
          <w:sz w:val="21"/>
          <w:szCs w:val="21"/>
        </w:rPr>
        <w:t xml:space="preserve"> energii końcowej, nośnika energii lub wody zużywanej w ciągu roku i przedstawienia rozwiązań </w:t>
      </w:r>
      <w:r w:rsidR="005B4B82">
        <w:rPr>
          <w:rFonts w:ascii="Arial" w:hAnsi="Arial" w:cs="Arial"/>
          <w:color w:val="806000" w:themeColor="accent4" w:themeShade="80"/>
          <w:sz w:val="21"/>
          <w:szCs w:val="21"/>
        </w:rPr>
        <w:t xml:space="preserve">zmienianych </w:t>
      </w:r>
      <w:r w:rsidRPr="005102EB">
        <w:rPr>
          <w:rFonts w:ascii="Arial" w:hAnsi="Arial" w:cs="Arial"/>
          <w:color w:val="806000" w:themeColor="accent4" w:themeShade="80"/>
          <w:sz w:val="21"/>
          <w:szCs w:val="21"/>
        </w:rPr>
        <w:t xml:space="preserve">projektowych, winien podać sposób wyliczenia </w:t>
      </w:r>
      <w:r w:rsidR="005B4B82">
        <w:rPr>
          <w:rFonts w:ascii="Arial" w:hAnsi="Arial" w:cs="Arial"/>
          <w:color w:val="806000" w:themeColor="accent4" w:themeShade="80"/>
          <w:sz w:val="21"/>
          <w:szCs w:val="21"/>
        </w:rPr>
        <w:t xml:space="preserve">przez wykonawcę </w:t>
      </w:r>
      <w:r w:rsidRPr="005102EB">
        <w:rPr>
          <w:rFonts w:ascii="Arial" w:hAnsi="Arial" w:cs="Arial"/>
          <w:color w:val="806000" w:themeColor="accent4" w:themeShade="80"/>
          <w:sz w:val="21"/>
          <w:szCs w:val="21"/>
        </w:rPr>
        <w:t xml:space="preserve">tej ilości i sposób prezentacji </w:t>
      </w:r>
      <w:r w:rsidRPr="005102EB">
        <w:rPr>
          <w:rFonts w:ascii="Arial" w:hAnsi="Arial" w:cs="Arial"/>
          <w:color w:val="806000" w:themeColor="accent4" w:themeShade="80"/>
          <w:sz w:val="21"/>
          <w:szCs w:val="21"/>
        </w:rPr>
        <w:lastRenderedPageBreak/>
        <w:t>rozwiązań projektowych. Ze względów praktycznych, proponuje się, aby sposoby te były tożsame z tymi jakie przyjął sam zamawiający do obliczenia maksymalnej ilości energii końcowej lub nośników energii zużywanych w budynku w ciągu roku, oraz maksymalnego zużycia wody w budynku w ciągu roku. Jak wynika z treści przepisu, w przypadku kryterium „kosztu” zamawiający, aby osiągnąć oszczędności w okresie użytkowania budynku w zużyciu energii lub wody poprzez wybór korzystniejszej w tym zakresie oferty, powinien dopuścić możliwość składania ofert na inne rozwiązania niż przyjęte w opisie przedmiotu zamówienia, których wynikiem mogą być takie oszczędności. Zakres dopuszczalnych zmian zamawiający powinien określić w specyfikacji istotnych warunków zamówienia, po omówieniu ich z projektantem pierwotnych rozwiązań.]</w:t>
      </w:r>
    </w:p>
    <w:p w14:paraId="56B8C0D5" w14:textId="3EEDCA5B" w:rsidR="005D6805" w:rsidRDefault="005D6805" w:rsidP="00106C39">
      <w:pPr>
        <w:spacing w:before="120" w:after="120" w:line="240" w:lineRule="auto"/>
        <w:jc w:val="both"/>
        <w:rPr>
          <w:rFonts w:ascii="Arial" w:hAnsi="Arial" w:cs="Arial"/>
          <w:b/>
          <w:color w:val="538135" w:themeColor="accent6" w:themeShade="BF"/>
          <w:sz w:val="21"/>
          <w:szCs w:val="21"/>
          <w:u w:val="single"/>
        </w:rPr>
      </w:pPr>
    </w:p>
    <w:p w14:paraId="4CEA88C2" w14:textId="34DAC072" w:rsidR="00F128F6" w:rsidRPr="00B3602A" w:rsidRDefault="00F128F6" w:rsidP="00C24D08">
      <w:pPr>
        <w:spacing w:before="120" w:after="120" w:line="240" w:lineRule="auto"/>
        <w:jc w:val="both"/>
        <w:rPr>
          <w:rFonts w:ascii="Arial" w:hAnsi="Arial" w:cs="Arial"/>
          <w:b/>
          <w:color w:val="538135" w:themeColor="accent6" w:themeShade="BF"/>
          <w:u w:val="single"/>
        </w:rPr>
      </w:pPr>
      <w:r w:rsidRPr="00B3602A">
        <w:rPr>
          <w:rFonts w:ascii="Arial" w:hAnsi="Arial" w:cs="Arial"/>
          <w:b/>
          <w:color w:val="538135" w:themeColor="accent6" w:themeShade="BF"/>
          <w:u w:val="single"/>
        </w:rPr>
        <w:t xml:space="preserve">Koszty utrzymania               </w:t>
      </w:r>
    </w:p>
    <w:p w14:paraId="66F58CDD" w14:textId="1F750694" w:rsidR="00C77771" w:rsidRPr="00BE26D5" w:rsidRDefault="00F128F6" w:rsidP="00C77771">
      <w:pPr>
        <w:spacing w:line="240" w:lineRule="auto"/>
        <w:contextualSpacing/>
        <w:jc w:val="both"/>
        <w:rPr>
          <w:rFonts w:ascii="Arial" w:hAnsi="Arial" w:cs="Arial"/>
          <w:color w:val="806000" w:themeColor="accent4" w:themeShade="80"/>
        </w:rPr>
      </w:pPr>
      <w:r w:rsidRPr="00B3602A">
        <w:rPr>
          <w:rFonts w:ascii="Arial" w:hAnsi="Arial" w:cs="Arial"/>
          <w:color w:val="806000" w:themeColor="accent4" w:themeShade="80"/>
        </w:rPr>
        <w:t xml:space="preserve">Koszty utrzymania </w:t>
      </w:r>
      <w:r w:rsidR="00580351" w:rsidRPr="00B3602A">
        <w:rPr>
          <w:rFonts w:ascii="Arial" w:hAnsi="Arial" w:cs="Arial"/>
          <w:color w:val="806000" w:themeColor="accent4" w:themeShade="80"/>
        </w:rPr>
        <w:t xml:space="preserve">budynku w należytym stanie technicznym i estetycznym, w okresie </w:t>
      </w:r>
      <w:r w:rsidRPr="00B3602A">
        <w:rPr>
          <w:rFonts w:ascii="Arial" w:hAnsi="Arial" w:cs="Arial"/>
          <w:color w:val="806000" w:themeColor="accent4" w:themeShade="80"/>
        </w:rPr>
        <w:t>eksploatacji budynku</w:t>
      </w:r>
      <w:r w:rsidRPr="00BE26D5">
        <w:rPr>
          <w:rFonts w:ascii="Arial" w:hAnsi="Arial" w:cs="Arial"/>
          <w:color w:val="806000" w:themeColor="accent4" w:themeShade="80"/>
        </w:rPr>
        <w:t xml:space="preserve">, </w:t>
      </w:r>
      <w:r w:rsidR="00B3602A" w:rsidRPr="00BE26D5">
        <w:rPr>
          <w:rFonts w:ascii="Arial" w:hAnsi="Arial" w:cs="Arial"/>
          <w:color w:val="806000" w:themeColor="accent4" w:themeShade="80"/>
        </w:rPr>
        <w:t>z</w:t>
      </w:r>
      <w:r w:rsidRPr="00BE26D5">
        <w:rPr>
          <w:rFonts w:ascii="Arial" w:hAnsi="Arial" w:cs="Arial"/>
          <w:color w:val="806000" w:themeColor="accent4" w:themeShade="80"/>
        </w:rPr>
        <w:t xml:space="preserve">amawiający obliczy jako sumę jednostkowych kosztów utrzymania wyrobów w okresie obliczeniowym pomniejszonych o wartość gwarancji wykonawcy dla danego wyrobu, </w:t>
      </w:r>
      <w:r w:rsidR="00C77771" w:rsidRPr="00BE26D5">
        <w:rPr>
          <w:rFonts w:ascii="Arial" w:hAnsi="Arial" w:cs="Arial"/>
          <w:color w:val="806000" w:themeColor="accent4" w:themeShade="80"/>
        </w:rPr>
        <w:t>według wzoru:</w:t>
      </w:r>
    </w:p>
    <w:p w14:paraId="7529FA2F" w14:textId="77777777" w:rsidR="00C77771" w:rsidRPr="00BE26D5" w:rsidRDefault="00000000" w:rsidP="00C77771">
      <w:pPr>
        <w:pStyle w:val="ARTartustawynprozporzdzenia"/>
        <w:spacing w:line="240" w:lineRule="auto"/>
        <w:contextualSpacing/>
        <w:rPr>
          <w:rFonts w:ascii="Arial" w:hAnsi="Arial"/>
          <w:color w:val="806000" w:themeColor="accent4" w:themeShade="80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color w:val="806000" w:themeColor="accent4" w:themeShade="80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806000" w:themeColor="accent4" w:themeShade="80"/>
                  <w:sz w:val="22"/>
                  <w:szCs w:val="22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806000" w:themeColor="accent4" w:themeShade="80"/>
                  <w:sz w:val="22"/>
                  <w:szCs w:val="22"/>
                </w:rPr>
                <m:t>ut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806000" w:themeColor="accent4" w:themeShade="80"/>
              <w:sz w:val="22"/>
              <w:szCs w:val="22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color w:val="806000" w:themeColor="accent4" w:themeShade="80"/>
                  <w:sz w:val="22"/>
                  <w:szCs w:val="22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806000" w:themeColor="accent4" w:themeShade="80"/>
                  <w:sz w:val="22"/>
                  <w:szCs w:val="22"/>
                </w:rPr>
                <m:t>k=1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806000" w:themeColor="accent4" w:themeShade="80"/>
                  <w:sz w:val="22"/>
                  <w:szCs w:val="22"/>
                </w:rPr>
                <m:t>i</m:t>
              </m:r>
            </m:sup>
            <m:e>
              <m:r>
                <w:rPr>
                  <w:rFonts w:ascii="Cambria Math" w:hAnsi="Cambria Math"/>
                  <w:color w:val="806000" w:themeColor="accent4" w:themeShade="80"/>
                  <w:sz w:val="22"/>
                  <w:szCs w:val="22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color w:val="806000" w:themeColor="accent4" w:themeShade="80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806000" w:themeColor="accent4" w:themeShade="80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806000" w:themeColor="accent4" w:themeShade="80"/>
                      <w:sz w:val="22"/>
                      <w:szCs w:val="22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806000" w:themeColor="accent4" w:themeShade="80"/>
                  <w:sz w:val="22"/>
                  <w:szCs w:val="22"/>
                </w:rPr>
                <m:t>-</m:t>
              </m:r>
            </m:e>
          </m:nary>
          <m:sSub>
            <m:sSubPr>
              <m:ctrlPr>
                <w:rPr>
                  <w:rFonts w:ascii="Cambria Math" w:hAnsi="Cambria Math"/>
                  <w:color w:val="806000" w:themeColor="accent4" w:themeShade="80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806000" w:themeColor="accent4" w:themeShade="80"/>
                  <w:sz w:val="22"/>
                  <w:szCs w:val="22"/>
                </w:rPr>
                <m:t xml:space="preserve"> 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806000" w:themeColor="accent4" w:themeShade="80"/>
                  <w:sz w:val="22"/>
                  <w:szCs w:val="22"/>
                </w:rPr>
                <m:t>i</m:t>
              </m:r>
            </m:sub>
          </m:sSub>
          <m:r>
            <w:rPr>
              <w:rFonts w:ascii="Cambria Math" w:hAnsi="Cambria Math"/>
              <w:color w:val="806000" w:themeColor="accent4" w:themeShade="80"/>
              <w:sz w:val="22"/>
              <w:szCs w:val="22"/>
            </w:rPr>
            <m:t>)</m:t>
          </m:r>
        </m:oMath>
      </m:oMathPara>
    </w:p>
    <w:p w14:paraId="666FDF99" w14:textId="77777777" w:rsidR="00C77771" w:rsidRPr="00BE26D5" w:rsidRDefault="00C77771" w:rsidP="00C77771">
      <w:pPr>
        <w:pStyle w:val="PKTpunkt"/>
        <w:spacing w:line="240" w:lineRule="auto"/>
        <w:contextualSpacing/>
        <w:rPr>
          <w:rFonts w:ascii="Arial" w:hAnsi="Arial"/>
          <w:color w:val="806000" w:themeColor="accent4" w:themeShade="80"/>
          <w:sz w:val="22"/>
          <w:szCs w:val="22"/>
        </w:rPr>
      </w:pPr>
      <w:r w:rsidRPr="00BE26D5">
        <w:rPr>
          <w:rFonts w:ascii="Arial" w:hAnsi="Arial"/>
          <w:color w:val="806000" w:themeColor="accent4" w:themeShade="80"/>
          <w:sz w:val="22"/>
          <w:szCs w:val="22"/>
        </w:rPr>
        <w:t>gdzie:</w:t>
      </w:r>
    </w:p>
    <w:p w14:paraId="6AD97FDD" w14:textId="77777777" w:rsidR="00065088" w:rsidRPr="00BE26D5" w:rsidRDefault="00065088" w:rsidP="00065088">
      <w:pPr>
        <w:pStyle w:val="PKTpunkt"/>
        <w:spacing w:line="240" w:lineRule="auto"/>
        <w:contextualSpacing/>
        <w:rPr>
          <w:rFonts w:ascii="Arial" w:hAnsi="Arial"/>
          <w:color w:val="806000" w:themeColor="accent4" w:themeShade="80"/>
          <w:sz w:val="22"/>
          <w:szCs w:val="22"/>
        </w:rPr>
      </w:pPr>
      <w:r w:rsidRPr="00BE26D5">
        <w:rPr>
          <w:rFonts w:ascii="Arial" w:hAnsi="Arial"/>
          <w:color w:val="806000" w:themeColor="accent4" w:themeShade="80"/>
          <w:sz w:val="22"/>
          <w:szCs w:val="22"/>
        </w:rPr>
        <w:t xml:space="preserve">i </w:t>
      </w:r>
      <w:r w:rsidRPr="00BE26D5">
        <w:rPr>
          <w:rFonts w:ascii="Arial" w:hAnsi="Arial"/>
          <w:color w:val="806000" w:themeColor="accent4" w:themeShade="80"/>
          <w:sz w:val="22"/>
          <w:szCs w:val="22"/>
        </w:rPr>
        <w:tab/>
        <w:t>– każdy kolejny wyrób,</w:t>
      </w:r>
    </w:p>
    <w:p w14:paraId="350B3E7E" w14:textId="77777777" w:rsidR="00065088" w:rsidRPr="00BE26D5" w:rsidRDefault="00065088" w:rsidP="00065088">
      <w:pPr>
        <w:pStyle w:val="PKTpunkt"/>
        <w:spacing w:line="240" w:lineRule="auto"/>
        <w:contextualSpacing/>
        <w:rPr>
          <w:rFonts w:ascii="Arial" w:hAnsi="Arial"/>
          <w:color w:val="806000" w:themeColor="accent4" w:themeShade="80"/>
          <w:sz w:val="22"/>
          <w:szCs w:val="22"/>
        </w:rPr>
      </w:pPr>
      <w:proofErr w:type="spellStart"/>
      <w:r w:rsidRPr="00BE26D5">
        <w:rPr>
          <w:rFonts w:ascii="Arial" w:hAnsi="Arial"/>
          <w:color w:val="806000" w:themeColor="accent4" w:themeShade="80"/>
          <w:sz w:val="22"/>
          <w:szCs w:val="22"/>
        </w:rPr>
        <w:t>A</w:t>
      </w:r>
      <w:r w:rsidRPr="00BE26D5">
        <w:rPr>
          <w:rStyle w:val="IDindeksdolny"/>
          <w:rFonts w:ascii="Arial" w:hAnsi="Arial"/>
          <w:color w:val="806000" w:themeColor="accent4" w:themeShade="80"/>
          <w:sz w:val="22"/>
          <w:szCs w:val="22"/>
        </w:rPr>
        <w:t>i</w:t>
      </w:r>
      <w:proofErr w:type="spellEnd"/>
      <w:r w:rsidRPr="00BE26D5">
        <w:rPr>
          <w:rFonts w:ascii="Arial" w:hAnsi="Arial"/>
          <w:color w:val="806000" w:themeColor="accent4" w:themeShade="80"/>
          <w:sz w:val="22"/>
          <w:szCs w:val="22"/>
        </w:rPr>
        <w:t> </w:t>
      </w:r>
      <w:r w:rsidRPr="00BE26D5">
        <w:rPr>
          <w:rFonts w:ascii="Arial" w:hAnsi="Arial"/>
          <w:color w:val="806000" w:themeColor="accent4" w:themeShade="80"/>
          <w:sz w:val="22"/>
          <w:szCs w:val="22"/>
        </w:rPr>
        <w:tab/>
        <w:t>– koszt utrzymania i</w:t>
      </w:r>
      <w:r w:rsidRPr="00BE26D5">
        <w:rPr>
          <w:rFonts w:ascii="Arial" w:hAnsi="Arial"/>
          <w:color w:val="806000" w:themeColor="accent4" w:themeShade="80"/>
          <w:sz w:val="22"/>
          <w:szCs w:val="22"/>
        </w:rPr>
        <w:softHyphen/>
      </w:r>
      <w:r w:rsidRPr="00BE26D5">
        <w:rPr>
          <w:rFonts w:ascii="Arial" w:hAnsi="Arial"/>
          <w:color w:val="806000" w:themeColor="accent4" w:themeShade="80"/>
          <w:sz w:val="22"/>
          <w:szCs w:val="22"/>
        </w:rPr>
        <w:softHyphen/>
      </w:r>
      <w:r w:rsidRPr="00BE26D5">
        <w:rPr>
          <w:rFonts w:ascii="Arial" w:hAnsi="Arial"/>
          <w:color w:val="806000" w:themeColor="accent4" w:themeShade="80"/>
          <w:sz w:val="22"/>
          <w:szCs w:val="22"/>
        </w:rPr>
        <w:noBreakHyphen/>
        <w:t xml:space="preserve">tego wyrobu w okresie obliczeniowym, </w:t>
      </w:r>
    </w:p>
    <w:p w14:paraId="0B692F55" w14:textId="77777777" w:rsidR="00065088" w:rsidRPr="00BE26D5" w:rsidRDefault="00065088" w:rsidP="00065088">
      <w:pPr>
        <w:pStyle w:val="PKTpunkt"/>
        <w:spacing w:line="240" w:lineRule="auto"/>
        <w:contextualSpacing/>
        <w:rPr>
          <w:rFonts w:ascii="Arial" w:hAnsi="Arial"/>
          <w:color w:val="806000" w:themeColor="accent4" w:themeShade="80"/>
          <w:sz w:val="22"/>
          <w:szCs w:val="22"/>
        </w:rPr>
      </w:pPr>
      <w:r w:rsidRPr="00BE26D5">
        <w:rPr>
          <w:rFonts w:ascii="Arial" w:hAnsi="Arial"/>
          <w:color w:val="806000" w:themeColor="accent4" w:themeShade="80"/>
          <w:sz w:val="22"/>
          <w:szCs w:val="22"/>
        </w:rPr>
        <w:t>B</w:t>
      </w:r>
      <w:r w:rsidRPr="00BE26D5">
        <w:rPr>
          <w:rStyle w:val="IDindeksdolny"/>
          <w:rFonts w:ascii="Arial" w:hAnsi="Arial"/>
          <w:color w:val="806000" w:themeColor="accent4" w:themeShade="80"/>
          <w:sz w:val="22"/>
          <w:szCs w:val="22"/>
        </w:rPr>
        <w:t>i</w:t>
      </w:r>
      <w:r w:rsidRPr="00BE26D5">
        <w:rPr>
          <w:rFonts w:ascii="Arial" w:hAnsi="Arial"/>
          <w:color w:val="806000" w:themeColor="accent4" w:themeShade="80"/>
          <w:sz w:val="22"/>
          <w:szCs w:val="22"/>
        </w:rPr>
        <w:t xml:space="preserve"> </w:t>
      </w:r>
      <w:r w:rsidRPr="00BE26D5">
        <w:rPr>
          <w:rFonts w:ascii="Arial" w:hAnsi="Arial"/>
          <w:color w:val="806000" w:themeColor="accent4" w:themeShade="80"/>
          <w:sz w:val="22"/>
          <w:szCs w:val="22"/>
        </w:rPr>
        <w:tab/>
        <w:t>– wartość gwarancji wykonawcy i</w:t>
      </w:r>
      <w:r w:rsidRPr="00BE26D5">
        <w:rPr>
          <w:rFonts w:ascii="Arial" w:hAnsi="Arial"/>
          <w:color w:val="806000" w:themeColor="accent4" w:themeShade="80"/>
          <w:sz w:val="22"/>
          <w:szCs w:val="22"/>
        </w:rPr>
        <w:softHyphen/>
      </w:r>
      <w:r w:rsidRPr="00BE26D5">
        <w:rPr>
          <w:rFonts w:ascii="Arial" w:hAnsi="Arial"/>
          <w:color w:val="806000" w:themeColor="accent4" w:themeShade="80"/>
          <w:sz w:val="22"/>
          <w:szCs w:val="22"/>
        </w:rPr>
        <w:softHyphen/>
      </w:r>
      <w:r w:rsidRPr="00BE26D5">
        <w:rPr>
          <w:rFonts w:ascii="Arial" w:hAnsi="Arial"/>
          <w:color w:val="806000" w:themeColor="accent4" w:themeShade="80"/>
          <w:sz w:val="22"/>
          <w:szCs w:val="22"/>
        </w:rPr>
        <w:noBreakHyphen/>
        <w:t>tego wyrobu.</w:t>
      </w:r>
    </w:p>
    <w:p w14:paraId="315EB68B" w14:textId="77777777" w:rsidR="008C43DC" w:rsidRPr="00BE26D5" w:rsidRDefault="008C43DC" w:rsidP="00065088">
      <w:pPr>
        <w:pStyle w:val="USTustnpkodeksu"/>
        <w:spacing w:line="240" w:lineRule="auto"/>
        <w:ind w:firstLine="0"/>
        <w:contextualSpacing/>
        <w:rPr>
          <w:rFonts w:ascii="Arial" w:hAnsi="Arial"/>
          <w:color w:val="806000" w:themeColor="accent4" w:themeShade="80"/>
          <w:sz w:val="22"/>
          <w:szCs w:val="22"/>
        </w:rPr>
      </w:pPr>
    </w:p>
    <w:p w14:paraId="5D499543" w14:textId="0B46ACC5" w:rsidR="00065088" w:rsidRPr="00BE26D5" w:rsidRDefault="00065088" w:rsidP="00065088">
      <w:pPr>
        <w:pStyle w:val="USTustnpkodeksu"/>
        <w:spacing w:line="240" w:lineRule="auto"/>
        <w:ind w:firstLine="0"/>
        <w:contextualSpacing/>
        <w:rPr>
          <w:rFonts w:ascii="Arial" w:hAnsi="Arial"/>
          <w:color w:val="806000" w:themeColor="accent4" w:themeShade="80"/>
          <w:sz w:val="22"/>
          <w:szCs w:val="22"/>
        </w:rPr>
      </w:pPr>
      <w:r w:rsidRPr="00BE26D5">
        <w:rPr>
          <w:rFonts w:ascii="Arial" w:hAnsi="Arial"/>
          <w:color w:val="806000" w:themeColor="accent4" w:themeShade="80"/>
          <w:sz w:val="22"/>
          <w:szCs w:val="22"/>
        </w:rPr>
        <w:t>Koszt utrzymania i</w:t>
      </w:r>
      <w:r w:rsidRPr="00BE26D5">
        <w:rPr>
          <w:rFonts w:ascii="Arial" w:hAnsi="Arial"/>
          <w:color w:val="806000" w:themeColor="accent4" w:themeShade="80"/>
          <w:sz w:val="22"/>
          <w:szCs w:val="22"/>
        </w:rPr>
        <w:softHyphen/>
      </w:r>
      <w:r w:rsidRPr="00BE26D5">
        <w:rPr>
          <w:rFonts w:ascii="Arial" w:hAnsi="Arial"/>
          <w:color w:val="806000" w:themeColor="accent4" w:themeShade="80"/>
          <w:sz w:val="22"/>
          <w:szCs w:val="22"/>
        </w:rPr>
        <w:noBreakHyphen/>
        <w:t>tego wyrobu w okresie obliczeniowym oblicza się według wzoru:</w:t>
      </w:r>
    </w:p>
    <w:p w14:paraId="6AF00CD2" w14:textId="77777777" w:rsidR="00065088" w:rsidRPr="00BE26D5" w:rsidRDefault="00065088" w:rsidP="00065088">
      <w:pPr>
        <w:pStyle w:val="WMATFIZCHEMwzrmatfizlubchem"/>
        <w:spacing w:line="240" w:lineRule="auto"/>
        <w:contextualSpacing/>
        <w:rPr>
          <w:rFonts w:ascii="Arial" w:hAnsi="Arial"/>
          <w:color w:val="806000" w:themeColor="accent4" w:themeShade="80"/>
          <w:sz w:val="22"/>
          <w:szCs w:val="22"/>
        </w:rPr>
      </w:pPr>
      <w:proofErr w:type="spellStart"/>
      <w:r w:rsidRPr="00BE26D5">
        <w:rPr>
          <w:rFonts w:ascii="Arial" w:hAnsi="Arial"/>
          <w:color w:val="806000" w:themeColor="accent4" w:themeShade="80"/>
          <w:sz w:val="22"/>
          <w:szCs w:val="22"/>
        </w:rPr>
        <w:t>A</w:t>
      </w:r>
      <w:r w:rsidRPr="00BE26D5">
        <w:rPr>
          <w:rStyle w:val="IDindeksdolny"/>
          <w:rFonts w:ascii="Arial" w:hAnsi="Arial"/>
          <w:color w:val="806000" w:themeColor="accent4" w:themeShade="80"/>
          <w:sz w:val="22"/>
          <w:szCs w:val="22"/>
        </w:rPr>
        <w:t>i</w:t>
      </w:r>
      <w:proofErr w:type="spellEnd"/>
      <w:r w:rsidRPr="00BE26D5">
        <w:rPr>
          <w:rStyle w:val="IDindeksdolny"/>
          <w:rFonts w:ascii="Arial" w:hAnsi="Arial"/>
          <w:color w:val="806000" w:themeColor="accent4" w:themeShade="80"/>
          <w:sz w:val="22"/>
          <w:szCs w:val="22"/>
        </w:rPr>
        <w:t xml:space="preserve"> </w:t>
      </w:r>
      <w:r w:rsidRPr="00BE26D5">
        <w:rPr>
          <w:rFonts w:ascii="Arial" w:hAnsi="Arial"/>
          <w:color w:val="806000" w:themeColor="accent4" w:themeShade="80"/>
          <w:sz w:val="22"/>
          <w:szCs w:val="22"/>
        </w:rPr>
        <w:t xml:space="preserve">= I · K · N </w:t>
      </w:r>
    </w:p>
    <w:p w14:paraId="1628BA32" w14:textId="77777777" w:rsidR="00065088" w:rsidRPr="00BE26D5" w:rsidRDefault="00065088" w:rsidP="00065088">
      <w:pPr>
        <w:pStyle w:val="PKTpunkt"/>
        <w:spacing w:line="240" w:lineRule="auto"/>
        <w:contextualSpacing/>
        <w:rPr>
          <w:rFonts w:ascii="Arial" w:hAnsi="Arial"/>
          <w:color w:val="806000" w:themeColor="accent4" w:themeShade="80"/>
          <w:sz w:val="22"/>
          <w:szCs w:val="22"/>
        </w:rPr>
      </w:pPr>
      <w:r w:rsidRPr="00BE26D5">
        <w:rPr>
          <w:rFonts w:ascii="Arial" w:hAnsi="Arial"/>
          <w:color w:val="806000" w:themeColor="accent4" w:themeShade="80"/>
          <w:sz w:val="22"/>
          <w:szCs w:val="22"/>
        </w:rPr>
        <w:t>gdzie:</w:t>
      </w:r>
    </w:p>
    <w:p w14:paraId="337BC4D7" w14:textId="77777777" w:rsidR="00065088" w:rsidRPr="00BE26D5" w:rsidRDefault="00065088" w:rsidP="00065088">
      <w:pPr>
        <w:pStyle w:val="PKTpunkt"/>
        <w:spacing w:line="240" w:lineRule="auto"/>
        <w:contextualSpacing/>
        <w:rPr>
          <w:rFonts w:ascii="Arial" w:hAnsi="Arial"/>
          <w:color w:val="806000" w:themeColor="accent4" w:themeShade="80"/>
          <w:sz w:val="22"/>
          <w:szCs w:val="22"/>
        </w:rPr>
      </w:pPr>
      <w:r w:rsidRPr="00BE26D5">
        <w:rPr>
          <w:rFonts w:ascii="Arial" w:hAnsi="Arial"/>
          <w:color w:val="806000" w:themeColor="accent4" w:themeShade="80"/>
          <w:sz w:val="22"/>
          <w:szCs w:val="22"/>
        </w:rPr>
        <w:t xml:space="preserve">I </w:t>
      </w:r>
      <w:r w:rsidRPr="00BE26D5">
        <w:rPr>
          <w:rFonts w:ascii="Arial" w:hAnsi="Arial"/>
          <w:color w:val="806000" w:themeColor="accent4" w:themeShade="80"/>
          <w:sz w:val="22"/>
          <w:szCs w:val="22"/>
        </w:rPr>
        <w:tab/>
        <w:t>– liczba jednostek wyrobu,</w:t>
      </w:r>
    </w:p>
    <w:p w14:paraId="2E3B3A2F" w14:textId="77777777" w:rsidR="00065088" w:rsidRPr="00BE26D5" w:rsidRDefault="00065088" w:rsidP="00065088">
      <w:pPr>
        <w:pStyle w:val="PKTpunkt"/>
        <w:spacing w:line="240" w:lineRule="auto"/>
        <w:contextualSpacing/>
        <w:rPr>
          <w:rFonts w:ascii="Arial" w:hAnsi="Arial"/>
          <w:color w:val="806000" w:themeColor="accent4" w:themeShade="80"/>
          <w:sz w:val="22"/>
          <w:szCs w:val="22"/>
        </w:rPr>
      </w:pPr>
      <w:r w:rsidRPr="00BE26D5">
        <w:rPr>
          <w:rFonts w:ascii="Arial" w:hAnsi="Arial"/>
          <w:color w:val="806000" w:themeColor="accent4" w:themeShade="80"/>
          <w:sz w:val="22"/>
          <w:szCs w:val="22"/>
        </w:rPr>
        <w:t xml:space="preserve">K </w:t>
      </w:r>
      <w:r w:rsidRPr="00BE26D5">
        <w:rPr>
          <w:rFonts w:ascii="Arial" w:hAnsi="Arial"/>
          <w:color w:val="806000" w:themeColor="accent4" w:themeShade="80"/>
          <w:sz w:val="22"/>
          <w:szCs w:val="22"/>
        </w:rPr>
        <w:tab/>
        <w:t>– koszt wymiany jednostki wyrobu,</w:t>
      </w:r>
    </w:p>
    <w:p w14:paraId="3133DAE4" w14:textId="77777777" w:rsidR="00065088" w:rsidRPr="00BE26D5" w:rsidRDefault="00065088" w:rsidP="00065088">
      <w:pPr>
        <w:pStyle w:val="PKTpunkt"/>
        <w:spacing w:line="240" w:lineRule="auto"/>
        <w:contextualSpacing/>
        <w:rPr>
          <w:rFonts w:ascii="Arial" w:hAnsi="Arial"/>
          <w:color w:val="806000" w:themeColor="accent4" w:themeShade="80"/>
          <w:sz w:val="22"/>
          <w:szCs w:val="22"/>
        </w:rPr>
      </w:pPr>
      <w:r w:rsidRPr="00BE26D5">
        <w:rPr>
          <w:rFonts w:ascii="Arial" w:hAnsi="Arial"/>
          <w:color w:val="806000" w:themeColor="accent4" w:themeShade="80"/>
          <w:sz w:val="22"/>
          <w:szCs w:val="22"/>
        </w:rPr>
        <w:t xml:space="preserve">N </w:t>
      </w:r>
      <w:r w:rsidRPr="00BE26D5">
        <w:rPr>
          <w:rFonts w:ascii="Arial" w:hAnsi="Arial"/>
          <w:color w:val="806000" w:themeColor="accent4" w:themeShade="80"/>
          <w:sz w:val="22"/>
          <w:szCs w:val="22"/>
        </w:rPr>
        <w:tab/>
        <w:t xml:space="preserve">– liczba cykli użytkowania wyrobu w okresie obliczeniowym zgodnie z   </w:t>
      </w:r>
    </w:p>
    <w:p w14:paraId="2D61310D" w14:textId="77777777" w:rsidR="00065088" w:rsidRPr="00BE26D5" w:rsidRDefault="00065088" w:rsidP="00065088">
      <w:pPr>
        <w:pStyle w:val="PKTpunkt"/>
        <w:spacing w:line="240" w:lineRule="auto"/>
        <w:contextualSpacing/>
        <w:rPr>
          <w:rFonts w:ascii="Arial" w:hAnsi="Arial"/>
          <w:color w:val="806000" w:themeColor="accent4" w:themeShade="80"/>
          <w:sz w:val="22"/>
          <w:szCs w:val="22"/>
        </w:rPr>
      </w:pPr>
      <w:r w:rsidRPr="00BE26D5">
        <w:rPr>
          <w:rFonts w:ascii="Arial" w:hAnsi="Arial"/>
          <w:color w:val="806000" w:themeColor="accent4" w:themeShade="80"/>
          <w:sz w:val="22"/>
          <w:szCs w:val="22"/>
        </w:rPr>
        <w:t xml:space="preserve">          załącznikiem nr 1 do rozporządzenia.</w:t>
      </w:r>
    </w:p>
    <w:p w14:paraId="6339CB1F" w14:textId="77777777" w:rsidR="00065088" w:rsidRPr="00BE26D5" w:rsidRDefault="00065088" w:rsidP="00065088">
      <w:pPr>
        <w:pStyle w:val="PKTpunkt"/>
        <w:spacing w:line="240" w:lineRule="auto"/>
        <w:contextualSpacing/>
        <w:rPr>
          <w:rFonts w:ascii="Arial" w:hAnsi="Arial"/>
          <w:color w:val="806000" w:themeColor="accent4" w:themeShade="80"/>
          <w:sz w:val="22"/>
          <w:szCs w:val="22"/>
        </w:rPr>
      </w:pPr>
    </w:p>
    <w:p w14:paraId="04A3797F" w14:textId="109FF2FF" w:rsidR="00065088" w:rsidRPr="00BE26D5" w:rsidRDefault="00065088" w:rsidP="00065088">
      <w:pPr>
        <w:pStyle w:val="PKTpunkt"/>
        <w:spacing w:line="240" w:lineRule="auto"/>
        <w:contextualSpacing/>
        <w:rPr>
          <w:rFonts w:ascii="Arial" w:hAnsi="Arial"/>
          <w:color w:val="806000" w:themeColor="accent4" w:themeShade="80"/>
          <w:sz w:val="22"/>
          <w:szCs w:val="22"/>
        </w:rPr>
      </w:pPr>
      <w:r w:rsidRPr="00BE26D5">
        <w:rPr>
          <w:rFonts w:ascii="Arial" w:hAnsi="Arial"/>
          <w:color w:val="806000" w:themeColor="accent4" w:themeShade="80"/>
          <w:sz w:val="22"/>
          <w:szCs w:val="22"/>
        </w:rPr>
        <w:t>Wartość gwarancji wykonawcy i</w:t>
      </w:r>
      <w:r w:rsidRPr="00BE26D5">
        <w:rPr>
          <w:rFonts w:ascii="Arial" w:hAnsi="Arial"/>
          <w:color w:val="806000" w:themeColor="accent4" w:themeShade="80"/>
          <w:sz w:val="22"/>
          <w:szCs w:val="22"/>
        </w:rPr>
        <w:softHyphen/>
      </w:r>
      <w:r w:rsidRPr="00BE26D5">
        <w:rPr>
          <w:rFonts w:ascii="Arial" w:hAnsi="Arial"/>
          <w:color w:val="806000" w:themeColor="accent4" w:themeShade="80"/>
          <w:sz w:val="22"/>
          <w:szCs w:val="22"/>
        </w:rPr>
        <w:softHyphen/>
      </w:r>
      <w:r w:rsidRPr="00BE26D5">
        <w:rPr>
          <w:rFonts w:ascii="Arial" w:hAnsi="Arial"/>
          <w:color w:val="806000" w:themeColor="accent4" w:themeShade="80"/>
          <w:sz w:val="22"/>
          <w:szCs w:val="22"/>
        </w:rPr>
        <w:noBreakHyphen/>
        <w:t>tego wyrobu oblicza się według wzoru:</w:t>
      </w:r>
    </w:p>
    <w:p w14:paraId="0E78B257" w14:textId="77777777" w:rsidR="00065088" w:rsidRPr="00BE26D5" w:rsidRDefault="00065088" w:rsidP="00065088">
      <w:pPr>
        <w:pStyle w:val="WMATFIZCHEMwzrmatfizlubchem"/>
        <w:spacing w:line="240" w:lineRule="auto"/>
        <w:contextualSpacing/>
        <w:rPr>
          <w:rFonts w:ascii="Arial" w:hAnsi="Arial"/>
          <w:color w:val="806000" w:themeColor="accent4" w:themeShade="80"/>
          <w:sz w:val="22"/>
          <w:szCs w:val="22"/>
        </w:rPr>
      </w:pPr>
      <w:r w:rsidRPr="00BE26D5">
        <w:rPr>
          <w:rFonts w:ascii="Arial" w:hAnsi="Arial"/>
          <w:color w:val="806000" w:themeColor="accent4" w:themeShade="80"/>
          <w:sz w:val="22"/>
          <w:szCs w:val="22"/>
        </w:rPr>
        <w:t>B</w:t>
      </w:r>
      <w:r w:rsidRPr="00BE26D5">
        <w:rPr>
          <w:rStyle w:val="IDindeksdolny"/>
          <w:rFonts w:ascii="Arial" w:hAnsi="Arial"/>
          <w:color w:val="806000" w:themeColor="accent4" w:themeShade="80"/>
          <w:sz w:val="22"/>
          <w:szCs w:val="22"/>
        </w:rPr>
        <w:t>i</w:t>
      </w:r>
      <w:r w:rsidRPr="00BE26D5">
        <w:rPr>
          <w:rFonts w:ascii="Arial" w:hAnsi="Arial"/>
          <w:color w:val="806000" w:themeColor="accent4" w:themeShade="80"/>
          <w:sz w:val="22"/>
          <w:szCs w:val="22"/>
        </w:rPr>
        <w:t xml:space="preserve"> = (</w:t>
      </w:r>
      <w:proofErr w:type="spellStart"/>
      <w:r w:rsidRPr="00BE26D5">
        <w:rPr>
          <w:rFonts w:ascii="Arial" w:hAnsi="Arial"/>
          <w:color w:val="806000" w:themeColor="accent4" w:themeShade="80"/>
          <w:sz w:val="22"/>
          <w:szCs w:val="22"/>
        </w:rPr>
        <w:t>A</w:t>
      </w:r>
      <w:r w:rsidRPr="00BE26D5">
        <w:rPr>
          <w:rStyle w:val="IDindeksdolny"/>
          <w:rFonts w:ascii="Arial" w:hAnsi="Arial"/>
          <w:color w:val="806000" w:themeColor="accent4" w:themeShade="80"/>
          <w:sz w:val="22"/>
          <w:szCs w:val="22"/>
        </w:rPr>
        <w:t>i</w:t>
      </w:r>
      <w:proofErr w:type="spellEnd"/>
      <w:r w:rsidRPr="00BE26D5">
        <w:rPr>
          <w:rFonts w:ascii="Arial" w:hAnsi="Arial"/>
          <w:color w:val="806000" w:themeColor="accent4" w:themeShade="80"/>
          <w:sz w:val="22"/>
          <w:szCs w:val="22"/>
        </w:rPr>
        <w:t xml:space="preserve"> · </w:t>
      </w:r>
      <w:proofErr w:type="spellStart"/>
      <w:r w:rsidRPr="00BE26D5">
        <w:rPr>
          <w:rFonts w:ascii="Arial" w:hAnsi="Arial"/>
          <w:color w:val="806000" w:themeColor="accent4" w:themeShade="80"/>
          <w:sz w:val="22"/>
          <w:szCs w:val="22"/>
        </w:rPr>
        <w:t>O</w:t>
      </w:r>
      <w:r w:rsidRPr="00BE26D5">
        <w:rPr>
          <w:rStyle w:val="IDindeksdolny"/>
          <w:rFonts w:ascii="Arial" w:hAnsi="Arial"/>
          <w:color w:val="806000" w:themeColor="accent4" w:themeShade="80"/>
          <w:sz w:val="22"/>
          <w:szCs w:val="22"/>
        </w:rPr>
        <w:t>g</w:t>
      </w:r>
      <w:proofErr w:type="spellEnd"/>
      <w:r w:rsidRPr="00BE26D5">
        <w:rPr>
          <w:rFonts w:ascii="Arial" w:hAnsi="Arial"/>
          <w:color w:val="806000" w:themeColor="accent4" w:themeShade="80"/>
          <w:sz w:val="22"/>
          <w:szCs w:val="22"/>
        </w:rPr>
        <w:t xml:space="preserve"> / 30)</w:t>
      </w:r>
    </w:p>
    <w:p w14:paraId="475E65BB" w14:textId="77777777" w:rsidR="00065088" w:rsidRPr="00BE26D5" w:rsidRDefault="00065088" w:rsidP="00065088">
      <w:pPr>
        <w:pStyle w:val="PKTpunkt"/>
        <w:spacing w:line="240" w:lineRule="auto"/>
        <w:contextualSpacing/>
        <w:rPr>
          <w:rFonts w:ascii="Arial" w:hAnsi="Arial"/>
          <w:color w:val="806000" w:themeColor="accent4" w:themeShade="80"/>
          <w:sz w:val="22"/>
          <w:szCs w:val="22"/>
        </w:rPr>
      </w:pPr>
      <w:r w:rsidRPr="00BE26D5">
        <w:rPr>
          <w:rFonts w:ascii="Arial" w:hAnsi="Arial"/>
          <w:color w:val="806000" w:themeColor="accent4" w:themeShade="80"/>
          <w:sz w:val="22"/>
          <w:szCs w:val="22"/>
        </w:rPr>
        <w:t>gdzie:</w:t>
      </w:r>
    </w:p>
    <w:p w14:paraId="0B71A4A2" w14:textId="77777777" w:rsidR="00065088" w:rsidRPr="00BE26D5" w:rsidRDefault="00065088" w:rsidP="00065088">
      <w:pPr>
        <w:pStyle w:val="PKTpunkt"/>
        <w:spacing w:line="240" w:lineRule="auto"/>
        <w:contextualSpacing/>
        <w:rPr>
          <w:rFonts w:ascii="Arial" w:hAnsi="Arial"/>
          <w:color w:val="806000" w:themeColor="accent4" w:themeShade="80"/>
          <w:sz w:val="22"/>
          <w:szCs w:val="22"/>
        </w:rPr>
      </w:pPr>
      <w:proofErr w:type="spellStart"/>
      <w:r w:rsidRPr="00BE26D5">
        <w:rPr>
          <w:rFonts w:ascii="Arial" w:hAnsi="Arial"/>
          <w:color w:val="806000" w:themeColor="accent4" w:themeShade="80"/>
          <w:sz w:val="22"/>
          <w:szCs w:val="22"/>
        </w:rPr>
        <w:t>O</w:t>
      </w:r>
      <w:r w:rsidRPr="00BE26D5">
        <w:rPr>
          <w:rStyle w:val="IDindeksdolny"/>
          <w:rFonts w:ascii="Arial" w:hAnsi="Arial"/>
          <w:color w:val="806000" w:themeColor="accent4" w:themeShade="80"/>
          <w:sz w:val="22"/>
          <w:szCs w:val="22"/>
        </w:rPr>
        <w:t>g</w:t>
      </w:r>
      <w:proofErr w:type="spellEnd"/>
      <w:r w:rsidRPr="00BE26D5">
        <w:rPr>
          <w:rFonts w:ascii="Arial" w:hAnsi="Arial"/>
          <w:color w:val="806000" w:themeColor="accent4" w:themeShade="80"/>
          <w:sz w:val="22"/>
          <w:szCs w:val="22"/>
        </w:rPr>
        <w:t xml:space="preserve"> </w:t>
      </w:r>
      <w:r w:rsidRPr="00BE26D5">
        <w:rPr>
          <w:rFonts w:ascii="Arial" w:hAnsi="Arial"/>
          <w:color w:val="806000" w:themeColor="accent4" w:themeShade="80"/>
          <w:sz w:val="22"/>
          <w:szCs w:val="22"/>
        </w:rPr>
        <w:tab/>
        <w:t>– okres gwarancji i</w:t>
      </w:r>
      <w:r w:rsidRPr="00BE26D5">
        <w:rPr>
          <w:rFonts w:ascii="Arial" w:hAnsi="Arial"/>
          <w:color w:val="806000" w:themeColor="accent4" w:themeShade="80"/>
          <w:sz w:val="22"/>
          <w:szCs w:val="22"/>
        </w:rPr>
        <w:softHyphen/>
      </w:r>
      <w:r w:rsidRPr="00BE26D5">
        <w:rPr>
          <w:rFonts w:ascii="Arial" w:hAnsi="Arial"/>
          <w:color w:val="806000" w:themeColor="accent4" w:themeShade="80"/>
          <w:sz w:val="22"/>
          <w:szCs w:val="22"/>
        </w:rPr>
        <w:noBreakHyphen/>
        <w:t>tego wyrobu  wyrażony w latach.</w:t>
      </w:r>
    </w:p>
    <w:p w14:paraId="6E33DF9D" w14:textId="527B9828" w:rsidR="00F128F6" w:rsidRPr="00BE26D5" w:rsidRDefault="00F128F6" w:rsidP="00C24D08">
      <w:pPr>
        <w:spacing w:before="120" w:after="120" w:line="240" w:lineRule="auto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</w:p>
    <w:p w14:paraId="7CF1B5A6" w14:textId="4214F7E3" w:rsidR="00675B43" w:rsidRPr="00BE26D5" w:rsidRDefault="007B3326" w:rsidP="00C24D0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</w:pPr>
      <w:r w:rsidRPr="00BE26D5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>D</w:t>
      </w:r>
      <w:r w:rsidR="00077650" w:rsidRPr="00BE26D5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>la</w:t>
      </w:r>
      <w:r w:rsidRPr="00BE26D5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 xml:space="preserve"> obliczenia tych kosztów </w:t>
      </w:r>
      <w:r w:rsidR="00B3602A" w:rsidRPr="00BE26D5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>z</w:t>
      </w:r>
      <w:r w:rsidRPr="00BE26D5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>amawiający</w:t>
      </w:r>
      <w:r w:rsidR="003839FE" w:rsidRPr="00BE26D5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 xml:space="preserve"> </w:t>
      </w:r>
      <w:r w:rsidRPr="00BE26D5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>określ</w:t>
      </w:r>
      <w:r w:rsidR="003839FE" w:rsidRPr="00BE26D5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>a</w:t>
      </w:r>
      <w:r w:rsidRPr="00BE26D5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 xml:space="preserve"> w </w:t>
      </w:r>
      <w:r w:rsidR="00675B43" w:rsidRPr="00BE26D5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>Formularzu danych</w:t>
      </w:r>
      <w:r w:rsidRPr="00BE26D5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 xml:space="preserve"> rodzaje wyrobów oraz liczbę jednostek (I) każdego z tych wyrobów, które uwzględni przy ustalaniu kosztu utrzymania. </w:t>
      </w:r>
      <w:r w:rsidR="00675B43" w:rsidRPr="00BE26D5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 xml:space="preserve">Dla każdego ze wskazanych wyrobów </w:t>
      </w:r>
      <w:r w:rsidR="00B3602A" w:rsidRPr="00BE26D5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>z</w:t>
      </w:r>
      <w:r w:rsidR="00675B43" w:rsidRPr="00BE26D5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>amawiający określa koszt wymiany jednostki wyrobu</w:t>
      </w:r>
      <w:r w:rsidR="0036217C" w:rsidRPr="00BE26D5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 xml:space="preserve"> liczbę cykli (N) użytkowania wyrobu.</w:t>
      </w:r>
    </w:p>
    <w:p w14:paraId="025ABD50" w14:textId="21CCFA5C" w:rsidR="005102EB" w:rsidRPr="005102EB" w:rsidRDefault="005102EB" w:rsidP="00E756FA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</w:pPr>
      <w:r w:rsidRPr="00F174D7">
        <w:rPr>
          <w:rFonts w:ascii="Arial" w:eastAsiaTheme="minorEastAsia" w:hAnsi="Arial" w:cs="Arial"/>
          <w:b/>
          <w:color w:val="806000" w:themeColor="accent4" w:themeShade="80"/>
          <w:sz w:val="21"/>
          <w:szCs w:val="21"/>
          <w:u w:val="single"/>
          <w:lang w:eastAsia="pl-PL"/>
        </w:rPr>
        <w:t>[</w:t>
      </w:r>
      <w:r w:rsidRPr="00F174D7">
        <w:rPr>
          <w:rFonts w:ascii="Arial" w:hAnsi="Arial" w:cs="Arial"/>
          <w:b/>
          <w:color w:val="806000" w:themeColor="accent4" w:themeShade="80"/>
          <w:sz w:val="21"/>
          <w:szCs w:val="21"/>
          <w:u w:val="single"/>
        </w:rPr>
        <w:t>Wskazówka dla zamawiającego:</w:t>
      </w:r>
      <w:r w:rsidRPr="005102EB">
        <w:rPr>
          <w:rFonts w:ascii="Arial" w:hAnsi="Arial" w:cs="Arial"/>
          <w:color w:val="806000" w:themeColor="accent4" w:themeShade="80"/>
          <w:sz w:val="21"/>
          <w:szCs w:val="21"/>
        </w:rPr>
        <w:t xml:space="preserve"> </w:t>
      </w:r>
      <w:r w:rsidRPr="005102EB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 xml:space="preserve">Dokonując wyboru rodzajów wyrobów objętych odpowiednio dokumentacją projektową , które zostaną uwzględnione w kalkulacji kosztów zamawiający bierze pod uwagę ich wpływ na funkcjonowanie budynku i szacowany koszt wyrobów z uwzględnieniem montażu. Koszt ten zamawiający określa na podstawie </w:t>
      </w:r>
      <w:r w:rsidR="00E756FA" w:rsidRPr="00E756FA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>kalkulacj</w:t>
      </w:r>
      <w:r w:rsidR="00E756FA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>i</w:t>
      </w:r>
      <w:r w:rsidR="00E756FA" w:rsidRPr="00E756FA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 xml:space="preserve"> indywidualn</w:t>
      </w:r>
      <w:r w:rsidR="00E756FA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>ych</w:t>
      </w:r>
      <w:r w:rsidR="00E756FA" w:rsidRPr="00E756FA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 xml:space="preserve"> lub kalkulacj</w:t>
      </w:r>
      <w:r w:rsidR="00E756FA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>i</w:t>
      </w:r>
      <w:r w:rsidR="00E756FA" w:rsidRPr="00E756FA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 xml:space="preserve"> opart</w:t>
      </w:r>
      <w:r w:rsidR="00E756FA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>ych</w:t>
      </w:r>
      <w:r w:rsidR="00E756FA" w:rsidRPr="00E756FA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 xml:space="preserve"> o kosztorysowe normy nakładów rzeczowych, oraz metodę interpolacji i ekstrapolacji z uwzględnieniem cen jednostkowych, ustalonych na podstawie danych rynkowych.</w:t>
      </w:r>
      <w:r w:rsidR="00E756FA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 xml:space="preserve"> </w:t>
      </w:r>
      <w:r w:rsidRPr="005102EB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>Liczbę</w:t>
      </w:r>
      <w:r w:rsidRPr="005102EB">
        <w:rPr>
          <w:rFonts w:ascii="Arial" w:hAnsi="Arial" w:cs="Arial"/>
          <w:color w:val="806000" w:themeColor="accent4" w:themeShade="80"/>
          <w:sz w:val="21"/>
          <w:szCs w:val="21"/>
        </w:rPr>
        <w:t xml:space="preserve"> </w:t>
      </w:r>
      <w:r w:rsidRPr="005102EB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>cykli (N) użytkowania wyrobu zamawiający określa dla całego 30- letniego okresu obliczeniowego uwzględniając funkcję budynku oraz przewidywany sposób jego użytkowania. W tym zakresie zamawiający winien posiłkować się załącznikiem nr 1 do rozporządzenia jw. określającym liczbę cykli użytkowania wyrobu w okresie obliczeniowym dla wymienionych w nim rodzajów wyrobów. Dotyczy to przykładowo takich wyrobów jak okna, drzwi, posadzki, instalacje wewnętrzne budynku, dźwigi, elewacje, pokrycia dachowe.]</w:t>
      </w:r>
    </w:p>
    <w:p w14:paraId="6E1D5A96" w14:textId="77777777" w:rsidR="005102EB" w:rsidRPr="00EB23FC" w:rsidRDefault="005102EB" w:rsidP="005102EB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</w:pPr>
      <w:r w:rsidRPr="00F174D7">
        <w:rPr>
          <w:rFonts w:ascii="Arial" w:eastAsiaTheme="minorEastAsia" w:hAnsi="Arial" w:cs="Arial"/>
          <w:b/>
          <w:color w:val="806000" w:themeColor="accent4" w:themeShade="80"/>
          <w:sz w:val="21"/>
          <w:szCs w:val="21"/>
          <w:u w:val="single"/>
          <w:lang w:eastAsia="pl-PL"/>
        </w:rPr>
        <w:lastRenderedPageBreak/>
        <w:t>[</w:t>
      </w:r>
      <w:r w:rsidRPr="00F174D7">
        <w:rPr>
          <w:rFonts w:ascii="Arial" w:hAnsi="Arial" w:cs="Arial"/>
          <w:b/>
          <w:color w:val="806000" w:themeColor="accent4" w:themeShade="80"/>
          <w:sz w:val="21"/>
          <w:szCs w:val="21"/>
          <w:u w:val="single"/>
        </w:rPr>
        <w:t>Wskazówka dla zamawiającego:</w:t>
      </w:r>
      <w:r w:rsidRPr="005102EB">
        <w:rPr>
          <w:rFonts w:ascii="Arial" w:hAnsi="Arial" w:cs="Arial"/>
          <w:color w:val="806000" w:themeColor="accent4" w:themeShade="80"/>
          <w:sz w:val="21"/>
          <w:szCs w:val="21"/>
        </w:rPr>
        <w:t xml:space="preserve"> </w:t>
      </w:r>
      <w:r w:rsidRPr="005102EB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>Przykładowo koszt wymiany jednostki wyrobu (K) zamawiający może obliczyć na podstawie kosztorysu inwestorskiego, który powinien być opracowany w oparciu o ceny rynkowe. Koszt dostawy i montażu zawarte w tym kosztorysie należy uzupełnić o koszty demontażu].</w:t>
      </w:r>
      <w:r w:rsidRPr="00EB23FC"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  <w:t xml:space="preserve"> </w:t>
      </w:r>
    </w:p>
    <w:p w14:paraId="20FAEC98" w14:textId="77777777" w:rsidR="005102EB" w:rsidRPr="00385CFC" w:rsidRDefault="005102EB" w:rsidP="00C24D0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Theme="minorEastAsia" w:hAnsi="Arial" w:cs="Arial"/>
          <w:color w:val="806000" w:themeColor="accent4" w:themeShade="80"/>
          <w:sz w:val="21"/>
          <w:szCs w:val="21"/>
          <w:lang w:eastAsia="pl-PL"/>
        </w:rPr>
      </w:pPr>
    </w:p>
    <w:p w14:paraId="7AF3A2D5" w14:textId="0E26115F" w:rsidR="007B3326" w:rsidRPr="00385CFC" w:rsidRDefault="0036217C" w:rsidP="00C24D08">
      <w:pPr>
        <w:spacing w:before="120" w:after="120" w:line="240" w:lineRule="auto"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>Wykonawca w Formularzu danych określ</w:t>
      </w:r>
      <w:r w:rsidR="00AD1EB3" w:rsidRPr="00385CFC">
        <w:rPr>
          <w:rFonts w:ascii="Arial" w:hAnsi="Arial" w:cs="Arial"/>
          <w:color w:val="806000" w:themeColor="accent4" w:themeShade="80"/>
          <w:sz w:val="21"/>
          <w:szCs w:val="21"/>
        </w:rPr>
        <w:t>a</w:t>
      </w:r>
      <w:r w:rsidR="006016A5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o</w:t>
      </w:r>
      <w:r w:rsidR="00D4687D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kres gwarancji dla poszczególnych wyrobów podanych </w:t>
      </w:r>
      <w:r w:rsidR="006016A5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w nim </w:t>
      </w:r>
      <w:r w:rsidR="00D4687D" w:rsidRPr="00385CFC">
        <w:rPr>
          <w:rFonts w:ascii="Arial" w:hAnsi="Arial" w:cs="Arial"/>
          <w:color w:val="806000" w:themeColor="accent4" w:themeShade="80"/>
          <w:sz w:val="21"/>
          <w:szCs w:val="21"/>
        </w:rPr>
        <w:t>przez zamawiającego.</w:t>
      </w:r>
    </w:p>
    <w:p w14:paraId="600AB21C" w14:textId="4478E86D" w:rsidR="00C24D08" w:rsidRDefault="00C24D08">
      <w:pPr>
        <w:rPr>
          <w:rFonts w:ascii="Arial" w:hAnsi="Arial" w:cs="Arial"/>
          <w:color w:val="806000" w:themeColor="accent4" w:themeShade="80"/>
          <w:sz w:val="21"/>
          <w:szCs w:val="21"/>
        </w:rPr>
      </w:pPr>
    </w:p>
    <w:p w14:paraId="5CA77B0E" w14:textId="44295311" w:rsidR="003E76FD" w:rsidRPr="00385CFC" w:rsidRDefault="0036217C" w:rsidP="005568F2">
      <w:pPr>
        <w:spacing w:line="240" w:lineRule="auto"/>
        <w:contextualSpacing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>T</w:t>
      </w:r>
      <w:r w:rsidR="00E04173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abela </w:t>
      </w:r>
      <w:r w:rsidR="00E75B9F" w:rsidRPr="00385CFC">
        <w:rPr>
          <w:rFonts w:ascii="Arial" w:hAnsi="Arial" w:cs="Arial"/>
          <w:color w:val="806000" w:themeColor="accent4" w:themeShade="80"/>
          <w:sz w:val="21"/>
          <w:szCs w:val="21"/>
        </w:rPr>
        <w:t>4</w:t>
      </w:r>
      <w:r w:rsidR="00BE1A0A">
        <w:rPr>
          <w:rFonts w:ascii="Arial" w:hAnsi="Arial" w:cs="Arial"/>
          <w:color w:val="806000" w:themeColor="accent4" w:themeShade="80"/>
          <w:sz w:val="21"/>
          <w:szCs w:val="21"/>
        </w:rPr>
        <w:t xml:space="preserve"> - </w:t>
      </w:r>
      <w:r w:rsidR="003A6E15" w:rsidRPr="00385CFC">
        <w:rPr>
          <w:rFonts w:ascii="Arial" w:hAnsi="Arial" w:cs="Arial"/>
          <w:color w:val="806000" w:themeColor="accent4" w:themeShade="80"/>
          <w:sz w:val="21"/>
          <w:szCs w:val="21"/>
        </w:rPr>
        <w:t>Koszty utrzymania</w:t>
      </w:r>
    </w:p>
    <w:tbl>
      <w:tblPr>
        <w:tblStyle w:val="Tabelasiatki6kolorowaakcent6"/>
        <w:tblW w:w="10632" w:type="dxa"/>
        <w:tblInd w:w="-714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ayout w:type="fixed"/>
        <w:tblLook w:val="0420" w:firstRow="1" w:lastRow="0" w:firstColumn="0" w:lastColumn="0" w:noHBand="0" w:noVBand="1"/>
      </w:tblPr>
      <w:tblGrid>
        <w:gridCol w:w="709"/>
        <w:gridCol w:w="1561"/>
        <w:gridCol w:w="1274"/>
        <w:gridCol w:w="988"/>
        <w:gridCol w:w="1280"/>
        <w:gridCol w:w="1132"/>
        <w:gridCol w:w="1270"/>
        <w:gridCol w:w="1280"/>
        <w:gridCol w:w="1138"/>
      </w:tblGrid>
      <w:tr w:rsidR="00385CFC" w:rsidRPr="00C24D08" w14:paraId="6F7F8BF1" w14:textId="77777777" w:rsidTr="005102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"/>
        </w:trPr>
        <w:tc>
          <w:tcPr>
            <w:tcW w:w="709" w:type="dxa"/>
            <w:vMerge w:val="restart"/>
            <w:tcBorders>
              <w:bottom w:val="none" w:sz="0" w:space="0" w:color="auto"/>
            </w:tcBorders>
            <w:hideMark/>
          </w:tcPr>
          <w:p w14:paraId="2028ACB8" w14:textId="77777777" w:rsidR="003E76FD" w:rsidRPr="00C24D08" w:rsidRDefault="003E76FD" w:rsidP="003E76FD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561" w:type="dxa"/>
            <w:vMerge w:val="restart"/>
            <w:tcBorders>
              <w:bottom w:val="none" w:sz="0" w:space="0" w:color="auto"/>
            </w:tcBorders>
            <w:hideMark/>
          </w:tcPr>
          <w:p w14:paraId="5376C025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Rodzaje grup kosztów</w:t>
            </w:r>
          </w:p>
          <w:p w14:paraId="0DB63937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(określa zamawiający)</w:t>
            </w:r>
          </w:p>
        </w:tc>
        <w:tc>
          <w:tcPr>
            <w:tcW w:w="1274" w:type="dxa"/>
            <w:tcBorders>
              <w:bottom w:val="none" w:sz="0" w:space="0" w:color="auto"/>
            </w:tcBorders>
          </w:tcPr>
          <w:p w14:paraId="22BDAA6E" w14:textId="77777777" w:rsidR="003E76FD" w:rsidRPr="00C24D08" w:rsidRDefault="003E76FD" w:rsidP="003E76FD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7088" w:type="dxa"/>
            <w:gridSpan w:val="6"/>
            <w:tcBorders>
              <w:bottom w:val="none" w:sz="0" w:space="0" w:color="auto"/>
            </w:tcBorders>
            <w:hideMark/>
          </w:tcPr>
          <w:p w14:paraId="61400152" w14:textId="77777777" w:rsidR="003E76FD" w:rsidRPr="00C24D08" w:rsidRDefault="003E76FD" w:rsidP="003E76FD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</w:tr>
      <w:tr w:rsidR="00385CFC" w:rsidRPr="00C24D08" w14:paraId="66D7F77D" w14:textId="77777777" w:rsidTr="00510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5"/>
        </w:trPr>
        <w:tc>
          <w:tcPr>
            <w:tcW w:w="709" w:type="dxa"/>
            <w:vMerge/>
            <w:hideMark/>
          </w:tcPr>
          <w:p w14:paraId="0B287EA3" w14:textId="77777777" w:rsidR="003E76FD" w:rsidRPr="00C24D08" w:rsidRDefault="003E76FD" w:rsidP="003E76FD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561" w:type="dxa"/>
            <w:vMerge/>
            <w:hideMark/>
          </w:tcPr>
          <w:p w14:paraId="2B8EDDDA" w14:textId="77777777" w:rsidR="003E76FD" w:rsidRPr="00C24D08" w:rsidRDefault="003E76FD" w:rsidP="003E76FD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274" w:type="dxa"/>
          </w:tcPr>
          <w:p w14:paraId="22E1B53C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Liczba cykli użytkowania I-tego wyrobu</w:t>
            </w:r>
          </w:p>
          <w:p w14:paraId="47F28BC0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(wypełnia zamawiający)</w:t>
            </w:r>
          </w:p>
        </w:tc>
        <w:tc>
          <w:tcPr>
            <w:tcW w:w="988" w:type="dxa"/>
            <w:hideMark/>
          </w:tcPr>
          <w:p w14:paraId="3EE80D22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Liczba jednostek</w:t>
            </w:r>
          </w:p>
          <w:p w14:paraId="674C96A8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wyrobu (I) (określa zamawiający)</w:t>
            </w:r>
          </w:p>
        </w:tc>
        <w:tc>
          <w:tcPr>
            <w:tcW w:w="1280" w:type="dxa"/>
            <w:hideMark/>
          </w:tcPr>
          <w:p w14:paraId="003CABEA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Okres gwarancji wyrobu (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iCs/>
                      <w:color w:val="806000" w:themeColor="accent4" w:themeShade="80"/>
                      <w:kern w:val="24"/>
                      <w:sz w:val="18"/>
                      <w:szCs w:val="18"/>
                      <w:lang w:eastAsia="pl-PL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color w:val="806000" w:themeColor="accent4" w:themeShade="80"/>
                      <w:kern w:val="24"/>
                      <w:sz w:val="18"/>
                      <w:szCs w:val="18"/>
                      <w:lang w:eastAsia="pl-PL"/>
                    </w:rPr>
                    <m:t>O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806000" w:themeColor="accent4" w:themeShade="80"/>
                      <w:kern w:val="24"/>
                      <w:sz w:val="18"/>
                      <w:szCs w:val="18"/>
                      <w:lang w:eastAsia="pl-PL"/>
                    </w:rPr>
                    <m:t>g</m:t>
                  </m:r>
                </m:sub>
              </m:sSub>
              <m:r>
                <w:rPr>
                  <w:rFonts w:ascii="Cambria Math" w:eastAsia="Times New Roman" w:hAnsi="Cambria Math" w:cs="Arial"/>
                  <w:color w:val="806000" w:themeColor="accent4" w:themeShade="80"/>
                  <w:kern w:val="24"/>
                  <w:sz w:val="18"/>
                  <w:szCs w:val="18"/>
                  <w:lang w:eastAsia="pl-PL"/>
                </w:rPr>
                <m:t> )</m:t>
              </m:r>
            </m:oMath>
          </w:p>
          <w:p w14:paraId="329BCD4E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(określa wykonawca</w:t>
            </w:r>
          </w:p>
          <w:p w14:paraId="1E200401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w latach)</w:t>
            </w:r>
          </w:p>
        </w:tc>
        <w:tc>
          <w:tcPr>
            <w:tcW w:w="1132" w:type="dxa"/>
            <w:hideMark/>
          </w:tcPr>
          <w:p w14:paraId="4D4653FC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Koszt wymiany</w:t>
            </w:r>
          </w:p>
          <w:p w14:paraId="1E10B82D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jednostki</w:t>
            </w:r>
          </w:p>
          <w:p w14:paraId="027650B9" w14:textId="77777777" w:rsidR="003E76FD" w:rsidRPr="00C24D08" w:rsidRDefault="003E76FD" w:rsidP="003E76FD">
            <w:pPr>
              <w:ind w:right="-146"/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i-tego wyrobu (K) (określa zamawiający)</w:t>
            </w:r>
          </w:p>
        </w:tc>
        <w:tc>
          <w:tcPr>
            <w:tcW w:w="1270" w:type="dxa"/>
            <w:hideMark/>
          </w:tcPr>
          <w:p w14:paraId="1003696E" w14:textId="77777777" w:rsidR="003E76FD" w:rsidRPr="00C24D08" w:rsidRDefault="003E76FD" w:rsidP="003E76FD">
            <w:pPr>
              <w:ind w:right="-140" w:hanging="138"/>
              <w:jc w:val="center"/>
              <w:rPr>
                <w:rFonts w:ascii="Arial" w:eastAsia="Times New Roman" w:hAnsi="Arial" w:cs="Arial"/>
                <w:iCs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iCs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Koszt utrzymania i-tego wyrobu</w:t>
            </w:r>
          </w:p>
          <w:p w14:paraId="6DF0587C" w14:textId="77777777" w:rsidR="003E76FD" w:rsidRPr="00C24D08" w:rsidRDefault="00000000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iCs/>
                      <w:color w:val="806000" w:themeColor="accent4" w:themeShade="80"/>
                      <w:kern w:val="24"/>
                      <w:sz w:val="18"/>
                      <w:szCs w:val="18"/>
                      <w:lang w:eastAsia="pl-PL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color w:val="806000" w:themeColor="accent4" w:themeShade="80"/>
                      <w:kern w:val="24"/>
                      <w:sz w:val="18"/>
                      <w:szCs w:val="18"/>
                      <w:lang w:eastAsia="pl-PL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806000" w:themeColor="accent4" w:themeShade="80"/>
                      <w:kern w:val="24"/>
                      <w:sz w:val="18"/>
                      <w:szCs w:val="18"/>
                      <w:lang w:eastAsia="pl-PL"/>
                    </w:rPr>
                    <m:t>i</m:t>
                  </m:r>
                </m:sub>
              </m:sSub>
            </m:oMath>
            <w:r w:rsidR="003E76FD"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 xml:space="preserve"> </w:t>
            </w:r>
            <w:r w:rsidR="003E76FD" w:rsidRPr="00C24D08">
              <w:rPr>
                <w:rFonts w:ascii="Arial" w:eastAsia="Times New Roman" w:hAnsi="Arial" w:cs="Arial"/>
                <w:i/>
                <w:iCs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= I • K • N</w:t>
            </w:r>
          </w:p>
        </w:tc>
        <w:tc>
          <w:tcPr>
            <w:tcW w:w="1280" w:type="dxa"/>
            <w:hideMark/>
          </w:tcPr>
          <w:p w14:paraId="387F6E61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iCs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iCs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Koszt gwarancji i-tego wyrobu</w:t>
            </w:r>
          </w:p>
          <w:p w14:paraId="0BBA5748" w14:textId="77777777" w:rsidR="003E76FD" w:rsidRPr="00C24D08" w:rsidRDefault="00000000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iCs/>
                      <w:color w:val="806000" w:themeColor="accent4" w:themeShade="80"/>
                      <w:kern w:val="24"/>
                      <w:sz w:val="18"/>
                      <w:szCs w:val="18"/>
                      <w:lang w:eastAsia="pl-PL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color w:val="806000" w:themeColor="accent4" w:themeShade="80"/>
                      <w:kern w:val="24"/>
                      <w:sz w:val="18"/>
                      <w:szCs w:val="18"/>
                      <w:lang w:eastAsia="pl-PL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806000" w:themeColor="accent4" w:themeShade="80"/>
                      <w:kern w:val="24"/>
                      <w:sz w:val="18"/>
                      <w:szCs w:val="18"/>
                      <w:lang w:eastAsia="pl-PL"/>
                    </w:rPr>
                    <m:t>i</m:t>
                  </m:r>
                </m:sub>
              </m:sSub>
            </m:oMath>
            <w:r w:rsidR="003E76FD" w:rsidRPr="00C24D08">
              <w:rPr>
                <w:rFonts w:ascii="Arial" w:eastAsia="Times New Roman" w:hAnsi="Arial" w:cs="Arial"/>
                <w:i/>
                <w:iCs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 xml:space="preserve"> = (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iCs/>
                      <w:color w:val="806000" w:themeColor="accent4" w:themeShade="80"/>
                      <w:kern w:val="24"/>
                      <w:sz w:val="18"/>
                      <w:szCs w:val="18"/>
                      <w:lang w:eastAsia="pl-PL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color w:val="806000" w:themeColor="accent4" w:themeShade="80"/>
                      <w:kern w:val="24"/>
                      <w:sz w:val="18"/>
                      <w:szCs w:val="18"/>
                      <w:lang w:eastAsia="pl-PL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806000" w:themeColor="accent4" w:themeShade="80"/>
                      <w:kern w:val="24"/>
                      <w:sz w:val="18"/>
                      <w:szCs w:val="18"/>
                      <w:lang w:eastAsia="pl-PL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Arial"/>
                  <w:color w:val="806000" w:themeColor="accent4" w:themeShade="80"/>
                  <w:kern w:val="24"/>
                  <w:sz w:val="18"/>
                  <w:szCs w:val="18"/>
                  <w:lang w:eastAsia="pl-PL"/>
                </w:rPr>
                <m:t> </m:t>
              </m:r>
            </m:oMath>
            <w:r w:rsidR="003E76FD" w:rsidRPr="00C24D08">
              <w:rPr>
                <w:rFonts w:ascii="Arial" w:eastAsia="Times New Roman" w:hAnsi="Arial" w:cs="Arial"/>
                <w:i/>
                <w:iCs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 xml:space="preserve">•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iCs/>
                      <w:color w:val="806000" w:themeColor="accent4" w:themeShade="80"/>
                      <w:kern w:val="24"/>
                      <w:sz w:val="18"/>
                      <w:szCs w:val="18"/>
                      <w:lang w:eastAsia="pl-PL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color w:val="806000" w:themeColor="accent4" w:themeShade="80"/>
                      <w:kern w:val="24"/>
                      <w:sz w:val="18"/>
                      <w:szCs w:val="18"/>
                      <w:lang w:eastAsia="pl-PL"/>
                    </w:rPr>
                    <m:t>O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806000" w:themeColor="accent4" w:themeShade="80"/>
                      <w:kern w:val="24"/>
                      <w:sz w:val="18"/>
                      <w:szCs w:val="18"/>
                      <w:lang w:eastAsia="pl-PL"/>
                    </w:rPr>
                    <m:t>g</m:t>
                  </m:r>
                </m:sub>
              </m:sSub>
              <m:r>
                <w:rPr>
                  <w:rFonts w:ascii="Cambria Math" w:eastAsia="Times New Roman" w:hAnsi="Cambria Math" w:cs="Arial"/>
                  <w:color w:val="806000" w:themeColor="accent4" w:themeShade="80"/>
                  <w:kern w:val="24"/>
                  <w:sz w:val="18"/>
                  <w:szCs w:val="18"/>
                  <w:lang w:eastAsia="pl-PL"/>
                </w:rPr>
                <m:t> </m:t>
              </m:r>
            </m:oMath>
            <w:r w:rsidR="003E76FD" w:rsidRPr="00C24D08">
              <w:rPr>
                <w:rFonts w:ascii="Arial" w:eastAsia="Times New Roman" w:hAnsi="Arial" w:cs="Arial"/>
                <w:i/>
                <w:iCs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/30)</w:t>
            </w:r>
          </w:p>
        </w:tc>
        <w:tc>
          <w:tcPr>
            <w:tcW w:w="1138" w:type="dxa"/>
            <w:hideMark/>
          </w:tcPr>
          <w:p w14:paraId="06B3290C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Koszty utrzymania w całym okresie</w:t>
            </w:r>
          </w:p>
          <w:p w14:paraId="223A5434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obliczeniowym</w:t>
            </w:r>
          </w:p>
          <w:p w14:paraId="32BD1420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dla i-tego wyrobu</w:t>
            </w:r>
          </w:p>
          <w:p w14:paraId="1AB9E32C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(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iCs/>
                      <w:color w:val="806000" w:themeColor="accent4" w:themeShade="80"/>
                      <w:kern w:val="24"/>
                      <w:sz w:val="18"/>
                      <w:szCs w:val="18"/>
                      <w:lang w:eastAsia="pl-PL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color w:val="806000" w:themeColor="accent4" w:themeShade="80"/>
                      <w:kern w:val="24"/>
                      <w:sz w:val="18"/>
                      <w:szCs w:val="18"/>
                      <w:lang w:eastAsia="pl-PL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806000" w:themeColor="accent4" w:themeShade="80"/>
                      <w:kern w:val="24"/>
                      <w:sz w:val="18"/>
                      <w:szCs w:val="18"/>
                      <w:lang w:eastAsia="pl-PL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806000" w:themeColor="accent4" w:themeShade="80"/>
                  <w:kern w:val="24"/>
                  <w:sz w:val="18"/>
                  <w:szCs w:val="18"/>
                  <w:lang w:eastAsia="pl-PL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iCs/>
                      <w:color w:val="806000" w:themeColor="accent4" w:themeShade="80"/>
                      <w:kern w:val="24"/>
                      <w:sz w:val="18"/>
                      <w:szCs w:val="18"/>
                      <w:lang w:eastAsia="pl-PL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color w:val="806000" w:themeColor="accent4" w:themeShade="80"/>
                      <w:kern w:val="24"/>
                      <w:sz w:val="18"/>
                      <w:szCs w:val="18"/>
                      <w:lang w:eastAsia="pl-PL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806000" w:themeColor="accent4" w:themeShade="80"/>
                      <w:kern w:val="24"/>
                      <w:sz w:val="18"/>
                      <w:szCs w:val="18"/>
                      <w:lang w:eastAsia="pl-PL"/>
                    </w:rPr>
                    <m:t>i</m:t>
                  </m:r>
                </m:sub>
              </m:sSub>
            </m:oMath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)</w:t>
            </w:r>
          </w:p>
          <w:p w14:paraId="684CD6C3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</w:tr>
      <w:tr w:rsidR="00385CFC" w:rsidRPr="00C24D08" w14:paraId="01760543" w14:textId="77777777" w:rsidTr="005102EB">
        <w:trPr>
          <w:trHeight w:val="435"/>
        </w:trPr>
        <w:tc>
          <w:tcPr>
            <w:tcW w:w="709" w:type="dxa"/>
            <w:vMerge/>
          </w:tcPr>
          <w:p w14:paraId="063E71E5" w14:textId="77777777" w:rsidR="003E76FD" w:rsidRPr="00C24D08" w:rsidRDefault="003E76FD" w:rsidP="003E76FD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561" w:type="dxa"/>
            <w:vMerge/>
          </w:tcPr>
          <w:p w14:paraId="24A41EDB" w14:textId="77777777" w:rsidR="003E76FD" w:rsidRPr="00C24D08" w:rsidRDefault="003E76FD" w:rsidP="003E76FD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274" w:type="dxa"/>
          </w:tcPr>
          <w:p w14:paraId="47408808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988" w:type="dxa"/>
          </w:tcPr>
          <w:p w14:paraId="11AF77E5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1280" w:type="dxa"/>
          </w:tcPr>
          <w:p w14:paraId="13974FA1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proofErr w:type="spellStart"/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Og</w:t>
            </w:r>
            <w:proofErr w:type="spellEnd"/>
          </w:p>
        </w:tc>
        <w:tc>
          <w:tcPr>
            <w:tcW w:w="1132" w:type="dxa"/>
          </w:tcPr>
          <w:p w14:paraId="2ED6993F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K</w:t>
            </w:r>
          </w:p>
        </w:tc>
        <w:tc>
          <w:tcPr>
            <w:tcW w:w="1270" w:type="dxa"/>
          </w:tcPr>
          <w:p w14:paraId="79C1E3D8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iCs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proofErr w:type="spellStart"/>
            <w:r w:rsidRPr="00C24D08">
              <w:rPr>
                <w:rFonts w:ascii="Arial" w:eastAsia="Times New Roman" w:hAnsi="Arial" w:cs="Arial"/>
                <w:iCs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Ai</w:t>
            </w:r>
            <w:proofErr w:type="spellEnd"/>
          </w:p>
        </w:tc>
        <w:tc>
          <w:tcPr>
            <w:tcW w:w="1280" w:type="dxa"/>
          </w:tcPr>
          <w:p w14:paraId="1E4ECD22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iCs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iCs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Bi</w:t>
            </w:r>
          </w:p>
        </w:tc>
        <w:tc>
          <w:tcPr>
            <w:tcW w:w="1138" w:type="dxa"/>
          </w:tcPr>
          <w:p w14:paraId="502047F9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proofErr w:type="spellStart"/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Ai</w:t>
            </w:r>
            <w:proofErr w:type="spellEnd"/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-Bi</w:t>
            </w:r>
          </w:p>
        </w:tc>
      </w:tr>
      <w:tr w:rsidR="00385CFC" w:rsidRPr="00C24D08" w14:paraId="7DB8D8EA" w14:textId="77777777" w:rsidTr="00510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tcW w:w="709" w:type="dxa"/>
          </w:tcPr>
          <w:p w14:paraId="27B47ABD" w14:textId="77777777" w:rsidR="003E76FD" w:rsidRPr="00C24D08" w:rsidRDefault="003E76FD" w:rsidP="003E76FD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 xml:space="preserve">  1</w:t>
            </w:r>
          </w:p>
        </w:tc>
        <w:tc>
          <w:tcPr>
            <w:tcW w:w="1561" w:type="dxa"/>
          </w:tcPr>
          <w:p w14:paraId="51D55C42" w14:textId="77777777" w:rsidR="003E76FD" w:rsidRPr="00C24D08" w:rsidRDefault="003E76FD" w:rsidP="003E76FD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 xml:space="preserve">            2</w:t>
            </w:r>
          </w:p>
        </w:tc>
        <w:tc>
          <w:tcPr>
            <w:tcW w:w="1274" w:type="dxa"/>
          </w:tcPr>
          <w:p w14:paraId="01412CC8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88" w:type="dxa"/>
          </w:tcPr>
          <w:p w14:paraId="3C5F9387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80" w:type="dxa"/>
          </w:tcPr>
          <w:p w14:paraId="39AB7597" w14:textId="0D525899" w:rsidR="003E76FD" w:rsidRPr="00C24D08" w:rsidRDefault="005D6805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2" w:type="dxa"/>
          </w:tcPr>
          <w:p w14:paraId="01CAF51B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0" w:type="dxa"/>
          </w:tcPr>
          <w:p w14:paraId="6229B8B7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iCs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iCs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80" w:type="dxa"/>
          </w:tcPr>
          <w:p w14:paraId="75A02F41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iCs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iCs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38" w:type="dxa"/>
          </w:tcPr>
          <w:p w14:paraId="1D41BB3D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9</w:t>
            </w:r>
          </w:p>
        </w:tc>
      </w:tr>
      <w:tr w:rsidR="00385CFC" w:rsidRPr="00C24D08" w14:paraId="45E4A5DC" w14:textId="77777777" w:rsidTr="005102EB">
        <w:trPr>
          <w:trHeight w:val="726"/>
        </w:trPr>
        <w:tc>
          <w:tcPr>
            <w:tcW w:w="709" w:type="dxa"/>
            <w:hideMark/>
          </w:tcPr>
          <w:p w14:paraId="37668D55" w14:textId="77777777" w:rsidR="003E76FD" w:rsidRPr="00C946D4" w:rsidRDefault="003E76FD" w:rsidP="005568F2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C946D4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1.</w:t>
            </w:r>
          </w:p>
        </w:tc>
        <w:tc>
          <w:tcPr>
            <w:tcW w:w="1561" w:type="dxa"/>
            <w:hideMark/>
          </w:tcPr>
          <w:p w14:paraId="7448C753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Wymiana stolarki okiennej</w:t>
            </w:r>
          </w:p>
          <w:p w14:paraId="2713A600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strike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274" w:type="dxa"/>
          </w:tcPr>
          <w:p w14:paraId="37D428BD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8" w:type="dxa"/>
            <w:hideMark/>
          </w:tcPr>
          <w:p w14:paraId="612BB339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78,58 m2</w:t>
            </w:r>
          </w:p>
        </w:tc>
        <w:tc>
          <w:tcPr>
            <w:tcW w:w="1280" w:type="dxa"/>
          </w:tcPr>
          <w:p w14:paraId="6487865E" w14:textId="4861B6E5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b/>
                <w:bCs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hideMark/>
          </w:tcPr>
          <w:p w14:paraId="3E3ABD3C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1362,80 zł</w:t>
            </w:r>
          </w:p>
        </w:tc>
        <w:tc>
          <w:tcPr>
            <w:tcW w:w="1270" w:type="dxa"/>
            <w:hideMark/>
          </w:tcPr>
          <w:p w14:paraId="6E7A6EA7" w14:textId="77777777" w:rsidR="003E76FD" w:rsidRPr="00C24D08" w:rsidRDefault="003E76FD" w:rsidP="003E76FD">
            <w:pPr>
              <w:jc w:val="right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214 177,65</w:t>
            </w:r>
          </w:p>
        </w:tc>
        <w:tc>
          <w:tcPr>
            <w:tcW w:w="1280" w:type="dxa"/>
          </w:tcPr>
          <w:p w14:paraId="69F3DDEC" w14:textId="1A006279" w:rsidR="003E76FD" w:rsidRPr="00C24D08" w:rsidRDefault="003E76FD" w:rsidP="003E76FD">
            <w:pPr>
              <w:jc w:val="right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138" w:type="dxa"/>
          </w:tcPr>
          <w:p w14:paraId="4B959E3F" w14:textId="44E18036" w:rsidR="003E76FD" w:rsidRPr="00C24D08" w:rsidRDefault="003E76FD" w:rsidP="003E76FD">
            <w:pPr>
              <w:jc w:val="right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</w:tr>
      <w:tr w:rsidR="00385CFC" w:rsidRPr="00C24D08" w14:paraId="4B8AEB3D" w14:textId="77777777" w:rsidTr="00510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tcW w:w="709" w:type="dxa"/>
          </w:tcPr>
          <w:p w14:paraId="6FBBD3FE" w14:textId="77777777" w:rsidR="003E76FD" w:rsidRPr="00C946D4" w:rsidRDefault="003E76FD" w:rsidP="005568F2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C946D4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2</w:t>
            </w:r>
          </w:p>
        </w:tc>
        <w:tc>
          <w:tcPr>
            <w:tcW w:w="1561" w:type="dxa"/>
          </w:tcPr>
          <w:p w14:paraId="13C0A6C5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 xml:space="preserve">Wymiana drzwi zewnętrznych </w:t>
            </w:r>
          </w:p>
        </w:tc>
        <w:tc>
          <w:tcPr>
            <w:tcW w:w="1274" w:type="dxa"/>
          </w:tcPr>
          <w:p w14:paraId="60CA91D5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8" w:type="dxa"/>
          </w:tcPr>
          <w:p w14:paraId="5649700B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31,82 m2</w:t>
            </w:r>
          </w:p>
        </w:tc>
        <w:tc>
          <w:tcPr>
            <w:tcW w:w="1280" w:type="dxa"/>
          </w:tcPr>
          <w:p w14:paraId="5A5C43C4" w14:textId="67B25431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b/>
                <w:bCs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</w:tcPr>
          <w:p w14:paraId="20A09404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1468,03zł</w:t>
            </w:r>
          </w:p>
        </w:tc>
        <w:tc>
          <w:tcPr>
            <w:tcW w:w="1270" w:type="dxa"/>
          </w:tcPr>
          <w:p w14:paraId="4B5B20D0" w14:textId="77777777" w:rsidR="003E76FD" w:rsidRPr="00C24D08" w:rsidRDefault="003E76FD" w:rsidP="003E76FD">
            <w:pPr>
              <w:jc w:val="right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93 425,43</w:t>
            </w:r>
          </w:p>
        </w:tc>
        <w:tc>
          <w:tcPr>
            <w:tcW w:w="1280" w:type="dxa"/>
          </w:tcPr>
          <w:p w14:paraId="0206B0B8" w14:textId="5C39489A" w:rsidR="003E76FD" w:rsidRPr="00C24D08" w:rsidRDefault="003E76FD" w:rsidP="003E76FD">
            <w:pPr>
              <w:jc w:val="right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138" w:type="dxa"/>
          </w:tcPr>
          <w:p w14:paraId="55B63E90" w14:textId="1BCE810B" w:rsidR="003E76FD" w:rsidRPr="00C24D08" w:rsidRDefault="003E76FD" w:rsidP="003E76FD">
            <w:pPr>
              <w:jc w:val="right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</w:tr>
      <w:tr w:rsidR="00385CFC" w:rsidRPr="00C24D08" w14:paraId="4FD7E417" w14:textId="77777777" w:rsidTr="005102EB">
        <w:trPr>
          <w:trHeight w:val="448"/>
        </w:trPr>
        <w:tc>
          <w:tcPr>
            <w:tcW w:w="709" w:type="dxa"/>
            <w:hideMark/>
          </w:tcPr>
          <w:p w14:paraId="2B6F543C" w14:textId="77777777" w:rsidR="003E76FD" w:rsidRPr="00C946D4" w:rsidRDefault="003E76FD" w:rsidP="005568F2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C946D4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3</w:t>
            </w:r>
          </w:p>
        </w:tc>
        <w:tc>
          <w:tcPr>
            <w:tcW w:w="1561" w:type="dxa"/>
            <w:hideMark/>
          </w:tcPr>
          <w:p w14:paraId="68FF49CD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Wymiana pokrycia dachowego (dachówka bitumiczna)</w:t>
            </w:r>
          </w:p>
        </w:tc>
        <w:tc>
          <w:tcPr>
            <w:tcW w:w="1274" w:type="dxa"/>
          </w:tcPr>
          <w:p w14:paraId="24BF2CAB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88" w:type="dxa"/>
            <w:hideMark/>
          </w:tcPr>
          <w:p w14:paraId="552164E0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81,70</w:t>
            </w:r>
          </w:p>
        </w:tc>
        <w:tc>
          <w:tcPr>
            <w:tcW w:w="1280" w:type="dxa"/>
          </w:tcPr>
          <w:p w14:paraId="7D27CD86" w14:textId="3F54D64F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b/>
                <w:bCs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hideMark/>
          </w:tcPr>
          <w:p w14:paraId="7B0479F3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138,10zł</w:t>
            </w:r>
          </w:p>
        </w:tc>
        <w:tc>
          <w:tcPr>
            <w:tcW w:w="1270" w:type="dxa"/>
            <w:hideMark/>
          </w:tcPr>
          <w:p w14:paraId="75C74B3F" w14:textId="77777777" w:rsidR="003E76FD" w:rsidRPr="00C24D08" w:rsidRDefault="003E76FD" w:rsidP="003E76FD">
            <w:pPr>
              <w:jc w:val="right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33 848,31</w:t>
            </w:r>
          </w:p>
        </w:tc>
        <w:tc>
          <w:tcPr>
            <w:tcW w:w="1280" w:type="dxa"/>
          </w:tcPr>
          <w:p w14:paraId="799EA658" w14:textId="3BCEC06B" w:rsidR="003E76FD" w:rsidRPr="00C24D08" w:rsidRDefault="003E76FD" w:rsidP="003E76FD">
            <w:pPr>
              <w:jc w:val="right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138" w:type="dxa"/>
          </w:tcPr>
          <w:p w14:paraId="566084EA" w14:textId="1CA33256" w:rsidR="003E76FD" w:rsidRPr="00C24D08" w:rsidRDefault="003E76FD" w:rsidP="003E76FD">
            <w:pPr>
              <w:jc w:val="right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</w:tr>
      <w:tr w:rsidR="00385CFC" w:rsidRPr="00C24D08" w14:paraId="2C980346" w14:textId="77777777" w:rsidTr="00510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tcW w:w="709" w:type="dxa"/>
            <w:hideMark/>
          </w:tcPr>
          <w:p w14:paraId="28563374" w14:textId="77777777" w:rsidR="003E76FD" w:rsidRPr="00C946D4" w:rsidRDefault="003E76FD" w:rsidP="005568F2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C946D4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3.</w:t>
            </w:r>
          </w:p>
        </w:tc>
        <w:tc>
          <w:tcPr>
            <w:tcW w:w="1561" w:type="dxa"/>
            <w:hideMark/>
          </w:tcPr>
          <w:p w14:paraId="0E00AE9A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Roboty malarskie</w:t>
            </w:r>
          </w:p>
        </w:tc>
        <w:tc>
          <w:tcPr>
            <w:tcW w:w="1274" w:type="dxa"/>
          </w:tcPr>
          <w:p w14:paraId="4B370C08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88" w:type="dxa"/>
            <w:hideMark/>
          </w:tcPr>
          <w:p w14:paraId="19D570B1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1832,90</w:t>
            </w:r>
          </w:p>
        </w:tc>
        <w:tc>
          <w:tcPr>
            <w:tcW w:w="1280" w:type="dxa"/>
          </w:tcPr>
          <w:p w14:paraId="2C50EB5A" w14:textId="34AE6DDD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b/>
                <w:bCs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hideMark/>
          </w:tcPr>
          <w:p w14:paraId="3761A640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10,48zł</w:t>
            </w:r>
          </w:p>
        </w:tc>
        <w:tc>
          <w:tcPr>
            <w:tcW w:w="1270" w:type="dxa"/>
            <w:hideMark/>
          </w:tcPr>
          <w:p w14:paraId="3833B4D3" w14:textId="77777777" w:rsidR="003E76FD" w:rsidRPr="00C24D08" w:rsidRDefault="003E76FD" w:rsidP="003E76FD">
            <w:pPr>
              <w:jc w:val="right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115 252,75</w:t>
            </w:r>
          </w:p>
        </w:tc>
        <w:tc>
          <w:tcPr>
            <w:tcW w:w="1280" w:type="dxa"/>
          </w:tcPr>
          <w:p w14:paraId="32ACD8BF" w14:textId="17A00DC8" w:rsidR="003E76FD" w:rsidRPr="00C24D08" w:rsidRDefault="003E76FD" w:rsidP="003E76FD">
            <w:pPr>
              <w:jc w:val="right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138" w:type="dxa"/>
          </w:tcPr>
          <w:p w14:paraId="2C03E5EA" w14:textId="05B8A509" w:rsidR="003E76FD" w:rsidRPr="00C24D08" w:rsidRDefault="003E76FD" w:rsidP="003E76FD">
            <w:pPr>
              <w:jc w:val="right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</w:tr>
      <w:tr w:rsidR="00385CFC" w:rsidRPr="00C24D08" w14:paraId="002EE620" w14:textId="77777777" w:rsidTr="005102EB">
        <w:trPr>
          <w:trHeight w:val="699"/>
        </w:trPr>
        <w:tc>
          <w:tcPr>
            <w:tcW w:w="709" w:type="dxa"/>
          </w:tcPr>
          <w:p w14:paraId="5EC24FEC" w14:textId="77777777" w:rsidR="003E76FD" w:rsidRPr="00C946D4" w:rsidRDefault="003E76FD" w:rsidP="005568F2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</w:pPr>
            <w:r w:rsidRPr="00C946D4">
              <w:rPr>
                <w:rFonts w:ascii="Arial" w:hAnsi="Arial" w:cs="Arial"/>
                <w:color w:val="806000" w:themeColor="accent4" w:themeShade="80"/>
                <w:kern w:val="24"/>
                <w:sz w:val="18"/>
                <w:szCs w:val="18"/>
              </w:rPr>
              <w:t>4</w:t>
            </w:r>
          </w:p>
        </w:tc>
        <w:tc>
          <w:tcPr>
            <w:tcW w:w="1561" w:type="dxa"/>
          </w:tcPr>
          <w:p w14:paraId="7D4368D3" w14:textId="163BFC86" w:rsidR="003E76FD" w:rsidRPr="00C24D08" w:rsidRDefault="003E76FD" w:rsidP="00C946D4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winda osobowa bez maszynowni elektryczna z silnikiem na kabinie dostosowana dla dzieci i osób niepełnosprawnych na wózku</w:t>
            </w:r>
          </w:p>
        </w:tc>
        <w:tc>
          <w:tcPr>
            <w:tcW w:w="1274" w:type="dxa"/>
          </w:tcPr>
          <w:p w14:paraId="1E195FAA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8" w:type="dxa"/>
          </w:tcPr>
          <w:p w14:paraId="4E77BDB8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280" w:type="dxa"/>
          </w:tcPr>
          <w:p w14:paraId="62B62830" w14:textId="22B996F8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b/>
                <w:bCs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</w:tcPr>
          <w:p w14:paraId="0130AC4F" w14:textId="77777777" w:rsidR="003E76FD" w:rsidRPr="00C24D08" w:rsidRDefault="003E76FD" w:rsidP="003E76FD">
            <w:pPr>
              <w:jc w:val="center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80000,00 zł</w:t>
            </w:r>
          </w:p>
        </w:tc>
        <w:tc>
          <w:tcPr>
            <w:tcW w:w="1270" w:type="dxa"/>
          </w:tcPr>
          <w:p w14:paraId="434EF145" w14:textId="77777777" w:rsidR="003E76FD" w:rsidRPr="00C24D08" w:rsidRDefault="003E76FD" w:rsidP="003E76FD">
            <w:pPr>
              <w:jc w:val="right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  <w:t>160 000,00</w:t>
            </w:r>
          </w:p>
        </w:tc>
        <w:tc>
          <w:tcPr>
            <w:tcW w:w="1280" w:type="dxa"/>
          </w:tcPr>
          <w:p w14:paraId="468AC21A" w14:textId="3C264F71" w:rsidR="003E76FD" w:rsidRPr="00C24D08" w:rsidRDefault="003E76FD" w:rsidP="003E76FD">
            <w:pPr>
              <w:jc w:val="right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1138" w:type="dxa"/>
          </w:tcPr>
          <w:p w14:paraId="5445432D" w14:textId="723D7E61" w:rsidR="003E76FD" w:rsidRPr="00C24D08" w:rsidRDefault="003E76FD" w:rsidP="003E76FD">
            <w:pPr>
              <w:jc w:val="right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</w:tr>
      <w:tr w:rsidR="00385CFC" w:rsidRPr="00C24D08" w14:paraId="07040069" w14:textId="77777777" w:rsidTr="00510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tcW w:w="709" w:type="dxa"/>
            <w:hideMark/>
          </w:tcPr>
          <w:p w14:paraId="223F05C3" w14:textId="77777777" w:rsidR="003E76FD" w:rsidRPr="00C24D08" w:rsidRDefault="003E76FD" w:rsidP="003E76FD">
            <w:pPr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  <w:tc>
          <w:tcPr>
            <w:tcW w:w="8785" w:type="dxa"/>
            <w:gridSpan w:val="7"/>
            <w:hideMark/>
          </w:tcPr>
          <w:p w14:paraId="66CCBCCA" w14:textId="77777777" w:rsidR="003E76FD" w:rsidRPr="00C24D08" w:rsidRDefault="003E76FD" w:rsidP="003E76FD">
            <w:pPr>
              <w:jc w:val="right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  <w:r w:rsidRPr="00C24D08">
              <w:rPr>
                <w:rFonts w:ascii="Arial" w:eastAsia="Times New Roman" w:hAnsi="Arial" w:cs="Arial"/>
                <w:color w:val="806000" w:themeColor="accent4" w:themeShade="80"/>
                <w:kern w:val="24"/>
                <w:sz w:val="18"/>
                <w:szCs w:val="18"/>
                <w:lang w:eastAsia="pl-PL"/>
              </w:rPr>
              <w:t>PODSUMOWANIE</w:t>
            </w:r>
          </w:p>
        </w:tc>
        <w:tc>
          <w:tcPr>
            <w:tcW w:w="1138" w:type="dxa"/>
          </w:tcPr>
          <w:p w14:paraId="57738D63" w14:textId="24C273CD" w:rsidR="003E76FD" w:rsidRPr="00C24D08" w:rsidRDefault="003E76FD" w:rsidP="003E76FD">
            <w:pPr>
              <w:jc w:val="right"/>
              <w:rPr>
                <w:rFonts w:ascii="Arial" w:eastAsia="Times New Roman" w:hAnsi="Arial" w:cs="Arial"/>
                <w:color w:val="806000" w:themeColor="accent4" w:themeShade="80"/>
                <w:sz w:val="18"/>
                <w:szCs w:val="18"/>
                <w:lang w:eastAsia="pl-PL"/>
              </w:rPr>
            </w:pPr>
          </w:p>
        </w:tc>
      </w:tr>
    </w:tbl>
    <w:p w14:paraId="3F906FC5" w14:textId="77777777" w:rsidR="003E76FD" w:rsidRPr="00385CFC" w:rsidRDefault="003E76FD" w:rsidP="003E76FD">
      <w:pPr>
        <w:spacing w:after="0" w:line="240" w:lineRule="auto"/>
        <w:jc w:val="both"/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pl-PL"/>
        </w:rPr>
      </w:pPr>
    </w:p>
    <w:p w14:paraId="1AAC00CF" w14:textId="77777777" w:rsidR="005102EB" w:rsidRDefault="005102EB" w:rsidP="007E070F">
      <w:pPr>
        <w:spacing w:line="240" w:lineRule="auto"/>
        <w:contextualSpacing/>
        <w:jc w:val="both"/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</w:pPr>
    </w:p>
    <w:p w14:paraId="6C5AA0B3" w14:textId="424636AA" w:rsidR="00EE315D" w:rsidRPr="00385CFC" w:rsidRDefault="000F6B1C" w:rsidP="007E070F">
      <w:pPr>
        <w:spacing w:line="240" w:lineRule="auto"/>
        <w:contextualSpacing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385CFC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 xml:space="preserve">Kalkulację kosztów cyklu życia budynku </w:t>
      </w:r>
      <w:r w:rsidR="00F0652E" w:rsidRPr="00385CFC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>Z</w:t>
      </w:r>
      <w:r w:rsidRPr="00385CFC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>amawiający oblicz</w:t>
      </w:r>
      <w:r w:rsidR="00F0652E" w:rsidRPr="00385CFC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>y</w:t>
      </w:r>
      <w:r w:rsidRPr="00385CFC">
        <w:rPr>
          <w:rFonts w:ascii="Arial" w:eastAsiaTheme="minorEastAsia" w:hAnsi="Arial" w:cs="Arial"/>
          <w:color w:val="806000" w:themeColor="accent4" w:themeShade="80"/>
          <w:kern w:val="24"/>
          <w:sz w:val="21"/>
          <w:szCs w:val="21"/>
          <w:lang w:eastAsia="pl-PL"/>
        </w:rPr>
        <w:t xml:space="preserve"> odrębnie dla każdej ze złożonych ofert  z wykorzystaniem </w:t>
      </w:r>
      <w:r w:rsidR="009A50EF" w:rsidRPr="00385CFC">
        <w:rPr>
          <w:rFonts w:ascii="Arial" w:hAnsi="Arial" w:cs="Arial"/>
          <w:color w:val="806000" w:themeColor="accent4" w:themeShade="80"/>
          <w:sz w:val="21"/>
          <w:szCs w:val="21"/>
        </w:rPr>
        <w:t>Tabel</w:t>
      </w: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t>i</w:t>
      </w:r>
      <w:r w:rsidR="009A50EF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5</w:t>
      </w:r>
      <w:r w:rsidR="00741A6C" w:rsidRPr="00385CFC">
        <w:rPr>
          <w:rFonts w:ascii="Arial" w:hAnsi="Arial" w:cs="Arial"/>
          <w:color w:val="806000" w:themeColor="accent4" w:themeShade="80"/>
          <w:sz w:val="21"/>
          <w:szCs w:val="21"/>
        </w:rPr>
        <w:t>.</w:t>
      </w:r>
    </w:p>
    <w:p w14:paraId="4C764A85" w14:textId="77777777" w:rsidR="00741A6C" w:rsidRPr="00385CFC" w:rsidRDefault="00741A6C" w:rsidP="007E070F">
      <w:pPr>
        <w:spacing w:line="240" w:lineRule="auto"/>
        <w:contextualSpacing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</w:p>
    <w:p w14:paraId="724DECB3" w14:textId="77777777" w:rsidR="005102EB" w:rsidRDefault="005102EB">
      <w:pPr>
        <w:rPr>
          <w:rFonts w:ascii="Arial" w:hAnsi="Arial" w:cs="Arial"/>
          <w:color w:val="806000" w:themeColor="accent4" w:themeShade="80"/>
          <w:sz w:val="21"/>
          <w:szCs w:val="21"/>
        </w:rPr>
      </w:pPr>
      <w:r>
        <w:rPr>
          <w:rFonts w:ascii="Arial" w:hAnsi="Arial" w:cs="Arial"/>
          <w:color w:val="806000" w:themeColor="accent4" w:themeShade="80"/>
          <w:sz w:val="21"/>
          <w:szCs w:val="21"/>
        </w:rPr>
        <w:br w:type="page"/>
      </w:r>
    </w:p>
    <w:p w14:paraId="7566DD05" w14:textId="5E976D6E" w:rsidR="000842FB" w:rsidRPr="00385CFC" w:rsidRDefault="00EE315D" w:rsidP="007E070F">
      <w:pPr>
        <w:spacing w:line="240" w:lineRule="auto"/>
        <w:contextualSpacing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  <w:r w:rsidRPr="00385CFC">
        <w:rPr>
          <w:rFonts w:ascii="Arial" w:hAnsi="Arial" w:cs="Arial"/>
          <w:color w:val="806000" w:themeColor="accent4" w:themeShade="80"/>
          <w:sz w:val="21"/>
          <w:szCs w:val="21"/>
        </w:rPr>
        <w:lastRenderedPageBreak/>
        <w:t>Tabela 5</w:t>
      </w:r>
      <w:r w:rsidR="000F6B1C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 </w:t>
      </w:r>
      <w:r w:rsidR="00BE1A0A">
        <w:rPr>
          <w:rFonts w:ascii="Arial" w:hAnsi="Arial" w:cs="Arial"/>
          <w:color w:val="806000" w:themeColor="accent4" w:themeShade="80"/>
          <w:sz w:val="21"/>
          <w:szCs w:val="21"/>
        </w:rPr>
        <w:t xml:space="preserve">- </w:t>
      </w:r>
      <w:r w:rsidR="009A50EF" w:rsidRPr="00385CFC">
        <w:rPr>
          <w:rFonts w:ascii="Arial" w:hAnsi="Arial" w:cs="Arial"/>
          <w:color w:val="806000" w:themeColor="accent4" w:themeShade="80"/>
          <w:sz w:val="21"/>
          <w:szCs w:val="21"/>
        </w:rPr>
        <w:t>Suma kosztów cyklu życia budynku</w:t>
      </w:r>
      <w:r w:rsidR="000F6B1C" w:rsidRPr="00385CFC">
        <w:rPr>
          <w:rFonts w:ascii="Arial" w:hAnsi="Arial" w:cs="Arial"/>
          <w:color w:val="806000" w:themeColor="accent4" w:themeShade="80"/>
          <w:sz w:val="21"/>
          <w:szCs w:val="21"/>
        </w:rPr>
        <w:t xml:space="preserve">. </w:t>
      </w:r>
    </w:p>
    <w:p w14:paraId="3B2DC872" w14:textId="77777777" w:rsidR="00741A6C" w:rsidRPr="00385CFC" w:rsidRDefault="00741A6C" w:rsidP="007E070F">
      <w:pPr>
        <w:spacing w:line="240" w:lineRule="auto"/>
        <w:contextualSpacing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</w:p>
    <w:tbl>
      <w:tblPr>
        <w:tblStyle w:val="Tabelasiatki6kolorowaakcent6"/>
        <w:tblW w:w="9498" w:type="dxa"/>
        <w:tblInd w:w="-289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20" w:firstRow="1" w:lastRow="0" w:firstColumn="0" w:lastColumn="0" w:noHBand="0" w:noVBand="1"/>
      </w:tblPr>
      <w:tblGrid>
        <w:gridCol w:w="859"/>
        <w:gridCol w:w="3820"/>
        <w:gridCol w:w="4819"/>
      </w:tblGrid>
      <w:tr w:rsidR="00385CFC" w:rsidRPr="00385CFC" w14:paraId="7400D02E" w14:textId="77777777" w:rsidTr="00C94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859" w:type="dxa"/>
            <w:tcBorders>
              <w:bottom w:val="none" w:sz="0" w:space="0" w:color="auto"/>
            </w:tcBorders>
            <w:hideMark/>
          </w:tcPr>
          <w:p w14:paraId="352A3B77" w14:textId="77777777" w:rsidR="006E590A" w:rsidRPr="00385CFC" w:rsidRDefault="00D74E2C" w:rsidP="007E070F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</w:pPr>
            <w:r w:rsidRPr="00385CFC"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  <w:t>Lp.</w:t>
            </w:r>
          </w:p>
        </w:tc>
        <w:tc>
          <w:tcPr>
            <w:tcW w:w="3820" w:type="dxa"/>
            <w:tcBorders>
              <w:bottom w:val="none" w:sz="0" w:space="0" w:color="auto"/>
            </w:tcBorders>
            <w:hideMark/>
          </w:tcPr>
          <w:p w14:paraId="30380498" w14:textId="77777777" w:rsidR="006E590A" w:rsidRPr="00385CFC" w:rsidRDefault="00D74E2C" w:rsidP="007E070F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</w:pPr>
            <w:r w:rsidRPr="00385CFC"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  <w:t>Rodzaje grup kosztów</w:t>
            </w:r>
          </w:p>
        </w:tc>
        <w:tc>
          <w:tcPr>
            <w:tcW w:w="4819" w:type="dxa"/>
            <w:tcBorders>
              <w:bottom w:val="none" w:sz="0" w:space="0" w:color="auto"/>
            </w:tcBorders>
            <w:hideMark/>
          </w:tcPr>
          <w:p w14:paraId="7015162E" w14:textId="77777777" w:rsidR="00D74E2C" w:rsidRPr="00385CFC" w:rsidRDefault="00D74E2C" w:rsidP="007E070F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</w:pPr>
          </w:p>
        </w:tc>
      </w:tr>
      <w:tr w:rsidR="00385CFC" w:rsidRPr="00385CFC" w14:paraId="6B1A1D94" w14:textId="77777777" w:rsidTr="00C94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tcW w:w="859" w:type="dxa"/>
            <w:hideMark/>
          </w:tcPr>
          <w:p w14:paraId="5E3F5D16" w14:textId="77777777" w:rsidR="006E590A" w:rsidRPr="00385CFC" w:rsidRDefault="00D74E2C" w:rsidP="007E070F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</w:pPr>
            <w:r w:rsidRPr="00385CFC"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  <w:t>1</w:t>
            </w:r>
          </w:p>
        </w:tc>
        <w:tc>
          <w:tcPr>
            <w:tcW w:w="3820" w:type="dxa"/>
            <w:hideMark/>
          </w:tcPr>
          <w:p w14:paraId="3FE2EFE1" w14:textId="77777777" w:rsidR="006E590A" w:rsidRPr="00385CFC" w:rsidRDefault="00D74E2C" w:rsidP="007E070F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</w:pPr>
            <w:r w:rsidRPr="00385CFC">
              <w:rPr>
                <w:rFonts w:ascii="Arial" w:hAnsi="Arial" w:cs="Arial"/>
                <w:b/>
                <w:bCs/>
                <w:color w:val="806000" w:themeColor="accent4" w:themeShade="80"/>
                <w:sz w:val="21"/>
                <w:szCs w:val="21"/>
              </w:rPr>
              <w:t>Koszty nabycia</w:t>
            </w:r>
          </w:p>
        </w:tc>
        <w:tc>
          <w:tcPr>
            <w:tcW w:w="4819" w:type="dxa"/>
            <w:hideMark/>
          </w:tcPr>
          <w:p w14:paraId="0019713F" w14:textId="77777777" w:rsidR="00D74E2C" w:rsidRPr="00385CFC" w:rsidRDefault="00D74E2C" w:rsidP="007E070F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</w:pPr>
          </w:p>
        </w:tc>
      </w:tr>
      <w:tr w:rsidR="00385CFC" w:rsidRPr="00385CFC" w14:paraId="3CE4354F" w14:textId="77777777" w:rsidTr="00C946D4">
        <w:trPr>
          <w:trHeight w:val="394"/>
        </w:trPr>
        <w:tc>
          <w:tcPr>
            <w:tcW w:w="859" w:type="dxa"/>
            <w:hideMark/>
          </w:tcPr>
          <w:p w14:paraId="63EDB099" w14:textId="77777777" w:rsidR="006E590A" w:rsidRPr="00385CFC" w:rsidRDefault="00D74E2C" w:rsidP="007E070F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</w:pPr>
            <w:r w:rsidRPr="00385CFC"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  <w:t>2</w:t>
            </w:r>
          </w:p>
        </w:tc>
        <w:tc>
          <w:tcPr>
            <w:tcW w:w="3820" w:type="dxa"/>
            <w:hideMark/>
          </w:tcPr>
          <w:p w14:paraId="309CD266" w14:textId="77777777" w:rsidR="006E590A" w:rsidRPr="00385CFC" w:rsidRDefault="00D74E2C" w:rsidP="007E070F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</w:pPr>
            <w:r w:rsidRPr="00385CFC">
              <w:rPr>
                <w:rFonts w:ascii="Arial" w:hAnsi="Arial" w:cs="Arial"/>
                <w:b/>
                <w:bCs/>
                <w:color w:val="806000" w:themeColor="accent4" w:themeShade="80"/>
                <w:sz w:val="21"/>
                <w:szCs w:val="21"/>
              </w:rPr>
              <w:t>Koszty użytkowania</w:t>
            </w:r>
          </w:p>
        </w:tc>
        <w:tc>
          <w:tcPr>
            <w:tcW w:w="4819" w:type="dxa"/>
            <w:hideMark/>
          </w:tcPr>
          <w:p w14:paraId="0B404D5A" w14:textId="77777777" w:rsidR="00D74E2C" w:rsidRPr="00385CFC" w:rsidRDefault="00D74E2C" w:rsidP="007E070F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</w:pPr>
          </w:p>
        </w:tc>
      </w:tr>
      <w:tr w:rsidR="00385CFC" w:rsidRPr="00385CFC" w14:paraId="3072E966" w14:textId="77777777" w:rsidTr="00C94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859" w:type="dxa"/>
            <w:hideMark/>
          </w:tcPr>
          <w:p w14:paraId="19DDF9B5" w14:textId="77777777" w:rsidR="006E590A" w:rsidRPr="00385CFC" w:rsidRDefault="00D74E2C" w:rsidP="007E070F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</w:pPr>
            <w:r w:rsidRPr="00385CFC"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  <w:t>3</w:t>
            </w:r>
          </w:p>
        </w:tc>
        <w:tc>
          <w:tcPr>
            <w:tcW w:w="3820" w:type="dxa"/>
            <w:hideMark/>
          </w:tcPr>
          <w:p w14:paraId="73C15EB5" w14:textId="77777777" w:rsidR="006E590A" w:rsidRPr="00385CFC" w:rsidRDefault="00D74E2C" w:rsidP="007E070F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</w:pPr>
            <w:r w:rsidRPr="00385CFC">
              <w:rPr>
                <w:rFonts w:ascii="Arial" w:hAnsi="Arial" w:cs="Arial"/>
                <w:b/>
                <w:bCs/>
                <w:color w:val="806000" w:themeColor="accent4" w:themeShade="80"/>
                <w:sz w:val="21"/>
                <w:szCs w:val="21"/>
              </w:rPr>
              <w:t>Koszty utrzymania</w:t>
            </w:r>
          </w:p>
        </w:tc>
        <w:tc>
          <w:tcPr>
            <w:tcW w:w="4819" w:type="dxa"/>
            <w:hideMark/>
          </w:tcPr>
          <w:p w14:paraId="5C5B2A4E" w14:textId="77777777" w:rsidR="00D74E2C" w:rsidRPr="00385CFC" w:rsidRDefault="00D74E2C" w:rsidP="007E070F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</w:pPr>
          </w:p>
        </w:tc>
      </w:tr>
      <w:tr w:rsidR="00385CFC" w:rsidRPr="00385CFC" w14:paraId="4B5B3458" w14:textId="77777777" w:rsidTr="00C946D4">
        <w:trPr>
          <w:trHeight w:val="410"/>
        </w:trPr>
        <w:tc>
          <w:tcPr>
            <w:tcW w:w="859" w:type="dxa"/>
            <w:hideMark/>
          </w:tcPr>
          <w:p w14:paraId="4370B995" w14:textId="77777777" w:rsidR="006E590A" w:rsidRPr="00385CFC" w:rsidRDefault="00D74E2C" w:rsidP="007E070F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</w:pPr>
            <w:r w:rsidRPr="00385CFC"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  <w:t>4</w:t>
            </w:r>
          </w:p>
        </w:tc>
        <w:tc>
          <w:tcPr>
            <w:tcW w:w="3820" w:type="dxa"/>
            <w:hideMark/>
          </w:tcPr>
          <w:p w14:paraId="568C6690" w14:textId="77777777" w:rsidR="006E590A" w:rsidRPr="00385CFC" w:rsidRDefault="00D74E2C" w:rsidP="007E070F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</w:pPr>
            <w:r w:rsidRPr="00385CFC"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  <w:t>Suma</w:t>
            </w:r>
          </w:p>
        </w:tc>
        <w:tc>
          <w:tcPr>
            <w:tcW w:w="4819" w:type="dxa"/>
            <w:hideMark/>
          </w:tcPr>
          <w:p w14:paraId="63478F8E" w14:textId="77777777" w:rsidR="00D74E2C" w:rsidRPr="00385CFC" w:rsidRDefault="00D74E2C" w:rsidP="007E070F">
            <w:pPr>
              <w:contextualSpacing/>
              <w:jc w:val="both"/>
              <w:rPr>
                <w:rFonts w:ascii="Arial" w:hAnsi="Arial" w:cs="Arial"/>
                <w:color w:val="806000" w:themeColor="accent4" w:themeShade="80"/>
                <w:sz w:val="21"/>
                <w:szCs w:val="21"/>
              </w:rPr>
            </w:pPr>
          </w:p>
        </w:tc>
      </w:tr>
    </w:tbl>
    <w:p w14:paraId="39AF605F" w14:textId="77777777" w:rsidR="003B6F56" w:rsidRPr="00385CFC" w:rsidRDefault="003B6F56" w:rsidP="007E070F">
      <w:pPr>
        <w:spacing w:line="240" w:lineRule="auto"/>
        <w:contextualSpacing/>
        <w:jc w:val="both"/>
        <w:rPr>
          <w:rFonts w:ascii="Arial" w:hAnsi="Arial" w:cs="Arial"/>
          <w:color w:val="806000" w:themeColor="accent4" w:themeShade="80"/>
          <w:sz w:val="21"/>
          <w:szCs w:val="21"/>
        </w:rPr>
      </w:pPr>
    </w:p>
    <w:sectPr w:rsidR="003B6F56" w:rsidRPr="00385C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FADC1" w14:textId="77777777" w:rsidR="00A37059" w:rsidRDefault="00A37059" w:rsidP="00065BDB">
      <w:pPr>
        <w:spacing w:after="0" w:line="240" w:lineRule="auto"/>
      </w:pPr>
      <w:r>
        <w:separator/>
      </w:r>
    </w:p>
  </w:endnote>
  <w:endnote w:type="continuationSeparator" w:id="0">
    <w:p w14:paraId="48E7204F" w14:textId="77777777" w:rsidR="00A37059" w:rsidRDefault="00A37059" w:rsidP="00065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6046782"/>
      <w:docPartObj>
        <w:docPartGallery w:val="Page Numbers (Bottom of Page)"/>
        <w:docPartUnique/>
      </w:docPartObj>
    </w:sdtPr>
    <w:sdtContent>
      <w:p w14:paraId="26825B42" w14:textId="44E5EA5C" w:rsidR="00C966CD" w:rsidRDefault="00C966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55C">
          <w:rPr>
            <w:noProof/>
          </w:rPr>
          <w:t>2</w:t>
        </w:r>
        <w:r>
          <w:fldChar w:fldCharType="end"/>
        </w:r>
      </w:p>
    </w:sdtContent>
  </w:sdt>
  <w:p w14:paraId="2F43A0C0" w14:textId="77777777" w:rsidR="00065BDB" w:rsidRDefault="00065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7C88B" w14:textId="77777777" w:rsidR="00A37059" w:rsidRDefault="00A37059" w:rsidP="00065BDB">
      <w:pPr>
        <w:spacing w:after="0" w:line="240" w:lineRule="auto"/>
      </w:pPr>
      <w:r>
        <w:separator/>
      </w:r>
    </w:p>
  </w:footnote>
  <w:footnote w:type="continuationSeparator" w:id="0">
    <w:p w14:paraId="7BF66703" w14:textId="77777777" w:rsidR="00A37059" w:rsidRDefault="00A37059" w:rsidP="00065BDB">
      <w:pPr>
        <w:spacing w:after="0" w:line="240" w:lineRule="auto"/>
      </w:pPr>
      <w:r>
        <w:continuationSeparator/>
      </w:r>
    </w:p>
  </w:footnote>
  <w:footnote w:id="1">
    <w:p w14:paraId="024A6140" w14:textId="5B4AA06D" w:rsidR="00110842" w:rsidRPr="00110842" w:rsidRDefault="00110842" w:rsidP="00110842">
      <w:pPr>
        <w:spacing w:before="120" w:after="120" w:line="240" w:lineRule="auto"/>
        <w:jc w:val="both"/>
        <w:rPr>
          <w:rFonts w:ascii="Arial" w:hAnsi="Arial" w:cs="Arial"/>
          <w:color w:val="806000" w:themeColor="accent4" w:themeShade="80"/>
          <w:sz w:val="20"/>
          <w:szCs w:val="20"/>
        </w:rPr>
      </w:pPr>
      <w:r w:rsidRPr="00110842">
        <w:rPr>
          <w:rStyle w:val="Odwoanieprzypisudolnego"/>
          <w:rFonts w:ascii="Arial" w:hAnsi="Arial" w:cs="Arial"/>
          <w:color w:val="806000" w:themeColor="accent4" w:themeShade="80"/>
          <w:sz w:val="20"/>
          <w:szCs w:val="20"/>
        </w:rPr>
        <w:footnoteRef/>
      </w:r>
      <w:r w:rsidRPr="00110842">
        <w:rPr>
          <w:rFonts w:ascii="Arial" w:hAnsi="Arial" w:cs="Arial"/>
          <w:color w:val="806000" w:themeColor="accent4" w:themeShade="80"/>
          <w:sz w:val="20"/>
          <w:szCs w:val="20"/>
        </w:rPr>
        <w:t xml:space="preserve"> dotyczy przypadku, gdy zamawiający ceny jednostkowe poda z podatkiem od towarów i usług.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32FC"/>
    <w:multiLevelType w:val="hybridMultilevel"/>
    <w:tmpl w:val="457C2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0906"/>
    <w:multiLevelType w:val="hybridMultilevel"/>
    <w:tmpl w:val="DC041642"/>
    <w:lvl w:ilvl="0" w:tplc="62060F64">
      <w:start w:val="1"/>
      <w:numFmt w:val="decimal"/>
      <w:lvlText w:val="%1."/>
      <w:lvlJc w:val="left"/>
      <w:pPr>
        <w:ind w:left="375" w:hanging="360"/>
      </w:pPr>
      <w:rPr>
        <w:rFonts w:ascii="TimesNewRoman" w:hAnsi="TimesNew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144B255C"/>
    <w:multiLevelType w:val="hybridMultilevel"/>
    <w:tmpl w:val="FBE4E4E8"/>
    <w:lvl w:ilvl="0" w:tplc="3AD69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B80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C0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C23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A28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C43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9CE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2AA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A6D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5E3CB5"/>
    <w:multiLevelType w:val="hybridMultilevel"/>
    <w:tmpl w:val="5F56BB06"/>
    <w:lvl w:ilvl="0" w:tplc="62060F64">
      <w:start w:val="1"/>
      <w:numFmt w:val="decimal"/>
      <w:lvlText w:val="%1."/>
      <w:lvlJc w:val="left"/>
      <w:pPr>
        <w:ind w:left="390" w:hanging="360"/>
      </w:pPr>
      <w:rPr>
        <w:rFonts w:ascii="TimesNewRoman" w:hAnsi="TimesNew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F801EFD"/>
    <w:multiLevelType w:val="hybridMultilevel"/>
    <w:tmpl w:val="F78E8EDA"/>
    <w:lvl w:ilvl="0" w:tplc="BB8C5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F6A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403C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A85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62F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E2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D6D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647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B06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075081"/>
    <w:multiLevelType w:val="hybridMultilevel"/>
    <w:tmpl w:val="694E30D0"/>
    <w:lvl w:ilvl="0" w:tplc="E3A2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EE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B65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926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802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2B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4AC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9A5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30C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AD05F4"/>
    <w:multiLevelType w:val="hybridMultilevel"/>
    <w:tmpl w:val="A3DA865A"/>
    <w:lvl w:ilvl="0" w:tplc="7F7E794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16F36"/>
    <w:multiLevelType w:val="hybridMultilevel"/>
    <w:tmpl w:val="797ABD9A"/>
    <w:lvl w:ilvl="0" w:tplc="9C945B36">
      <w:start w:val="1"/>
      <w:numFmt w:val="decimal"/>
      <w:lvlText w:val="%1."/>
      <w:lvlJc w:val="left"/>
      <w:pPr>
        <w:ind w:left="375" w:hanging="360"/>
      </w:pPr>
      <w:rPr>
        <w:rFonts w:ascii="TimesNewRoman" w:hAnsi="TimesNew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30E0382D"/>
    <w:multiLevelType w:val="hybridMultilevel"/>
    <w:tmpl w:val="C5DC3E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45C00"/>
    <w:multiLevelType w:val="hybridMultilevel"/>
    <w:tmpl w:val="54D025B8"/>
    <w:lvl w:ilvl="0" w:tplc="728ABCE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6C68616A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B788B"/>
    <w:multiLevelType w:val="hybridMultilevel"/>
    <w:tmpl w:val="86644640"/>
    <w:lvl w:ilvl="0" w:tplc="DBE46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B33CC"/>
    <w:multiLevelType w:val="hybridMultilevel"/>
    <w:tmpl w:val="FFCE422A"/>
    <w:lvl w:ilvl="0" w:tplc="8ABA9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BCA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B4D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028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B0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AE2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CA1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E8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8C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2DE5117"/>
    <w:multiLevelType w:val="hybridMultilevel"/>
    <w:tmpl w:val="46800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B2826"/>
    <w:multiLevelType w:val="hybridMultilevel"/>
    <w:tmpl w:val="C6648550"/>
    <w:lvl w:ilvl="0" w:tplc="F484F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72D0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B6D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065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C86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C2B7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2EE5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2CF1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782D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1742E8"/>
    <w:multiLevelType w:val="hybridMultilevel"/>
    <w:tmpl w:val="26085C7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140836">
    <w:abstractNumId w:val="2"/>
  </w:num>
  <w:num w:numId="2" w16cid:durableId="1172913118">
    <w:abstractNumId w:val="5"/>
  </w:num>
  <w:num w:numId="3" w16cid:durableId="1598706890">
    <w:abstractNumId w:val="11"/>
  </w:num>
  <w:num w:numId="4" w16cid:durableId="1111895846">
    <w:abstractNumId w:val="4"/>
  </w:num>
  <w:num w:numId="5" w16cid:durableId="1311597891">
    <w:abstractNumId w:val="13"/>
  </w:num>
  <w:num w:numId="6" w16cid:durableId="1376154544">
    <w:abstractNumId w:val="7"/>
  </w:num>
  <w:num w:numId="7" w16cid:durableId="92745219">
    <w:abstractNumId w:val="1"/>
  </w:num>
  <w:num w:numId="8" w16cid:durableId="1210726131">
    <w:abstractNumId w:val="3"/>
  </w:num>
  <w:num w:numId="9" w16cid:durableId="410279742">
    <w:abstractNumId w:val="6"/>
  </w:num>
  <w:num w:numId="10" w16cid:durableId="1537739775">
    <w:abstractNumId w:val="14"/>
  </w:num>
  <w:num w:numId="11" w16cid:durableId="46144744">
    <w:abstractNumId w:val="9"/>
  </w:num>
  <w:num w:numId="12" w16cid:durableId="804397128">
    <w:abstractNumId w:val="8"/>
  </w:num>
  <w:num w:numId="13" w16cid:durableId="1200432084">
    <w:abstractNumId w:val="10"/>
  </w:num>
  <w:num w:numId="14" w16cid:durableId="1423069068">
    <w:abstractNumId w:val="0"/>
  </w:num>
  <w:num w:numId="15" w16cid:durableId="4188686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50B"/>
    <w:rsid w:val="00000AE8"/>
    <w:rsid w:val="0000294A"/>
    <w:rsid w:val="000268AD"/>
    <w:rsid w:val="00065088"/>
    <w:rsid w:val="00065BDB"/>
    <w:rsid w:val="00077650"/>
    <w:rsid w:val="000829FE"/>
    <w:rsid w:val="000842FB"/>
    <w:rsid w:val="000E4E83"/>
    <w:rsid w:val="000F4696"/>
    <w:rsid w:val="000F6B1C"/>
    <w:rsid w:val="00106C39"/>
    <w:rsid w:val="001073DB"/>
    <w:rsid w:val="00110842"/>
    <w:rsid w:val="00114438"/>
    <w:rsid w:val="00115D70"/>
    <w:rsid w:val="00122144"/>
    <w:rsid w:val="00130741"/>
    <w:rsid w:val="0017607E"/>
    <w:rsid w:val="00195BDE"/>
    <w:rsid w:val="001A3216"/>
    <w:rsid w:val="001C5E70"/>
    <w:rsid w:val="001D0F01"/>
    <w:rsid w:val="001D5275"/>
    <w:rsid w:val="00201D7E"/>
    <w:rsid w:val="0021102D"/>
    <w:rsid w:val="00230EA4"/>
    <w:rsid w:val="002469EC"/>
    <w:rsid w:val="002533C4"/>
    <w:rsid w:val="0025657B"/>
    <w:rsid w:val="00280F8C"/>
    <w:rsid w:val="00297F29"/>
    <w:rsid w:val="002A350B"/>
    <w:rsid w:val="002B483F"/>
    <w:rsid w:val="002B4869"/>
    <w:rsid w:val="002C6559"/>
    <w:rsid w:val="002E5EA4"/>
    <w:rsid w:val="002F07B1"/>
    <w:rsid w:val="003154AC"/>
    <w:rsid w:val="00321509"/>
    <w:rsid w:val="00324CF2"/>
    <w:rsid w:val="003354F9"/>
    <w:rsid w:val="00345D10"/>
    <w:rsid w:val="0034656B"/>
    <w:rsid w:val="00351716"/>
    <w:rsid w:val="0035402B"/>
    <w:rsid w:val="003603F1"/>
    <w:rsid w:val="003619EB"/>
    <w:rsid w:val="0036217C"/>
    <w:rsid w:val="003665BB"/>
    <w:rsid w:val="00367C4A"/>
    <w:rsid w:val="00376ECF"/>
    <w:rsid w:val="00381D5D"/>
    <w:rsid w:val="003839FE"/>
    <w:rsid w:val="00385CFC"/>
    <w:rsid w:val="00397829"/>
    <w:rsid w:val="003A6E15"/>
    <w:rsid w:val="003B6F56"/>
    <w:rsid w:val="003C02DC"/>
    <w:rsid w:val="003C3C42"/>
    <w:rsid w:val="003C6D0C"/>
    <w:rsid w:val="003D627E"/>
    <w:rsid w:val="003E32C5"/>
    <w:rsid w:val="003E76FD"/>
    <w:rsid w:val="003F2334"/>
    <w:rsid w:val="00402337"/>
    <w:rsid w:val="00413771"/>
    <w:rsid w:val="00436F45"/>
    <w:rsid w:val="00437065"/>
    <w:rsid w:val="004546BB"/>
    <w:rsid w:val="00474A4C"/>
    <w:rsid w:val="004B4509"/>
    <w:rsid w:val="004C6EF8"/>
    <w:rsid w:val="004D5AB0"/>
    <w:rsid w:val="004E1CF4"/>
    <w:rsid w:val="004E2D3F"/>
    <w:rsid w:val="004F05E4"/>
    <w:rsid w:val="004F4E32"/>
    <w:rsid w:val="005054F2"/>
    <w:rsid w:val="005102EB"/>
    <w:rsid w:val="005154EA"/>
    <w:rsid w:val="005568F2"/>
    <w:rsid w:val="00560F32"/>
    <w:rsid w:val="00580351"/>
    <w:rsid w:val="0058228F"/>
    <w:rsid w:val="005846CF"/>
    <w:rsid w:val="005925B2"/>
    <w:rsid w:val="005937B3"/>
    <w:rsid w:val="005A2F2A"/>
    <w:rsid w:val="005A7410"/>
    <w:rsid w:val="005B0257"/>
    <w:rsid w:val="005B4B82"/>
    <w:rsid w:val="005D6805"/>
    <w:rsid w:val="005E1C60"/>
    <w:rsid w:val="005E2741"/>
    <w:rsid w:val="006016A5"/>
    <w:rsid w:val="00605AFF"/>
    <w:rsid w:val="00613DF9"/>
    <w:rsid w:val="00627C02"/>
    <w:rsid w:val="00645D60"/>
    <w:rsid w:val="00655ABB"/>
    <w:rsid w:val="00671AA1"/>
    <w:rsid w:val="00675B43"/>
    <w:rsid w:val="006767FB"/>
    <w:rsid w:val="0068605C"/>
    <w:rsid w:val="00694716"/>
    <w:rsid w:val="006B2168"/>
    <w:rsid w:val="006C7388"/>
    <w:rsid w:val="006D01BA"/>
    <w:rsid w:val="006D43EC"/>
    <w:rsid w:val="006E590A"/>
    <w:rsid w:val="006F3FE6"/>
    <w:rsid w:val="007014A6"/>
    <w:rsid w:val="00704B06"/>
    <w:rsid w:val="00707216"/>
    <w:rsid w:val="00740FEB"/>
    <w:rsid w:val="00741A6C"/>
    <w:rsid w:val="00753B0D"/>
    <w:rsid w:val="00771196"/>
    <w:rsid w:val="00791150"/>
    <w:rsid w:val="00792038"/>
    <w:rsid w:val="007A580E"/>
    <w:rsid w:val="007B2D03"/>
    <w:rsid w:val="007B3326"/>
    <w:rsid w:val="007B4C13"/>
    <w:rsid w:val="007C3B26"/>
    <w:rsid w:val="007D374E"/>
    <w:rsid w:val="007E070F"/>
    <w:rsid w:val="007F4A29"/>
    <w:rsid w:val="008012AF"/>
    <w:rsid w:val="008013C7"/>
    <w:rsid w:val="00804BC5"/>
    <w:rsid w:val="00811003"/>
    <w:rsid w:val="00843B8B"/>
    <w:rsid w:val="008562F7"/>
    <w:rsid w:val="00865516"/>
    <w:rsid w:val="00874325"/>
    <w:rsid w:val="00887700"/>
    <w:rsid w:val="00891212"/>
    <w:rsid w:val="008A7E4E"/>
    <w:rsid w:val="008C43DC"/>
    <w:rsid w:val="008D556C"/>
    <w:rsid w:val="008D7561"/>
    <w:rsid w:val="008D7A5D"/>
    <w:rsid w:val="008F11CA"/>
    <w:rsid w:val="008F2226"/>
    <w:rsid w:val="00901501"/>
    <w:rsid w:val="00931C5A"/>
    <w:rsid w:val="00945F6F"/>
    <w:rsid w:val="00983A93"/>
    <w:rsid w:val="0098749D"/>
    <w:rsid w:val="009A50EF"/>
    <w:rsid w:val="009B0B49"/>
    <w:rsid w:val="009B2EC3"/>
    <w:rsid w:val="009C295F"/>
    <w:rsid w:val="009E0808"/>
    <w:rsid w:val="009E1587"/>
    <w:rsid w:val="009F355C"/>
    <w:rsid w:val="00A07DA2"/>
    <w:rsid w:val="00A120BD"/>
    <w:rsid w:val="00A23986"/>
    <w:rsid w:val="00A37059"/>
    <w:rsid w:val="00A61449"/>
    <w:rsid w:val="00A62FE7"/>
    <w:rsid w:val="00A7127B"/>
    <w:rsid w:val="00A7436E"/>
    <w:rsid w:val="00A9784F"/>
    <w:rsid w:val="00AA4B5D"/>
    <w:rsid w:val="00AA6278"/>
    <w:rsid w:val="00AB335C"/>
    <w:rsid w:val="00AC3D9A"/>
    <w:rsid w:val="00AC6A40"/>
    <w:rsid w:val="00AD1EB3"/>
    <w:rsid w:val="00AD78B7"/>
    <w:rsid w:val="00AD7AC1"/>
    <w:rsid w:val="00AF3717"/>
    <w:rsid w:val="00AF3941"/>
    <w:rsid w:val="00AF3EE3"/>
    <w:rsid w:val="00B15253"/>
    <w:rsid w:val="00B259FE"/>
    <w:rsid w:val="00B35C54"/>
    <w:rsid w:val="00B3602A"/>
    <w:rsid w:val="00B43CD2"/>
    <w:rsid w:val="00B60091"/>
    <w:rsid w:val="00B63C17"/>
    <w:rsid w:val="00B72548"/>
    <w:rsid w:val="00B81204"/>
    <w:rsid w:val="00B825DF"/>
    <w:rsid w:val="00B920D1"/>
    <w:rsid w:val="00BA19E4"/>
    <w:rsid w:val="00BA2F62"/>
    <w:rsid w:val="00BA6E49"/>
    <w:rsid w:val="00BB0F87"/>
    <w:rsid w:val="00BC1354"/>
    <w:rsid w:val="00BD0BF3"/>
    <w:rsid w:val="00BE1A0A"/>
    <w:rsid w:val="00BE26D5"/>
    <w:rsid w:val="00BE3C1E"/>
    <w:rsid w:val="00BF7405"/>
    <w:rsid w:val="00BF7CF4"/>
    <w:rsid w:val="00C064B9"/>
    <w:rsid w:val="00C24D08"/>
    <w:rsid w:val="00C276F4"/>
    <w:rsid w:val="00C331DC"/>
    <w:rsid w:val="00C34835"/>
    <w:rsid w:val="00C43A81"/>
    <w:rsid w:val="00C47CE9"/>
    <w:rsid w:val="00C77771"/>
    <w:rsid w:val="00C83B85"/>
    <w:rsid w:val="00C946D4"/>
    <w:rsid w:val="00C966CD"/>
    <w:rsid w:val="00CA7A65"/>
    <w:rsid w:val="00CB5FBD"/>
    <w:rsid w:val="00CB65BE"/>
    <w:rsid w:val="00CB7D2D"/>
    <w:rsid w:val="00CC7C3B"/>
    <w:rsid w:val="00CE3B36"/>
    <w:rsid w:val="00D07E71"/>
    <w:rsid w:val="00D170B5"/>
    <w:rsid w:val="00D3218A"/>
    <w:rsid w:val="00D37353"/>
    <w:rsid w:val="00D40A19"/>
    <w:rsid w:val="00D4687D"/>
    <w:rsid w:val="00D61918"/>
    <w:rsid w:val="00D71076"/>
    <w:rsid w:val="00D74E2C"/>
    <w:rsid w:val="00D9591E"/>
    <w:rsid w:val="00DA6EC6"/>
    <w:rsid w:val="00DA713A"/>
    <w:rsid w:val="00DB4C5C"/>
    <w:rsid w:val="00DC6A10"/>
    <w:rsid w:val="00DD74CA"/>
    <w:rsid w:val="00DE3D04"/>
    <w:rsid w:val="00E00896"/>
    <w:rsid w:val="00E02A47"/>
    <w:rsid w:val="00E03555"/>
    <w:rsid w:val="00E04173"/>
    <w:rsid w:val="00E14B19"/>
    <w:rsid w:val="00E163B5"/>
    <w:rsid w:val="00E23AC4"/>
    <w:rsid w:val="00E415CB"/>
    <w:rsid w:val="00E54306"/>
    <w:rsid w:val="00E55FBF"/>
    <w:rsid w:val="00E756FA"/>
    <w:rsid w:val="00E75B9F"/>
    <w:rsid w:val="00E93227"/>
    <w:rsid w:val="00E94A42"/>
    <w:rsid w:val="00E9509F"/>
    <w:rsid w:val="00E95B7A"/>
    <w:rsid w:val="00EB099F"/>
    <w:rsid w:val="00EB4458"/>
    <w:rsid w:val="00EB49ED"/>
    <w:rsid w:val="00EC734B"/>
    <w:rsid w:val="00ED5079"/>
    <w:rsid w:val="00EE315D"/>
    <w:rsid w:val="00EE406F"/>
    <w:rsid w:val="00EE43F8"/>
    <w:rsid w:val="00EE442C"/>
    <w:rsid w:val="00EF121F"/>
    <w:rsid w:val="00F03179"/>
    <w:rsid w:val="00F0652E"/>
    <w:rsid w:val="00F067DE"/>
    <w:rsid w:val="00F128F6"/>
    <w:rsid w:val="00F149F3"/>
    <w:rsid w:val="00F174D7"/>
    <w:rsid w:val="00F21D71"/>
    <w:rsid w:val="00F246FE"/>
    <w:rsid w:val="00F358E9"/>
    <w:rsid w:val="00F42D67"/>
    <w:rsid w:val="00F659D6"/>
    <w:rsid w:val="00F76259"/>
    <w:rsid w:val="00FB23DE"/>
    <w:rsid w:val="00FC02C5"/>
    <w:rsid w:val="00FC12C5"/>
    <w:rsid w:val="00FE0795"/>
    <w:rsid w:val="00FE23F6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12E4"/>
  <w15:docId w15:val="{96E77976-DBD8-4224-A003-CEA5CCF6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5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BDB"/>
  </w:style>
  <w:style w:type="paragraph" w:styleId="Stopka">
    <w:name w:val="footer"/>
    <w:basedOn w:val="Normalny"/>
    <w:link w:val="StopkaZnak"/>
    <w:uiPriority w:val="99"/>
    <w:unhideWhenUsed/>
    <w:rsid w:val="00065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BDB"/>
  </w:style>
  <w:style w:type="paragraph" w:styleId="Tekstdymka">
    <w:name w:val="Balloon Text"/>
    <w:basedOn w:val="Normalny"/>
    <w:link w:val="TekstdymkaZnak"/>
    <w:uiPriority w:val="99"/>
    <w:semiHidden/>
    <w:unhideWhenUsed/>
    <w:rsid w:val="00F14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9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13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6kolorowaakcent6">
    <w:name w:val="Grid Table 6 Colorful Accent 6"/>
    <w:basedOn w:val="Standardowy"/>
    <w:uiPriority w:val="51"/>
    <w:rsid w:val="00FB23D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08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08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0842"/>
    <w:rPr>
      <w:vertAlign w:val="superscript"/>
    </w:rPr>
  </w:style>
  <w:style w:type="paragraph" w:customStyle="1" w:styleId="WMATFIZCHEMwzrmatfizlubchem">
    <w:name w:val="W_MAT(FIZ|CHEM) – wzór mat. (fiz. lub chem.)"/>
    <w:uiPriority w:val="18"/>
    <w:qFormat/>
    <w:rsid w:val="003C3C42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C7777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C7777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IDindeksdolny">
    <w:name w:val="_ID_ – indeks dolny"/>
    <w:basedOn w:val="Domylnaczcionkaakapitu"/>
    <w:uiPriority w:val="3"/>
    <w:qFormat/>
    <w:rsid w:val="00065088"/>
    <w:rPr>
      <w:b w:val="0"/>
      <w:i w:val="0"/>
      <w:vanish w:val="0"/>
      <w:spacing w:val="0"/>
      <w:vertAlign w:val="subscript"/>
    </w:rPr>
  </w:style>
  <w:style w:type="paragraph" w:customStyle="1" w:styleId="USTustnpkodeksu">
    <w:name w:val="UST(§) – ust. (§ np. kodeksu)"/>
    <w:basedOn w:val="Normalny"/>
    <w:uiPriority w:val="12"/>
    <w:qFormat/>
    <w:rsid w:val="00065088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3C02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41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5F246-25BD-466E-90E6-4626444F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3040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CENTRUM INICJATYW WIN-WIN</dc:creator>
  <cp:lastModifiedBy>Skowron Marcin</cp:lastModifiedBy>
  <cp:revision>2</cp:revision>
  <cp:lastPrinted>2022-03-18T09:45:00Z</cp:lastPrinted>
  <dcterms:created xsi:type="dcterms:W3CDTF">2023-06-28T11:18:00Z</dcterms:created>
  <dcterms:modified xsi:type="dcterms:W3CDTF">2023-06-28T11:18:00Z</dcterms:modified>
</cp:coreProperties>
</file>