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98FB" w14:textId="698B6575" w:rsidR="00271469" w:rsidRPr="00E729C9" w:rsidRDefault="007B76F9" w:rsidP="0079738E">
      <w:pPr>
        <w:pStyle w:val="Pagedecouverture"/>
        <w:rPr>
          <w:noProof/>
        </w:rPr>
      </w:pPr>
      <w:r>
        <w:rPr>
          <w:noProof/>
        </w:rPr>
        <w:drawing>
          <wp:inline distT="0" distB="0" distL="0" distR="0" wp14:anchorId="30C3E632" wp14:editId="462DE3DD">
            <wp:extent cx="5783580" cy="5257800"/>
            <wp:effectExtent l="0" t="0" r="0" b="0"/>
            <wp:docPr id="1" name="Obraz 1" descr="4DBC5423-A540-4E14-B245-B75D88EBC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DBC5423-A540-4E14-B245-B75D88EBC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3580" cy="5257800"/>
                    </a:xfrm>
                    <a:prstGeom prst="rect">
                      <a:avLst/>
                    </a:prstGeom>
                    <a:noFill/>
                    <a:ln>
                      <a:noFill/>
                    </a:ln>
                  </pic:spPr>
                </pic:pic>
              </a:graphicData>
            </a:graphic>
          </wp:inline>
        </w:drawing>
      </w:r>
    </w:p>
    <w:p w14:paraId="61C6B9F6" w14:textId="77777777" w:rsidR="00271469" w:rsidRPr="00E729C9" w:rsidRDefault="00271469" w:rsidP="00271469">
      <w:pPr>
        <w:rPr>
          <w:noProof/>
        </w:rPr>
        <w:sectPr w:rsidR="00271469" w:rsidRPr="00E729C9" w:rsidSect="0079738E">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2DA8C03A" w14:textId="77777777" w:rsidR="00271469" w:rsidRPr="00E729C9" w:rsidRDefault="00271469" w:rsidP="00271469">
      <w:pPr>
        <w:pStyle w:val="Annexetitre"/>
        <w:rPr>
          <w:noProof/>
        </w:rPr>
      </w:pPr>
      <w:r w:rsidRPr="00E729C9">
        <w:rPr>
          <w:noProof/>
        </w:rPr>
        <w:lastRenderedPageBreak/>
        <w:t xml:space="preserve">ZAŁĄCZNIK I </w:t>
      </w:r>
    </w:p>
    <w:p w14:paraId="3DE32B11" w14:textId="77777777" w:rsidR="00271469" w:rsidRPr="00E729C9" w:rsidRDefault="00271469" w:rsidP="00271469">
      <w:pPr>
        <w:rPr>
          <w:noProof/>
        </w:rPr>
      </w:pPr>
      <w:r w:rsidRPr="00E729C9">
        <w:rPr>
          <w:noProof/>
        </w:rPr>
        <w:t xml:space="preserve">W załączniku IV wprowadza się następujące zmiany: </w:t>
      </w:r>
    </w:p>
    <w:p w14:paraId="4EF7F547" w14:textId="1C42A2C7" w:rsidR="00271469" w:rsidRPr="00E729C9" w:rsidRDefault="00363F4E" w:rsidP="00363F4E">
      <w:pPr>
        <w:pStyle w:val="Point0"/>
        <w:rPr>
          <w:noProof/>
        </w:rPr>
      </w:pPr>
      <w:r>
        <w:rPr>
          <w:noProof/>
        </w:rPr>
        <w:t>1)</w:t>
      </w:r>
      <w:r>
        <w:rPr>
          <w:noProof/>
        </w:rPr>
        <w:tab/>
      </w:r>
      <w:r w:rsidR="00271469" w:rsidRPr="00E729C9">
        <w:rPr>
          <w:noProof/>
        </w:rPr>
        <w:t xml:space="preserve">w pkt 4 skreśla się zdanie trzecie; </w:t>
      </w:r>
    </w:p>
    <w:p w14:paraId="19899749" w14:textId="1CA12CDE" w:rsidR="00271469" w:rsidRPr="00E729C9" w:rsidRDefault="00363F4E" w:rsidP="00363F4E">
      <w:pPr>
        <w:pStyle w:val="Point0"/>
        <w:rPr>
          <w:noProof/>
        </w:rPr>
      </w:pPr>
      <w:r>
        <w:rPr>
          <w:noProof/>
        </w:rPr>
        <w:t>2)</w:t>
      </w:r>
      <w:r>
        <w:rPr>
          <w:noProof/>
        </w:rPr>
        <w:tab/>
      </w:r>
      <w:r w:rsidR="00271469" w:rsidRPr="00E729C9">
        <w:rPr>
          <w:noProof/>
        </w:rPr>
        <w:t xml:space="preserve">w </w:t>
      </w:r>
      <w:r w:rsidR="00271469" w:rsidRPr="00363F4E">
        <w:rPr>
          <w:noProof/>
        </w:rPr>
        <w:t>pkt</w:t>
      </w:r>
      <w:r w:rsidRPr="00363F4E">
        <w:rPr>
          <w:noProof/>
        </w:rPr>
        <w:t> </w:t>
      </w:r>
      <w:r w:rsidR="00271469" w:rsidRPr="00363F4E">
        <w:rPr>
          <w:noProof/>
        </w:rPr>
        <w:t>4</w:t>
      </w:r>
      <w:r w:rsidR="00271469" w:rsidRPr="00E729C9">
        <w:rPr>
          <w:noProof/>
        </w:rPr>
        <w:t xml:space="preserve">.1 wprowadza się następujące zmiany: </w:t>
      </w:r>
    </w:p>
    <w:p w14:paraId="4E7D93FA" w14:textId="44F3EA2B" w:rsidR="00271469" w:rsidRPr="00E729C9" w:rsidRDefault="00363F4E" w:rsidP="00363F4E">
      <w:pPr>
        <w:pStyle w:val="Point1"/>
        <w:rPr>
          <w:noProof/>
        </w:rPr>
      </w:pPr>
      <w:r>
        <w:rPr>
          <w:noProof/>
        </w:rPr>
        <w:t>a)</w:t>
      </w:r>
      <w:r>
        <w:rPr>
          <w:noProof/>
        </w:rPr>
        <w:tab/>
      </w:r>
      <w:r w:rsidR="00271469" w:rsidRPr="00E729C9">
        <w:rPr>
          <w:noProof/>
        </w:rPr>
        <w:t>zdanie czwarte otrzymuje brzmienie:</w:t>
      </w:r>
    </w:p>
    <w:p w14:paraId="42A2AA19" w14:textId="77777777" w:rsidR="00271469" w:rsidRPr="00E729C9" w:rsidRDefault="00271469" w:rsidP="00271469">
      <w:pPr>
        <w:pStyle w:val="Text2"/>
        <w:rPr>
          <w:noProof/>
        </w:rPr>
      </w:pPr>
      <w:r w:rsidRPr="00E729C9">
        <w:rPr>
          <w:noProof/>
        </w:rPr>
        <w:t>„Jeżeli do danego rodzaju towarów nie można zastosować wiarygodnych danych dotyczących państwa wywozu, wartości domyślne opierają się na średniej intensywności emisji z dziesięciu państw wywozu o najwyższej intensywności emisji, w odniesieniu do których dostępne są wiarygodne dane, które można odnieść do tego rodzaju towarów.”;</w:t>
      </w:r>
    </w:p>
    <w:p w14:paraId="75645779" w14:textId="50D50A4C" w:rsidR="00271469" w:rsidRPr="00E729C9" w:rsidRDefault="00363F4E" w:rsidP="00363F4E">
      <w:pPr>
        <w:pStyle w:val="Point1"/>
        <w:rPr>
          <w:noProof/>
        </w:rPr>
      </w:pPr>
      <w:r>
        <w:rPr>
          <w:noProof/>
        </w:rPr>
        <w:t>b)</w:t>
      </w:r>
      <w:r>
        <w:rPr>
          <w:noProof/>
        </w:rPr>
        <w:tab/>
      </w:r>
      <w:r w:rsidR="00271469" w:rsidRPr="00E729C9">
        <w:rPr>
          <w:noProof/>
        </w:rPr>
        <w:t>skreśla się zdanie piąte;</w:t>
      </w:r>
    </w:p>
    <w:p w14:paraId="257CA75B" w14:textId="3F350F58" w:rsidR="00271469" w:rsidRPr="00E729C9" w:rsidRDefault="00363F4E" w:rsidP="00363F4E">
      <w:pPr>
        <w:pStyle w:val="Point0"/>
        <w:rPr>
          <w:noProof/>
        </w:rPr>
      </w:pPr>
      <w:r>
        <w:rPr>
          <w:noProof/>
        </w:rPr>
        <w:t>3)</w:t>
      </w:r>
      <w:r>
        <w:rPr>
          <w:noProof/>
        </w:rPr>
        <w:tab/>
      </w:r>
      <w:r w:rsidR="00271469" w:rsidRPr="00363F4E">
        <w:rPr>
          <w:noProof/>
        </w:rPr>
        <w:t>pkt</w:t>
      </w:r>
      <w:r w:rsidRPr="00363F4E">
        <w:rPr>
          <w:noProof/>
        </w:rPr>
        <w:t> </w:t>
      </w:r>
      <w:r w:rsidR="00271469" w:rsidRPr="00363F4E">
        <w:rPr>
          <w:noProof/>
        </w:rPr>
        <w:t>7</w:t>
      </w:r>
      <w:r w:rsidR="00271469" w:rsidRPr="00E729C9">
        <w:rPr>
          <w:noProof/>
        </w:rPr>
        <w:t xml:space="preserve"> akapit drugi otrzymuje brzmienie: </w:t>
      </w:r>
    </w:p>
    <w:p w14:paraId="3A2D2533" w14:textId="77777777" w:rsidR="00271469" w:rsidRPr="00E729C9" w:rsidRDefault="00271469" w:rsidP="00271469">
      <w:pPr>
        <w:pStyle w:val="Text1"/>
        <w:rPr>
          <w:noProof/>
        </w:rPr>
      </w:pPr>
      <w:r w:rsidRPr="00E729C9">
        <w:rPr>
          <w:noProof/>
        </w:rPr>
        <w:t>„Jeżeli zgłaszający towary wyprodukowane w państwie trzecim, grupie państw trzecich lub regionie w państwie trzecim mogą wykazać na podstawie wiarygodnych danych, że alternatywne dostosowanie wartości domyślnych dla danego regionu skutkuje uzyskaniem wartości niższych niż wartości domyślne określone przez Komisję, można zastosować takie wartości dostosowane dla danego regionu.”.</w:t>
      </w:r>
    </w:p>
    <w:p w14:paraId="70F8F8E1" w14:textId="77777777" w:rsidR="00271469" w:rsidRPr="00E729C9" w:rsidRDefault="00271469" w:rsidP="00271469">
      <w:pPr>
        <w:rPr>
          <w:noProof/>
        </w:rPr>
        <w:sectPr w:rsidR="00271469" w:rsidRPr="00E729C9" w:rsidSect="0079738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pPr>
    </w:p>
    <w:p w14:paraId="1A70CA66" w14:textId="77777777" w:rsidR="00271469" w:rsidRPr="00E729C9" w:rsidRDefault="00271469" w:rsidP="00271469">
      <w:pPr>
        <w:pStyle w:val="Annexetitre"/>
        <w:rPr>
          <w:noProof/>
        </w:rPr>
      </w:pPr>
      <w:r w:rsidRPr="00E729C9">
        <w:rPr>
          <w:noProof/>
        </w:rPr>
        <w:lastRenderedPageBreak/>
        <w:t xml:space="preserve">ZAŁĄCZNIK II </w:t>
      </w:r>
    </w:p>
    <w:p w14:paraId="74116BDD" w14:textId="77777777" w:rsidR="00271469" w:rsidRPr="00E729C9" w:rsidRDefault="00271469" w:rsidP="00271469">
      <w:pPr>
        <w:rPr>
          <w:noProof/>
        </w:rPr>
      </w:pPr>
      <w:r w:rsidRPr="00E729C9">
        <w:rPr>
          <w:noProof/>
        </w:rPr>
        <w:t xml:space="preserve">Dodaje się załącznik VII w brzmieniu: </w:t>
      </w:r>
    </w:p>
    <w:p w14:paraId="5B64020F" w14:textId="77777777" w:rsidR="00271469" w:rsidRPr="00E729C9" w:rsidRDefault="00271469" w:rsidP="00271469">
      <w:pPr>
        <w:jc w:val="center"/>
        <w:rPr>
          <w:b/>
          <w:bCs/>
          <w:noProof/>
        </w:rPr>
      </w:pPr>
      <w:r w:rsidRPr="00E729C9">
        <w:rPr>
          <w:b/>
          <w:noProof/>
        </w:rPr>
        <w:t>„ZAŁĄCZNIK VII</w:t>
      </w:r>
    </w:p>
    <w:p w14:paraId="26AFCE32" w14:textId="77777777" w:rsidR="00271469" w:rsidRPr="00E729C9" w:rsidRDefault="00271469" w:rsidP="00271469">
      <w:pPr>
        <w:jc w:val="center"/>
        <w:rPr>
          <w:b/>
          <w:bCs/>
          <w:noProof/>
        </w:rPr>
      </w:pPr>
      <w:r w:rsidRPr="00E729C9">
        <w:rPr>
          <w:b/>
          <w:noProof/>
        </w:rPr>
        <w:t>Próg, o którym mowa w art. 2 ust. 3a</w:t>
      </w:r>
    </w:p>
    <w:p w14:paraId="41861859" w14:textId="4BDE16FF" w:rsidR="00271469" w:rsidRPr="00E729C9" w:rsidRDefault="00271469" w:rsidP="00271469">
      <w:pPr>
        <w:rPr>
          <w:noProof/>
        </w:rPr>
      </w:pPr>
      <w:r w:rsidRPr="00E729C9">
        <w:rPr>
          <w:noProof/>
        </w:rPr>
        <w:t xml:space="preserve">1. Próg, o którym mowa w </w:t>
      </w:r>
      <w:r w:rsidRPr="00363F4E">
        <w:rPr>
          <w:noProof/>
        </w:rPr>
        <w:t>art.</w:t>
      </w:r>
      <w:r w:rsidR="00363F4E" w:rsidRPr="00363F4E">
        <w:rPr>
          <w:noProof/>
        </w:rPr>
        <w:t> </w:t>
      </w:r>
      <w:r w:rsidRPr="00363F4E">
        <w:rPr>
          <w:noProof/>
        </w:rPr>
        <w:t>2</w:t>
      </w:r>
      <w:r w:rsidRPr="00E729C9">
        <w:rPr>
          <w:noProof/>
        </w:rPr>
        <w:t xml:space="preserve"> </w:t>
      </w:r>
      <w:r w:rsidRPr="00363F4E">
        <w:rPr>
          <w:noProof/>
        </w:rPr>
        <w:t>ust.</w:t>
      </w:r>
      <w:r w:rsidR="00363F4E" w:rsidRPr="00363F4E">
        <w:rPr>
          <w:noProof/>
        </w:rPr>
        <w:t> </w:t>
      </w:r>
      <w:r w:rsidRPr="00363F4E">
        <w:rPr>
          <w:noProof/>
        </w:rPr>
        <w:t>3</w:t>
      </w:r>
      <w:r w:rsidRPr="00E729C9">
        <w:rPr>
          <w:noProof/>
        </w:rPr>
        <w:t>a, ustala się na poziomie 50 ton masy netto.</w:t>
      </w:r>
    </w:p>
    <w:p w14:paraId="5060F369" w14:textId="77777777" w:rsidR="00271469" w:rsidRPr="00E729C9" w:rsidRDefault="00271469" w:rsidP="00271469">
      <w:pPr>
        <w:rPr>
          <w:noProof/>
        </w:rPr>
      </w:pPr>
      <w:r w:rsidRPr="00E729C9">
        <w:rPr>
          <w:noProof/>
        </w:rPr>
        <w:t>2. W celu określenia progu stosuje się następującą metodykę:</w:t>
      </w:r>
    </w:p>
    <w:p w14:paraId="3266DE42" w14:textId="0C7C58B2" w:rsidR="00271469" w:rsidRPr="00E729C9" w:rsidRDefault="00000000" w:rsidP="00271469">
      <w:pPr>
        <w:pStyle w:val="Legenda"/>
        <w:rPr>
          <w:noProof/>
        </w:rPr>
      </w:pPr>
      <m:oMathPara>
        <m:oMath>
          <m:acc>
            <m:accPr>
              <m:chr m:val="̅"/>
              <m:ctrlPr>
                <w:rPr>
                  <w:rFonts w:ascii="Cambria Math" w:hAnsi="Cambria Math"/>
                  <w:i/>
                  <w:noProof/>
                </w:rPr>
              </m:ctrlPr>
            </m:accPr>
            <m:e>
              <m:r>
                <m:rPr>
                  <m:sty m:val="bi"/>
                </m:rPr>
                <w:rPr>
                  <w:rFonts w:ascii="Cambria Math" w:hAnsi="Cambria Math"/>
                  <w:noProof/>
                </w:rPr>
                <m:t>Q</m:t>
              </m:r>
            </m:e>
          </m:acc>
          <m:r>
            <m:rPr>
              <m:sty m:val="bi"/>
            </m:rPr>
            <w:rPr>
              <w:rFonts w:ascii="Cambria Math" w:hAnsi="Cambria Math"/>
              <w:noProof/>
            </w:rPr>
            <m:t xml:space="preserve"> </m:t>
          </m:r>
          <m:r>
            <m:rPr>
              <m:sty m:val="bi"/>
            </m:rPr>
            <w:rPr>
              <w:rFonts w:ascii="Cambria Math" w:hAnsi="Cambria Math"/>
              <w:noProof/>
            </w:rPr>
            <m:t>okre</m:t>
          </m:r>
          <m:r>
            <m:rPr>
              <m:sty m:val="bi"/>
            </m:rPr>
            <w:rPr>
              <w:rFonts w:ascii="Cambria Math" w:hAnsi="Cambria Math"/>
              <w:noProof/>
            </w:rPr>
            <m:t>ś</m:t>
          </m:r>
          <m:r>
            <m:rPr>
              <m:sty m:val="bi"/>
            </m:rPr>
            <w:rPr>
              <w:rFonts w:ascii="Cambria Math" w:hAnsi="Cambria Math"/>
              <w:noProof/>
            </w:rPr>
            <m:t>lone</m:t>
          </m:r>
          <m:r>
            <m:rPr>
              <m:sty m:val="bi"/>
            </m:rPr>
            <w:rPr>
              <w:rFonts w:ascii="Cambria Math" w:hAnsi="Cambria Math"/>
              <w:noProof/>
            </w:rPr>
            <m:t xml:space="preserve"> </m:t>
          </m:r>
          <m:r>
            <m:rPr>
              <m:sty m:val="bi"/>
            </m:rPr>
            <w:rPr>
              <w:rFonts w:ascii="Cambria Math" w:hAnsi="Cambria Math"/>
              <w:noProof/>
            </w:rPr>
            <m:t>tak</m:t>
          </m:r>
          <m:r>
            <m:rPr>
              <m:sty m:val="bi"/>
            </m:rPr>
            <w:rPr>
              <w:rFonts w:ascii="Cambria Math" w:hAnsi="Cambria Math"/>
              <w:noProof/>
            </w:rPr>
            <m:t xml:space="preserve">, </m:t>
          </m:r>
          <m:r>
            <m:rPr>
              <m:sty m:val="bi"/>
            </m:rPr>
            <w:rPr>
              <w:rFonts w:ascii="Cambria Math" w:hAnsi="Cambria Math"/>
              <w:noProof/>
            </w:rPr>
            <m:t>aby</m:t>
          </m:r>
          <m:r>
            <m:rPr>
              <m:sty m:val="bi"/>
            </m:rPr>
            <w:rPr>
              <w:rFonts w:ascii="Cambria Math" w:hAnsi="Cambria Math"/>
              <w:noProof/>
            </w:rPr>
            <m:t xml:space="preserve"> </m:t>
          </m:r>
          <m:f>
            <m:fPr>
              <m:ctrlPr>
                <w:rPr>
                  <w:rFonts w:ascii="Cambria Math" w:hAnsi="Cambria Math"/>
                  <w:i/>
                  <w:noProof/>
                </w:rPr>
              </m:ctrlPr>
            </m:fPr>
            <m:num>
              <m:nary>
                <m:naryPr>
                  <m:chr m:val="∑"/>
                  <m:limLoc m:val="undOvr"/>
                  <m:ctrlPr>
                    <w:rPr>
                      <w:rFonts w:ascii="Cambria Math" w:hAnsi="Cambria Math"/>
                      <w:i/>
                      <w:noProof/>
                    </w:rPr>
                  </m:ctrlPr>
                </m:naryPr>
                <m:sub>
                  <m:r>
                    <m:rPr>
                      <m:sty m:val="bi"/>
                    </m:rPr>
                    <w:rPr>
                      <w:rFonts w:ascii="Cambria Math" w:hAnsi="Cambria Math"/>
                      <w:noProof/>
                    </w:rPr>
                    <m:t>i</m:t>
                  </m:r>
                  <m:r>
                    <m:rPr>
                      <m:sty m:val="bi"/>
                    </m:rPr>
                    <w:rPr>
                      <w:rFonts w:ascii="Cambria Math" w:hAnsi="Cambria Math"/>
                      <w:noProof/>
                    </w:rPr>
                    <m:t>=</m:t>
                  </m:r>
                  <m:r>
                    <m:rPr>
                      <m:sty m:val="bi"/>
                    </m:rPr>
                    <w:rPr>
                      <w:rFonts w:ascii="Cambria Math" w:hAnsi="Cambria Math"/>
                      <w:noProof/>
                    </w:rPr>
                    <m:t>1</m:t>
                  </m:r>
                </m:sub>
                <m:sup>
                  <m:r>
                    <m:rPr>
                      <m:sty m:val="bi"/>
                    </m:rPr>
                    <w:rPr>
                      <w:rFonts w:ascii="Cambria Math" w:hAnsi="Cambria Math"/>
                      <w:noProof/>
                    </w:rPr>
                    <m:t>N</m:t>
                  </m:r>
                </m:sup>
                <m:e>
                  <m:sSub>
                    <m:sSubPr>
                      <m:ctrlPr>
                        <w:rPr>
                          <w:rFonts w:ascii="Cambria Math" w:hAnsi="Cambria Math"/>
                          <w:i/>
                          <w:noProof/>
                        </w:rPr>
                      </m:ctrlPr>
                    </m:sSubPr>
                    <m:e>
                      <m:r>
                        <m:rPr>
                          <m:sty m:val="bi"/>
                        </m:rPr>
                        <w:rPr>
                          <w:rFonts w:ascii="Cambria Math" w:hAnsi="Cambria Math"/>
                          <w:noProof/>
                        </w:rPr>
                        <m:t>Em</m:t>
                      </m:r>
                    </m:e>
                    <m:sub>
                      <m:r>
                        <m:rPr>
                          <m:sty m:val="bi"/>
                        </m:rPr>
                        <w:rPr>
                          <w:rFonts w:ascii="Cambria Math" w:hAnsi="Cambria Math"/>
                          <w:noProof/>
                        </w:rPr>
                        <m:t>i</m:t>
                      </m:r>
                    </m:sub>
                  </m:sSub>
                </m:e>
              </m:nary>
              <m:r>
                <m:rPr>
                  <m:sty m:val="bi"/>
                </m:rPr>
                <w:rPr>
                  <w:rFonts w:ascii="Cambria Math" w:hAnsi="Cambria Math"/>
                  <w:noProof/>
                </w:rPr>
                <m:t>×</m:t>
              </m:r>
              <m:r>
                <m:rPr>
                  <m:sty m:val="bi"/>
                </m:rPr>
                <w:rPr>
                  <w:rFonts w:ascii="Cambria Math" w:hAnsi="Cambria Math"/>
                  <w:noProof/>
                </w:rPr>
                <m:t>1</m:t>
              </m:r>
              <m:r>
                <m:rPr>
                  <m:sty m:val="bi"/>
                </m:rPr>
                <w:rPr>
                  <w:rFonts w:ascii="Cambria Math" w:hAnsi="Cambria Math"/>
                  <w:noProof/>
                </w:rPr>
                <m:t>_(</m:t>
              </m:r>
              <m:sSub>
                <m:sSubPr>
                  <m:ctrlPr>
                    <w:rPr>
                      <w:rFonts w:ascii="Cambria Math" w:hAnsi="Cambria Math"/>
                      <w:i/>
                      <w:noProof/>
                    </w:rPr>
                  </m:ctrlPr>
                </m:sSubPr>
                <m:e>
                  <m:r>
                    <m:rPr>
                      <m:sty m:val="bi"/>
                    </m:rPr>
                    <w:rPr>
                      <w:rFonts w:ascii="Cambria Math" w:hAnsi="Cambria Math"/>
                      <w:noProof/>
                    </w:rPr>
                    <m:t>Q</m:t>
                  </m:r>
                </m:e>
                <m:sub>
                  <m:r>
                    <m:rPr>
                      <m:sty m:val="bi"/>
                    </m:rPr>
                    <w:rPr>
                      <w:rFonts w:ascii="Cambria Math" w:hAnsi="Cambria Math"/>
                      <w:noProof/>
                    </w:rPr>
                    <m:t>i</m:t>
                  </m:r>
                </m:sub>
              </m:sSub>
              <m:r>
                <m:rPr>
                  <m:sty m:val="bi"/>
                </m:rPr>
                <w:rPr>
                  <w:rFonts w:ascii="Cambria Math" w:hAnsi="Cambria Math"/>
                  <w:noProof/>
                </w:rPr>
                <m:t>&gt;</m:t>
              </m:r>
              <m:acc>
                <m:accPr>
                  <m:chr m:val="̅"/>
                  <m:ctrlPr>
                    <w:rPr>
                      <w:rFonts w:ascii="Cambria Math" w:hAnsi="Cambria Math"/>
                      <w:i/>
                      <w:noProof/>
                    </w:rPr>
                  </m:ctrlPr>
                </m:accPr>
                <m:e>
                  <m:r>
                    <m:rPr>
                      <m:sty m:val="bi"/>
                    </m:rPr>
                    <w:rPr>
                      <w:rFonts w:ascii="Cambria Math" w:hAnsi="Cambria Math"/>
                      <w:noProof/>
                    </w:rPr>
                    <m:t>Q</m:t>
                  </m:r>
                </m:e>
              </m:acc>
              <m:r>
                <m:rPr>
                  <m:sty m:val="bi"/>
                </m:rPr>
                <w:rPr>
                  <w:rFonts w:ascii="Cambria Math" w:eastAsiaTheme="minorEastAsia" w:hAnsi="Cambria Math"/>
                  <w:noProof/>
                </w:rPr>
                <m:t>)</m:t>
              </m:r>
            </m:num>
            <m:den>
              <m:r>
                <m:rPr>
                  <m:sty m:val="bi"/>
                </m:rPr>
                <w:rPr>
                  <w:rFonts w:ascii="Cambria Math" w:hAnsi="Cambria Math"/>
                  <w:noProof/>
                </w:rPr>
                <m:t>ca</m:t>
              </m:r>
              <m:r>
                <m:rPr>
                  <m:sty m:val="bi"/>
                </m:rPr>
                <w:rPr>
                  <w:rFonts w:ascii="Cambria Math" w:hAnsi="Cambria Math"/>
                  <w:noProof/>
                </w:rPr>
                <m:t>ł</m:t>
              </m:r>
              <m:r>
                <m:rPr>
                  <m:sty m:val="bi"/>
                </m:rPr>
                <w:rPr>
                  <w:rFonts w:ascii="Cambria Math" w:hAnsi="Cambria Math"/>
                  <w:noProof/>
                </w:rPr>
                <m:t>kowite</m:t>
              </m:r>
              <m:r>
                <m:rPr>
                  <m:sty m:val="bi"/>
                </m:rPr>
                <w:rPr>
                  <w:rFonts w:ascii="Cambria Math" w:hAnsi="Cambria Math"/>
                  <w:noProof/>
                </w:rPr>
                <m:t xml:space="preserve"> </m:t>
              </m:r>
              <m:r>
                <m:rPr>
                  <m:sty m:val="bi"/>
                </m:rPr>
                <w:rPr>
                  <w:rFonts w:ascii="Cambria Math" w:hAnsi="Cambria Math"/>
                  <w:noProof/>
                </w:rPr>
                <m:t>emisje</m:t>
              </m:r>
            </m:den>
          </m:f>
          <m:r>
            <m:rPr>
              <m:sty m:val="bi"/>
            </m:rPr>
            <w:rPr>
              <w:rFonts w:ascii="Cambria Math" w:hAnsi="Cambria Math"/>
              <w:noProof/>
            </w:rPr>
            <m:t xml:space="preserve"> ≥</m:t>
          </m:r>
          <m:r>
            <m:rPr>
              <m:sty m:val="bi"/>
            </m:rPr>
            <w:rPr>
              <w:rFonts w:ascii="Cambria Math" w:hAnsi="Cambria Math"/>
              <w:noProof/>
            </w:rPr>
            <m:t>docelowy</m:t>
          </m:r>
          <m:r>
            <m:rPr>
              <m:sty m:val="bi"/>
            </m:rPr>
            <w:rPr>
              <w:rFonts w:ascii="Cambria Math" w:hAnsi="Cambria Math"/>
              <w:noProof/>
            </w:rPr>
            <m:t xml:space="preserve"> </m:t>
          </m:r>
          <m:r>
            <m:rPr>
              <m:sty m:val="bi"/>
            </m:rPr>
            <w:rPr>
              <w:rFonts w:ascii="Cambria Math" w:hAnsi="Cambria Math"/>
              <w:noProof/>
            </w:rPr>
            <m:t>udzia</m:t>
          </m:r>
          <m:r>
            <m:rPr>
              <m:sty m:val="bi"/>
            </m:rPr>
            <w:rPr>
              <w:rFonts w:ascii="Cambria Math" w:hAnsi="Cambria Math"/>
              <w:noProof/>
            </w:rPr>
            <m:t xml:space="preserve">ł </m:t>
          </m:r>
          <m:r>
            <m:rPr>
              <m:sty m:val="bi"/>
            </m:rPr>
            <w:rPr>
              <w:rFonts w:ascii="Cambria Math" w:hAnsi="Cambria Math"/>
              <w:noProof/>
            </w:rPr>
            <m:t>emisji</m:t>
          </m:r>
          <m:r>
            <m:rPr>
              <m:sty m:val="bi"/>
            </m:rPr>
            <w:rPr>
              <w:rFonts w:ascii="Cambria Math" w:hAnsi="Cambria Math"/>
              <w:noProof/>
            </w:rPr>
            <m:t xml:space="preserve"> </m:t>
          </m:r>
          <m:r>
            <m:rPr>
              <m:sty m:val="bi"/>
            </m:rPr>
            <w:rPr>
              <w:rFonts w:ascii="Cambria Math" w:hAnsi="Cambria Math"/>
              <w:noProof/>
            </w:rPr>
            <m:t>wynosz</m:t>
          </m:r>
          <m:r>
            <m:rPr>
              <m:sty m:val="bi"/>
            </m:rPr>
            <w:rPr>
              <w:rFonts w:ascii="Cambria Math" w:hAnsi="Cambria Math"/>
              <w:noProof/>
            </w:rPr>
            <m:t>ą</m:t>
          </m:r>
          <m:r>
            <m:rPr>
              <m:sty m:val="bi"/>
            </m:rPr>
            <w:rPr>
              <w:rFonts w:ascii="Cambria Math" w:hAnsi="Cambria Math"/>
              <w:noProof/>
            </w:rPr>
            <m:t>cy</m:t>
          </m:r>
          <m:r>
            <m:rPr>
              <m:sty m:val="bi"/>
            </m:rPr>
            <w:rPr>
              <w:rFonts w:ascii="Cambria Math" w:hAnsi="Cambria Math"/>
              <w:noProof/>
            </w:rPr>
            <m:t xml:space="preserve"> </m:t>
          </m:r>
          <m:r>
            <m:rPr>
              <m:sty m:val="bi"/>
            </m:rPr>
            <w:rPr>
              <w:rFonts w:ascii="Cambria Math" w:hAnsi="Cambria Math"/>
              <w:noProof/>
            </w:rPr>
            <m:t>99</m:t>
          </m:r>
          <m:r>
            <m:rPr>
              <m:sty m:val="bi"/>
            </m:rPr>
            <w:rPr>
              <w:rFonts w:ascii="Cambria Math" w:hAnsi="Cambria Math"/>
              <w:noProof/>
            </w:rPr>
            <m:t>%</m:t>
          </m:r>
        </m:oMath>
      </m:oMathPara>
    </w:p>
    <w:p w14:paraId="2F695F06" w14:textId="77777777" w:rsidR="00271469" w:rsidRPr="00E729C9" w:rsidRDefault="00271469" w:rsidP="00271469">
      <w:pPr>
        <w:ind w:left="850"/>
        <w:rPr>
          <w:noProof/>
        </w:rPr>
      </w:pPr>
      <w:r w:rsidRPr="00E729C9">
        <w:rPr>
          <w:noProof/>
        </w:rPr>
        <w:t>gdzie:</w:t>
      </w:r>
    </w:p>
    <w:p w14:paraId="786F22DF" w14:textId="77777777" w:rsidR="00271469" w:rsidRPr="00E729C9" w:rsidRDefault="00000000" w:rsidP="008400D8">
      <w:pPr>
        <w:pStyle w:val="Tiret0"/>
        <w:numPr>
          <w:ilvl w:val="0"/>
          <w:numId w:val="1"/>
        </w:numPr>
        <w:rPr>
          <w:noProof/>
        </w:rPr>
      </w:pPr>
      <m:oMath>
        <m:acc>
          <m:accPr>
            <m:chr m:val="̅"/>
            <m:ctrlPr>
              <w:rPr>
                <w:rFonts w:ascii="Cambria Math" w:eastAsiaTheme="minorEastAsia" w:hAnsi="Cambria Math"/>
                <w:i/>
                <w:noProof/>
              </w:rPr>
            </m:ctrlPr>
          </m:accPr>
          <m:e>
            <m:r>
              <w:rPr>
                <w:rFonts w:ascii="Cambria Math" w:eastAsiaTheme="minorEastAsia" w:hAnsi="Cambria Math"/>
                <w:noProof/>
              </w:rPr>
              <m:t>Q</m:t>
            </m:r>
          </m:e>
        </m:acc>
      </m:oMath>
      <w:r w:rsidR="00920275" w:rsidRPr="00E729C9">
        <w:rPr>
          <w:noProof/>
        </w:rPr>
        <w:t xml:space="preserve"> oznacza próg masy w tonach umożliwiający wychwycenie określonego docelowego udziału emisji;</w:t>
      </w:r>
    </w:p>
    <w:p w14:paraId="5A99BFF8" w14:textId="77777777" w:rsidR="00271469" w:rsidRPr="00E729C9" w:rsidRDefault="00271469" w:rsidP="00271469">
      <w:pPr>
        <w:pStyle w:val="Tiret0"/>
        <w:rPr>
          <w:noProof/>
        </w:rPr>
      </w:pPr>
      <w:r w:rsidRPr="00E729C9">
        <w:rPr>
          <w:noProof/>
        </w:rPr>
        <w:t xml:space="preserve">roczne emisje na importera: </w:t>
      </w:r>
      <m:oMath>
        <m:r>
          <w:rPr>
            <w:rFonts w:ascii="Cambria Math" w:eastAsiaTheme="minorEastAsia" w:hAnsi="Cambria Math"/>
            <w:noProof/>
          </w:rPr>
          <m:t xml:space="preserve">i, </m:t>
        </m:r>
        <m:sSub>
          <m:sSubPr>
            <m:ctrlPr>
              <w:rPr>
                <w:rFonts w:ascii="Cambria Math" w:eastAsiaTheme="minorEastAsia" w:hAnsi="Cambria Math"/>
                <w:i/>
                <w:noProof/>
              </w:rPr>
            </m:ctrlPr>
          </m:sSubPr>
          <m:e>
            <m:r>
              <w:rPr>
                <w:rFonts w:ascii="Cambria Math" w:eastAsiaTheme="minorEastAsia" w:hAnsi="Cambria Math"/>
                <w:noProof/>
              </w:rPr>
              <m:t>Em</m:t>
            </m:r>
          </m:e>
          <m:sub>
            <m:r>
              <w:rPr>
                <w:rFonts w:ascii="Cambria Math" w:eastAsiaTheme="minorEastAsia" w:hAnsi="Cambria Math"/>
                <w:noProof/>
              </w:rPr>
              <m:t>i</m:t>
            </m:r>
          </m:sub>
        </m:sSub>
        <m:r>
          <w:rPr>
            <w:rFonts w:ascii="Cambria Math" w:eastAsiaTheme="minorEastAsia" w:hAnsi="Cambria Math"/>
            <w:noProof/>
          </w:rPr>
          <m:t>=</m:t>
        </m:r>
        <m:nary>
          <m:naryPr>
            <m:chr m:val="∑"/>
            <m:limLoc m:val="undOvr"/>
            <m:ctrlPr>
              <w:rPr>
                <w:rFonts w:ascii="Cambria Math" w:hAnsi="Cambria Math"/>
                <w:i/>
                <w:noProof/>
              </w:rPr>
            </m:ctrlPr>
          </m:naryPr>
          <m:sub>
            <m:r>
              <w:rPr>
                <w:rFonts w:ascii="Cambria Math" w:hAnsi="Cambria Math"/>
                <w:noProof/>
              </w:rPr>
              <m:t>j=1</m:t>
            </m:r>
          </m:sub>
          <m:sup>
            <m:sSub>
              <m:sSubPr>
                <m:ctrlPr>
                  <w:rPr>
                    <w:rFonts w:ascii="Cambria Math" w:hAnsi="Cambria Math"/>
                    <w:i/>
                    <w:noProof/>
                  </w:rPr>
                </m:ctrlPr>
              </m:sSubPr>
              <m:e>
                <m:r>
                  <w:rPr>
                    <w:rFonts w:ascii="Cambria Math" w:hAnsi="Cambria Math"/>
                    <w:noProof/>
                  </w:rPr>
                  <m:t>J</m:t>
                </m:r>
              </m:e>
              <m:sub>
                <m:r>
                  <w:rPr>
                    <w:rFonts w:ascii="Cambria Math" w:hAnsi="Cambria Math"/>
                    <w:noProof/>
                  </w:rPr>
                  <m:t>i</m:t>
                </m:r>
              </m:sub>
            </m:sSub>
          </m:sup>
          <m:e>
            <m:sSub>
              <m:sSubPr>
                <m:ctrlPr>
                  <w:rPr>
                    <w:rFonts w:ascii="Cambria Math" w:hAnsi="Cambria Math"/>
                    <w:i/>
                    <w:noProof/>
                  </w:rPr>
                </m:ctrlPr>
              </m:sSubPr>
              <m:e>
                <m:r>
                  <w:rPr>
                    <w:rFonts w:ascii="Cambria Math" w:hAnsi="Cambria Math"/>
                    <w:noProof/>
                  </w:rPr>
                  <m:t>q</m:t>
                </m:r>
              </m:e>
              <m:sub>
                <m:r>
                  <w:rPr>
                    <w:rFonts w:ascii="Cambria Math" w:hAnsi="Cambria Math"/>
                    <w:noProof/>
                  </w:rPr>
                  <m:t>i,j</m:t>
                </m:r>
              </m:sub>
            </m:sSub>
            <m:sSub>
              <m:sSubPr>
                <m:ctrlPr>
                  <w:rPr>
                    <w:rFonts w:ascii="Cambria Math" w:hAnsi="Cambria Math"/>
                    <w:i/>
                    <w:noProof/>
                  </w:rPr>
                </m:ctrlPr>
              </m:sSubPr>
              <m:e>
                <m:r>
                  <w:rPr>
                    <w:rFonts w:ascii="Cambria Math" w:hAnsi="Cambria Math"/>
                    <w:noProof/>
                  </w:rPr>
                  <m:t>EI</m:t>
                </m:r>
              </m:e>
              <m:sub>
                <m:r>
                  <w:rPr>
                    <w:rFonts w:ascii="Cambria Math" w:hAnsi="Cambria Math"/>
                    <w:noProof/>
                  </w:rPr>
                  <m:t>j</m:t>
                </m:r>
              </m:sub>
            </m:sSub>
          </m:e>
        </m:nary>
      </m:oMath>
      <w:r w:rsidRPr="00E729C9">
        <w:rPr>
          <w:noProof/>
        </w:rPr>
        <w:t>;</w:t>
      </w:r>
    </w:p>
    <w:p w14:paraId="576669C7" w14:textId="77777777" w:rsidR="00271469" w:rsidRPr="00E729C9" w:rsidRDefault="00000000" w:rsidP="00271469">
      <w:pPr>
        <w:pStyle w:val="Tiret0"/>
        <w:rPr>
          <w:noProof/>
        </w:rPr>
      </w:pPr>
      <m:oMath>
        <m:sSub>
          <m:sSubPr>
            <m:ctrlPr>
              <w:rPr>
                <w:rFonts w:ascii="Cambria Math" w:hAnsi="Cambria Math"/>
                <w:i/>
                <w:noProof/>
              </w:rPr>
            </m:ctrlPr>
          </m:sSubPr>
          <m:e>
            <m:r>
              <w:rPr>
                <w:rFonts w:ascii="Cambria Math" w:hAnsi="Cambria Math"/>
                <w:noProof/>
              </w:rPr>
              <m:t>q</m:t>
            </m:r>
          </m:e>
          <m:sub>
            <m:r>
              <w:rPr>
                <w:rFonts w:ascii="Cambria Math" w:hAnsi="Cambria Math"/>
                <w:noProof/>
              </w:rPr>
              <m:t>i</m:t>
            </m:r>
            <m:r>
              <w:rPr>
                <w:rFonts w:ascii="Cambria Math" w:hAnsi="Cambria Math"/>
                <w:noProof/>
              </w:rPr>
              <m:t>,</m:t>
            </m:r>
            <m:r>
              <w:rPr>
                <w:rFonts w:ascii="Cambria Math" w:hAnsi="Cambria Math"/>
                <w:noProof/>
              </w:rPr>
              <m:t>j</m:t>
            </m:r>
          </m:sub>
        </m:sSub>
      </m:oMath>
      <w:r w:rsidR="00920275" w:rsidRPr="00E729C9">
        <w:rPr>
          <w:noProof/>
        </w:rPr>
        <w:t xml:space="preserve"> oznacza wielkość przywozu przez importera </w:t>
      </w:r>
      <m:oMath>
        <m:r>
          <w:rPr>
            <w:rFonts w:ascii="Cambria Math" w:eastAsiaTheme="minorEastAsia" w:hAnsi="Cambria Math"/>
            <w:noProof/>
          </w:rPr>
          <m:t>i</m:t>
        </m:r>
      </m:oMath>
      <w:r w:rsidR="00920275" w:rsidRPr="00E729C9">
        <w:rPr>
          <w:noProof/>
        </w:rPr>
        <w:t xml:space="preserve"> towarów objętych kodem CN </w:t>
      </w:r>
      <m:oMath>
        <m:r>
          <w:rPr>
            <w:rFonts w:ascii="Cambria Math" w:eastAsiaTheme="minorEastAsia" w:hAnsi="Cambria Math"/>
            <w:noProof/>
          </w:rPr>
          <m:t>j</m:t>
        </m:r>
      </m:oMath>
      <w:r w:rsidR="00920275" w:rsidRPr="00E729C9">
        <w:rPr>
          <w:noProof/>
        </w:rPr>
        <w:t xml:space="preserve"> podaną w tonach;</w:t>
      </w:r>
    </w:p>
    <w:p w14:paraId="0EF4EB96" w14:textId="77777777" w:rsidR="00271469" w:rsidRPr="00E729C9" w:rsidRDefault="00000000" w:rsidP="00271469">
      <w:pPr>
        <w:pStyle w:val="Tiret0"/>
        <w:rPr>
          <w:noProof/>
        </w:rPr>
      </w:pPr>
      <m:oMath>
        <m:sSub>
          <m:sSubPr>
            <m:ctrlPr>
              <w:rPr>
                <w:rFonts w:ascii="Cambria Math" w:eastAsiaTheme="minorEastAsia" w:hAnsi="Cambria Math"/>
                <w:i/>
                <w:noProof/>
              </w:rPr>
            </m:ctrlPr>
          </m:sSubPr>
          <m:e>
            <m:r>
              <w:rPr>
                <w:rFonts w:ascii="Cambria Math" w:eastAsiaTheme="minorEastAsia" w:hAnsi="Cambria Math"/>
                <w:noProof/>
              </w:rPr>
              <m:t>J</m:t>
            </m:r>
          </m:e>
          <m:sub>
            <m:r>
              <w:rPr>
                <w:rFonts w:ascii="Cambria Math" w:eastAsiaTheme="minorEastAsia" w:hAnsi="Cambria Math"/>
                <w:noProof/>
              </w:rPr>
              <m:t>i</m:t>
            </m:r>
          </m:sub>
        </m:sSub>
      </m:oMath>
      <w:r w:rsidR="00920275" w:rsidRPr="00E729C9">
        <w:rPr>
          <w:noProof/>
        </w:rPr>
        <w:t xml:space="preserve"> oznacza liczbę kodów CN przywiezionych przez importera </w:t>
      </w:r>
      <m:oMath>
        <m:r>
          <w:rPr>
            <w:rFonts w:ascii="Cambria Math" w:eastAsiaTheme="minorEastAsia" w:hAnsi="Cambria Math"/>
            <w:noProof/>
          </w:rPr>
          <m:t>i</m:t>
        </m:r>
      </m:oMath>
      <w:r w:rsidR="00920275" w:rsidRPr="00E729C9">
        <w:rPr>
          <w:noProof/>
        </w:rPr>
        <w:t xml:space="preserve"> w odniesieniu do czterech rozpatrywanych sektorów (aluminium, cement, nawozy, żelazo i stal);</w:t>
      </w:r>
    </w:p>
    <w:p w14:paraId="64FE895F" w14:textId="77777777" w:rsidR="00271469" w:rsidRPr="00E729C9" w:rsidRDefault="00000000" w:rsidP="00271469">
      <w:pPr>
        <w:pStyle w:val="Tiret0"/>
        <w:rPr>
          <w:noProof/>
        </w:rPr>
      </w:pPr>
      <m:oMath>
        <m:sSub>
          <m:sSubPr>
            <m:ctrlPr>
              <w:rPr>
                <w:rFonts w:ascii="Cambria Math" w:hAnsi="Cambria Math"/>
                <w:i/>
                <w:noProof/>
              </w:rPr>
            </m:ctrlPr>
          </m:sSubPr>
          <m:e>
            <m:r>
              <w:rPr>
                <w:rFonts w:ascii="Cambria Math" w:hAnsi="Cambria Math"/>
                <w:noProof/>
              </w:rPr>
              <m:t>EI</m:t>
            </m:r>
          </m:e>
          <m:sub>
            <m:r>
              <w:rPr>
                <w:rFonts w:ascii="Cambria Math" w:hAnsi="Cambria Math"/>
                <w:noProof/>
              </w:rPr>
              <m:t>j</m:t>
            </m:r>
          </m:sub>
        </m:sSub>
      </m:oMath>
      <w:r w:rsidR="00920275" w:rsidRPr="00E729C9">
        <w:rPr>
          <w:noProof/>
        </w:rPr>
        <w:t xml:space="preserve"> oznacza intensywność emisji związaną z danym kodem CN </w:t>
      </w:r>
      <m:oMath>
        <m:r>
          <w:rPr>
            <w:rFonts w:ascii="Cambria Math" w:eastAsiaTheme="minorEastAsia" w:hAnsi="Cambria Math"/>
            <w:noProof/>
          </w:rPr>
          <m:t>j</m:t>
        </m:r>
      </m:oMath>
      <w:r w:rsidR="00920275" w:rsidRPr="00E729C9">
        <w:rPr>
          <w:rStyle w:val="Odwoanieprzypisudolnego"/>
          <w:rFonts w:eastAsiaTheme="minorEastAsia"/>
          <w:noProof/>
        </w:rPr>
        <w:footnoteReference w:id="1"/>
      </w:r>
      <m:oMath>
        <m:r>
          <w:rPr>
            <w:rFonts w:ascii="Cambria Math" w:eastAsiaTheme="minorEastAsia" w:hAnsi="Cambria Math"/>
            <w:noProof/>
          </w:rPr>
          <m:t>;</m:t>
        </m:r>
      </m:oMath>
    </w:p>
    <w:p w14:paraId="13E8DDFA" w14:textId="252B7E2D" w:rsidR="00271469" w:rsidRPr="00E729C9" w:rsidRDefault="00BD1FA8" w:rsidP="00271469">
      <w:pPr>
        <w:pStyle w:val="Tiret0"/>
        <w:rPr>
          <w:noProof/>
        </w:rPr>
      </w:pPr>
      <m:oMath>
        <m:r>
          <w:rPr>
            <w:rFonts w:ascii="Cambria Math" w:hAnsi="Cambria Math"/>
            <w:noProof/>
          </w:rPr>
          <m:t>Całkowite emisje</m:t>
        </m:r>
      </m:oMath>
      <w:r w:rsidR="00271469" w:rsidRPr="00E729C9">
        <w:rPr>
          <w:noProof/>
        </w:rPr>
        <w:t>: oznaczają całkowite emisje CO</w:t>
      </w:r>
      <w:r w:rsidR="00271469" w:rsidRPr="00E729C9">
        <w:rPr>
          <w:noProof/>
          <w:vertAlign w:val="subscript"/>
        </w:rPr>
        <w:t>2</w:t>
      </w:r>
      <w:r w:rsidR="00271469" w:rsidRPr="00E729C9">
        <w:rPr>
          <w:noProof/>
        </w:rPr>
        <w:t xml:space="preserve"> w czterech odnośnych sektorach objętych CBAM, tj. sumę emisji zadeklarowanych w odniesieniu do tych sektorów przez wszystkich importerów: </w:t>
      </w:r>
      <m:oMath>
        <m:r>
          <w:rPr>
            <w:rFonts w:ascii="Cambria Math" w:eastAsiaTheme="minorEastAsia" w:hAnsi="Cambria Math" w:cstheme="minorHAnsi"/>
            <w:noProof/>
          </w:rPr>
          <m:t xml:space="preserve">całkowite emisje= </m:t>
        </m:r>
        <m:nary>
          <m:naryPr>
            <m:chr m:val="∑"/>
            <m:limLoc m:val="subSup"/>
            <m:ctrlPr>
              <w:rPr>
                <w:rFonts w:ascii="Cambria Math" w:eastAsiaTheme="minorEastAsia" w:hAnsi="Cambria Math" w:cstheme="minorHAnsi"/>
                <w:i/>
                <w:noProof/>
              </w:rPr>
            </m:ctrlPr>
          </m:naryPr>
          <m:sub>
            <m:r>
              <w:rPr>
                <w:rFonts w:ascii="Cambria Math" w:eastAsiaTheme="minorEastAsia" w:hAnsi="Cambria Math" w:cstheme="minorHAnsi"/>
                <w:noProof/>
              </w:rPr>
              <m:t>i=1</m:t>
            </m:r>
          </m:sub>
          <m:sup>
            <m:r>
              <w:rPr>
                <w:rFonts w:ascii="Cambria Math" w:eastAsiaTheme="minorEastAsia" w:hAnsi="Cambria Math" w:cstheme="minorHAnsi"/>
                <w:noProof/>
              </w:rPr>
              <m:t>N</m:t>
            </m:r>
          </m:sup>
          <m:e>
            <m:sSub>
              <m:sSubPr>
                <m:ctrlPr>
                  <w:rPr>
                    <w:rFonts w:ascii="Cambria Math" w:eastAsiaTheme="minorEastAsia" w:hAnsi="Cambria Math" w:cstheme="minorHAnsi"/>
                    <w:i/>
                    <w:noProof/>
                  </w:rPr>
                </m:ctrlPr>
              </m:sSubPr>
              <m:e>
                <m:r>
                  <w:rPr>
                    <w:rFonts w:ascii="Cambria Math" w:eastAsiaTheme="minorEastAsia" w:hAnsi="Cambria Math" w:cstheme="minorHAnsi"/>
                    <w:noProof/>
                  </w:rPr>
                  <m:t>Em</m:t>
                </m:r>
              </m:e>
              <m:sub>
                <m:r>
                  <w:rPr>
                    <w:rFonts w:ascii="Cambria Math" w:eastAsiaTheme="minorEastAsia" w:hAnsi="Cambria Math" w:cstheme="minorHAnsi"/>
                    <w:noProof/>
                  </w:rPr>
                  <m:t>i</m:t>
                </m:r>
              </m:sub>
            </m:sSub>
          </m:e>
        </m:nary>
      </m:oMath>
      <w:r w:rsidR="00271469" w:rsidRPr="00E729C9">
        <w:rPr>
          <w:noProof/>
        </w:rPr>
        <w:t>, gdzie</w:t>
      </w:r>
      <w:r w:rsidRPr="00E729C9">
        <w:rPr>
          <w:noProof/>
        </w:rPr>
        <w:t xml:space="preserve"> </w:t>
      </w:r>
      <m:oMath>
        <m:r>
          <w:rPr>
            <w:rFonts w:ascii="Cambria Math" w:eastAsiaTheme="minorEastAsia" w:hAnsi="Cambria Math"/>
            <w:noProof/>
          </w:rPr>
          <m:t xml:space="preserve">N </m:t>
        </m:r>
      </m:oMath>
      <w:r w:rsidR="00271469" w:rsidRPr="00E729C9">
        <w:rPr>
          <w:noProof/>
        </w:rPr>
        <w:t>oznacza liczbę importerów;</w:t>
      </w:r>
    </w:p>
    <w:p w14:paraId="679878D7" w14:textId="77777777" w:rsidR="00271469" w:rsidRPr="00E729C9" w:rsidRDefault="00000000" w:rsidP="00271469">
      <w:pPr>
        <w:pStyle w:val="Tiret0"/>
        <w:rPr>
          <w:noProof/>
        </w:rPr>
      </w:pPr>
      <m:oMath>
        <m:sSub>
          <m:sSubPr>
            <m:ctrlPr>
              <w:rPr>
                <w:rFonts w:ascii="Cambria Math" w:hAnsi="Cambria Math"/>
                <w:i/>
                <w:noProof/>
              </w:rPr>
            </m:ctrlPr>
          </m:sSubPr>
          <m:e>
            <m:r>
              <w:rPr>
                <w:rFonts w:ascii="Cambria Math" w:hAnsi="Cambria Math"/>
                <w:noProof/>
              </w:rPr>
              <m:t>Q</m:t>
            </m:r>
          </m:e>
          <m:sub>
            <m:r>
              <w:rPr>
                <w:rFonts w:ascii="Cambria Math" w:hAnsi="Cambria Math"/>
                <w:noProof/>
              </w:rPr>
              <m:t>i</m:t>
            </m:r>
          </m:sub>
        </m:sSub>
        <m:r>
          <w:rPr>
            <w:rFonts w:ascii="Cambria Math" w:hAnsi="Cambria Math"/>
            <w:noProof/>
          </w:rPr>
          <m:t xml:space="preserve">= </m:t>
        </m:r>
        <m:nary>
          <m:naryPr>
            <m:chr m:val="∑"/>
            <m:limLoc m:val="subSup"/>
            <m:ctrlPr>
              <w:rPr>
                <w:rFonts w:ascii="Cambria Math" w:hAnsi="Cambria Math"/>
                <w:i/>
                <w:noProof/>
              </w:rPr>
            </m:ctrlPr>
          </m:naryPr>
          <m:sub>
            <m:r>
              <w:rPr>
                <w:rFonts w:ascii="Cambria Math" w:hAnsi="Cambria Math"/>
                <w:noProof/>
              </w:rPr>
              <m:t>j</m:t>
            </m:r>
            <m:r>
              <w:rPr>
                <w:rFonts w:ascii="Cambria Math" w:hAnsi="Cambria Math"/>
                <w:noProof/>
              </w:rPr>
              <m:t>=1</m:t>
            </m:r>
          </m:sub>
          <m:sup>
            <m:sSub>
              <m:sSubPr>
                <m:ctrlPr>
                  <w:rPr>
                    <w:rFonts w:ascii="Cambria Math" w:hAnsi="Cambria Math"/>
                    <w:i/>
                    <w:noProof/>
                  </w:rPr>
                </m:ctrlPr>
              </m:sSubPr>
              <m:e>
                <m:r>
                  <w:rPr>
                    <w:rFonts w:ascii="Cambria Math" w:hAnsi="Cambria Math"/>
                    <w:noProof/>
                  </w:rPr>
                  <m:t>J</m:t>
                </m:r>
              </m:e>
              <m:sub>
                <m:r>
                  <w:rPr>
                    <w:rFonts w:ascii="Cambria Math" w:hAnsi="Cambria Math"/>
                    <w:noProof/>
                  </w:rPr>
                  <m:t>i</m:t>
                </m:r>
              </m:sub>
            </m:sSub>
          </m:sup>
          <m:e>
            <m:sSub>
              <m:sSubPr>
                <m:ctrlPr>
                  <w:rPr>
                    <w:rFonts w:ascii="Cambria Math" w:hAnsi="Cambria Math"/>
                    <w:i/>
                    <w:noProof/>
                  </w:rPr>
                </m:ctrlPr>
              </m:sSubPr>
              <m:e>
                <m:r>
                  <w:rPr>
                    <w:rFonts w:ascii="Cambria Math" w:hAnsi="Cambria Math"/>
                    <w:noProof/>
                  </w:rPr>
                  <m:t>q</m:t>
                </m:r>
              </m:e>
              <m:sub>
                <m:r>
                  <w:rPr>
                    <w:rFonts w:ascii="Cambria Math" w:hAnsi="Cambria Math"/>
                    <w:noProof/>
                  </w:rPr>
                  <m:t>i</m:t>
                </m:r>
                <m:r>
                  <w:rPr>
                    <w:rFonts w:ascii="Cambria Math" w:hAnsi="Cambria Math"/>
                    <w:noProof/>
                  </w:rPr>
                  <m:t>,</m:t>
                </m:r>
                <m:r>
                  <w:rPr>
                    <w:rFonts w:ascii="Cambria Math" w:hAnsi="Cambria Math"/>
                    <w:noProof/>
                  </w:rPr>
                  <m:t>j</m:t>
                </m:r>
              </m:sub>
            </m:sSub>
          </m:e>
        </m:nary>
      </m:oMath>
      <w:r w:rsidR="00920275" w:rsidRPr="00E729C9">
        <w:rPr>
          <w:noProof/>
        </w:rPr>
        <w:t xml:space="preserve">: całkowita ilość towarów objętych CBAM przywiezionych przez importera </w:t>
      </w:r>
      <m:oMath>
        <m:r>
          <w:rPr>
            <w:rFonts w:ascii="Cambria Math" w:eastAsiaTheme="minorEastAsia" w:hAnsi="Cambria Math"/>
            <w:noProof/>
          </w:rPr>
          <m:t>i</m:t>
        </m:r>
      </m:oMath>
      <w:r w:rsidR="00920275" w:rsidRPr="00E729C9">
        <w:rPr>
          <w:noProof/>
        </w:rPr>
        <w:t xml:space="preserve"> podana w tonach;</w:t>
      </w:r>
    </w:p>
    <w:p w14:paraId="5F60B2B6" w14:textId="0286B18C" w:rsidR="00271469" w:rsidRPr="00E729C9" w:rsidRDefault="00271469" w:rsidP="00271469">
      <w:pPr>
        <w:pStyle w:val="Tiret0"/>
        <w:rPr>
          <w:noProof/>
        </w:rPr>
      </w:pPr>
      <m:oMath>
        <m:r>
          <w:rPr>
            <w:rFonts w:ascii="Cambria Math" w:hAnsi="Cambria Math"/>
            <w:noProof/>
          </w:rPr>
          <m:t>1</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Q</m:t>
                </m:r>
              </m:e>
              <m:sub>
                <m:r>
                  <w:rPr>
                    <w:rFonts w:ascii="Cambria Math" w:hAnsi="Cambria Math"/>
                    <w:noProof/>
                  </w:rPr>
                  <m:t>i</m:t>
                </m:r>
              </m:sub>
            </m:sSub>
            <m:r>
              <w:rPr>
                <w:rFonts w:ascii="Cambria Math" w:hAnsi="Cambria Math"/>
                <w:noProof/>
              </w:rPr>
              <m:t>&gt;</m:t>
            </m:r>
            <m:acc>
              <m:accPr>
                <m:chr m:val="̅"/>
                <m:ctrlPr>
                  <w:rPr>
                    <w:rFonts w:ascii="Cambria Math" w:hAnsi="Cambria Math"/>
                    <w:i/>
                    <w:noProof/>
                  </w:rPr>
                </m:ctrlPr>
              </m:accPr>
              <m:e>
                <m:r>
                  <w:rPr>
                    <w:rFonts w:ascii="Cambria Math" w:hAnsi="Cambria Math"/>
                    <w:noProof/>
                  </w:rPr>
                  <m:t>Q</m:t>
                </m:r>
              </m:e>
            </m:acc>
          </m:e>
        </m:d>
      </m:oMath>
      <w:r w:rsidRPr="00E729C9">
        <w:rPr>
          <w:noProof/>
        </w:rPr>
        <w:t xml:space="preserve"> pełni funkcję wskaźnika, którego wartość wynosi </w:t>
      </w:r>
      <m:oMath>
        <m:r>
          <w:rPr>
            <w:rFonts w:ascii="Cambria Math" w:eastAsiaTheme="minorEastAsia" w:hAnsi="Cambria Math"/>
            <w:noProof/>
          </w:rPr>
          <m:t>1</m:t>
        </m:r>
      </m:oMath>
      <w:r w:rsidRPr="00E729C9">
        <w:rPr>
          <w:noProof/>
        </w:rPr>
        <w:t xml:space="preserve">, jeżeli </w:t>
      </w:r>
      <m:oMath>
        <m:sSub>
          <m:sSubPr>
            <m:ctrlPr>
              <w:rPr>
                <w:rFonts w:ascii="Cambria Math" w:eastAsiaTheme="minorEastAsia" w:hAnsi="Cambria Math"/>
                <w:i/>
                <w:noProof/>
              </w:rPr>
            </m:ctrlPr>
          </m:sSubPr>
          <m:e>
            <m:r>
              <w:rPr>
                <w:rFonts w:ascii="Cambria Math" w:eastAsiaTheme="minorEastAsia" w:hAnsi="Cambria Math"/>
                <w:noProof/>
              </w:rPr>
              <m:t>Q</m:t>
            </m:r>
          </m:e>
          <m:sub>
            <m:r>
              <w:rPr>
                <w:rFonts w:ascii="Cambria Math" w:eastAsiaTheme="minorEastAsia" w:hAnsi="Cambria Math"/>
                <w:noProof/>
              </w:rPr>
              <m:t>i</m:t>
            </m:r>
          </m:sub>
        </m:sSub>
        <m:r>
          <w:rPr>
            <w:rFonts w:ascii="Cambria Math" w:eastAsiaTheme="minorEastAsia" w:hAnsi="Cambria Math"/>
            <w:noProof/>
          </w:rPr>
          <m:t>&gt;</m:t>
        </m:r>
        <m:acc>
          <m:accPr>
            <m:chr m:val="̅"/>
            <m:ctrlPr>
              <w:rPr>
                <w:rFonts w:ascii="Cambria Math" w:eastAsiaTheme="minorEastAsia" w:hAnsi="Cambria Math"/>
                <w:i/>
                <w:noProof/>
              </w:rPr>
            </m:ctrlPr>
          </m:accPr>
          <m:e>
            <m:r>
              <w:rPr>
                <w:rFonts w:ascii="Cambria Math" w:eastAsiaTheme="minorEastAsia" w:hAnsi="Cambria Math"/>
                <w:noProof/>
              </w:rPr>
              <m:t>Q</m:t>
            </m:r>
          </m:e>
        </m:acc>
      </m:oMath>
      <w:r w:rsidRPr="00E729C9">
        <w:rPr>
          <w:noProof/>
        </w:rPr>
        <w:t xml:space="preserve"> (tj. gdy ilość przywozu danego importera przekracza próg masy </w:t>
      </w:r>
      <m:oMath>
        <m:acc>
          <m:accPr>
            <m:chr m:val="̅"/>
            <m:ctrlPr>
              <w:rPr>
                <w:rFonts w:ascii="Cambria Math" w:eastAsiaTheme="minorEastAsia" w:hAnsi="Cambria Math"/>
                <w:i/>
                <w:noProof/>
              </w:rPr>
            </m:ctrlPr>
          </m:accPr>
          <m:e>
            <m:r>
              <w:rPr>
                <w:rFonts w:ascii="Cambria Math" w:eastAsiaTheme="minorEastAsia" w:hAnsi="Cambria Math"/>
                <w:noProof/>
              </w:rPr>
              <m:t>Q</m:t>
            </m:r>
          </m:e>
        </m:acc>
      </m:oMath>
      <w:r w:rsidRPr="00E729C9">
        <w:rPr>
          <w:noProof/>
        </w:rPr>
        <w:t xml:space="preserve">), </w:t>
      </w:r>
      <w:r w:rsidRPr="00363F4E">
        <w:rPr>
          <w:noProof/>
        </w:rPr>
        <w:t>lub</w:t>
      </w:r>
      <w:r w:rsidR="00363F4E" w:rsidRPr="00363F4E">
        <w:rPr>
          <w:noProof/>
        </w:rPr>
        <w:t> </w:t>
      </w:r>
      <w:r w:rsidRPr="00363F4E">
        <w:rPr>
          <w:noProof/>
        </w:rPr>
        <w:t>0</w:t>
      </w:r>
      <w:r w:rsidRPr="00E729C9">
        <w:rPr>
          <w:noProof/>
        </w:rPr>
        <w:t xml:space="preserve"> – w przeciwnym razie.</w:t>
      </w:r>
    </w:p>
    <w:p w14:paraId="1BB4CB75" w14:textId="1FDEED83" w:rsidR="00271469" w:rsidRPr="00E729C9" w:rsidRDefault="00271469" w:rsidP="00271469">
      <w:pPr>
        <w:ind w:left="850"/>
        <w:rPr>
          <w:noProof/>
        </w:rPr>
      </w:pPr>
      <w:r w:rsidRPr="00E729C9">
        <w:rPr>
          <w:noProof/>
        </w:rPr>
        <w:t xml:space="preserve">Aby uwzględnić niepewność związaną ze zmianami struktury handlu, a przy tym utrzymać cel środowiskowy niniejszego rozporządzenia, do poziomu 99 % emisji wbudowanych, o którym mowa w </w:t>
      </w:r>
      <w:r w:rsidRPr="00363F4E">
        <w:rPr>
          <w:noProof/>
        </w:rPr>
        <w:t>art.</w:t>
      </w:r>
      <w:r w:rsidR="00363F4E" w:rsidRPr="00363F4E">
        <w:rPr>
          <w:noProof/>
        </w:rPr>
        <w:t> </w:t>
      </w:r>
      <w:r w:rsidRPr="00363F4E">
        <w:rPr>
          <w:noProof/>
        </w:rPr>
        <w:t>2</w:t>
      </w:r>
      <w:r w:rsidRPr="00E729C9">
        <w:rPr>
          <w:noProof/>
        </w:rPr>
        <w:t xml:space="preserve"> </w:t>
      </w:r>
      <w:r w:rsidRPr="00363F4E">
        <w:rPr>
          <w:noProof/>
        </w:rPr>
        <w:t>ust.</w:t>
      </w:r>
      <w:r w:rsidR="00363F4E" w:rsidRPr="00363F4E">
        <w:rPr>
          <w:noProof/>
        </w:rPr>
        <w:t> </w:t>
      </w:r>
      <w:r w:rsidRPr="00363F4E">
        <w:rPr>
          <w:noProof/>
        </w:rPr>
        <w:t>3</w:t>
      </w:r>
      <w:r w:rsidRPr="00E729C9">
        <w:rPr>
          <w:noProof/>
        </w:rPr>
        <w:t xml:space="preserve"> a, dodaje się margines w wysokości 0,25 punktu procentowego. </w:t>
      </w:r>
    </w:p>
    <w:p w14:paraId="01EE0B18" w14:textId="77777777" w:rsidR="00271469" w:rsidRPr="00E729C9" w:rsidRDefault="00271469" w:rsidP="00271469">
      <w:pPr>
        <w:ind w:left="850"/>
        <w:rPr>
          <w:noProof/>
        </w:rPr>
      </w:pPr>
      <w:r w:rsidRPr="00E729C9">
        <w:rPr>
          <w:noProof/>
        </w:rPr>
        <w:t>Dla uproszczenia wartość progową zaokrągla się do najbliższej pełnej dziesiątki.</w:t>
      </w:r>
    </w:p>
    <w:p w14:paraId="242C450D" w14:textId="3002F8A2" w:rsidR="00271469" w:rsidRPr="00E729C9" w:rsidRDefault="00271469" w:rsidP="00271469">
      <w:pPr>
        <w:ind w:left="850"/>
        <w:rPr>
          <w:noProof/>
        </w:rPr>
      </w:pPr>
      <w:r w:rsidRPr="00E729C9">
        <w:rPr>
          <w:noProof/>
        </w:rPr>
        <w:t>Najpóźniej w lipcu każdego roku kalendarzowego Komisja – na podstawie danych dotyczących przywozu obejmujących 12-miesięczny okres referencyjny poprzedzający miesiąc</w:t>
      </w:r>
      <w:r w:rsidRPr="00E729C9">
        <w:rPr>
          <w:rStyle w:val="Odwoanieprzypisudolnego"/>
          <w:noProof/>
        </w:rPr>
        <w:footnoteReference w:id="2"/>
      </w:r>
      <w:r w:rsidRPr="00E729C9">
        <w:rPr>
          <w:noProof/>
        </w:rPr>
        <w:t xml:space="preserve"> przeprowadzenia tej oceny – ustala, czy wartość wynikająca z tej metody odbiega o więcej niż 5 ton od wartości progowej określonej w </w:t>
      </w:r>
      <w:r w:rsidRPr="00363F4E">
        <w:rPr>
          <w:noProof/>
        </w:rPr>
        <w:t>pkt</w:t>
      </w:r>
      <w:r w:rsidR="00363F4E" w:rsidRPr="00363F4E">
        <w:rPr>
          <w:noProof/>
        </w:rPr>
        <w:t> </w:t>
      </w:r>
      <w:r w:rsidRPr="00363F4E">
        <w:rPr>
          <w:noProof/>
        </w:rPr>
        <w:t>1</w:t>
      </w:r>
      <w:r w:rsidRPr="00E729C9">
        <w:rPr>
          <w:noProof/>
        </w:rPr>
        <w:t>.”.</w:t>
      </w:r>
    </w:p>
    <w:sectPr w:rsidR="00271469" w:rsidRPr="00E729C9" w:rsidSect="0079738E">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9899" w14:textId="77777777" w:rsidR="003141DD" w:rsidRDefault="003141DD" w:rsidP="00271469">
      <w:pPr>
        <w:spacing w:before="0" w:after="0"/>
      </w:pPr>
      <w:r>
        <w:separator/>
      </w:r>
    </w:p>
  </w:endnote>
  <w:endnote w:type="continuationSeparator" w:id="0">
    <w:p w14:paraId="0AA407AA" w14:textId="77777777" w:rsidR="003141DD" w:rsidRDefault="003141DD" w:rsidP="002714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84EC" w14:textId="0695F093" w:rsidR="0079738E" w:rsidRPr="0079738E" w:rsidRDefault="0079738E" w:rsidP="0079738E">
    <w:pPr>
      <w:pStyle w:val="Stopka"/>
      <w:rPr>
        <w:rFonts w:ascii="Arial" w:hAnsi="Arial" w:cs="Arial"/>
        <w:b/>
        <w:sz w:val="48"/>
      </w:rPr>
    </w:pPr>
    <w:r w:rsidRPr="0079738E">
      <w:rPr>
        <w:rFonts w:ascii="Arial" w:hAnsi="Arial" w:cs="Arial"/>
        <w:b/>
        <w:sz w:val="48"/>
      </w:rPr>
      <w:t>PL</w:t>
    </w:r>
    <w:r w:rsidRPr="0079738E">
      <w:rPr>
        <w:rFonts w:ascii="Arial" w:hAnsi="Arial" w:cs="Arial"/>
        <w:b/>
        <w:sz w:val="48"/>
      </w:rPr>
      <w:tab/>
    </w:r>
    <w:r w:rsidRPr="0079738E">
      <w:rPr>
        <w:rFonts w:ascii="Arial" w:hAnsi="Arial" w:cs="Arial"/>
        <w:b/>
        <w:sz w:val="48"/>
      </w:rPr>
      <w:tab/>
    </w:r>
    <w:r w:rsidRPr="0079738E">
      <w:tab/>
    </w:r>
    <w:r w:rsidRPr="0079738E">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8AA5" w14:textId="2D253E24" w:rsidR="0079738E" w:rsidRPr="0079738E" w:rsidRDefault="0079738E" w:rsidP="0079738E">
    <w:pPr>
      <w:pStyle w:val="Stopka"/>
      <w:rPr>
        <w:rFonts w:ascii="Arial" w:hAnsi="Arial" w:cs="Arial"/>
        <w:b/>
        <w:sz w:val="48"/>
      </w:rPr>
    </w:pPr>
    <w:r w:rsidRPr="0079738E">
      <w:rPr>
        <w:rFonts w:ascii="Arial" w:hAnsi="Arial" w:cs="Arial"/>
        <w:b/>
        <w:sz w:val="48"/>
      </w:rPr>
      <w:t>PL</w:t>
    </w:r>
    <w:r w:rsidRPr="0079738E">
      <w:rPr>
        <w:rFonts w:ascii="Arial" w:hAnsi="Arial" w:cs="Arial"/>
        <w:b/>
        <w:sz w:val="48"/>
      </w:rPr>
      <w:tab/>
    </w:r>
    <w:r w:rsidRPr="0079738E">
      <w:rPr>
        <w:rFonts w:ascii="Arial" w:hAnsi="Arial" w:cs="Arial"/>
        <w:b/>
        <w:sz w:val="48"/>
      </w:rPr>
      <w:tab/>
    </w:r>
    <w:r w:rsidRPr="0079738E">
      <w:tab/>
    </w:r>
    <w:r w:rsidRPr="0079738E">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EF8C" w14:textId="77777777" w:rsidR="0079738E" w:rsidRPr="0079738E" w:rsidRDefault="0079738E" w:rsidP="0079738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2963" w14:textId="77777777" w:rsidR="0079738E" w:rsidRDefault="0079738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1AF" w14:textId="5DF164D0" w:rsidR="0079738E" w:rsidRPr="0079738E" w:rsidRDefault="0079738E" w:rsidP="0079738E">
    <w:pPr>
      <w:pStyle w:val="Stopka"/>
      <w:rPr>
        <w:rFonts w:ascii="Arial" w:hAnsi="Arial" w:cs="Arial"/>
        <w:b/>
        <w:sz w:val="48"/>
      </w:rPr>
    </w:pPr>
    <w:r w:rsidRPr="0079738E">
      <w:rPr>
        <w:rFonts w:ascii="Arial" w:hAnsi="Arial" w:cs="Arial"/>
        <w:b/>
        <w:sz w:val="48"/>
      </w:rPr>
      <w:t>PL</w:t>
    </w:r>
    <w:r w:rsidRPr="0079738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9738E">
      <w:tab/>
    </w:r>
    <w:r w:rsidRPr="0079738E">
      <w:rPr>
        <w:rFonts w:ascii="Arial" w:hAnsi="Arial" w:cs="Arial"/>
        <w:b/>
        <w:sz w:val="48"/>
      </w:rPr>
      <w:t>PL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0688" w14:textId="77777777" w:rsidR="0079738E" w:rsidRDefault="0079738E" w:rsidP="007973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246B" w14:textId="77777777" w:rsidR="003141DD" w:rsidRDefault="003141DD" w:rsidP="00271469">
      <w:pPr>
        <w:spacing w:before="0" w:after="0"/>
      </w:pPr>
      <w:r>
        <w:separator/>
      </w:r>
    </w:p>
  </w:footnote>
  <w:footnote w:type="continuationSeparator" w:id="0">
    <w:p w14:paraId="645BCBB7" w14:textId="77777777" w:rsidR="003141DD" w:rsidRDefault="003141DD" w:rsidP="00271469">
      <w:pPr>
        <w:spacing w:before="0" w:after="0"/>
      </w:pPr>
      <w:r>
        <w:continuationSeparator/>
      </w:r>
    </w:p>
  </w:footnote>
  <w:footnote w:id="1">
    <w:p w14:paraId="31DFAD1A" w14:textId="2D3DEF10" w:rsidR="00271469" w:rsidRPr="00BD1FA8" w:rsidRDefault="00271469" w:rsidP="00271469">
      <w:pPr>
        <w:pStyle w:val="Tekstprzypisudolnego"/>
      </w:pPr>
      <w:r>
        <w:rPr>
          <w:rStyle w:val="Odwoanieprzypisudolnego"/>
        </w:rPr>
        <w:footnoteRef/>
      </w:r>
      <w:r w:rsidRPr="00BD1FA8">
        <w:tab/>
      </w:r>
      <w:r w:rsidRPr="00BD1FA8">
        <w:rPr>
          <w:sz w:val="18"/>
        </w:rPr>
        <w:t xml:space="preserve">Intensywność emisji </w:t>
      </w: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j</m:t>
            </m:r>
          </m:sub>
        </m:sSub>
      </m:oMath>
      <w:r w:rsidRPr="00BD1FA8">
        <w:rPr>
          <w:sz w:val="18"/>
        </w:rPr>
        <w:t xml:space="preserve"> oparto na wartościach domyślnych (bez narzutu) odnoszących się do emisji opublikowanych</w:t>
      </w:r>
      <w:r w:rsidR="00363F4E" w:rsidRPr="00BD1FA8">
        <w:rPr>
          <w:sz w:val="18"/>
        </w:rPr>
        <w:t xml:space="preserve"> w</w:t>
      </w:r>
      <w:r w:rsidR="00363F4E">
        <w:rPr>
          <w:sz w:val="18"/>
        </w:rPr>
        <w:t> </w:t>
      </w:r>
      <w:r w:rsidR="00363F4E" w:rsidRPr="00BD1FA8">
        <w:rPr>
          <w:sz w:val="18"/>
        </w:rPr>
        <w:t>okr</w:t>
      </w:r>
      <w:r w:rsidRPr="00BD1FA8">
        <w:rPr>
          <w:sz w:val="18"/>
        </w:rPr>
        <w:t>esie przejściowym</w:t>
      </w:r>
      <w:r w:rsidR="00363F4E" w:rsidRPr="00BD1FA8">
        <w:rPr>
          <w:sz w:val="18"/>
        </w:rPr>
        <w:t>. W</w:t>
      </w:r>
      <w:r w:rsidR="00363F4E">
        <w:rPr>
          <w:sz w:val="18"/>
        </w:rPr>
        <w:t> </w:t>
      </w:r>
      <w:r w:rsidR="00363F4E" w:rsidRPr="00BD1FA8">
        <w:rPr>
          <w:sz w:val="18"/>
        </w:rPr>
        <w:t>prz</w:t>
      </w:r>
      <w:r w:rsidRPr="00BD1FA8">
        <w:rPr>
          <w:sz w:val="18"/>
        </w:rPr>
        <w:t>ypadku cementu</w:t>
      </w:r>
      <w:r w:rsidR="00363F4E" w:rsidRPr="00BD1FA8">
        <w:rPr>
          <w:sz w:val="18"/>
        </w:rPr>
        <w:t xml:space="preserve"> i</w:t>
      </w:r>
      <w:r w:rsidR="00363F4E">
        <w:rPr>
          <w:sz w:val="18"/>
        </w:rPr>
        <w:t> </w:t>
      </w:r>
      <w:r w:rsidR="00363F4E" w:rsidRPr="00BD1FA8">
        <w:rPr>
          <w:sz w:val="18"/>
        </w:rPr>
        <w:t>naw</w:t>
      </w:r>
      <w:r w:rsidRPr="00BD1FA8">
        <w:rPr>
          <w:sz w:val="18"/>
        </w:rPr>
        <w:t>ozów uwzględnia się emisje bezpośrednie</w:t>
      </w:r>
      <w:r w:rsidR="00363F4E" w:rsidRPr="00BD1FA8">
        <w:rPr>
          <w:sz w:val="18"/>
        </w:rPr>
        <w:t xml:space="preserve"> i</w:t>
      </w:r>
      <w:r w:rsidR="00363F4E">
        <w:rPr>
          <w:sz w:val="18"/>
        </w:rPr>
        <w:t> </w:t>
      </w:r>
      <w:r w:rsidR="00363F4E" w:rsidRPr="00BD1FA8">
        <w:rPr>
          <w:sz w:val="18"/>
        </w:rPr>
        <w:t>poś</w:t>
      </w:r>
      <w:r w:rsidRPr="00BD1FA8">
        <w:rPr>
          <w:sz w:val="18"/>
        </w:rPr>
        <w:t>rednie;</w:t>
      </w:r>
      <w:r w:rsidR="00363F4E" w:rsidRPr="00BD1FA8">
        <w:rPr>
          <w:sz w:val="18"/>
        </w:rPr>
        <w:t xml:space="preserve"> a</w:t>
      </w:r>
      <w:r w:rsidR="00363F4E">
        <w:rPr>
          <w:sz w:val="18"/>
        </w:rPr>
        <w:t> </w:t>
      </w:r>
      <w:r w:rsidR="00363F4E" w:rsidRPr="00BD1FA8">
        <w:rPr>
          <w:sz w:val="18"/>
        </w:rPr>
        <w:t>w</w:t>
      </w:r>
      <w:r w:rsidR="00363F4E">
        <w:rPr>
          <w:sz w:val="18"/>
        </w:rPr>
        <w:t> </w:t>
      </w:r>
      <w:r w:rsidR="00363F4E" w:rsidRPr="00BD1FA8">
        <w:rPr>
          <w:sz w:val="18"/>
        </w:rPr>
        <w:t>prz</w:t>
      </w:r>
      <w:r w:rsidRPr="00BD1FA8">
        <w:rPr>
          <w:sz w:val="18"/>
        </w:rPr>
        <w:t>ypadku aluminium</w:t>
      </w:r>
      <w:r w:rsidR="00363F4E" w:rsidRPr="00BD1FA8">
        <w:rPr>
          <w:sz w:val="18"/>
        </w:rPr>
        <w:t xml:space="preserve"> i</w:t>
      </w:r>
      <w:r w:rsidR="00363F4E">
        <w:rPr>
          <w:sz w:val="18"/>
        </w:rPr>
        <w:t> </w:t>
      </w:r>
      <w:r w:rsidR="00363F4E" w:rsidRPr="00BD1FA8">
        <w:rPr>
          <w:sz w:val="18"/>
        </w:rPr>
        <w:t>wyr</w:t>
      </w:r>
      <w:r w:rsidRPr="00BD1FA8">
        <w:rPr>
          <w:sz w:val="18"/>
        </w:rPr>
        <w:t>obów</w:t>
      </w:r>
      <w:r w:rsidR="00363F4E" w:rsidRPr="00BD1FA8">
        <w:rPr>
          <w:sz w:val="18"/>
        </w:rPr>
        <w:t xml:space="preserve"> z</w:t>
      </w:r>
      <w:r w:rsidR="00363F4E">
        <w:rPr>
          <w:sz w:val="18"/>
        </w:rPr>
        <w:t> </w:t>
      </w:r>
      <w:r w:rsidR="00363F4E" w:rsidRPr="00BD1FA8">
        <w:rPr>
          <w:sz w:val="18"/>
        </w:rPr>
        <w:t>żel</w:t>
      </w:r>
      <w:r w:rsidRPr="00BD1FA8">
        <w:rPr>
          <w:sz w:val="18"/>
        </w:rPr>
        <w:t>aza</w:t>
      </w:r>
      <w:r w:rsidR="00363F4E" w:rsidRPr="00BD1FA8">
        <w:rPr>
          <w:sz w:val="18"/>
        </w:rPr>
        <w:t xml:space="preserve"> i</w:t>
      </w:r>
      <w:r w:rsidR="00363F4E">
        <w:rPr>
          <w:sz w:val="18"/>
        </w:rPr>
        <w:t> </w:t>
      </w:r>
      <w:r w:rsidR="00363F4E" w:rsidRPr="00BD1FA8">
        <w:rPr>
          <w:sz w:val="18"/>
        </w:rPr>
        <w:t>sta</w:t>
      </w:r>
      <w:r w:rsidRPr="00BD1FA8">
        <w:rPr>
          <w:sz w:val="18"/>
        </w:rPr>
        <w:t>li – jedynie emisje bezpośrednie. Wartości domyślne na potrzeby przyszłych aktualizacji progu ustala się zgodnie</w:t>
      </w:r>
      <w:r w:rsidR="00363F4E" w:rsidRPr="00BD1FA8">
        <w:rPr>
          <w:sz w:val="18"/>
        </w:rPr>
        <w:t xml:space="preserve"> z</w:t>
      </w:r>
      <w:r w:rsidR="00363F4E">
        <w:rPr>
          <w:sz w:val="18"/>
        </w:rPr>
        <w:t> </w:t>
      </w:r>
      <w:r w:rsidR="00363F4E" w:rsidRPr="00BD1FA8">
        <w:rPr>
          <w:sz w:val="18"/>
        </w:rPr>
        <w:t>met</w:t>
      </w:r>
      <w:r w:rsidRPr="00BD1FA8">
        <w:rPr>
          <w:sz w:val="18"/>
        </w:rPr>
        <w:t>odami określonymi</w:t>
      </w:r>
      <w:r w:rsidR="00363F4E" w:rsidRPr="00BD1FA8">
        <w:rPr>
          <w:sz w:val="18"/>
        </w:rPr>
        <w:t xml:space="preserve"> w</w:t>
      </w:r>
      <w:r w:rsidR="00363F4E">
        <w:rPr>
          <w:sz w:val="18"/>
        </w:rPr>
        <w:t> </w:t>
      </w:r>
      <w:r w:rsidR="00363F4E" w:rsidRPr="00BD1FA8">
        <w:rPr>
          <w:sz w:val="18"/>
        </w:rPr>
        <w:t>zał</w:t>
      </w:r>
      <w:r w:rsidRPr="00BD1FA8">
        <w:rPr>
          <w:sz w:val="18"/>
        </w:rPr>
        <w:t>ączniku IV bez narzutu,</w:t>
      </w:r>
      <w:r w:rsidR="00363F4E" w:rsidRPr="00BD1FA8">
        <w:rPr>
          <w:sz w:val="18"/>
        </w:rPr>
        <w:t xml:space="preserve"> o</w:t>
      </w:r>
      <w:r w:rsidR="00363F4E">
        <w:rPr>
          <w:sz w:val="18"/>
        </w:rPr>
        <w:t> </w:t>
      </w:r>
      <w:r w:rsidR="00363F4E" w:rsidRPr="00BD1FA8">
        <w:rPr>
          <w:sz w:val="18"/>
        </w:rPr>
        <w:t>któ</w:t>
      </w:r>
      <w:r w:rsidRPr="00BD1FA8">
        <w:rPr>
          <w:sz w:val="18"/>
        </w:rPr>
        <w:t>rym mowa</w:t>
      </w:r>
      <w:r w:rsidR="00363F4E" w:rsidRPr="00BD1FA8">
        <w:rPr>
          <w:sz w:val="18"/>
        </w:rPr>
        <w:t xml:space="preserve"> w</w:t>
      </w:r>
      <w:r w:rsidR="00363F4E">
        <w:rPr>
          <w:sz w:val="18"/>
        </w:rPr>
        <w:t> </w:t>
      </w:r>
      <w:r w:rsidR="00363F4E" w:rsidRPr="00BD1FA8">
        <w:rPr>
          <w:sz w:val="18"/>
        </w:rPr>
        <w:t>sek</w:t>
      </w:r>
      <w:r w:rsidRPr="00BD1FA8">
        <w:rPr>
          <w:sz w:val="18"/>
        </w:rPr>
        <w:t xml:space="preserve">cji 4.1 załącznika IV. </w:t>
      </w:r>
    </w:p>
  </w:footnote>
  <w:footnote w:id="2">
    <w:p w14:paraId="6D008B3F" w14:textId="5B874D6F" w:rsidR="00271469" w:rsidRPr="00BD1FA8" w:rsidRDefault="00271469" w:rsidP="00271469">
      <w:pPr>
        <w:pStyle w:val="Tekstprzypisudolnego"/>
      </w:pPr>
      <w:r>
        <w:rPr>
          <w:rStyle w:val="Odwoanieprzypisudolnego"/>
        </w:rPr>
        <w:footnoteRef/>
      </w:r>
      <w:r w:rsidRPr="00BD1FA8">
        <w:tab/>
      </w:r>
      <w:r w:rsidRPr="00BD1FA8">
        <w:rPr>
          <w:sz w:val="18"/>
        </w:rPr>
        <w:t>Do celów ustalenia progu,</w:t>
      </w:r>
      <w:r w:rsidR="00363F4E" w:rsidRPr="00BD1FA8">
        <w:rPr>
          <w:sz w:val="18"/>
        </w:rPr>
        <w:t xml:space="preserve"> o</w:t>
      </w:r>
      <w:r w:rsidR="00363F4E">
        <w:rPr>
          <w:sz w:val="18"/>
        </w:rPr>
        <w:t> </w:t>
      </w:r>
      <w:r w:rsidR="00363F4E" w:rsidRPr="00BD1FA8">
        <w:rPr>
          <w:sz w:val="18"/>
        </w:rPr>
        <w:t>któ</w:t>
      </w:r>
      <w:r w:rsidRPr="00BD1FA8">
        <w:rPr>
          <w:sz w:val="18"/>
        </w:rPr>
        <w:t>rym mowa</w:t>
      </w:r>
      <w:r w:rsidR="00363F4E" w:rsidRPr="00BD1FA8">
        <w:rPr>
          <w:sz w:val="18"/>
        </w:rPr>
        <w:t xml:space="preserve"> w</w:t>
      </w:r>
      <w:r w:rsidR="00363F4E">
        <w:rPr>
          <w:sz w:val="18"/>
        </w:rPr>
        <w:t> </w:t>
      </w:r>
      <w:r w:rsidR="00363F4E" w:rsidRPr="00363F4E">
        <w:rPr>
          <w:sz w:val="18"/>
        </w:rPr>
        <w:t>pkt </w:t>
      </w:r>
      <w:r w:rsidRPr="00363F4E">
        <w:rPr>
          <w:sz w:val="18"/>
        </w:rPr>
        <w:t>1</w:t>
      </w:r>
      <w:r w:rsidRPr="00BD1FA8">
        <w:rPr>
          <w:sz w:val="18"/>
        </w:rPr>
        <w:t>, wielkość przywozu</w:t>
      </w:r>
      <w:r w:rsidR="00363F4E" w:rsidRPr="00BD1FA8">
        <w:rPr>
          <w:sz w:val="18"/>
        </w:rPr>
        <w:t xml:space="preserve"> w</w:t>
      </w:r>
      <w:r w:rsidR="00363F4E">
        <w:rPr>
          <w:sz w:val="18"/>
        </w:rPr>
        <w:t> </w:t>
      </w:r>
      <w:r w:rsidR="00363F4E" w:rsidRPr="00BD1FA8">
        <w:rPr>
          <w:sz w:val="18"/>
        </w:rPr>
        <w:t>pod</w:t>
      </w:r>
      <w:r w:rsidRPr="00BD1FA8">
        <w:rPr>
          <w:sz w:val="18"/>
        </w:rPr>
        <w:t>ziale na importera obliczono na podstawie danych dotyczących przywozu</w:t>
      </w:r>
      <w:r w:rsidR="00363F4E" w:rsidRPr="00BD1FA8">
        <w:rPr>
          <w:sz w:val="18"/>
        </w:rPr>
        <w:t xml:space="preserve"> w</w:t>
      </w:r>
      <w:r w:rsidR="00363F4E">
        <w:rPr>
          <w:sz w:val="18"/>
        </w:rPr>
        <w:t> </w:t>
      </w:r>
      <w:r w:rsidR="00363F4E" w:rsidRPr="00BD1FA8">
        <w:rPr>
          <w:sz w:val="18"/>
        </w:rPr>
        <w:t>okr</w:t>
      </w:r>
      <w:r w:rsidRPr="00BD1FA8">
        <w:rPr>
          <w:sz w:val="18"/>
        </w:rPr>
        <w:t>esie 1 października 20</w:t>
      </w:r>
      <w:r w:rsidRPr="00363F4E">
        <w:rPr>
          <w:sz w:val="18"/>
        </w:rPr>
        <w:t>23</w:t>
      </w:r>
      <w:r w:rsidR="00363F4E" w:rsidRPr="00363F4E">
        <w:rPr>
          <w:sz w:val="18"/>
        </w:rPr>
        <w:t> </w:t>
      </w:r>
      <w:r w:rsidRPr="00363F4E">
        <w:rPr>
          <w:sz w:val="18"/>
        </w:rPr>
        <w:t>r.</w:t>
      </w:r>
      <w:r w:rsidRPr="00BD1FA8">
        <w:rPr>
          <w:sz w:val="18"/>
        </w:rPr>
        <w:t xml:space="preserve"> – 30 września 20</w:t>
      </w:r>
      <w:r w:rsidRPr="00363F4E">
        <w:rPr>
          <w:sz w:val="18"/>
        </w:rPr>
        <w:t>24</w:t>
      </w:r>
      <w:r w:rsidR="00363F4E" w:rsidRPr="00363F4E">
        <w:rPr>
          <w:sz w:val="18"/>
        </w:rPr>
        <w:t> </w:t>
      </w:r>
      <w:r w:rsidRPr="00363F4E">
        <w:rPr>
          <w:sz w:val="18"/>
        </w:rPr>
        <w: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143F" w14:textId="77777777" w:rsidR="0079738E" w:rsidRPr="0079738E" w:rsidRDefault="0079738E" w:rsidP="0079738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E4AD" w14:textId="77777777" w:rsidR="0079738E" w:rsidRPr="0079738E" w:rsidRDefault="0079738E" w:rsidP="0079738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6E30" w14:textId="77777777" w:rsidR="0079738E" w:rsidRPr="0079738E" w:rsidRDefault="0079738E" w:rsidP="0079738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4A97" w14:textId="77777777" w:rsidR="0079738E" w:rsidRDefault="0079738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99D8" w14:textId="77777777" w:rsidR="0079738E" w:rsidRDefault="007973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3A611F2"/>
    <w:lvl w:ilvl="0">
      <w:start w:val="1"/>
      <w:numFmt w:val="decimal"/>
      <w:pStyle w:val="Listanumerowana4"/>
      <w:lvlText w:val="%1."/>
      <w:lvlJc w:val="left"/>
      <w:pPr>
        <w:tabs>
          <w:tab w:val="num" w:pos="1209"/>
        </w:tabs>
        <w:ind w:left="1209" w:hanging="360"/>
      </w:pPr>
    </w:lvl>
  </w:abstractNum>
  <w:abstractNum w:abstractNumId="1" w15:restartNumberingAfterBreak="0">
    <w:nsid w:val="FFFFFF7E"/>
    <w:multiLevelType w:val="singleLevel"/>
    <w:tmpl w:val="B9AED694"/>
    <w:lvl w:ilvl="0">
      <w:start w:val="1"/>
      <w:numFmt w:val="decimal"/>
      <w:pStyle w:val="Listanumerowana3"/>
      <w:lvlText w:val="%1."/>
      <w:lvlJc w:val="left"/>
      <w:pPr>
        <w:tabs>
          <w:tab w:val="num" w:pos="926"/>
        </w:tabs>
        <w:ind w:left="926" w:hanging="360"/>
      </w:pPr>
    </w:lvl>
  </w:abstractNum>
  <w:abstractNum w:abstractNumId="2" w15:restartNumberingAfterBreak="0">
    <w:nsid w:val="FFFFFF7F"/>
    <w:multiLevelType w:val="singleLevel"/>
    <w:tmpl w:val="592ECC72"/>
    <w:lvl w:ilvl="0">
      <w:start w:val="1"/>
      <w:numFmt w:val="decimal"/>
      <w:pStyle w:val="Listanumerowana2"/>
      <w:lvlText w:val="%1."/>
      <w:lvlJc w:val="left"/>
      <w:pPr>
        <w:tabs>
          <w:tab w:val="num" w:pos="643"/>
        </w:tabs>
        <w:ind w:left="643" w:hanging="360"/>
      </w:pPr>
    </w:lvl>
  </w:abstractNum>
  <w:abstractNum w:abstractNumId="3" w15:restartNumberingAfterBreak="0">
    <w:nsid w:val="FFFFFF81"/>
    <w:multiLevelType w:val="singleLevel"/>
    <w:tmpl w:val="7A42C248"/>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8E1CF4"/>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B4E1A0A"/>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5408D5A"/>
    <w:lvl w:ilvl="0">
      <w:start w:val="1"/>
      <w:numFmt w:val="decimal"/>
      <w:pStyle w:val="Listanumerowana"/>
      <w:lvlText w:val="%1."/>
      <w:lvlJc w:val="left"/>
      <w:pPr>
        <w:tabs>
          <w:tab w:val="num" w:pos="360"/>
        </w:tabs>
        <w:ind w:left="360" w:hanging="360"/>
      </w:pPr>
    </w:lvl>
  </w:abstractNum>
  <w:abstractNum w:abstractNumId="7" w15:restartNumberingAfterBreak="0">
    <w:nsid w:val="FFFFFF89"/>
    <w:multiLevelType w:val="singleLevel"/>
    <w:tmpl w:val="B8AAE79A"/>
    <w:lvl w:ilvl="0">
      <w:start w:val="1"/>
      <w:numFmt w:val="bullet"/>
      <w:pStyle w:val="Listapunktowana"/>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95650956">
    <w:abstractNumId w:val="19"/>
    <w:lvlOverride w:ilvl="0">
      <w:startOverride w:val="1"/>
    </w:lvlOverride>
  </w:num>
  <w:num w:numId="2" w16cid:durableId="733045523">
    <w:abstractNumId w:val="7"/>
  </w:num>
  <w:num w:numId="3" w16cid:durableId="480973665">
    <w:abstractNumId w:val="5"/>
  </w:num>
  <w:num w:numId="4" w16cid:durableId="1150705362">
    <w:abstractNumId w:val="4"/>
  </w:num>
  <w:num w:numId="5" w16cid:durableId="2085492086">
    <w:abstractNumId w:val="3"/>
  </w:num>
  <w:num w:numId="6" w16cid:durableId="1435973388">
    <w:abstractNumId w:val="6"/>
  </w:num>
  <w:num w:numId="7" w16cid:durableId="602811050">
    <w:abstractNumId w:val="2"/>
  </w:num>
  <w:num w:numId="8" w16cid:durableId="1941526666">
    <w:abstractNumId w:val="1"/>
  </w:num>
  <w:num w:numId="9" w16cid:durableId="994256884">
    <w:abstractNumId w:val="0"/>
  </w:num>
  <w:num w:numId="10" w16cid:durableId="568996803">
    <w:abstractNumId w:val="19"/>
  </w:num>
  <w:num w:numId="11" w16cid:durableId="1799567782">
    <w:abstractNumId w:val="12"/>
  </w:num>
  <w:num w:numId="12" w16cid:durableId="2102989225">
    <w:abstractNumId w:val="21"/>
  </w:num>
  <w:num w:numId="13" w16cid:durableId="1766924178">
    <w:abstractNumId w:val="11"/>
  </w:num>
  <w:num w:numId="14" w16cid:durableId="1487012667">
    <w:abstractNumId w:val="13"/>
  </w:num>
  <w:num w:numId="15" w16cid:durableId="2036807956">
    <w:abstractNumId w:val="14"/>
  </w:num>
  <w:num w:numId="16" w16cid:durableId="818115543">
    <w:abstractNumId w:val="9"/>
  </w:num>
  <w:num w:numId="17" w16cid:durableId="1196583349">
    <w:abstractNumId w:val="20"/>
  </w:num>
  <w:num w:numId="18" w16cid:durableId="745539379">
    <w:abstractNumId w:val="8"/>
  </w:num>
  <w:num w:numId="19" w16cid:durableId="387723738">
    <w:abstractNumId w:val="15"/>
  </w:num>
  <w:num w:numId="20" w16cid:durableId="5181097">
    <w:abstractNumId w:val="17"/>
  </w:num>
  <w:num w:numId="21" w16cid:durableId="663436282">
    <w:abstractNumId w:val="18"/>
  </w:num>
  <w:num w:numId="22" w16cid:durableId="91554992">
    <w:abstractNumId w:val="10"/>
  </w:num>
  <w:num w:numId="23" w16cid:durableId="1396781363">
    <w:abstractNumId w:val="16"/>
  </w:num>
  <w:num w:numId="24" w16cid:durableId="12878504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3-28 13:52:4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
    <w:docVar w:name="LW_ACCOMPAGNANT.CP" w:val="do"/>
    <w:docVar w:name="LW_ANNEX_NBR_FIRST" w:val="1"/>
    <w:docVar w:name="LW_ANNEX_NBR_LAST" w:val="2"/>
    <w:docVar w:name="LW_ANNEX_UNIQUE" w:val="0"/>
    <w:docVar w:name="LW_CORRIGENDUM" w:val="&lt;UNUSED&gt;"/>
    <w:docVar w:name="LW_COVERPAGE_EXISTS" w:val="True"/>
    <w:docVar w:name="LW_COVERPAGE_GUID" w:val="4DBC5423-A540-4E14-B245-B75D88EBC149"/>
    <w:docVar w:name="LW_COVERPAGE_TYPE" w:val="1"/>
    <w:docVar w:name="LW_CreatedUtc" w:val="2025-02-22T09:26:13.2329747Z"/>
    <w:docVar w:name="LW_CROSSREFERENCE" w:val="{SWD(2025) 58 final}"/>
    <w:docVar w:name="LW_DocType" w:val="ANNEX"/>
    <w:docVar w:name="LW_EMISSION" w:val="26.2.2025"/>
    <w:docVar w:name="LW_EMISSION_ISODATE" w:val="2025-02-26"/>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zmieniaj\u261?cego rozporz\u261?dzenie (EU) 2023/956 w odniesieniu do uproszczenia i wzmocnienia mechanizmu dostosowywania cen na granicach z uwzgl\u281?dnieniem emisji CO&lt;FMT:Subscript&gt;2&lt;/FMT&gt;"/>
    <w:docVar w:name="LW_OBJETACTEPRINCIPAL.CP" w:val="zmieniaj\u261?cego rozporz\u261?dzenie (EU) 2023/956 w odniesieniu do uproszczenia i wzmocnienia mechanizmu dostosowywania cen na granicach z uwzgl\u281?dnieniem emisji CO&lt;FMT:Subscript&gt;2&lt;/FMT&gt;"/>
    <w:docVar w:name="LW_PART_NBR" w:val="&lt;UNUSED&gt;"/>
    <w:docVar w:name="LW_PART_NBR_TOTAL" w:val="&lt;UNUSED&gt;"/>
    <w:docVar w:name="LW_REF.INST.NEW" w:val="COM"/>
    <w:docVar w:name="LW_REF.INST.NEW_ADOPTED" w:val="final"/>
    <w:docVar w:name="LW_REF.INST.NEW_TEXT" w:val="(2025)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I"/>
    <w:docVar w:name="LW_TYPE.DOC.CP" w:val="ZA\u321?\u260?CZNIKI"/>
    <w:docVar w:name="LW_TYPEACTEPRINCIPAL" w:val="wniosku w sprawie rozporz\u261?dzenia Parlamentu Europejskiego i Rady"/>
    <w:docVar w:name="LW_TYPEACTEPRINCIPAL.CP" w:val="wniosku w sprawie rozporz\u261?dzenia Parlamentu Europejskiego i Rady"/>
    <w:docVar w:name="LwApiVersions" w:val="LW4CoDe 1.24.5.0; LW 9.0, Build 20240221"/>
  </w:docVars>
  <w:rsids>
    <w:rsidRoot w:val="00271469"/>
    <w:rsid w:val="00026E80"/>
    <w:rsid w:val="00045294"/>
    <w:rsid w:val="00070901"/>
    <w:rsid w:val="000944C4"/>
    <w:rsid w:val="000A7044"/>
    <w:rsid w:val="00152425"/>
    <w:rsid w:val="00165C4F"/>
    <w:rsid w:val="001730A6"/>
    <w:rsid w:val="001F343E"/>
    <w:rsid w:val="00271469"/>
    <w:rsid w:val="002C282B"/>
    <w:rsid w:val="002E1C63"/>
    <w:rsid w:val="003141DD"/>
    <w:rsid w:val="00363F4E"/>
    <w:rsid w:val="003831A9"/>
    <w:rsid w:val="003A7115"/>
    <w:rsid w:val="004816C4"/>
    <w:rsid w:val="00492EB7"/>
    <w:rsid w:val="004E5BCA"/>
    <w:rsid w:val="0054037B"/>
    <w:rsid w:val="00622BDF"/>
    <w:rsid w:val="00626E37"/>
    <w:rsid w:val="006A6BCB"/>
    <w:rsid w:val="0079738E"/>
    <w:rsid w:val="007A5896"/>
    <w:rsid w:val="007B76F9"/>
    <w:rsid w:val="008247BB"/>
    <w:rsid w:val="008400D8"/>
    <w:rsid w:val="008433BB"/>
    <w:rsid w:val="00845F6E"/>
    <w:rsid w:val="008731DF"/>
    <w:rsid w:val="008A151D"/>
    <w:rsid w:val="008D6398"/>
    <w:rsid w:val="008E11E8"/>
    <w:rsid w:val="008F3360"/>
    <w:rsid w:val="00905D22"/>
    <w:rsid w:val="00915E34"/>
    <w:rsid w:val="00920275"/>
    <w:rsid w:val="00930993"/>
    <w:rsid w:val="00930C16"/>
    <w:rsid w:val="00A6243B"/>
    <w:rsid w:val="00A71F6D"/>
    <w:rsid w:val="00AE55F6"/>
    <w:rsid w:val="00B02BDF"/>
    <w:rsid w:val="00BA4F3C"/>
    <w:rsid w:val="00BB30BC"/>
    <w:rsid w:val="00BC2470"/>
    <w:rsid w:val="00BD0A84"/>
    <w:rsid w:val="00BD1FA8"/>
    <w:rsid w:val="00BE6978"/>
    <w:rsid w:val="00BF2C44"/>
    <w:rsid w:val="00C20773"/>
    <w:rsid w:val="00C953CA"/>
    <w:rsid w:val="00CA3162"/>
    <w:rsid w:val="00CB682C"/>
    <w:rsid w:val="00CE7BA1"/>
    <w:rsid w:val="00D328C4"/>
    <w:rsid w:val="00D33986"/>
    <w:rsid w:val="00D33AE3"/>
    <w:rsid w:val="00D72459"/>
    <w:rsid w:val="00D7594D"/>
    <w:rsid w:val="00DB6771"/>
    <w:rsid w:val="00DD0971"/>
    <w:rsid w:val="00E56679"/>
    <w:rsid w:val="00E729C9"/>
    <w:rsid w:val="00F05679"/>
    <w:rsid w:val="00F2488B"/>
    <w:rsid w:val="00F7024E"/>
    <w:rsid w:val="00F82260"/>
    <w:rsid w:val="00FB1D5E"/>
    <w:rsid w:val="00FC3934"/>
    <w:rsid w:val="00FF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22621"/>
  <w15:docId w15:val="{3E892371-25E5-44B2-80F0-10E9BE6E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17"/>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17"/>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17"/>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17"/>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17"/>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17"/>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17"/>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qFormat/>
    <w:rsid w:val="00271469"/>
    <w:rPr>
      <w:rFonts w:eastAsia="Times New Roman"/>
      <w:b/>
      <w:bCs/>
      <w:sz w:val="20"/>
      <w:szCs w:val="20"/>
      <w:lang w:eastAsia="en-GB"/>
    </w:rPr>
  </w:style>
  <w:style w:type="paragraph" w:customStyle="1" w:styleId="CharCharChar1">
    <w:name w:val="Char Char Char1"/>
    <w:basedOn w:val="Normalny"/>
    <w:link w:val="Odwoanieprzypisudolnego"/>
    <w:uiPriority w:val="99"/>
    <w:rsid w:val="00271469"/>
    <w:pPr>
      <w:spacing w:before="0" w:line="240" w:lineRule="exact"/>
    </w:pPr>
    <w:rPr>
      <w:rFonts w:asciiTheme="minorHAnsi" w:hAnsiTheme="minorHAnsi" w:cstheme="minorBidi"/>
      <w:sz w:val="22"/>
      <w:vertAlign w:val="superscript"/>
    </w:rPr>
  </w:style>
  <w:style w:type="paragraph" w:styleId="Spisilustracji">
    <w:name w:val="table of figures"/>
    <w:basedOn w:val="Normalny"/>
    <w:next w:val="Normalny"/>
    <w:uiPriority w:val="99"/>
    <w:semiHidden/>
    <w:unhideWhenUsed/>
    <w:rsid w:val="001730A6"/>
    <w:pPr>
      <w:spacing w:after="0"/>
    </w:pPr>
  </w:style>
  <w:style w:type="paragraph" w:styleId="Listapunktowana">
    <w:name w:val="List Bullet"/>
    <w:basedOn w:val="Normalny"/>
    <w:uiPriority w:val="99"/>
    <w:semiHidden/>
    <w:unhideWhenUsed/>
    <w:rsid w:val="001730A6"/>
    <w:pPr>
      <w:numPr>
        <w:numId w:val="2"/>
      </w:numPr>
      <w:contextualSpacing/>
    </w:pPr>
  </w:style>
  <w:style w:type="paragraph" w:styleId="Listapunktowana2">
    <w:name w:val="List Bullet 2"/>
    <w:basedOn w:val="Normalny"/>
    <w:uiPriority w:val="99"/>
    <w:semiHidden/>
    <w:unhideWhenUsed/>
    <w:rsid w:val="001730A6"/>
    <w:pPr>
      <w:numPr>
        <w:numId w:val="3"/>
      </w:numPr>
      <w:contextualSpacing/>
    </w:pPr>
  </w:style>
  <w:style w:type="paragraph" w:styleId="Listapunktowana3">
    <w:name w:val="List Bullet 3"/>
    <w:basedOn w:val="Normalny"/>
    <w:uiPriority w:val="99"/>
    <w:semiHidden/>
    <w:unhideWhenUsed/>
    <w:rsid w:val="001730A6"/>
    <w:pPr>
      <w:numPr>
        <w:numId w:val="4"/>
      </w:numPr>
      <w:contextualSpacing/>
    </w:pPr>
  </w:style>
  <w:style w:type="paragraph" w:styleId="Listapunktowana4">
    <w:name w:val="List Bullet 4"/>
    <w:basedOn w:val="Normalny"/>
    <w:uiPriority w:val="99"/>
    <w:semiHidden/>
    <w:unhideWhenUsed/>
    <w:rsid w:val="001730A6"/>
    <w:pPr>
      <w:numPr>
        <w:numId w:val="5"/>
      </w:numPr>
      <w:contextualSpacing/>
    </w:pPr>
  </w:style>
  <w:style w:type="paragraph" w:styleId="Listanumerowana">
    <w:name w:val="List Number"/>
    <w:basedOn w:val="Normalny"/>
    <w:uiPriority w:val="99"/>
    <w:semiHidden/>
    <w:unhideWhenUsed/>
    <w:rsid w:val="001730A6"/>
    <w:pPr>
      <w:numPr>
        <w:numId w:val="6"/>
      </w:numPr>
      <w:contextualSpacing/>
    </w:pPr>
  </w:style>
  <w:style w:type="paragraph" w:styleId="Listanumerowana2">
    <w:name w:val="List Number 2"/>
    <w:basedOn w:val="Normalny"/>
    <w:uiPriority w:val="99"/>
    <w:semiHidden/>
    <w:unhideWhenUsed/>
    <w:rsid w:val="001730A6"/>
    <w:pPr>
      <w:numPr>
        <w:numId w:val="7"/>
      </w:numPr>
      <w:contextualSpacing/>
    </w:pPr>
  </w:style>
  <w:style w:type="paragraph" w:styleId="Listanumerowana3">
    <w:name w:val="List Number 3"/>
    <w:basedOn w:val="Normalny"/>
    <w:uiPriority w:val="99"/>
    <w:semiHidden/>
    <w:unhideWhenUsed/>
    <w:rsid w:val="001730A6"/>
    <w:pPr>
      <w:numPr>
        <w:numId w:val="8"/>
      </w:numPr>
      <w:contextualSpacing/>
    </w:pPr>
  </w:style>
  <w:style w:type="paragraph" w:styleId="Listanumerowana4">
    <w:name w:val="List Number 4"/>
    <w:basedOn w:val="Normalny"/>
    <w:uiPriority w:val="99"/>
    <w:semiHidden/>
    <w:unhideWhenUsed/>
    <w:rsid w:val="001730A6"/>
    <w:pPr>
      <w:numPr>
        <w:numId w:val="9"/>
      </w:numPr>
      <w:contextualSpacing/>
    </w:pPr>
  </w:style>
  <w:style w:type="character" w:customStyle="1" w:styleId="NagwekZnak">
    <w:name w:val="Nagłówek Znak"/>
    <w:basedOn w:val="Domylnaczcionkaakapitu"/>
    <w:link w:val="Nagwek"/>
    <w:uiPriority w:val="99"/>
    <w:rsid w:val="0079738E"/>
    <w:rPr>
      <w:rFonts w:ascii="Times New Roman" w:hAnsi="Times New Roman" w:cs="Times New Roman"/>
      <w:sz w:val="24"/>
      <w:lang w:val="pl-PL"/>
    </w:rPr>
  </w:style>
  <w:style w:type="character" w:customStyle="1" w:styleId="StopkaZnak">
    <w:name w:val="Stopka Znak"/>
    <w:basedOn w:val="Domylnaczcionkaakapitu"/>
    <w:link w:val="Stopka"/>
    <w:uiPriority w:val="99"/>
    <w:rsid w:val="0079738E"/>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lang w:val="pl-PL"/>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link w:val="CharCharChar1"/>
    <w:uiPriority w:val="99"/>
    <w:semiHidden/>
    <w:unhideWhenUsed/>
    <w:rPr>
      <w:shd w:val="clear" w:color="auto" w:fill="auto"/>
      <w:vertAlign w:val="superscript"/>
    </w:rPr>
  </w:style>
  <w:style w:type="paragraph" w:customStyle="1" w:styleId="HeaderSensitivity">
    <w:name w:val="Header Sensitivity"/>
    <w:basedOn w:val="Normalny"/>
    <w:rsid w:val="0079738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79738E"/>
    <w:pPr>
      <w:spacing w:before="0"/>
      <w:jc w:val="right"/>
    </w:pPr>
    <w:rPr>
      <w:sz w:val="28"/>
    </w:rPr>
  </w:style>
  <w:style w:type="paragraph" w:customStyle="1" w:styleId="FooterSensitivity">
    <w:name w:val="Footer Sensitivity"/>
    <w:basedOn w:val="Normalny"/>
    <w:rsid w:val="0079738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16"/>
      </w:numPr>
    </w:pPr>
  </w:style>
  <w:style w:type="paragraph" w:customStyle="1" w:styleId="NumPar2">
    <w:name w:val="NumPar 2"/>
    <w:basedOn w:val="Normalny"/>
    <w:next w:val="Text1"/>
    <w:pPr>
      <w:numPr>
        <w:ilvl w:val="1"/>
        <w:numId w:val="16"/>
      </w:numPr>
    </w:pPr>
  </w:style>
  <w:style w:type="paragraph" w:customStyle="1" w:styleId="NumPar3">
    <w:name w:val="NumPar 3"/>
    <w:basedOn w:val="Normalny"/>
    <w:next w:val="Text1"/>
    <w:pPr>
      <w:numPr>
        <w:ilvl w:val="2"/>
        <w:numId w:val="16"/>
      </w:numPr>
    </w:pPr>
  </w:style>
  <w:style w:type="paragraph" w:customStyle="1" w:styleId="NumPar4">
    <w:name w:val="NumPar 4"/>
    <w:basedOn w:val="Normalny"/>
    <w:next w:val="Text1"/>
    <w:pPr>
      <w:numPr>
        <w:ilvl w:val="3"/>
        <w:numId w:val="16"/>
      </w:numPr>
    </w:pPr>
  </w:style>
  <w:style w:type="paragraph" w:customStyle="1" w:styleId="NumPar5">
    <w:name w:val="NumPar 5"/>
    <w:basedOn w:val="Normalny"/>
    <w:next w:val="Text2"/>
    <w:pPr>
      <w:numPr>
        <w:ilvl w:val="4"/>
        <w:numId w:val="16"/>
      </w:numPr>
    </w:pPr>
  </w:style>
  <w:style w:type="paragraph" w:customStyle="1" w:styleId="NumPar6">
    <w:name w:val="NumPar 6"/>
    <w:basedOn w:val="Normalny"/>
    <w:next w:val="Text2"/>
    <w:pPr>
      <w:numPr>
        <w:ilvl w:val="5"/>
        <w:numId w:val="16"/>
      </w:numPr>
    </w:pPr>
  </w:style>
  <w:style w:type="paragraph" w:customStyle="1" w:styleId="NumPar7">
    <w:name w:val="NumPar 7"/>
    <w:basedOn w:val="Normalny"/>
    <w:next w:val="Text2"/>
    <w:pPr>
      <w:numPr>
        <w:ilvl w:val="6"/>
        <w:numId w:val="16"/>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18"/>
      </w:numPr>
    </w:pPr>
  </w:style>
  <w:style w:type="paragraph" w:customStyle="1" w:styleId="Point1number">
    <w:name w:val="Point 1 (number)"/>
    <w:basedOn w:val="Normalny"/>
    <w:pPr>
      <w:numPr>
        <w:ilvl w:val="2"/>
        <w:numId w:val="18"/>
      </w:numPr>
    </w:pPr>
  </w:style>
  <w:style w:type="paragraph" w:customStyle="1" w:styleId="Point2number">
    <w:name w:val="Point 2 (number)"/>
    <w:basedOn w:val="Normalny"/>
    <w:pPr>
      <w:numPr>
        <w:ilvl w:val="4"/>
        <w:numId w:val="18"/>
      </w:numPr>
    </w:pPr>
  </w:style>
  <w:style w:type="paragraph" w:customStyle="1" w:styleId="Point3number">
    <w:name w:val="Point 3 (number)"/>
    <w:basedOn w:val="Normalny"/>
    <w:pPr>
      <w:numPr>
        <w:ilvl w:val="6"/>
        <w:numId w:val="18"/>
      </w:numPr>
    </w:pPr>
  </w:style>
  <w:style w:type="paragraph" w:customStyle="1" w:styleId="Point0letter">
    <w:name w:val="Point 0 (letter)"/>
    <w:basedOn w:val="Normalny"/>
    <w:pPr>
      <w:numPr>
        <w:ilvl w:val="1"/>
        <w:numId w:val="18"/>
      </w:numPr>
    </w:pPr>
  </w:style>
  <w:style w:type="paragraph" w:customStyle="1" w:styleId="Point1letter">
    <w:name w:val="Point 1 (letter)"/>
    <w:basedOn w:val="Normalny"/>
    <w:pPr>
      <w:numPr>
        <w:ilvl w:val="3"/>
        <w:numId w:val="18"/>
      </w:numPr>
    </w:pPr>
  </w:style>
  <w:style w:type="paragraph" w:customStyle="1" w:styleId="Point2letter">
    <w:name w:val="Point 2 (letter)"/>
    <w:basedOn w:val="Normalny"/>
    <w:pPr>
      <w:numPr>
        <w:ilvl w:val="5"/>
        <w:numId w:val="18"/>
      </w:numPr>
    </w:pPr>
  </w:style>
  <w:style w:type="paragraph" w:customStyle="1" w:styleId="Point3letter">
    <w:name w:val="Point 3 (letter)"/>
    <w:basedOn w:val="Normalny"/>
    <w:pPr>
      <w:numPr>
        <w:ilvl w:val="7"/>
        <w:numId w:val="18"/>
      </w:numPr>
    </w:pPr>
  </w:style>
  <w:style w:type="paragraph" w:customStyle="1" w:styleId="Point4letter">
    <w:name w:val="Point 4 (letter)"/>
    <w:basedOn w:val="Normalny"/>
    <w:pPr>
      <w:numPr>
        <w:ilvl w:val="8"/>
        <w:numId w:val="18"/>
      </w:numPr>
    </w:pPr>
  </w:style>
  <w:style w:type="paragraph" w:customStyle="1" w:styleId="Bullet0">
    <w:name w:val="Bullet 0"/>
    <w:basedOn w:val="Normalny"/>
    <w:pPr>
      <w:numPr>
        <w:numId w:val="19"/>
      </w:numPr>
    </w:pPr>
  </w:style>
  <w:style w:type="paragraph" w:customStyle="1" w:styleId="Bullet1">
    <w:name w:val="Bullet 1"/>
    <w:basedOn w:val="Normalny"/>
    <w:pPr>
      <w:numPr>
        <w:numId w:val="20"/>
      </w:numPr>
    </w:pPr>
  </w:style>
  <w:style w:type="paragraph" w:customStyle="1" w:styleId="Bullet2">
    <w:name w:val="Bullet 2"/>
    <w:basedOn w:val="Normalny"/>
    <w:pPr>
      <w:numPr>
        <w:numId w:val="21"/>
      </w:numPr>
    </w:pPr>
  </w:style>
  <w:style w:type="paragraph" w:customStyle="1" w:styleId="Bullet3">
    <w:name w:val="Bullet 3"/>
    <w:basedOn w:val="Normalny"/>
    <w:pPr>
      <w:numPr>
        <w:numId w:val="22"/>
      </w:numPr>
    </w:pPr>
  </w:style>
  <w:style w:type="paragraph" w:customStyle="1" w:styleId="Bullet4">
    <w:name w:val="Bullet 4"/>
    <w:basedOn w:val="Normalny"/>
    <w:pPr>
      <w:numPr>
        <w:numId w:val="23"/>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24"/>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IntrtEEE"/>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0" w:after="240"/>
      <w:jc w:val="center"/>
    </w:pPr>
  </w:style>
  <w:style w:type="paragraph" w:customStyle="1" w:styleId="Titrearticle">
    <w:name w:val="Titre article"/>
    <w:basedOn w:val="Normalny"/>
    <w:next w:val="Normalny"/>
    <w:pPr>
      <w:keepNext/>
      <w:spacing w:before="360"/>
      <w:jc w:val="center"/>
    </w:pPr>
    <w:rPr>
      <w:i/>
    </w:rPr>
  </w:style>
  <w:style w:type="paragraph" w:customStyle="1" w:styleId="Typedudocument">
    <w:name w:val="Type du document"/>
    <w:basedOn w:val="Normalny"/>
    <w:next w:val="Accompagnant"/>
    <w:pPr>
      <w:spacing w:before="360" w:after="18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180" w:after="240"/>
      <w:jc w:val="center"/>
    </w:pPr>
    <w:rPr>
      <w:b/>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 w:type="paragraph" w:styleId="Nagwek">
    <w:name w:val="header"/>
    <w:basedOn w:val="Normalny"/>
    <w:link w:val="NagwekZnak"/>
    <w:uiPriority w:val="99"/>
    <w:unhideWhenUsed/>
    <w:rsid w:val="0079738E"/>
    <w:pPr>
      <w:tabs>
        <w:tab w:val="center" w:pos="4535"/>
        <w:tab w:val="right" w:pos="9071"/>
      </w:tabs>
      <w:spacing w:before="0"/>
    </w:pPr>
  </w:style>
  <w:style w:type="paragraph" w:customStyle="1" w:styleId="HeaderLandscape">
    <w:name w:val="HeaderLandscape"/>
    <w:basedOn w:val="Normalny"/>
    <w:rsid w:val="0079738E"/>
    <w:pPr>
      <w:tabs>
        <w:tab w:val="center" w:pos="7285"/>
        <w:tab w:val="right" w:pos="14003"/>
      </w:tabs>
      <w:spacing w:before="0"/>
    </w:pPr>
  </w:style>
  <w:style w:type="paragraph" w:styleId="Stopka">
    <w:name w:val="footer"/>
    <w:basedOn w:val="Normalny"/>
    <w:link w:val="StopkaZnak"/>
    <w:uiPriority w:val="99"/>
    <w:unhideWhenUsed/>
    <w:rsid w:val="0079738E"/>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79738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3</Pages>
  <Words>452</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GATTEGNO Valerie (TAXUD)</dc:creator>
  <cp:keywords/>
  <dc:description/>
  <cp:lastModifiedBy>Obrębska Olga</cp:lastModifiedBy>
  <cp:revision>2</cp:revision>
  <dcterms:created xsi:type="dcterms:W3CDTF">2025-03-31T12:29:00Z</dcterms:created>
  <dcterms:modified xsi:type="dcterms:W3CDTF">2025-03-31T12:29:00Z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2025-02-22T09:28:20Z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cec4549f-1def-4815-9f86-ac69276ef791</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