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0" w:type="dxa"/>
          <w:right w:w="70" w:type="dxa"/>
        </w:tblCellMar>
        <w:tblLook w:val="04A0" w:firstRow="1" w:lastRow="0" w:firstColumn="1" w:lastColumn="0" w:noHBand="0" w:noVBand="1"/>
      </w:tblPr>
      <w:tblGrid>
        <w:gridCol w:w="434"/>
        <w:gridCol w:w="1516"/>
        <w:gridCol w:w="1480"/>
        <w:gridCol w:w="3781"/>
        <w:gridCol w:w="2990"/>
        <w:gridCol w:w="2658"/>
        <w:gridCol w:w="1633"/>
        <w:gridCol w:w="1393"/>
        <w:gridCol w:w="5082"/>
      </w:tblGrid>
      <w:tr w:rsidR="001F2B28" w:rsidRPr="00575CB5" w14:paraId="04064D62" w14:textId="77777777" w:rsidTr="00C46A1C">
        <w:trPr>
          <w:trHeight w:val="454"/>
          <w:tblHeader/>
        </w:trPr>
        <w:tc>
          <w:tcPr>
            <w:tcW w:w="4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EF0AD8" w14:textId="77777777" w:rsidR="000254DC" w:rsidRPr="00575CB5" w:rsidRDefault="000254DC" w:rsidP="000254DC">
            <w:pPr>
              <w:ind w:firstLine="0"/>
              <w:jc w:val="center"/>
              <w:rPr>
                <w:rFonts w:ascii="Calibri" w:eastAsia="Times New Roman" w:hAnsi="Calibri" w:cs="Calibri"/>
                <w:b/>
                <w:bCs/>
                <w:color w:val="000000"/>
                <w:sz w:val="18"/>
                <w:szCs w:val="18"/>
                <w:lang w:eastAsia="pl-PL"/>
              </w:rPr>
            </w:pPr>
            <w:bookmarkStart w:id="0" w:name="_GoBack"/>
            <w:bookmarkEnd w:id="0"/>
            <w:r w:rsidRPr="00575CB5">
              <w:rPr>
                <w:rFonts w:ascii="Calibri" w:eastAsia="Times New Roman" w:hAnsi="Calibri" w:cs="Calibri"/>
                <w:b/>
                <w:bCs/>
                <w:color w:val="000000"/>
                <w:sz w:val="18"/>
                <w:szCs w:val="18"/>
                <w:lang w:eastAsia="pl-PL"/>
              </w:rPr>
              <w:t>l.p.</w:t>
            </w:r>
          </w:p>
        </w:tc>
        <w:tc>
          <w:tcPr>
            <w:tcW w:w="151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37FC2B6" w14:textId="77777777" w:rsidR="000254DC" w:rsidRPr="00575CB5" w:rsidRDefault="000254DC" w:rsidP="000254DC">
            <w:pPr>
              <w:ind w:firstLine="0"/>
              <w:jc w:val="center"/>
              <w:rPr>
                <w:rFonts w:ascii="Calibri" w:eastAsia="Times New Roman" w:hAnsi="Calibri" w:cs="Calibri"/>
                <w:b/>
                <w:bCs/>
                <w:color w:val="000000"/>
                <w:sz w:val="18"/>
                <w:szCs w:val="18"/>
                <w:lang w:eastAsia="pl-PL"/>
              </w:rPr>
            </w:pPr>
            <w:r w:rsidRPr="00575CB5">
              <w:rPr>
                <w:rFonts w:ascii="Calibri" w:eastAsia="Times New Roman" w:hAnsi="Calibri" w:cs="Calibri"/>
                <w:b/>
                <w:bCs/>
                <w:color w:val="000000"/>
                <w:sz w:val="18"/>
                <w:szCs w:val="18"/>
                <w:lang w:eastAsia="pl-PL"/>
              </w:rPr>
              <w:t>Nazwa</w:t>
            </w:r>
          </w:p>
          <w:p w14:paraId="575D631C" w14:textId="77777777" w:rsidR="000254DC" w:rsidRPr="00575CB5" w:rsidRDefault="008E3C3C" w:rsidP="000254DC">
            <w:pPr>
              <w:ind w:firstLine="0"/>
              <w:jc w:val="center"/>
              <w:rPr>
                <w:rFonts w:ascii="Calibri" w:eastAsia="Times New Roman" w:hAnsi="Calibri" w:cs="Calibri"/>
                <w:b/>
                <w:bCs/>
                <w:color w:val="000000"/>
                <w:sz w:val="18"/>
                <w:szCs w:val="18"/>
                <w:lang w:eastAsia="pl-PL"/>
              </w:rPr>
            </w:pPr>
            <w:r w:rsidRPr="00575CB5">
              <w:rPr>
                <w:rFonts w:ascii="Calibri" w:eastAsia="Times New Roman" w:hAnsi="Calibri" w:cs="Calibri"/>
                <w:b/>
                <w:bCs/>
                <w:color w:val="000000"/>
                <w:sz w:val="18"/>
                <w:szCs w:val="18"/>
                <w:lang w:eastAsia="pl-PL"/>
              </w:rPr>
              <w:t>I</w:t>
            </w:r>
            <w:r w:rsidR="000254DC" w:rsidRPr="00575CB5">
              <w:rPr>
                <w:rFonts w:ascii="Calibri" w:eastAsia="Times New Roman" w:hAnsi="Calibri" w:cs="Calibri"/>
                <w:b/>
                <w:bCs/>
                <w:color w:val="000000"/>
                <w:sz w:val="18"/>
                <w:szCs w:val="18"/>
                <w:lang w:eastAsia="pl-PL"/>
              </w:rPr>
              <w:t>nstytucji</w:t>
            </w:r>
            <w:r w:rsidRPr="00575CB5">
              <w:rPr>
                <w:rFonts w:ascii="Calibri" w:eastAsia="Times New Roman" w:hAnsi="Calibri" w:cs="Calibri"/>
                <w:b/>
                <w:bCs/>
                <w:color w:val="000000"/>
                <w:sz w:val="18"/>
                <w:szCs w:val="18"/>
                <w:lang w:eastAsia="pl-PL"/>
              </w:rPr>
              <w:t>/osoba fizyczna</w:t>
            </w:r>
          </w:p>
        </w:tc>
        <w:tc>
          <w:tcPr>
            <w:tcW w:w="14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4AFFC58" w14:textId="77777777" w:rsidR="000254DC" w:rsidRPr="00575CB5" w:rsidRDefault="000254DC" w:rsidP="000254DC">
            <w:pPr>
              <w:ind w:firstLine="0"/>
              <w:jc w:val="center"/>
              <w:rPr>
                <w:rFonts w:ascii="Calibri" w:eastAsia="Times New Roman" w:hAnsi="Calibri" w:cs="Calibri"/>
                <w:b/>
                <w:bCs/>
                <w:color w:val="000000"/>
                <w:sz w:val="18"/>
                <w:szCs w:val="18"/>
                <w:lang w:eastAsia="pl-PL"/>
              </w:rPr>
            </w:pPr>
            <w:r w:rsidRPr="00575CB5">
              <w:rPr>
                <w:rFonts w:ascii="Calibri" w:eastAsia="Times New Roman" w:hAnsi="Calibri" w:cs="Calibri"/>
                <w:b/>
                <w:bCs/>
                <w:color w:val="000000"/>
                <w:sz w:val="18"/>
                <w:szCs w:val="18"/>
                <w:lang w:eastAsia="pl-PL"/>
              </w:rPr>
              <w:t>Część dokumentu którego dotyczy uwaga</w:t>
            </w:r>
          </w:p>
        </w:tc>
        <w:tc>
          <w:tcPr>
            <w:tcW w:w="378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E708745" w14:textId="77777777" w:rsidR="000254DC" w:rsidRPr="00575CB5" w:rsidRDefault="000254DC" w:rsidP="000254DC">
            <w:pPr>
              <w:ind w:firstLine="0"/>
              <w:jc w:val="center"/>
              <w:rPr>
                <w:rFonts w:ascii="Calibri" w:eastAsia="Times New Roman" w:hAnsi="Calibri" w:cs="Calibri"/>
                <w:b/>
                <w:bCs/>
                <w:color w:val="000000"/>
                <w:sz w:val="18"/>
                <w:szCs w:val="18"/>
                <w:lang w:eastAsia="pl-PL"/>
              </w:rPr>
            </w:pPr>
            <w:r w:rsidRPr="00575CB5">
              <w:rPr>
                <w:rFonts w:ascii="Calibri" w:eastAsia="Times New Roman" w:hAnsi="Calibri" w:cs="Calibri"/>
                <w:b/>
                <w:bCs/>
                <w:color w:val="000000"/>
                <w:sz w:val="18"/>
                <w:szCs w:val="18"/>
                <w:lang w:eastAsia="pl-PL"/>
              </w:rPr>
              <w:t>Treść uwagi/wniosku</w:t>
            </w:r>
          </w:p>
        </w:tc>
        <w:tc>
          <w:tcPr>
            <w:tcW w:w="299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E0250F6" w14:textId="77777777" w:rsidR="000254DC" w:rsidRPr="00575CB5" w:rsidRDefault="000254DC" w:rsidP="000254DC">
            <w:pPr>
              <w:ind w:firstLine="0"/>
              <w:jc w:val="center"/>
              <w:rPr>
                <w:rFonts w:ascii="Calibri" w:eastAsia="Times New Roman" w:hAnsi="Calibri" w:cs="Calibri"/>
                <w:b/>
                <w:bCs/>
                <w:color w:val="000000"/>
                <w:sz w:val="18"/>
                <w:szCs w:val="18"/>
                <w:lang w:eastAsia="pl-PL"/>
              </w:rPr>
            </w:pPr>
            <w:r w:rsidRPr="00575CB5">
              <w:rPr>
                <w:rFonts w:ascii="Calibri" w:eastAsia="Times New Roman" w:hAnsi="Calibri" w:cs="Calibri"/>
                <w:b/>
                <w:bCs/>
                <w:color w:val="000000"/>
                <w:sz w:val="18"/>
                <w:szCs w:val="18"/>
                <w:lang w:eastAsia="pl-PL"/>
              </w:rPr>
              <w:t>Proponowane zmiany</w:t>
            </w:r>
          </w:p>
        </w:tc>
        <w:tc>
          <w:tcPr>
            <w:tcW w:w="265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9E8C09C" w14:textId="77777777" w:rsidR="000254DC" w:rsidRPr="00575CB5" w:rsidRDefault="000254DC" w:rsidP="000254DC">
            <w:pPr>
              <w:ind w:firstLine="0"/>
              <w:jc w:val="center"/>
              <w:rPr>
                <w:rFonts w:ascii="Calibri" w:eastAsia="Times New Roman" w:hAnsi="Calibri" w:cs="Calibri"/>
                <w:b/>
                <w:bCs/>
                <w:color w:val="000000"/>
                <w:sz w:val="18"/>
                <w:szCs w:val="18"/>
                <w:lang w:eastAsia="pl-PL"/>
              </w:rPr>
            </w:pPr>
            <w:r w:rsidRPr="00575CB5">
              <w:rPr>
                <w:rFonts w:ascii="Calibri" w:eastAsia="Times New Roman" w:hAnsi="Calibri" w:cs="Calibri"/>
                <w:b/>
                <w:bCs/>
                <w:color w:val="000000"/>
                <w:sz w:val="18"/>
                <w:szCs w:val="18"/>
                <w:lang w:eastAsia="pl-PL"/>
              </w:rPr>
              <w:t>Uzasadnienie proponowanych zmian</w:t>
            </w:r>
          </w:p>
        </w:tc>
        <w:tc>
          <w:tcPr>
            <w:tcW w:w="163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132194E" w14:textId="77777777" w:rsidR="000254DC" w:rsidRPr="00575CB5" w:rsidRDefault="000254DC" w:rsidP="000254DC">
            <w:pPr>
              <w:ind w:firstLine="0"/>
              <w:jc w:val="center"/>
              <w:rPr>
                <w:rFonts w:ascii="Calibri" w:eastAsia="Times New Roman" w:hAnsi="Calibri" w:cs="Calibri"/>
                <w:b/>
                <w:bCs/>
                <w:color w:val="000000"/>
                <w:sz w:val="18"/>
                <w:szCs w:val="18"/>
                <w:lang w:eastAsia="pl-PL"/>
              </w:rPr>
            </w:pPr>
            <w:r w:rsidRPr="00575CB5">
              <w:rPr>
                <w:rFonts w:ascii="Calibri" w:eastAsia="Times New Roman" w:hAnsi="Calibri" w:cs="Calibri"/>
                <w:b/>
                <w:bCs/>
                <w:color w:val="000000"/>
                <w:sz w:val="18"/>
                <w:szCs w:val="18"/>
                <w:lang w:eastAsia="pl-PL"/>
              </w:rPr>
              <w:t>Załącznik do uwagi/</w:t>
            </w:r>
          </w:p>
          <w:p w14:paraId="0A01B01D" w14:textId="77777777" w:rsidR="000254DC" w:rsidRPr="00575CB5" w:rsidRDefault="000254DC" w:rsidP="000254DC">
            <w:pPr>
              <w:ind w:firstLine="0"/>
              <w:jc w:val="center"/>
              <w:rPr>
                <w:rFonts w:ascii="Calibri" w:eastAsia="Times New Roman" w:hAnsi="Calibri" w:cs="Calibri"/>
                <w:b/>
                <w:bCs/>
                <w:color w:val="000000"/>
                <w:sz w:val="18"/>
                <w:szCs w:val="18"/>
                <w:lang w:eastAsia="pl-PL"/>
              </w:rPr>
            </w:pPr>
            <w:r w:rsidRPr="00575CB5">
              <w:rPr>
                <w:rFonts w:ascii="Calibri" w:eastAsia="Times New Roman" w:hAnsi="Calibri" w:cs="Calibri"/>
                <w:b/>
                <w:bCs/>
                <w:color w:val="000000"/>
                <w:sz w:val="18"/>
                <w:szCs w:val="18"/>
                <w:lang w:eastAsia="pl-PL"/>
              </w:rPr>
              <w:t>wniosku</w:t>
            </w:r>
          </w:p>
        </w:tc>
        <w:tc>
          <w:tcPr>
            <w:tcW w:w="139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DCDF5CA" w14:textId="77777777" w:rsidR="000254DC" w:rsidRPr="00575CB5" w:rsidRDefault="000254DC" w:rsidP="000254DC">
            <w:pPr>
              <w:ind w:firstLine="0"/>
              <w:jc w:val="center"/>
              <w:rPr>
                <w:rFonts w:ascii="Calibri" w:eastAsia="Times New Roman" w:hAnsi="Calibri" w:cs="Calibri"/>
                <w:b/>
                <w:bCs/>
                <w:color w:val="000000"/>
                <w:sz w:val="18"/>
                <w:szCs w:val="18"/>
                <w:lang w:eastAsia="pl-PL"/>
              </w:rPr>
            </w:pPr>
            <w:r w:rsidRPr="00575CB5">
              <w:rPr>
                <w:rFonts w:ascii="Calibri" w:eastAsia="Times New Roman" w:hAnsi="Calibri" w:cs="Calibri"/>
                <w:b/>
                <w:bCs/>
                <w:color w:val="000000"/>
                <w:sz w:val="18"/>
                <w:szCs w:val="18"/>
                <w:lang w:eastAsia="pl-PL"/>
              </w:rPr>
              <w:t>Sposób rozpatrzenia uwagi</w:t>
            </w:r>
          </w:p>
        </w:tc>
        <w:tc>
          <w:tcPr>
            <w:tcW w:w="508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15B3B7E" w14:textId="77777777" w:rsidR="000254DC" w:rsidRPr="00575CB5" w:rsidRDefault="000254DC" w:rsidP="000254DC">
            <w:pPr>
              <w:ind w:firstLine="0"/>
              <w:jc w:val="center"/>
              <w:rPr>
                <w:rFonts w:ascii="Calibri" w:eastAsia="Times New Roman" w:hAnsi="Calibri" w:cs="Calibri"/>
                <w:b/>
                <w:bCs/>
                <w:color w:val="000000"/>
                <w:sz w:val="18"/>
                <w:szCs w:val="18"/>
                <w:lang w:eastAsia="pl-PL"/>
              </w:rPr>
            </w:pPr>
            <w:r w:rsidRPr="00575CB5">
              <w:rPr>
                <w:rFonts w:ascii="Calibri" w:eastAsia="Times New Roman" w:hAnsi="Calibri" w:cs="Calibri"/>
                <w:b/>
                <w:bCs/>
                <w:color w:val="000000"/>
                <w:sz w:val="18"/>
                <w:szCs w:val="18"/>
                <w:lang w:eastAsia="pl-PL"/>
              </w:rPr>
              <w:t>Uzasadnienie sposobu rozpatrzenia uwagi</w:t>
            </w:r>
          </w:p>
        </w:tc>
      </w:tr>
      <w:tr w:rsidR="000254DC" w:rsidRPr="00575CB5" w14:paraId="024DF6B8" w14:textId="77777777" w:rsidTr="00C46A1C">
        <w:trPr>
          <w:trHeight w:val="454"/>
        </w:trPr>
        <w:tc>
          <w:tcPr>
            <w:tcW w:w="434" w:type="dxa"/>
            <w:tcBorders>
              <w:top w:val="nil"/>
              <w:left w:val="single" w:sz="4" w:space="0" w:color="auto"/>
              <w:bottom w:val="single" w:sz="4" w:space="0" w:color="auto"/>
              <w:right w:val="single" w:sz="4" w:space="0" w:color="auto"/>
            </w:tcBorders>
            <w:shd w:val="clear" w:color="auto" w:fill="auto"/>
            <w:hideMark/>
          </w:tcPr>
          <w:p w14:paraId="00D35EB4" w14:textId="77777777" w:rsidR="000254DC" w:rsidRPr="00575CB5" w:rsidRDefault="000254DC" w:rsidP="000254DC">
            <w:pPr>
              <w:ind w:firstLine="0"/>
              <w:jc w:val="center"/>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1</w:t>
            </w:r>
          </w:p>
        </w:tc>
        <w:tc>
          <w:tcPr>
            <w:tcW w:w="1516" w:type="dxa"/>
            <w:tcBorders>
              <w:top w:val="nil"/>
              <w:left w:val="nil"/>
              <w:bottom w:val="single" w:sz="4" w:space="0" w:color="auto"/>
              <w:right w:val="single" w:sz="4" w:space="0" w:color="auto"/>
            </w:tcBorders>
            <w:shd w:val="clear" w:color="auto" w:fill="auto"/>
            <w:hideMark/>
          </w:tcPr>
          <w:p w14:paraId="47E4D869"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Stowarzyszenie Na Rzecz Ochrony  Wartości Przyrodniczych ,,Dla Dźwierzut”</w:t>
            </w:r>
          </w:p>
        </w:tc>
        <w:tc>
          <w:tcPr>
            <w:tcW w:w="1480" w:type="dxa"/>
            <w:tcBorders>
              <w:top w:val="nil"/>
              <w:left w:val="nil"/>
              <w:bottom w:val="single" w:sz="4" w:space="0" w:color="auto"/>
              <w:right w:val="single" w:sz="4" w:space="0" w:color="auto"/>
            </w:tcBorders>
            <w:shd w:val="clear" w:color="auto" w:fill="auto"/>
            <w:hideMark/>
          </w:tcPr>
          <w:p w14:paraId="314F16C1"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inne/pozostałe</w:t>
            </w:r>
          </w:p>
        </w:tc>
        <w:tc>
          <w:tcPr>
            <w:tcW w:w="3781" w:type="dxa"/>
            <w:tcBorders>
              <w:top w:val="nil"/>
              <w:left w:val="nil"/>
              <w:bottom w:val="single" w:sz="4" w:space="0" w:color="auto"/>
              <w:right w:val="single" w:sz="4" w:space="0" w:color="auto"/>
            </w:tcBorders>
            <w:shd w:val="clear" w:color="auto" w:fill="auto"/>
            <w:hideMark/>
          </w:tcPr>
          <w:p w14:paraId="4228AA8D"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 xml:space="preserve">Gmina </w:t>
            </w:r>
            <w:proofErr w:type="spellStart"/>
            <w:r w:rsidRPr="00575CB5">
              <w:rPr>
                <w:rFonts w:ascii="Calibri" w:eastAsia="Times New Roman" w:hAnsi="Calibri" w:cs="Calibri"/>
                <w:color w:val="000000"/>
                <w:sz w:val="18"/>
                <w:szCs w:val="18"/>
                <w:lang w:eastAsia="pl-PL"/>
              </w:rPr>
              <w:t>Dzwierzuty</w:t>
            </w:r>
            <w:proofErr w:type="spellEnd"/>
            <w:r w:rsidRPr="00575CB5">
              <w:rPr>
                <w:rFonts w:ascii="Calibri" w:eastAsia="Times New Roman" w:hAnsi="Calibri" w:cs="Calibri"/>
                <w:color w:val="000000"/>
                <w:sz w:val="18"/>
                <w:szCs w:val="18"/>
                <w:lang w:eastAsia="pl-PL"/>
              </w:rPr>
              <w:t xml:space="preserve"> Leży w 3 Zlewniach, Pregoły, Środkowej  Wisły, Niemna </w:t>
            </w:r>
            <w:r w:rsidR="00F455AF" w:rsidRPr="00575CB5">
              <w:rPr>
                <w:rFonts w:ascii="Calibri" w:eastAsia="Times New Roman" w:hAnsi="Calibri" w:cs="Calibri"/>
                <w:color w:val="000000"/>
                <w:sz w:val="18"/>
                <w:szCs w:val="18"/>
                <w:lang w:eastAsia="pl-PL"/>
              </w:rPr>
              <w:t>załącznik</w:t>
            </w:r>
            <w:r w:rsidR="00F455AF">
              <w:rPr>
                <w:rFonts w:ascii="Calibri" w:eastAsia="Times New Roman" w:hAnsi="Calibri" w:cs="Calibri"/>
                <w:color w:val="000000"/>
                <w:sz w:val="18"/>
                <w:szCs w:val="18"/>
                <w:lang w:eastAsia="pl-PL"/>
              </w:rPr>
              <w:t>i</w:t>
            </w:r>
            <w:r w:rsidRPr="00575CB5">
              <w:rPr>
                <w:rFonts w:ascii="Calibri" w:eastAsia="Times New Roman" w:hAnsi="Calibri" w:cs="Calibri"/>
                <w:color w:val="000000"/>
                <w:sz w:val="18"/>
                <w:szCs w:val="18"/>
                <w:lang w:eastAsia="pl-PL"/>
              </w:rPr>
              <w:t xml:space="preserve"> dokumentacji geolog.</w:t>
            </w:r>
            <w:r w:rsidR="00F455AF">
              <w:rPr>
                <w:rFonts w:ascii="Calibri" w:eastAsia="Times New Roman" w:hAnsi="Calibri" w:cs="Calibri"/>
                <w:color w:val="000000"/>
                <w:sz w:val="18"/>
                <w:szCs w:val="18"/>
                <w:lang w:eastAsia="pl-PL"/>
              </w:rPr>
              <w:t xml:space="preserve"> </w:t>
            </w:r>
            <w:r w:rsidRPr="00575CB5">
              <w:rPr>
                <w:rFonts w:ascii="Calibri" w:eastAsia="Times New Roman" w:hAnsi="Calibri" w:cs="Calibri"/>
                <w:color w:val="000000"/>
                <w:sz w:val="18"/>
                <w:szCs w:val="18"/>
                <w:lang w:eastAsia="pl-PL"/>
              </w:rPr>
              <w:t xml:space="preserve">z dowodami położenia na </w:t>
            </w:r>
            <w:proofErr w:type="spellStart"/>
            <w:r w:rsidRPr="00575CB5">
              <w:rPr>
                <w:rFonts w:ascii="Calibri" w:eastAsia="Times New Roman" w:hAnsi="Calibri" w:cs="Calibri"/>
                <w:color w:val="000000"/>
                <w:sz w:val="18"/>
                <w:szCs w:val="18"/>
                <w:lang w:eastAsia="pl-PL"/>
              </w:rPr>
              <w:t>Gzwp</w:t>
            </w:r>
            <w:proofErr w:type="spellEnd"/>
            <w:r w:rsidRPr="00575CB5">
              <w:rPr>
                <w:rFonts w:ascii="Calibri" w:eastAsia="Times New Roman" w:hAnsi="Calibri" w:cs="Calibri"/>
                <w:color w:val="000000"/>
                <w:sz w:val="18"/>
                <w:szCs w:val="18"/>
                <w:lang w:eastAsia="pl-PL"/>
              </w:rPr>
              <w:t xml:space="preserve"> 213 i dowodami że 1/2 gminy leży nad Gzwp213 Olsztyn na projektowanych strefach ochronnych tego Zbiornika o przesiąkliwości poniżej  5-ciu lat.</w:t>
            </w:r>
          </w:p>
        </w:tc>
        <w:tc>
          <w:tcPr>
            <w:tcW w:w="2990" w:type="dxa"/>
            <w:tcBorders>
              <w:top w:val="nil"/>
              <w:left w:val="nil"/>
              <w:bottom w:val="single" w:sz="4" w:space="0" w:color="auto"/>
              <w:right w:val="single" w:sz="4" w:space="0" w:color="auto"/>
            </w:tcBorders>
            <w:shd w:val="clear" w:color="auto" w:fill="auto"/>
            <w:hideMark/>
          </w:tcPr>
          <w:p w14:paraId="2D23C528"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Stowarzyszenie wnosi by umieścić w dokumentach aktualizacji zarządzania na Obszarach dorzeczy umieszczenie PEŁNEJ ochrony GZWP 213 Olsztyn i wnosimy o przesłanie do Pana Wojewody warmińsko –Mazurskiego wniosku o objęcie szczeg</w:t>
            </w:r>
            <w:r w:rsidR="00202017">
              <w:rPr>
                <w:rFonts w:ascii="Calibri" w:eastAsia="Times New Roman" w:hAnsi="Calibri" w:cs="Calibri"/>
                <w:color w:val="000000"/>
                <w:sz w:val="18"/>
                <w:szCs w:val="18"/>
                <w:lang w:eastAsia="pl-PL"/>
              </w:rPr>
              <w:t xml:space="preserve">ólną ochroną Zbiornika </w:t>
            </w:r>
            <w:proofErr w:type="spellStart"/>
            <w:r w:rsidR="00202017">
              <w:rPr>
                <w:rFonts w:ascii="Calibri" w:eastAsia="Times New Roman" w:hAnsi="Calibri" w:cs="Calibri"/>
                <w:color w:val="000000"/>
                <w:sz w:val="18"/>
                <w:szCs w:val="18"/>
                <w:lang w:eastAsia="pl-PL"/>
              </w:rPr>
              <w:t>Gzwp</w:t>
            </w:r>
            <w:proofErr w:type="spellEnd"/>
            <w:r w:rsidR="00202017">
              <w:rPr>
                <w:rFonts w:ascii="Calibri" w:eastAsia="Times New Roman" w:hAnsi="Calibri" w:cs="Calibri"/>
                <w:color w:val="000000"/>
                <w:sz w:val="18"/>
                <w:szCs w:val="18"/>
                <w:lang w:eastAsia="pl-PL"/>
              </w:rPr>
              <w:t xml:space="preserve"> 213</w:t>
            </w:r>
            <w:r w:rsidRPr="00575CB5">
              <w:rPr>
                <w:rFonts w:ascii="Calibri" w:eastAsia="Times New Roman" w:hAnsi="Calibri" w:cs="Calibri"/>
                <w:color w:val="000000"/>
                <w:sz w:val="18"/>
                <w:szCs w:val="18"/>
                <w:lang w:eastAsia="pl-PL"/>
              </w:rPr>
              <w:t xml:space="preserve"> i pilne naniesienie stref ochronnych zgodnie Dokumentacją GZWP 213 zatwierdzoną przez Ministra Środowiska z marca 2008 r bez zastrzeżeń. Wnosimy o skonkretyzowanie wniosku do Pana Wojewody i nadanie mu w treści zapisu,, Na terenach o przesiąkliwości </w:t>
            </w:r>
          </w:p>
        </w:tc>
        <w:tc>
          <w:tcPr>
            <w:tcW w:w="2658" w:type="dxa"/>
            <w:tcBorders>
              <w:top w:val="nil"/>
              <w:left w:val="nil"/>
              <w:bottom w:val="single" w:sz="4" w:space="0" w:color="auto"/>
              <w:right w:val="single" w:sz="4" w:space="0" w:color="auto"/>
            </w:tcBorders>
            <w:shd w:val="clear" w:color="auto" w:fill="auto"/>
            <w:hideMark/>
          </w:tcPr>
          <w:p w14:paraId="504F5284"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 xml:space="preserve">Załączmy różne dokumenty które udowadniają że GZWP213 jest zatruwany że władze są obojętne na zatkanie z premedytacją właściciela ziemi znajdowało </w:t>
            </w:r>
            <w:r w:rsidR="00F455AF" w:rsidRPr="00575CB5">
              <w:rPr>
                <w:rFonts w:ascii="Calibri" w:eastAsia="Times New Roman" w:hAnsi="Calibri" w:cs="Calibri"/>
                <w:color w:val="000000"/>
                <w:sz w:val="18"/>
                <w:szCs w:val="18"/>
                <w:lang w:eastAsia="pl-PL"/>
              </w:rPr>
              <w:t>się</w:t>
            </w:r>
            <w:r w:rsidRPr="00575CB5">
              <w:rPr>
                <w:rFonts w:ascii="Calibri" w:eastAsia="Times New Roman" w:hAnsi="Calibri" w:cs="Calibri"/>
                <w:color w:val="000000"/>
                <w:sz w:val="18"/>
                <w:szCs w:val="18"/>
                <w:lang w:eastAsia="pl-PL"/>
              </w:rPr>
              <w:t xml:space="preserve"> Źródło jeziora Szczepankowo i połączonego z nim Jeziora Sąpłaty. Obecnie jeziora giną w oczach i na oczach władz gminy i Instytucji odpowiedzialnych za nie.  Za nic mają pisma kierowane di nich przez Stowarzyszenie. Zły to  przykład  dla ,,CZYSTEJ  POL-SKI” .Stowarzyszenie Chroni wody GZWP od 2007 r. Brało udział w pierwszej  aktualizacji  Planów </w:t>
            </w:r>
            <w:proofErr w:type="spellStart"/>
            <w:r w:rsidRPr="00575CB5">
              <w:rPr>
                <w:rFonts w:ascii="Calibri" w:eastAsia="Times New Roman" w:hAnsi="Calibri" w:cs="Calibri"/>
                <w:color w:val="000000"/>
                <w:sz w:val="18"/>
                <w:szCs w:val="18"/>
                <w:lang w:eastAsia="pl-PL"/>
              </w:rPr>
              <w:t>gospor</w:t>
            </w:r>
            <w:proofErr w:type="spellEnd"/>
            <w:r w:rsidRPr="00575CB5">
              <w:rPr>
                <w:rFonts w:ascii="Calibri" w:eastAsia="Times New Roman" w:hAnsi="Calibri" w:cs="Calibri"/>
                <w:color w:val="000000"/>
                <w:sz w:val="18"/>
                <w:szCs w:val="18"/>
                <w:lang w:eastAsia="pl-PL"/>
              </w:rPr>
              <w:t xml:space="preserve">. wodami  na obszarach dorzeczy –nikt nie wierzy, że GZWP Ginie a wody pitnej już nie starcza. Niestety, ale teraz wygrywa ten kto ma pieniądze to ostatnie naszym zdaniem PODZWONNE DLA GZWP213 Tak bardzo liczyliśmy na Wody Polskie (na zgłoszenie o zniszczeniu </w:t>
            </w:r>
            <w:r w:rsidR="0022211C" w:rsidRPr="00575CB5">
              <w:rPr>
                <w:rFonts w:ascii="Calibri" w:eastAsia="Times New Roman" w:hAnsi="Calibri" w:cs="Calibri"/>
                <w:color w:val="000000"/>
                <w:sz w:val="18"/>
                <w:szCs w:val="18"/>
                <w:lang w:eastAsia="pl-PL"/>
              </w:rPr>
              <w:t>źródła</w:t>
            </w:r>
            <w:r w:rsidRPr="00575CB5">
              <w:rPr>
                <w:rFonts w:ascii="Calibri" w:eastAsia="Times New Roman" w:hAnsi="Calibri" w:cs="Calibri"/>
                <w:color w:val="000000"/>
                <w:sz w:val="18"/>
                <w:szCs w:val="18"/>
                <w:lang w:eastAsia="pl-PL"/>
              </w:rPr>
              <w:t xml:space="preserve"> jeziora Szczepankowo czekamy 9 </w:t>
            </w:r>
            <w:r w:rsidR="0022211C" w:rsidRPr="00575CB5">
              <w:rPr>
                <w:rFonts w:ascii="Calibri" w:eastAsia="Times New Roman" w:hAnsi="Calibri" w:cs="Calibri"/>
                <w:color w:val="000000"/>
                <w:sz w:val="18"/>
                <w:szCs w:val="18"/>
                <w:lang w:eastAsia="pl-PL"/>
              </w:rPr>
              <w:t>miesięcy</w:t>
            </w:r>
            <w:r w:rsidRPr="00575CB5">
              <w:rPr>
                <w:rFonts w:ascii="Calibri" w:eastAsia="Times New Roman" w:hAnsi="Calibri" w:cs="Calibri"/>
                <w:color w:val="000000"/>
                <w:sz w:val="18"/>
                <w:szCs w:val="18"/>
                <w:lang w:eastAsia="pl-PL"/>
              </w:rPr>
              <w:t>. Z wyrazami  nadziei  że Ochronimy  WODY GZWP 213 i jeziora.</w:t>
            </w:r>
          </w:p>
        </w:tc>
        <w:tc>
          <w:tcPr>
            <w:tcW w:w="1633" w:type="dxa"/>
            <w:tcBorders>
              <w:top w:val="nil"/>
              <w:left w:val="nil"/>
              <w:bottom w:val="single" w:sz="4" w:space="0" w:color="auto"/>
              <w:right w:val="single" w:sz="4" w:space="0" w:color="auto"/>
            </w:tcBorders>
            <w:shd w:val="clear" w:color="auto" w:fill="auto"/>
            <w:hideMark/>
          </w:tcPr>
          <w:p w14:paraId="0E1D7AA2" w14:textId="77777777" w:rsidR="000254DC" w:rsidRPr="00575CB5" w:rsidRDefault="000254DC" w:rsidP="000254DC">
            <w:pPr>
              <w:ind w:firstLine="0"/>
              <w:jc w:val="left"/>
              <w:rPr>
                <w:rFonts w:ascii="Calibri" w:eastAsia="Times New Roman" w:hAnsi="Calibri" w:cs="Calibri"/>
                <w:color w:val="000000"/>
                <w:sz w:val="18"/>
                <w:szCs w:val="18"/>
                <w:lang w:eastAsia="pl-PL"/>
              </w:rPr>
            </w:pPr>
            <w:proofErr w:type="spellStart"/>
            <w:r w:rsidRPr="00575CB5">
              <w:rPr>
                <w:rFonts w:ascii="Calibri" w:eastAsia="Times New Roman" w:hAnsi="Calibri" w:cs="Calibri"/>
                <w:color w:val="000000"/>
                <w:sz w:val="18"/>
                <w:szCs w:val="18"/>
                <w:lang w:eastAsia="pl-PL"/>
              </w:rPr>
              <w:t>Stow_Dla</w:t>
            </w:r>
            <w:proofErr w:type="spellEnd"/>
            <w:r w:rsidRPr="00575CB5">
              <w:rPr>
                <w:rFonts w:ascii="Calibri" w:eastAsia="Times New Roman" w:hAnsi="Calibri" w:cs="Calibri"/>
                <w:color w:val="000000"/>
                <w:sz w:val="18"/>
                <w:szCs w:val="18"/>
                <w:lang w:eastAsia="pl-PL"/>
              </w:rPr>
              <w:t xml:space="preserve"> </w:t>
            </w:r>
            <w:proofErr w:type="spellStart"/>
            <w:r w:rsidRPr="00575CB5">
              <w:rPr>
                <w:rFonts w:ascii="Calibri" w:eastAsia="Times New Roman" w:hAnsi="Calibri" w:cs="Calibri"/>
                <w:color w:val="000000"/>
                <w:sz w:val="18"/>
                <w:szCs w:val="18"/>
                <w:lang w:eastAsia="pl-PL"/>
              </w:rPr>
              <w:t>Dzwierzut</w:t>
            </w:r>
            <w:proofErr w:type="spellEnd"/>
          </w:p>
        </w:tc>
        <w:tc>
          <w:tcPr>
            <w:tcW w:w="1393" w:type="dxa"/>
            <w:tcBorders>
              <w:top w:val="nil"/>
              <w:left w:val="nil"/>
              <w:bottom w:val="single" w:sz="4" w:space="0" w:color="auto"/>
              <w:right w:val="single" w:sz="4" w:space="0" w:color="auto"/>
            </w:tcBorders>
            <w:shd w:val="clear" w:color="auto" w:fill="auto"/>
            <w:hideMark/>
          </w:tcPr>
          <w:p w14:paraId="1BF642D0"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wyjaśnienie</w:t>
            </w:r>
          </w:p>
        </w:tc>
        <w:tc>
          <w:tcPr>
            <w:tcW w:w="5082" w:type="dxa"/>
            <w:tcBorders>
              <w:top w:val="nil"/>
              <w:left w:val="nil"/>
              <w:bottom w:val="single" w:sz="4" w:space="0" w:color="auto"/>
              <w:right w:val="single" w:sz="4" w:space="0" w:color="auto"/>
            </w:tcBorders>
            <w:shd w:val="clear" w:color="auto" w:fill="auto"/>
            <w:hideMark/>
          </w:tcPr>
          <w:p w14:paraId="516DF49C" w14:textId="77777777" w:rsidR="000254DC" w:rsidRPr="00575CB5" w:rsidRDefault="000254DC" w:rsidP="00AC2331">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W IIaPGW nie przewidziano działań związanych z ustanowieniem obszaru ochronnego dla GZWP 213. Lista priorytetowych GZWP, dla których przewidziano ustanowienie obszarów ochronnych w latach 2022-2027 została opracowana na podstawie uzyskanych danych źródłowych. Na ich podstawie ustalono listę 21 GZWP.</w:t>
            </w:r>
          </w:p>
        </w:tc>
      </w:tr>
      <w:tr w:rsidR="000254DC" w:rsidRPr="00575CB5" w14:paraId="444A8311" w14:textId="77777777" w:rsidTr="00C46A1C">
        <w:trPr>
          <w:trHeight w:val="454"/>
        </w:trPr>
        <w:tc>
          <w:tcPr>
            <w:tcW w:w="434" w:type="dxa"/>
            <w:tcBorders>
              <w:top w:val="nil"/>
              <w:left w:val="single" w:sz="4" w:space="0" w:color="auto"/>
              <w:bottom w:val="single" w:sz="4" w:space="0" w:color="auto"/>
              <w:right w:val="single" w:sz="4" w:space="0" w:color="auto"/>
            </w:tcBorders>
            <w:shd w:val="clear" w:color="auto" w:fill="auto"/>
            <w:hideMark/>
          </w:tcPr>
          <w:p w14:paraId="03FE8F7E" w14:textId="77777777" w:rsidR="000254DC" w:rsidRPr="00575CB5" w:rsidRDefault="000254DC" w:rsidP="000254DC">
            <w:pPr>
              <w:ind w:firstLine="0"/>
              <w:jc w:val="center"/>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2</w:t>
            </w:r>
          </w:p>
        </w:tc>
        <w:tc>
          <w:tcPr>
            <w:tcW w:w="1516" w:type="dxa"/>
            <w:tcBorders>
              <w:top w:val="nil"/>
              <w:left w:val="nil"/>
              <w:bottom w:val="single" w:sz="4" w:space="0" w:color="auto"/>
              <w:right w:val="single" w:sz="4" w:space="0" w:color="auto"/>
            </w:tcBorders>
            <w:shd w:val="clear" w:color="auto" w:fill="auto"/>
            <w:hideMark/>
          </w:tcPr>
          <w:p w14:paraId="57D3936A" w14:textId="77777777" w:rsidR="000254DC" w:rsidRPr="00575CB5" w:rsidRDefault="00463E4D" w:rsidP="000254DC">
            <w:pPr>
              <w:ind w:firstLine="0"/>
              <w:jc w:val="lef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Kamila Belka</w:t>
            </w:r>
          </w:p>
        </w:tc>
        <w:tc>
          <w:tcPr>
            <w:tcW w:w="1480" w:type="dxa"/>
            <w:tcBorders>
              <w:top w:val="nil"/>
              <w:left w:val="nil"/>
              <w:bottom w:val="single" w:sz="4" w:space="0" w:color="auto"/>
              <w:right w:val="single" w:sz="4" w:space="0" w:color="auto"/>
            </w:tcBorders>
            <w:shd w:val="clear" w:color="auto" w:fill="auto"/>
            <w:hideMark/>
          </w:tcPr>
          <w:p w14:paraId="6ACB34A5"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inne/pozostałe</w:t>
            </w:r>
          </w:p>
        </w:tc>
        <w:tc>
          <w:tcPr>
            <w:tcW w:w="3781" w:type="dxa"/>
            <w:tcBorders>
              <w:top w:val="nil"/>
              <w:left w:val="nil"/>
              <w:bottom w:val="single" w:sz="4" w:space="0" w:color="auto"/>
              <w:right w:val="single" w:sz="4" w:space="0" w:color="auto"/>
            </w:tcBorders>
            <w:shd w:val="clear" w:color="auto" w:fill="auto"/>
            <w:hideMark/>
          </w:tcPr>
          <w:p w14:paraId="10AF851F"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Załącznikami do planów powinna być baza GIS zawierająca treść załączników graficznych wraz z odpowiednim opisem warstw i atrybutów oraz lokalizacje proponowanych działań i inwestycji - również do planów konsultowanych</w:t>
            </w:r>
          </w:p>
        </w:tc>
        <w:tc>
          <w:tcPr>
            <w:tcW w:w="2990" w:type="dxa"/>
            <w:tcBorders>
              <w:top w:val="nil"/>
              <w:left w:val="nil"/>
              <w:bottom w:val="single" w:sz="4" w:space="0" w:color="auto"/>
              <w:right w:val="single" w:sz="4" w:space="0" w:color="auto"/>
            </w:tcBorders>
            <w:shd w:val="clear" w:color="auto" w:fill="auto"/>
            <w:hideMark/>
          </w:tcPr>
          <w:p w14:paraId="3892AE62"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 xml:space="preserve">Należy zamieścić </w:t>
            </w:r>
            <w:proofErr w:type="spellStart"/>
            <w:r w:rsidRPr="00575CB5">
              <w:rPr>
                <w:rFonts w:ascii="Calibri" w:eastAsia="Times New Roman" w:hAnsi="Calibri" w:cs="Calibri"/>
                <w:color w:val="000000"/>
                <w:sz w:val="18"/>
                <w:szCs w:val="18"/>
                <w:lang w:eastAsia="pl-PL"/>
              </w:rPr>
              <w:t>geobazę</w:t>
            </w:r>
            <w:proofErr w:type="spellEnd"/>
            <w:r w:rsidRPr="00575CB5">
              <w:rPr>
                <w:rFonts w:ascii="Calibri" w:eastAsia="Times New Roman" w:hAnsi="Calibri" w:cs="Calibri"/>
                <w:color w:val="000000"/>
                <w:sz w:val="18"/>
                <w:szCs w:val="18"/>
                <w:lang w:eastAsia="pl-PL"/>
              </w:rPr>
              <w:t xml:space="preserve"> </w:t>
            </w:r>
            <w:proofErr w:type="spellStart"/>
            <w:r w:rsidRPr="00575CB5">
              <w:rPr>
                <w:rFonts w:ascii="Calibri" w:eastAsia="Times New Roman" w:hAnsi="Calibri" w:cs="Calibri"/>
                <w:color w:val="000000"/>
                <w:sz w:val="18"/>
                <w:szCs w:val="18"/>
                <w:lang w:eastAsia="pl-PL"/>
              </w:rPr>
              <w:t>IIaPGW</w:t>
            </w:r>
            <w:proofErr w:type="spellEnd"/>
            <w:r w:rsidRPr="00575CB5">
              <w:rPr>
                <w:rFonts w:ascii="Calibri" w:eastAsia="Times New Roman" w:hAnsi="Calibri" w:cs="Calibri"/>
                <w:color w:val="000000"/>
                <w:sz w:val="18"/>
                <w:szCs w:val="18"/>
                <w:lang w:eastAsia="pl-PL"/>
              </w:rPr>
              <w:t xml:space="preserve"> do plików konsultacyjnych</w:t>
            </w:r>
          </w:p>
        </w:tc>
        <w:tc>
          <w:tcPr>
            <w:tcW w:w="2658" w:type="dxa"/>
            <w:tcBorders>
              <w:top w:val="nil"/>
              <w:left w:val="nil"/>
              <w:bottom w:val="single" w:sz="4" w:space="0" w:color="auto"/>
              <w:right w:val="single" w:sz="4" w:space="0" w:color="auto"/>
            </w:tcBorders>
            <w:shd w:val="clear" w:color="auto" w:fill="auto"/>
            <w:hideMark/>
          </w:tcPr>
          <w:p w14:paraId="6E38C150" w14:textId="77777777" w:rsidR="000254DC" w:rsidRPr="00575CB5" w:rsidRDefault="000254DC" w:rsidP="000254DC">
            <w:pPr>
              <w:ind w:firstLine="0"/>
              <w:jc w:val="left"/>
              <w:rPr>
                <w:rFonts w:ascii="Calibri" w:eastAsia="Times New Roman" w:hAnsi="Calibri" w:cs="Calibri"/>
                <w:color w:val="000000"/>
                <w:sz w:val="18"/>
                <w:szCs w:val="18"/>
                <w:lang w:eastAsia="pl-PL"/>
              </w:rPr>
            </w:pPr>
            <w:proofErr w:type="spellStart"/>
            <w:r w:rsidRPr="00575CB5">
              <w:rPr>
                <w:rFonts w:ascii="Calibri" w:eastAsia="Times New Roman" w:hAnsi="Calibri" w:cs="Calibri"/>
                <w:color w:val="000000"/>
                <w:sz w:val="18"/>
                <w:szCs w:val="18"/>
                <w:lang w:eastAsia="pl-PL"/>
              </w:rPr>
              <w:t>Geobaza</w:t>
            </w:r>
            <w:proofErr w:type="spellEnd"/>
            <w:r w:rsidRPr="00575CB5">
              <w:rPr>
                <w:rFonts w:ascii="Calibri" w:eastAsia="Times New Roman" w:hAnsi="Calibri" w:cs="Calibri"/>
                <w:color w:val="000000"/>
                <w:sz w:val="18"/>
                <w:szCs w:val="18"/>
                <w:lang w:eastAsia="pl-PL"/>
              </w:rPr>
              <w:t xml:space="preserve"> </w:t>
            </w:r>
            <w:proofErr w:type="spellStart"/>
            <w:r w:rsidRPr="00575CB5">
              <w:rPr>
                <w:rFonts w:ascii="Calibri" w:eastAsia="Times New Roman" w:hAnsi="Calibri" w:cs="Calibri"/>
                <w:color w:val="000000"/>
                <w:sz w:val="18"/>
                <w:szCs w:val="18"/>
                <w:lang w:eastAsia="pl-PL"/>
              </w:rPr>
              <w:t>IIaPGW</w:t>
            </w:r>
            <w:proofErr w:type="spellEnd"/>
            <w:r w:rsidRPr="00575CB5">
              <w:rPr>
                <w:rFonts w:ascii="Calibri" w:eastAsia="Times New Roman" w:hAnsi="Calibri" w:cs="Calibri"/>
                <w:color w:val="000000"/>
                <w:sz w:val="18"/>
                <w:szCs w:val="18"/>
                <w:lang w:eastAsia="pl-PL"/>
              </w:rPr>
              <w:t xml:space="preserve"> umożliwi wnikliwą analizę proponowanych działań. Podobne załączniki są treścią </w:t>
            </w:r>
            <w:proofErr w:type="spellStart"/>
            <w:r w:rsidRPr="00575CB5">
              <w:rPr>
                <w:rFonts w:ascii="Calibri" w:eastAsia="Times New Roman" w:hAnsi="Calibri" w:cs="Calibri"/>
                <w:color w:val="000000"/>
                <w:sz w:val="18"/>
                <w:szCs w:val="18"/>
                <w:lang w:eastAsia="pl-PL"/>
              </w:rPr>
              <w:t>aPGW</w:t>
            </w:r>
            <w:proofErr w:type="spellEnd"/>
            <w:r w:rsidRPr="00575CB5">
              <w:rPr>
                <w:rFonts w:ascii="Calibri" w:eastAsia="Times New Roman" w:hAnsi="Calibri" w:cs="Calibri"/>
                <w:color w:val="000000"/>
                <w:sz w:val="18"/>
                <w:szCs w:val="18"/>
                <w:lang w:eastAsia="pl-PL"/>
              </w:rPr>
              <w:t xml:space="preserve"> (</w:t>
            </w:r>
            <w:proofErr w:type="spellStart"/>
            <w:r w:rsidRPr="00575CB5">
              <w:rPr>
                <w:rFonts w:ascii="Calibri" w:eastAsia="Times New Roman" w:hAnsi="Calibri" w:cs="Calibri"/>
                <w:color w:val="000000"/>
                <w:sz w:val="18"/>
                <w:szCs w:val="18"/>
                <w:lang w:eastAsia="pl-PL"/>
              </w:rPr>
              <w:t>Geobaza</w:t>
            </w:r>
            <w:proofErr w:type="spellEnd"/>
            <w:r w:rsidRPr="00575CB5">
              <w:rPr>
                <w:rFonts w:ascii="Calibri" w:eastAsia="Times New Roman" w:hAnsi="Calibri" w:cs="Calibri"/>
                <w:color w:val="000000"/>
                <w:sz w:val="18"/>
                <w:szCs w:val="18"/>
                <w:lang w:eastAsia="pl-PL"/>
              </w:rPr>
              <w:t xml:space="preserve"> </w:t>
            </w:r>
            <w:proofErr w:type="spellStart"/>
            <w:r w:rsidRPr="00575CB5">
              <w:rPr>
                <w:rFonts w:ascii="Calibri" w:eastAsia="Times New Roman" w:hAnsi="Calibri" w:cs="Calibri"/>
                <w:color w:val="000000"/>
                <w:sz w:val="18"/>
                <w:szCs w:val="18"/>
                <w:lang w:eastAsia="pl-PL"/>
              </w:rPr>
              <w:t>aPGW</w:t>
            </w:r>
            <w:proofErr w:type="spellEnd"/>
            <w:r w:rsidRPr="00575CB5">
              <w:rPr>
                <w:rFonts w:ascii="Calibri" w:eastAsia="Times New Roman" w:hAnsi="Calibri" w:cs="Calibri"/>
                <w:color w:val="000000"/>
                <w:sz w:val="18"/>
                <w:szCs w:val="18"/>
                <w:lang w:eastAsia="pl-PL"/>
              </w:rPr>
              <w:t xml:space="preserve">). Niektóre jcw uległy zmianie i nie jest możliwa identyfikacja niektórych z nich na </w:t>
            </w:r>
            <w:proofErr w:type="spellStart"/>
            <w:r w:rsidRPr="00575CB5">
              <w:rPr>
                <w:rFonts w:ascii="Calibri" w:eastAsia="Times New Roman" w:hAnsi="Calibri" w:cs="Calibri"/>
                <w:color w:val="000000"/>
                <w:sz w:val="18"/>
                <w:szCs w:val="18"/>
                <w:lang w:eastAsia="pl-PL"/>
              </w:rPr>
              <w:t>geobazie</w:t>
            </w:r>
            <w:proofErr w:type="spellEnd"/>
            <w:r w:rsidRPr="00575CB5">
              <w:rPr>
                <w:rFonts w:ascii="Calibri" w:eastAsia="Times New Roman" w:hAnsi="Calibri" w:cs="Calibri"/>
                <w:color w:val="000000"/>
                <w:sz w:val="18"/>
                <w:szCs w:val="18"/>
                <w:lang w:eastAsia="pl-PL"/>
              </w:rPr>
              <w:t xml:space="preserve"> </w:t>
            </w:r>
            <w:proofErr w:type="spellStart"/>
            <w:r w:rsidRPr="00575CB5">
              <w:rPr>
                <w:rFonts w:ascii="Calibri" w:eastAsia="Times New Roman" w:hAnsi="Calibri" w:cs="Calibri"/>
                <w:color w:val="000000"/>
                <w:sz w:val="18"/>
                <w:szCs w:val="18"/>
                <w:lang w:eastAsia="pl-PL"/>
              </w:rPr>
              <w:t>aPGW</w:t>
            </w:r>
            <w:proofErr w:type="spellEnd"/>
            <w:r w:rsidRPr="00575CB5">
              <w:rPr>
                <w:rFonts w:ascii="Calibri" w:eastAsia="Times New Roman" w:hAnsi="Calibri" w:cs="Calibri"/>
                <w:color w:val="000000"/>
                <w:sz w:val="18"/>
                <w:szCs w:val="18"/>
                <w:lang w:eastAsia="pl-PL"/>
              </w:rPr>
              <w:t>.</w:t>
            </w:r>
          </w:p>
        </w:tc>
        <w:tc>
          <w:tcPr>
            <w:tcW w:w="1633" w:type="dxa"/>
            <w:tcBorders>
              <w:top w:val="nil"/>
              <w:left w:val="nil"/>
              <w:bottom w:val="single" w:sz="4" w:space="0" w:color="auto"/>
              <w:right w:val="single" w:sz="4" w:space="0" w:color="auto"/>
            </w:tcBorders>
            <w:shd w:val="clear" w:color="auto" w:fill="auto"/>
            <w:hideMark/>
          </w:tcPr>
          <w:p w14:paraId="125D007E"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 xml:space="preserve"> - </w:t>
            </w:r>
          </w:p>
        </w:tc>
        <w:tc>
          <w:tcPr>
            <w:tcW w:w="1393" w:type="dxa"/>
            <w:tcBorders>
              <w:top w:val="nil"/>
              <w:left w:val="nil"/>
              <w:bottom w:val="single" w:sz="4" w:space="0" w:color="auto"/>
              <w:right w:val="single" w:sz="4" w:space="0" w:color="auto"/>
            </w:tcBorders>
            <w:shd w:val="clear" w:color="auto" w:fill="auto"/>
            <w:hideMark/>
          </w:tcPr>
          <w:p w14:paraId="14E8A0F1"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wyjaśnienie</w:t>
            </w:r>
          </w:p>
        </w:tc>
        <w:tc>
          <w:tcPr>
            <w:tcW w:w="5082" w:type="dxa"/>
            <w:tcBorders>
              <w:top w:val="nil"/>
              <w:left w:val="nil"/>
              <w:bottom w:val="single" w:sz="4" w:space="0" w:color="auto"/>
              <w:right w:val="single" w:sz="4" w:space="0" w:color="auto"/>
            </w:tcBorders>
            <w:shd w:val="clear" w:color="auto" w:fill="auto"/>
            <w:hideMark/>
          </w:tcPr>
          <w:p w14:paraId="3B72F5BF" w14:textId="74748563"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Projekty IIaPGW dla każdego obszaru dorzecza stanowią dokumenty strategiczne przyjmowane w formie rozporządzenia. Konsultacje społeczne projektów IIaPGW wymagają udostępnienia kompletu materiałów stanowiących dokument konsultowany. Z uwagi na specyfikę projektów IIaPGW konsumujących szereg wcześniej zrealizowanych prac, projektów poddawanych niezależnie konsultacjom społecznym przy jednoczesnym uwzględnianiu powiązań wielu zagadnień, przygotowanie projektów IIaPGW wymaga prowadzenia analiz przestrzennych których wyniki prezentowane są w formie załączników graficznych.</w:t>
            </w:r>
            <w:r w:rsidRPr="00575CB5">
              <w:rPr>
                <w:rFonts w:ascii="Calibri" w:eastAsia="Times New Roman" w:hAnsi="Calibri" w:cs="Calibri"/>
                <w:color w:val="000000"/>
                <w:sz w:val="18"/>
                <w:szCs w:val="18"/>
                <w:lang w:eastAsia="pl-PL"/>
              </w:rPr>
              <w:br/>
              <w:t xml:space="preserve">Podobnie jak w przypadku poprzednich PGW docelowo do każdego </w:t>
            </w:r>
            <w:proofErr w:type="spellStart"/>
            <w:r w:rsidRPr="00575CB5">
              <w:rPr>
                <w:rFonts w:ascii="Calibri" w:eastAsia="Times New Roman" w:hAnsi="Calibri" w:cs="Calibri"/>
                <w:color w:val="000000"/>
                <w:sz w:val="18"/>
                <w:szCs w:val="18"/>
                <w:lang w:eastAsia="pl-PL"/>
              </w:rPr>
              <w:t>IIaPGW</w:t>
            </w:r>
            <w:proofErr w:type="spellEnd"/>
            <w:r w:rsidRPr="00575CB5">
              <w:rPr>
                <w:rFonts w:ascii="Calibri" w:eastAsia="Times New Roman" w:hAnsi="Calibri" w:cs="Calibri"/>
                <w:color w:val="000000"/>
                <w:sz w:val="18"/>
                <w:szCs w:val="18"/>
                <w:lang w:eastAsia="pl-PL"/>
              </w:rPr>
              <w:t xml:space="preserve"> funkcjonowała będzie </w:t>
            </w:r>
            <w:proofErr w:type="spellStart"/>
            <w:r w:rsidRPr="00575CB5">
              <w:rPr>
                <w:rFonts w:ascii="Calibri" w:eastAsia="Times New Roman" w:hAnsi="Calibri" w:cs="Calibri"/>
                <w:color w:val="000000"/>
                <w:sz w:val="18"/>
                <w:szCs w:val="18"/>
                <w:lang w:eastAsia="pl-PL"/>
              </w:rPr>
              <w:t>geobaza</w:t>
            </w:r>
            <w:proofErr w:type="spellEnd"/>
            <w:r w:rsidRPr="00575CB5">
              <w:rPr>
                <w:rFonts w:ascii="Calibri" w:eastAsia="Times New Roman" w:hAnsi="Calibri" w:cs="Calibri"/>
                <w:color w:val="000000"/>
                <w:sz w:val="18"/>
                <w:szCs w:val="18"/>
                <w:lang w:eastAsia="pl-PL"/>
              </w:rPr>
              <w:t xml:space="preserve"> prezentująca dane poszczególnych IIaPGW. </w:t>
            </w:r>
            <w:proofErr w:type="spellStart"/>
            <w:r w:rsidRPr="00575CB5">
              <w:rPr>
                <w:rFonts w:ascii="Calibri" w:eastAsia="Times New Roman" w:hAnsi="Calibri" w:cs="Calibri"/>
                <w:color w:val="000000"/>
                <w:sz w:val="18"/>
                <w:szCs w:val="18"/>
                <w:lang w:eastAsia="pl-PL"/>
              </w:rPr>
              <w:t>Geobaza</w:t>
            </w:r>
            <w:proofErr w:type="spellEnd"/>
            <w:r w:rsidRPr="00575CB5">
              <w:rPr>
                <w:rFonts w:ascii="Calibri" w:eastAsia="Times New Roman" w:hAnsi="Calibri" w:cs="Calibri"/>
                <w:color w:val="000000"/>
                <w:sz w:val="18"/>
                <w:szCs w:val="18"/>
                <w:lang w:eastAsia="pl-PL"/>
              </w:rPr>
              <w:t xml:space="preserve"> prezentuje ostateczne dane i informacje a tym samym przygotowywana jest na podstawie ostatecznej wersji IIaPGW po konsultacjach społecznych oraz </w:t>
            </w:r>
            <w:r w:rsidR="001F37E7">
              <w:rPr>
                <w:rFonts w:ascii="Calibri" w:eastAsia="Times New Roman" w:hAnsi="Calibri" w:cs="Calibri"/>
                <w:color w:val="000000"/>
                <w:sz w:val="18"/>
                <w:szCs w:val="18"/>
                <w:lang w:eastAsia="pl-PL"/>
              </w:rPr>
              <w:t>SOOŚ</w:t>
            </w:r>
            <w:r w:rsidRPr="00575CB5">
              <w:rPr>
                <w:rFonts w:ascii="Calibri" w:eastAsia="Times New Roman" w:hAnsi="Calibri" w:cs="Calibri"/>
                <w:color w:val="000000"/>
                <w:sz w:val="18"/>
                <w:szCs w:val="18"/>
                <w:lang w:eastAsia="pl-PL"/>
              </w:rPr>
              <w:t>.</w:t>
            </w:r>
            <w:r w:rsidRPr="00575CB5">
              <w:rPr>
                <w:rFonts w:ascii="Calibri" w:eastAsia="Times New Roman" w:hAnsi="Calibri" w:cs="Calibri"/>
                <w:color w:val="000000"/>
                <w:sz w:val="18"/>
                <w:szCs w:val="18"/>
                <w:lang w:eastAsia="pl-PL"/>
              </w:rPr>
              <w:br/>
              <w:t>Zgodnie z potwierdzanymi również podczas konsultacyjnych informacjami, udostępnienie materiałów źródłowych, do których zaliczają się wszelkie dane GIS, możliwe jest na podstawie wystąpienia do PGWWP w trybie udostępnienia informacji o środowisku.</w:t>
            </w:r>
          </w:p>
        </w:tc>
      </w:tr>
      <w:tr w:rsidR="000254DC" w:rsidRPr="00575CB5" w14:paraId="7664EE03" w14:textId="77777777" w:rsidTr="00C46A1C">
        <w:trPr>
          <w:trHeight w:val="454"/>
        </w:trPr>
        <w:tc>
          <w:tcPr>
            <w:tcW w:w="434" w:type="dxa"/>
            <w:tcBorders>
              <w:top w:val="nil"/>
              <w:left w:val="single" w:sz="4" w:space="0" w:color="auto"/>
              <w:bottom w:val="single" w:sz="4" w:space="0" w:color="auto"/>
              <w:right w:val="single" w:sz="4" w:space="0" w:color="auto"/>
            </w:tcBorders>
            <w:shd w:val="clear" w:color="auto" w:fill="auto"/>
            <w:hideMark/>
          </w:tcPr>
          <w:p w14:paraId="7993057A" w14:textId="77777777" w:rsidR="000254DC" w:rsidRPr="00575CB5" w:rsidRDefault="000254DC" w:rsidP="000254DC">
            <w:pPr>
              <w:ind w:firstLine="0"/>
              <w:jc w:val="center"/>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3</w:t>
            </w:r>
          </w:p>
        </w:tc>
        <w:tc>
          <w:tcPr>
            <w:tcW w:w="1516" w:type="dxa"/>
            <w:tcBorders>
              <w:top w:val="nil"/>
              <w:left w:val="nil"/>
              <w:bottom w:val="single" w:sz="4" w:space="0" w:color="auto"/>
              <w:right w:val="single" w:sz="4" w:space="0" w:color="auto"/>
            </w:tcBorders>
            <w:shd w:val="clear" w:color="auto" w:fill="auto"/>
            <w:hideMark/>
          </w:tcPr>
          <w:p w14:paraId="18462584"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 xml:space="preserve">GŁÓWNY INSPEKTORAT OCHRONY ŚRODOWISKA </w:t>
            </w:r>
          </w:p>
        </w:tc>
        <w:tc>
          <w:tcPr>
            <w:tcW w:w="1480" w:type="dxa"/>
            <w:tcBorders>
              <w:top w:val="nil"/>
              <w:left w:val="nil"/>
              <w:bottom w:val="single" w:sz="4" w:space="0" w:color="auto"/>
              <w:right w:val="single" w:sz="4" w:space="0" w:color="auto"/>
            </w:tcBorders>
            <w:shd w:val="clear" w:color="auto" w:fill="auto"/>
            <w:hideMark/>
          </w:tcPr>
          <w:p w14:paraId="5619E6BC"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inne/pozostałe</w:t>
            </w:r>
          </w:p>
        </w:tc>
        <w:tc>
          <w:tcPr>
            <w:tcW w:w="3781" w:type="dxa"/>
            <w:tcBorders>
              <w:top w:val="nil"/>
              <w:left w:val="nil"/>
              <w:bottom w:val="single" w:sz="4" w:space="0" w:color="auto"/>
              <w:right w:val="single" w:sz="4" w:space="0" w:color="auto"/>
            </w:tcBorders>
            <w:shd w:val="clear" w:color="auto" w:fill="auto"/>
            <w:hideMark/>
          </w:tcPr>
          <w:p w14:paraId="3AB59376" w14:textId="45E972F2"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"Należy zmienić odniesienia do rozporządzeń:</w:t>
            </w:r>
            <w:r w:rsidRPr="00575CB5">
              <w:rPr>
                <w:rFonts w:ascii="Calibri" w:eastAsia="Times New Roman" w:hAnsi="Calibri" w:cs="Calibri"/>
                <w:color w:val="000000"/>
                <w:sz w:val="18"/>
                <w:szCs w:val="18"/>
                <w:lang w:eastAsia="pl-PL"/>
              </w:rPr>
              <w:br/>
              <w:t xml:space="preserve">- z rozporządzenia Ministra Gospodarki Morskiej i Żeglugi Śródlądowej z dnia 11 października 2019 r. w sprawie klasyfikacji stanu ekologicznego, potencjału ekologicznego i stanu chemicznego oraz sposobu klasyfikacji stanu jednolitych części wód powierzchniowych, a także środowiskowych </w:t>
            </w:r>
            <w:r w:rsidRPr="00575CB5">
              <w:rPr>
                <w:rFonts w:ascii="Calibri" w:eastAsia="Times New Roman" w:hAnsi="Calibri" w:cs="Calibri"/>
                <w:color w:val="000000"/>
                <w:sz w:val="18"/>
                <w:szCs w:val="18"/>
                <w:lang w:eastAsia="pl-PL"/>
              </w:rPr>
              <w:lastRenderedPageBreak/>
              <w:t>norm jakości dla substancji priorytetowych (Dz.U. z 2019 r. poz. 2149) na rozporządzenie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r. poz. 1475);</w:t>
            </w:r>
            <w:r w:rsidRPr="00575CB5">
              <w:rPr>
                <w:rFonts w:ascii="Calibri" w:eastAsia="Times New Roman" w:hAnsi="Calibri" w:cs="Calibri"/>
                <w:color w:val="000000"/>
                <w:sz w:val="18"/>
                <w:szCs w:val="18"/>
                <w:lang w:eastAsia="pl-PL"/>
              </w:rPr>
              <w:br/>
              <w:t>- z rozporządzenia Ministra Gospodarki Morskiej i Żeglugi Śródlądowej z dnia 9 października 2019 r. w sprawie form i sposobu prowadzenia monitoringu jednolitych części wód powierzchniowych i jednolitych części wód podziemnych (Dz.U. z 2019 r. poz. 2147) na rozporządzenie Ministra Infrastruktury z dnia 13 lipca 2021 r. w sprawie form i sposobu prowadzenia monitoringu jednolitych części wód powierzchniowych i jednolitych części wód podziemnych (Dz. U. z 2021 r. poz. 1576).</w:t>
            </w:r>
            <w:r w:rsidRPr="00575CB5">
              <w:rPr>
                <w:rFonts w:ascii="Calibri" w:eastAsia="Times New Roman" w:hAnsi="Calibri" w:cs="Calibri"/>
                <w:color w:val="000000"/>
                <w:sz w:val="18"/>
                <w:szCs w:val="18"/>
                <w:lang w:eastAsia="pl-PL"/>
              </w:rPr>
              <w:br/>
              <w:t xml:space="preserve">Wyjątkiem są te fragmenty dokumentów, które mówią o ocenie stanu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za 2019 r. (na podstawie danych za lata 2014-2019) oraz monitoringu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w latach 2020-2021 - tu podstawą były rozporządzenia MGMiŻŚ z 2019 r."</w:t>
            </w:r>
            <w:r w:rsidRPr="00575CB5">
              <w:rPr>
                <w:rFonts w:ascii="Calibri" w:eastAsia="Times New Roman" w:hAnsi="Calibri" w:cs="Calibri"/>
                <w:color w:val="000000"/>
                <w:sz w:val="18"/>
                <w:szCs w:val="18"/>
                <w:lang w:eastAsia="pl-PL"/>
              </w:rPr>
              <w:br/>
              <w:t>Część projektu planu, do którego zgłaszana jest uwaga (numer rozdziału, strona dokumentu, nr załącznika): Uwaga ogólna do plików "</w:t>
            </w:r>
            <w:proofErr w:type="spellStart"/>
            <w:r w:rsidRPr="00575CB5">
              <w:rPr>
                <w:rFonts w:ascii="Calibri" w:eastAsia="Times New Roman" w:hAnsi="Calibri" w:cs="Calibri"/>
                <w:color w:val="000000"/>
                <w:sz w:val="18"/>
                <w:szCs w:val="18"/>
                <w:lang w:eastAsia="pl-PL"/>
              </w:rPr>
              <w:t>Projekt_IIaPGW_OD</w:t>
            </w:r>
            <w:proofErr w:type="spellEnd"/>
            <w:r w:rsidRPr="00575CB5">
              <w:rPr>
                <w:rFonts w:ascii="Calibri" w:eastAsia="Times New Roman" w:hAnsi="Calibri" w:cs="Calibri"/>
                <w:color w:val="000000"/>
                <w:sz w:val="18"/>
                <w:szCs w:val="18"/>
                <w:lang w:eastAsia="pl-PL"/>
              </w:rPr>
              <w:t>_..." oraz do plików "Wersja niespecjalistyczna projektu II aPGW dla obszaru dorzecza …"</w:t>
            </w:r>
          </w:p>
        </w:tc>
        <w:tc>
          <w:tcPr>
            <w:tcW w:w="2990" w:type="dxa"/>
            <w:tcBorders>
              <w:top w:val="nil"/>
              <w:left w:val="nil"/>
              <w:bottom w:val="single" w:sz="4" w:space="0" w:color="auto"/>
              <w:right w:val="single" w:sz="4" w:space="0" w:color="auto"/>
            </w:tcBorders>
            <w:shd w:val="clear" w:color="auto" w:fill="auto"/>
            <w:hideMark/>
          </w:tcPr>
          <w:p w14:paraId="62E6F58C" w14:textId="2CF500FA"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lastRenderedPageBreak/>
              <w:t>"W słowniku skrótów i w zasadniczym tekście dokumentów:</w:t>
            </w:r>
            <w:r w:rsidRPr="00575CB5">
              <w:rPr>
                <w:rFonts w:ascii="Calibri" w:eastAsia="Times New Roman" w:hAnsi="Calibri" w:cs="Calibri"/>
                <w:color w:val="000000"/>
                <w:sz w:val="18"/>
                <w:szCs w:val="18"/>
                <w:lang w:eastAsia="pl-PL"/>
              </w:rPr>
              <w:br/>
              <w:t>- skrót ""</w:t>
            </w:r>
            <w:proofErr w:type="spellStart"/>
            <w:r w:rsidRPr="00575CB5">
              <w:rPr>
                <w:rFonts w:ascii="Calibri" w:eastAsia="Times New Roman" w:hAnsi="Calibri" w:cs="Calibri"/>
                <w:color w:val="000000"/>
                <w:sz w:val="18"/>
                <w:szCs w:val="18"/>
                <w:lang w:eastAsia="pl-PL"/>
              </w:rPr>
              <w:t>r.kl.</w:t>
            </w:r>
            <w:r w:rsidR="001F37E7">
              <w:rPr>
                <w:rFonts w:ascii="Calibri" w:eastAsia="Times New Roman" w:hAnsi="Calibri" w:cs="Calibri"/>
                <w:color w:val="000000"/>
                <w:sz w:val="18"/>
                <w:szCs w:val="18"/>
                <w:lang w:eastAsia="pl-PL"/>
              </w:rPr>
              <w:t>JCWP</w:t>
            </w:r>
            <w:proofErr w:type="spellEnd"/>
            <w:r w:rsidRPr="00575CB5">
              <w:rPr>
                <w:rFonts w:ascii="Calibri" w:eastAsia="Times New Roman" w:hAnsi="Calibri" w:cs="Calibri"/>
                <w:color w:val="000000"/>
                <w:sz w:val="18"/>
                <w:szCs w:val="18"/>
                <w:lang w:eastAsia="pl-PL"/>
              </w:rPr>
              <w:t xml:space="preserve">"" powinien oznaczać rozporządzenie Ministra Infrastruktury z dnia 25 czerwca 2021 r. w sprawie klasyfikacji stanu ekologicznego, potencjału </w:t>
            </w:r>
            <w:r w:rsidRPr="00575CB5">
              <w:rPr>
                <w:rFonts w:ascii="Calibri" w:eastAsia="Times New Roman" w:hAnsi="Calibri" w:cs="Calibri"/>
                <w:color w:val="000000"/>
                <w:sz w:val="18"/>
                <w:szCs w:val="18"/>
                <w:lang w:eastAsia="pl-PL"/>
              </w:rPr>
              <w:lastRenderedPageBreak/>
              <w:t>ekologicznego i stanu chemicznego oraz sposobu klasyfikacji stanu jednolitych części wód powierzchniowych, a także środowiskowych norm jakości dla substancji priorytetowych (Dz. U. z 2021 r. poz. 1475);</w:t>
            </w:r>
            <w:r w:rsidRPr="00575CB5">
              <w:rPr>
                <w:rFonts w:ascii="Calibri" w:eastAsia="Times New Roman" w:hAnsi="Calibri" w:cs="Calibri"/>
                <w:color w:val="000000"/>
                <w:sz w:val="18"/>
                <w:szCs w:val="18"/>
                <w:lang w:eastAsia="pl-PL"/>
              </w:rPr>
              <w:br/>
              <w:t>- skrót ""r.m.jcw"" powinien oznaczać rozporządzenie Ministra Infrastruktury z dnia 13 lipca 2021 r. w sprawie form i sposobu prowadzenia monitoringu jednolitych części wód powierzchniowych i jednolitych części wód podziemnych (Dz. U. z 2021 r. poz. 1576);</w:t>
            </w:r>
            <w:r w:rsidRPr="00575CB5">
              <w:rPr>
                <w:rFonts w:ascii="Calibri" w:eastAsia="Times New Roman" w:hAnsi="Calibri" w:cs="Calibri"/>
                <w:color w:val="000000"/>
                <w:sz w:val="18"/>
                <w:szCs w:val="18"/>
                <w:lang w:eastAsia="pl-PL"/>
              </w:rPr>
              <w:br/>
              <w:t>- rozporządzeniom MGMiŻŚ z 2019 r. powinny odpowiadać skróty, odpowiednio: ""</w:t>
            </w:r>
            <w:proofErr w:type="spellStart"/>
            <w:r w:rsidRPr="00575CB5">
              <w:rPr>
                <w:rFonts w:ascii="Calibri" w:eastAsia="Times New Roman" w:hAnsi="Calibri" w:cs="Calibri"/>
                <w:color w:val="000000"/>
                <w:sz w:val="18"/>
                <w:szCs w:val="18"/>
                <w:lang w:eastAsia="pl-PL"/>
              </w:rPr>
              <w:t>s.r.kl</w:t>
            </w:r>
            <w:proofErr w:type="spellEnd"/>
            <w:r w:rsidRPr="00575CB5">
              <w:rPr>
                <w:rFonts w:ascii="Calibri" w:eastAsia="Times New Roman" w:hAnsi="Calibri" w:cs="Calibri"/>
                <w:color w:val="000000"/>
                <w:sz w:val="18"/>
                <w:szCs w:val="18"/>
                <w:lang w:eastAsia="pl-PL"/>
              </w:rPr>
              <w:t>. (2019)"" i ""</w:t>
            </w:r>
            <w:proofErr w:type="spellStart"/>
            <w:r w:rsidRPr="00575CB5">
              <w:rPr>
                <w:rFonts w:ascii="Calibri" w:eastAsia="Times New Roman" w:hAnsi="Calibri" w:cs="Calibri"/>
                <w:color w:val="000000"/>
                <w:sz w:val="18"/>
                <w:szCs w:val="18"/>
                <w:lang w:eastAsia="pl-PL"/>
              </w:rPr>
              <w:t>s.r.m</w:t>
            </w:r>
            <w:proofErr w:type="spellEnd"/>
            <w:r w:rsidRPr="00575CB5">
              <w:rPr>
                <w:rFonts w:ascii="Calibri" w:eastAsia="Times New Roman" w:hAnsi="Calibri" w:cs="Calibri"/>
                <w:color w:val="000000"/>
                <w:sz w:val="18"/>
                <w:szCs w:val="18"/>
                <w:lang w:eastAsia="pl-PL"/>
              </w:rPr>
              <w:t>. jcw (2019)"".</w:t>
            </w:r>
            <w:r w:rsidRPr="00575CB5">
              <w:rPr>
                <w:rFonts w:ascii="Calibri" w:eastAsia="Times New Roman" w:hAnsi="Calibri" w:cs="Calibri"/>
                <w:color w:val="000000"/>
                <w:sz w:val="18"/>
                <w:szCs w:val="18"/>
                <w:lang w:eastAsia="pl-PL"/>
              </w:rPr>
              <w:br/>
              <w:t>Wszędzie tam, gdzie podaje się pełne tytuły rozporządzeń jako aktów obecnie obowiązujących, należy zmienić je z tytułów rozporządzeń MGMiŻŚ z 2019 r. na tytuły rozporządzeń MI z 2021 r.</w:t>
            </w:r>
            <w:r w:rsidRPr="00575CB5">
              <w:rPr>
                <w:rFonts w:ascii="Calibri" w:eastAsia="Times New Roman" w:hAnsi="Calibri" w:cs="Calibri"/>
                <w:color w:val="000000"/>
                <w:sz w:val="18"/>
                <w:szCs w:val="18"/>
                <w:lang w:eastAsia="pl-PL"/>
              </w:rPr>
              <w:br/>
              <w:t xml:space="preserve">Wyjątkiem są te fragmenty dokumentów, które mówią o ocenie stanu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za 2019 r. (na podstawie danych za lata 2014-2019) oraz monitoringu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w latach 2020-2021 - tu podstawą były rozporządzenia MGMiŻŚ z 2019 r."</w:t>
            </w:r>
          </w:p>
        </w:tc>
        <w:tc>
          <w:tcPr>
            <w:tcW w:w="2658" w:type="dxa"/>
            <w:tcBorders>
              <w:top w:val="nil"/>
              <w:left w:val="nil"/>
              <w:bottom w:val="single" w:sz="4" w:space="0" w:color="auto"/>
              <w:right w:val="single" w:sz="4" w:space="0" w:color="auto"/>
            </w:tcBorders>
            <w:shd w:val="clear" w:color="auto" w:fill="auto"/>
            <w:hideMark/>
          </w:tcPr>
          <w:p w14:paraId="5166FA56" w14:textId="1EE15524"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lastRenderedPageBreak/>
              <w:t xml:space="preserve">Rozporządzenia: klasyfikacyjne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w:t>
            </w:r>
            <w:proofErr w:type="spellStart"/>
            <w:r w:rsidRPr="00575CB5">
              <w:rPr>
                <w:rFonts w:ascii="Calibri" w:eastAsia="Times New Roman" w:hAnsi="Calibri" w:cs="Calibri"/>
                <w:color w:val="000000"/>
                <w:sz w:val="18"/>
                <w:szCs w:val="18"/>
                <w:lang w:eastAsia="pl-PL"/>
              </w:rPr>
              <w:t>MGMiŻŚ</w:t>
            </w:r>
            <w:proofErr w:type="spellEnd"/>
            <w:r w:rsidRPr="00575CB5">
              <w:rPr>
                <w:rFonts w:ascii="Calibri" w:eastAsia="Times New Roman" w:hAnsi="Calibri" w:cs="Calibri"/>
                <w:color w:val="000000"/>
                <w:sz w:val="18"/>
                <w:szCs w:val="18"/>
                <w:lang w:eastAsia="pl-PL"/>
              </w:rPr>
              <w:t xml:space="preserve"> oraz monitoringowe </w:t>
            </w:r>
            <w:proofErr w:type="spellStart"/>
            <w:r w:rsidRPr="00575CB5">
              <w:rPr>
                <w:rFonts w:ascii="Calibri" w:eastAsia="Times New Roman" w:hAnsi="Calibri" w:cs="Calibri"/>
                <w:color w:val="000000"/>
                <w:sz w:val="18"/>
                <w:szCs w:val="18"/>
                <w:lang w:eastAsia="pl-PL"/>
              </w:rPr>
              <w:t>MGMiŻŚ</w:t>
            </w:r>
            <w:proofErr w:type="spellEnd"/>
            <w:r w:rsidRPr="00575CB5">
              <w:rPr>
                <w:rFonts w:ascii="Calibri" w:eastAsia="Times New Roman" w:hAnsi="Calibri" w:cs="Calibri"/>
                <w:color w:val="000000"/>
                <w:sz w:val="18"/>
                <w:szCs w:val="18"/>
                <w:lang w:eastAsia="pl-PL"/>
              </w:rPr>
              <w:t xml:space="preserve"> utraciły moc 24.05.2021 i zostały zastąpione przez odpowiednie rozporządzenia MI.</w:t>
            </w:r>
          </w:p>
        </w:tc>
        <w:tc>
          <w:tcPr>
            <w:tcW w:w="1633" w:type="dxa"/>
            <w:tcBorders>
              <w:top w:val="nil"/>
              <w:left w:val="nil"/>
              <w:bottom w:val="single" w:sz="4" w:space="0" w:color="auto"/>
              <w:right w:val="single" w:sz="4" w:space="0" w:color="auto"/>
            </w:tcBorders>
            <w:shd w:val="clear" w:color="auto" w:fill="auto"/>
            <w:hideMark/>
          </w:tcPr>
          <w:p w14:paraId="769EA675"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 xml:space="preserve"> - </w:t>
            </w:r>
          </w:p>
        </w:tc>
        <w:tc>
          <w:tcPr>
            <w:tcW w:w="1393" w:type="dxa"/>
            <w:tcBorders>
              <w:top w:val="nil"/>
              <w:left w:val="nil"/>
              <w:bottom w:val="single" w:sz="4" w:space="0" w:color="auto"/>
              <w:right w:val="single" w:sz="4" w:space="0" w:color="auto"/>
            </w:tcBorders>
            <w:shd w:val="clear" w:color="auto" w:fill="auto"/>
            <w:hideMark/>
          </w:tcPr>
          <w:p w14:paraId="3F64C1F4"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uwzględniono</w:t>
            </w:r>
          </w:p>
        </w:tc>
        <w:tc>
          <w:tcPr>
            <w:tcW w:w="5082" w:type="dxa"/>
            <w:tcBorders>
              <w:top w:val="nil"/>
              <w:left w:val="nil"/>
              <w:bottom w:val="single" w:sz="4" w:space="0" w:color="auto"/>
              <w:right w:val="single" w:sz="4" w:space="0" w:color="auto"/>
            </w:tcBorders>
            <w:shd w:val="clear" w:color="auto" w:fill="auto"/>
            <w:hideMark/>
          </w:tcPr>
          <w:p w14:paraId="17717367"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 xml:space="preserve">Zmiany aktualizacyjne treści IIaPGW w zakresie wskazanym w uwadze zostały wprowadzone. Uzupełniono wykaz skrótów o </w:t>
            </w:r>
            <w:proofErr w:type="spellStart"/>
            <w:r w:rsidRPr="00575CB5">
              <w:rPr>
                <w:rFonts w:ascii="Calibri" w:eastAsia="Times New Roman" w:hAnsi="Calibri" w:cs="Calibri"/>
                <w:color w:val="000000"/>
                <w:sz w:val="18"/>
                <w:szCs w:val="18"/>
                <w:lang w:eastAsia="pl-PL"/>
              </w:rPr>
              <w:t>s.r.kl</w:t>
            </w:r>
            <w:proofErr w:type="spellEnd"/>
            <w:r w:rsidRPr="00575CB5">
              <w:rPr>
                <w:rFonts w:ascii="Calibri" w:eastAsia="Times New Roman" w:hAnsi="Calibri" w:cs="Calibri"/>
                <w:color w:val="000000"/>
                <w:sz w:val="18"/>
                <w:szCs w:val="18"/>
                <w:lang w:eastAsia="pl-PL"/>
              </w:rPr>
              <w:t xml:space="preserve"> (2019) oraz </w:t>
            </w:r>
            <w:proofErr w:type="spellStart"/>
            <w:r w:rsidRPr="00575CB5">
              <w:rPr>
                <w:rFonts w:ascii="Calibri" w:eastAsia="Times New Roman" w:hAnsi="Calibri" w:cs="Calibri"/>
                <w:color w:val="000000"/>
                <w:sz w:val="18"/>
                <w:szCs w:val="18"/>
                <w:lang w:eastAsia="pl-PL"/>
              </w:rPr>
              <w:t>s.r.m</w:t>
            </w:r>
            <w:proofErr w:type="spellEnd"/>
            <w:r w:rsidRPr="00575CB5">
              <w:rPr>
                <w:rFonts w:ascii="Calibri" w:eastAsia="Times New Roman" w:hAnsi="Calibri" w:cs="Calibri"/>
                <w:color w:val="000000"/>
                <w:sz w:val="18"/>
                <w:szCs w:val="18"/>
                <w:lang w:eastAsia="pl-PL"/>
              </w:rPr>
              <w:t xml:space="preserve"> (2019).</w:t>
            </w:r>
          </w:p>
        </w:tc>
      </w:tr>
      <w:tr w:rsidR="000254DC" w:rsidRPr="00575CB5" w14:paraId="4D689DE6" w14:textId="77777777" w:rsidTr="00C46A1C">
        <w:trPr>
          <w:trHeight w:val="454"/>
        </w:trPr>
        <w:tc>
          <w:tcPr>
            <w:tcW w:w="434" w:type="dxa"/>
            <w:tcBorders>
              <w:top w:val="nil"/>
              <w:left w:val="single" w:sz="4" w:space="0" w:color="auto"/>
              <w:bottom w:val="single" w:sz="4" w:space="0" w:color="auto"/>
              <w:right w:val="single" w:sz="4" w:space="0" w:color="auto"/>
            </w:tcBorders>
            <w:shd w:val="clear" w:color="auto" w:fill="auto"/>
            <w:hideMark/>
          </w:tcPr>
          <w:p w14:paraId="190BE0C1" w14:textId="77777777" w:rsidR="000254DC" w:rsidRPr="00575CB5" w:rsidRDefault="000254DC" w:rsidP="000254DC">
            <w:pPr>
              <w:ind w:firstLine="0"/>
              <w:jc w:val="center"/>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4</w:t>
            </w:r>
          </w:p>
        </w:tc>
        <w:tc>
          <w:tcPr>
            <w:tcW w:w="1516" w:type="dxa"/>
            <w:tcBorders>
              <w:top w:val="nil"/>
              <w:left w:val="nil"/>
              <w:bottom w:val="single" w:sz="4" w:space="0" w:color="auto"/>
              <w:right w:val="single" w:sz="4" w:space="0" w:color="auto"/>
            </w:tcBorders>
            <w:shd w:val="clear" w:color="auto" w:fill="auto"/>
            <w:hideMark/>
          </w:tcPr>
          <w:p w14:paraId="77BA02BC"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 xml:space="preserve">GŁÓWNY INSPEKTORAT OCHRONY ŚRODOWISKA </w:t>
            </w:r>
          </w:p>
        </w:tc>
        <w:tc>
          <w:tcPr>
            <w:tcW w:w="1480" w:type="dxa"/>
            <w:tcBorders>
              <w:top w:val="nil"/>
              <w:left w:val="nil"/>
              <w:bottom w:val="single" w:sz="4" w:space="0" w:color="auto"/>
              <w:right w:val="single" w:sz="4" w:space="0" w:color="auto"/>
            </w:tcBorders>
            <w:shd w:val="clear" w:color="auto" w:fill="auto"/>
            <w:hideMark/>
          </w:tcPr>
          <w:p w14:paraId="3607D019"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ZAŁĄCZNIKI GRAFICZNE</w:t>
            </w:r>
          </w:p>
        </w:tc>
        <w:tc>
          <w:tcPr>
            <w:tcW w:w="3781" w:type="dxa"/>
            <w:tcBorders>
              <w:top w:val="nil"/>
              <w:left w:val="nil"/>
              <w:bottom w:val="single" w:sz="4" w:space="0" w:color="auto"/>
              <w:right w:val="single" w:sz="4" w:space="0" w:color="auto"/>
            </w:tcBorders>
            <w:shd w:val="clear" w:color="auto" w:fill="auto"/>
            <w:hideMark/>
          </w:tcPr>
          <w:p w14:paraId="64C714D7" w14:textId="0AE6ECAB"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 xml:space="preserve">Należy zmienić </w:t>
            </w:r>
            <w:proofErr w:type="spellStart"/>
            <w:r w:rsidRPr="00575CB5">
              <w:rPr>
                <w:rFonts w:ascii="Calibri" w:eastAsia="Times New Roman" w:hAnsi="Calibri" w:cs="Calibri"/>
                <w:color w:val="000000"/>
                <w:sz w:val="18"/>
                <w:szCs w:val="18"/>
                <w:lang w:eastAsia="pl-PL"/>
              </w:rPr>
              <w:t>szrafury</w:t>
            </w:r>
            <w:proofErr w:type="spellEnd"/>
            <w:r w:rsidRPr="00575CB5">
              <w:rPr>
                <w:rFonts w:ascii="Calibri" w:eastAsia="Times New Roman" w:hAnsi="Calibri" w:cs="Calibri"/>
                <w:color w:val="000000"/>
                <w:sz w:val="18"/>
                <w:szCs w:val="18"/>
                <w:lang w:eastAsia="pl-PL"/>
              </w:rPr>
              <w:t xml:space="preserve"> dla potencjału ekologicznego sztucznej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RW oraz potencjału ekologicznego silnie zmienionej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RW. Według załącznika 17, tabeli nr 2 </w:t>
            </w:r>
            <w:proofErr w:type="spellStart"/>
            <w:r w:rsidRPr="00575CB5">
              <w:rPr>
                <w:rFonts w:ascii="Calibri" w:eastAsia="Times New Roman" w:hAnsi="Calibri" w:cs="Calibri"/>
                <w:color w:val="000000"/>
                <w:sz w:val="18"/>
                <w:szCs w:val="18"/>
                <w:lang w:eastAsia="pl-PL"/>
              </w:rPr>
              <w:t>r.kl</w:t>
            </w:r>
            <w:proofErr w:type="spellEnd"/>
            <w:r w:rsidRPr="00575CB5">
              <w:rPr>
                <w:rFonts w:ascii="Calibri" w:eastAsia="Times New Roman" w:hAnsi="Calibri" w:cs="Calibri"/>
                <w:color w:val="000000"/>
                <w:sz w:val="18"/>
                <w:szCs w:val="18"/>
                <w:lang w:eastAsia="pl-PL"/>
              </w:rPr>
              <w:t>., maksymalny lub dobry potencjał ekologiczny dla sztucznej części wód powierzchniowych powinien zostać zaprezentowany poprzez zielono-jasnoszare pasy równej szerokości.</w:t>
            </w:r>
            <w:r w:rsidRPr="00575CB5">
              <w:rPr>
                <w:rFonts w:ascii="Calibri" w:eastAsia="Times New Roman" w:hAnsi="Calibri" w:cs="Calibri"/>
                <w:color w:val="000000"/>
                <w:sz w:val="18"/>
                <w:szCs w:val="18"/>
                <w:lang w:eastAsia="pl-PL"/>
              </w:rPr>
              <w:br w:type="page"/>
            </w:r>
            <w:r w:rsidR="00EC1FD1">
              <w:rPr>
                <w:rFonts w:ascii="Calibri" w:eastAsia="Times New Roman" w:hAnsi="Calibri" w:cs="Calibri"/>
                <w:color w:val="000000"/>
                <w:sz w:val="18"/>
                <w:szCs w:val="18"/>
                <w:lang w:eastAsia="pl-PL"/>
              </w:rPr>
              <w:t xml:space="preserve"> </w:t>
            </w:r>
            <w:r w:rsidRPr="00575CB5">
              <w:rPr>
                <w:rFonts w:ascii="Calibri" w:eastAsia="Times New Roman" w:hAnsi="Calibri" w:cs="Calibri"/>
                <w:color w:val="000000"/>
                <w:sz w:val="18"/>
                <w:szCs w:val="18"/>
                <w:lang w:eastAsia="pl-PL"/>
              </w:rPr>
              <w:t>Część projektu planu, do którego zgłaszana jest uwaga (numer rozdziału, strona dokumentu, nr załącznika): Uwaga do załączników graficznych - mapy stanu/potencjału ekologicznego jednolitych części wód powierzchniowych rzecznych</w:t>
            </w:r>
            <w:r w:rsidRPr="00575CB5">
              <w:rPr>
                <w:rFonts w:ascii="Calibri" w:eastAsia="Times New Roman" w:hAnsi="Calibri" w:cs="Calibri"/>
                <w:color w:val="000000"/>
                <w:sz w:val="18"/>
                <w:szCs w:val="18"/>
                <w:lang w:eastAsia="pl-PL"/>
              </w:rPr>
              <w:br w:type="page"/>
            </w:r>
          </w:p>
        </w:tc>
        <w:tc>
          <w:tcPr>
            <w:tcW w:w="2990" w:type="dxa"/>
            <w:tcBorders>
              <w:top w:val="nil"/>
              <w:left w:val="nil"/>
              <w:bottom w:val="single" w:sz="4" w:space="0" w:color="auto"/>
              <w:right w:val="single" w:sz="4" w:space="0" w:color="auto"/>
            </w:tcBorders>
            <w:shd w:val="clear" w:color="auto" w:fill="auto"/>
            <w:hideMark/>
          </w:tcPr>
          <w:p w14:paraId="44775A11" w14:textId="35BE99B3"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 xml:space="preserve">Zmienić </w:t>
            </w:r>
            <w:proofErr w:type="spellStart"/>
            <w:r w:rsidRPr="00575CB5">
              <w:rPr>
                <w:rFonts w:ascii="Calibri" w:eastAsia="Times New Roman" w:hAnsi="Calibri" w:cs="Calibri"/>
                <w:color w:val="000000"/>
                <w:sz w:val="18"/>
                <w:szCs w:val="18"/>
                <w:lang w:eastAsia="pl-PL"/>
              </w:rPr>
              <w:t>szrafury</w:t>
            </w:r>
            <w:proofErr w:type="spellEnd"/>
            <w:r w:rsidRPr="00575CB5">
              <w:rPr>
                <w:rFonts w:ascii="Calibri" w:eastAsia="Times New Roman" w:hAnsi="Calibri" w:cs="Calibri"/>
                <w:color w:val="000000"/>
                <w:sz w:val="18"/>
                <w:szCs w:val="18"/>
                <w:lang w:eastAsia="pl-PL"/>
              </w:rPr>
              <w:t xml:space="preserve"> dla potencjału ekologicznego sztucznej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RW oraz potencjału ekologicznego silnie zmienionej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RW według schematu: w przypadku maksymalnego lub dobrego potencjału ekologicznego dla sztucznej części wód powierzchniowych trzeba zmienić </w:t>
            </w:r>
            <w:proofErr w:type="spellStart"/>
            <w:r w:rsidRPr="00575CB5">
              <w:rPr>
                <w:rFonts w:ascii="Calibri" w:eastAsia="Times New Roman" w:hAnsi="Calibri" w:cs="Calibri"/>
                <w:color w:val="000000"/>
                <w:sz w:val="18"/>
                <w:szCs w:val="18"/>
                <w:lang w:eastAsia="pl-PL"/>
              </w:rPr>
              <w:t>szrafurę</w:t>
            </w:r>
            <w:proofErr w:type="spellEnd"/>
            <w:r w:rsidRPr="00575CB5">
              <w:rPr>
                <w:rFonts w:ascii="Calibri" w:eastAsia="Times New Roman" w:hAnsi="Calibri" w:cs="Calibri"/>
                <w:color w:val="000000"/>
                <w:sz w:val="18"/>
                <w:szCs w:val="18"/>
                <w:lang w:eastAsia="pl-PL"/>
              </w:rPr>
              <w:t xml:space="preserve"> z jasnoszarych linii na zielonym tle na zielono-jasnoszare pasy równej szerokości. Analogicznie dla umiarkowanego, słabego, złego potencjału.</w:t>
            </w:r>
            <w:r w:rsidRPr="00575CB5">
              <w:rPr>
                <w:rFonts w:ascii="Calibri" w:eastAsia="Times New Roman" w:hAnsi="Calibri" w:cs="Calibri"/>
                <w:color w:val="000000"/>
                <w:sz w:val="18"/>
                <w:szCs w:val="18"/>
                <w:lang w:eastAsia="pl-PL"/>
              </w:rPr>
              <w:br w:type="page"/>
            </w:r>
          </w:p>
        </w:tc>
        <w:tc>
          <w:tcPr>
            <w:tcW w:w="2658" w:type="dxa"/>
            <w:tcBorders>
              <w:top w:val="nil"/>
              <w:left w:val="nil"/>
              <w:bottom w:val="single" w:sz="4" w:space="0" w:color="auto"/>
              <w:right w:val="single" w:sz="4" w:space="0" w:color="auto"/>
            </w:tcBorders>
            <w:shd w:val="clear" w:color="auto" w:fill="auto"/>
            <w:hideMark/>
          </w:tcPr>
          <w:p w14:paraId="31C70F79" w14:textId="6C8135E8"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 xml:space="preserve">Sposób prezentacji wyników klasyfikacji stanu/potencjału ekologicznego nie jest zgodny z rozporządzeniem klasyfikacyjnym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w:t>
            </w:r>
            <w:proofErr w:type="spellStart"/>
            <w:r w:rsidRPr="00575CB5">
              <w:rPr>
                <w:rFonts w:ascii="Calibri" w:eastAsia="Times New Roman" w:hAnsi="Calibri" w:cs="Calibri"/>
                <w:color w:val="000000"/>
                <w:sz w:val="18"/>
                <w:szCs w:val="18"/>
                <w:lang w:eastAsia="pl-PL"/>
              </w:rPr>
              <w:t>MGMiŻŚ</w:t>
            </w:r>
            <w:proofErr w:type="spellEnd"/>
            <w:r w:rsidRPr="00575CB5">
              <w:rPr>
                <w:rFonts w:ascii="Calibri" w:eastAsia="Times New Roman" w:hAnsi="Calibri" w:cs="Calibri"/>
                <w:color w:val="000000"/>
                <w:sz w:val="18"/>
                <w:szCs w:val="18"/>
                <w:lang w:eastAsia="pl-PL"/>
              </w:rPr>
              <w:br w:type="page"/>
            </w:r>
          </w:p>
        </w:tc>
        <w:tc>
          <w:tcPr>
            <w:tcW w:w="1633" w:type="dxa"/>
            <w:tcBorders>
              <w:top w:val="nil"/>
              <w:left w:val="nil"/>
              <w:bottom w:val="single" w:sz="4" w:space="0" w:color="auto"/>
              <w:right w:val="single" w:sz="4" w:space="0" w:color="auto"/>
            </w:tcBorders>
            <w:shd w:val="clear" w:color="auto" w:fill="auto"/>
            <w:hideMark/>
          </w:tcPr>
          <w:p w14:paraId="3CA971DE"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 xml:space="preserve"> - </w:t>
            </w:r>
          </w:p>
        </w:tc>
        <w:tc>
          <w:tcPr>
            <w:tcW w:w="1393" w:type="dxa"/>
            <w:tcBorders>
              <w:top w:val="nil"/>
              <w:left w:val="nil"/>
              <w:bottom w:val="single" w:sz="4" w:space="0" w:color="auto"/>
              <w:right w:val="single" w:sz="4" w:space="0" w:color="auto"/>
            </w:tcBorders>
            <w:shd w:val="clear" w:color="auto" w:fill="auto"/>
            <w:hideMark/>
          </w:tcPr>
          <w:p w14:paraId="4B82347A"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uwzględniono</w:t>
            </w:r>
          </w:p>
        </w:tc>
        <w:tc>
          <w:tcPr>
            <w:tcW w:w="5082" w:type="dxa"/>
            <w:tcBorders>
              <w:top w:val="nil"/>
              <w:left w:val="nil"/>
              <w:bottom w:val="single" w:sz="4" w:space="0" w:color="auto"/>
              <w:right w:val="single" w:sz="4" w:space="0" w:color="auto"/>
            </w:tcBorders>
            <w:shd w:val="clear" w:color="auto" w:fill="auto"/>
            <w:hideMark/>
          </w:tcPr>
          <w:p w14:paraId="5D241C90"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Wprowadzono zmianę zgodnie ze zgłoszoną uwagą.</w:t>
            </w:r>
          </w:p>
        </w:tc>
      </w:tr>
      <w:tr w:rsidR="000254DC" w:rsidRPr="00575CB5" w14:paraId="3AADDC05" w14:textId="77777777" w:rsidTr="00C46A1C">
        <w:trPr>
          <w:trHeight w:val="454"/>
        </w:trPr>
        <w:tc>
          <w:tcPr>
            <w:tcW w:w="434" w:type="dxa"/>
            <w:tcBorders>
              <w:top w:val="nil"/>
              <w:left w:val="single" w:sz="4" w:space="0" w:color="auto"/>
              <w:bottom w:val="single" w:sz="4" w:space="0" w:color="auto"/>
              <w:right w:val="single" w:sz="4" w:space="0" w:color="auto"/>
            </w:tcBorders>
            <w:shd w:val="clear" w:color="auto" w:fill="auto"/>
            <w:hideMark/>
          </w:tcPr>
          <w:p w14:paraId="417E5560" w14:textId="77777777" w:rsidR="000254DC" w:rsidRPr="00575CB5" w:rsidRDefault="000254DC" w:rsidP="000254DC">
            <w:pPr>
              <w:ind w:firstLine="0"/>
              <w:jc w:val="center"/>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5</w:t>
            </w:r>
          </w:p>
        </w:tc>
        <w:tc>
          <w:tcPr>
            <w:tcW w:w="1516" w:type="dxa"/>
            <w:tcBorders>
              <w:top w:val="nil"/>
              <w:left w:val="nil"/>
              <w:bottom w:val="single" w:sz="4" w:space="0" w:color="auto"/>
              <w:right w:val="single" w:sz="4" w:space="0" w:color="auto"/>
            </w:tcBorders>
            <w:shd w:val="clear" w:color="auto" w:fill="auto"/>
            <w:hideMark/>
          </w:tcPr>
          <w:p w14:paraId="269E0F08"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Fundacja WWF Polska</w:t>
            </w:r>
          </w:p>
        </w:tc>
        <w:tc>
          <w:tcPr>
            <w:tcW w:w="1480" w:type="dxa"/>
            <w:tcBorders>
              <w:top w:val="nil"/>
              <w:left w:val="nil"/>
              <w:bottom w:val="single" w:sz="4" w:space="0" w:color="auto"/>
              <w:right w:val="single" w:sz="4" w:space="0" w:color="auto"/>
            </w:tcBorders>
            <w:shd w:val="clear" w:color="auto" w:fill="auto"/>
            <w:hideMark/>
          </w:tcPr>
          <w:p w14:paraId="18B36081"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inne/pozostałe</w:t>
            </w:r>
          </w:p>
        </w:tc>
        <w:tc>
          <w:tcPr>
            <w:tcW w:w="3781" w:type="dxa"/>
            <w:tcBorders>
              <w:top w:val="nil"/>
              <w:left w:val="nil"/>
              <w:bottom w:val="single" w:sz="4" w:space="0" w:color="auto"/>
              <w:right w:val="single" w:sz="4" w:space="0" w:color="auto"/>
            </w:tcBorders>
            <w:shd w:val="clear" w:color="auto" w:fill="auto"/>
            <w:hideMark/>
          </w:tcPr>
          <w:p w14:paraId="3489E9FD" w14:textId="56F14D5E"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 xml:space="preserve">Fundacja WWF Polska w ramach konsultacji społecznych projektów drugiej aktualizacji Planów Gospodarowania Wodami w Dorzeczach (II aPGW), w załączeniu przesyła raport wraz z dwoma załącznikami, wykonany na zlecenie Fundacji, zatytułowany „Ocena stopnia uwzględnienia Krajowego Programu Renaturyzacji Wód Powierzchniowych w projektach drugiej aktualizacji Planów Gospodarowania Wodami (II aPGW) wraz z rekomendacjami do II aPGW”, zwany dalej Raportem WWF. </w:t>
            </w:r>
            <w:r w:rsidRPr="00575CB5">
              <w:rPr>
                <w:rFonts w:ascii="Calibri" w:eastAsia="Times New Roman" w:hAnsi="Calibri" w:cs="Calibri"/>
                <w:color w:val="000000"/>
                <w:sz w:val="18"/>
                <w:szCs w:val="18"/>
                <w:lang w:eastAsia="pl-PL"/>
              </w:rPr>
              <w:br/>
            </w:r>
            <w:r w:rsidRPr="00575CB5">
              <w:rPr>
                <w:rFonts w:ascii="Calibri" w:eastAsia="Times New Roman" w:hAnsi="Calibri" w:cs="Calibri"/>
                <w:color w:val="000000"/>
                <w:sz w:val="18"/>
                <w:szCs w:val="18"/>
                <w:lang w:eastAsia="pl-PL"/>
              </w:rPr>
              <w:lastRenderedPageBreak/>
              <w:t xml:space="preserve"> </w:t>
            </w:r>
            <w:r w:rsidRPr="00575CB5">
              <w:rPr>
                <w:rFonts w:ascii="Calibri" w:eastAsia="Times New Roman" w:hAnsi="Calibri" w:cs="Calibri"/>
                <w:color w:val="000000"/>
                <w:sz w:val="18"/>
                <w:szCs w:val="18"/>
                <w:lang w:eastAsia="pl-PL"/>
              </w:rPr>
              <w:br/>
              <w:t xml:space="preserve">Podsumowane w Raporcie WWF szczegółowe analizy obejmujące wszystkie 3116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rzecznych z 9 dorzeczy dobitnie wskazują, że poddane konsultacjom społecznym projekty II aPGW nie zapewnią terminowego, tj. do roku 2027, osiągnięcia celów środowiskowych Ramowej Dyrektywy Wodnej w naszym kraju, ze względu na niedostateczne uwzględnienie Krajowego Programu Renaturyzacji Wód Powierzchniowych (KPRWP) w projektach II aPGW oraz ze względu na nowe presje hydromorfologiczne, będące skutkiem planowanych inwestycji i innych przedsięwzięć hydrotechnicznych. </w:t>
            </w:r>
            <w:r w:rsidRPr="00575CB5">
              <w:rPr>
                <w:rFonts w:ascii="Calibri" w:eastAsia="Times New Roman" w:hAnsi="Calibri" w:cs="Calibri"/>
                <w:color w:val="000000"/>
                <w:sz w:val="18"/>
                <w:szCs w:val="18"/>
                <w:lang w:eastAsia="pl-PL"/>
              </w:rPr>
              <w:br/>
            </w:r>
            <w:r w:rsidRPr="00575CB5">
              <w:rPr>
                <w:rFonts w:ascii="Calibri" w:eastAsia="Times New Roman" w:hAnsi="Calibri" w:cs="Calibri"/>
                <w:color w:val="000000"/>
                <w:sz w:val="18"/>
                <w:szCs w:val="18"/>
                <w:lang w:eastAsia="pl-PL"/>
              </w:rPr>
              <w:br/>
              <w:t xml:space="preserve">Podsumowanie przeprowadzonych analiz zawiera opisowa część Raportu WWF (plik PDF). Z analiz tych wynika, że w żadnej z 3116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rzecznych nie wdrożono w projektach II aPGW wszystkich zapisów KPRWP. W 57%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rzecznych zapisy KPRWP wdrożono jedynie częściowo, a w 43%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rzecznych wymagających </w:t>
            </w:r>
            <w:proofErr w:type="spellStart"/>
            <w:r w:rsidRPr="00575CB5">
              <w:rPr>
                <w:rFonts w:ascii="Calibri" w:eastAsia="Times New Roman" w:hAnsi="Calibri" w:cs="Calibri"/>
                <w:color w:val="000000"/>
                <w:sz w:val="18"/>
                <w:szCs w:val="18"/>
                <w:lang w:eastAsia="pl-PL"/>
              </w:rPr>
              <w:t>renaturyzacji</w:t>
            </w:r>
            <w:proofErr w:type="spellEnd"/>
            <w:r w:rsidRPr="00575CB5">
              <w:rPr>
                <w:rFonts w:ascii="Calibri" w:eastAsia="Times New Roman" w:hAnsi="Calibri" w:cs="Calibri"/>
                <w:color w:val="000000"/>
                <w:sz w:val="18"/>
                <w:szCs w:val="18"/>
                <w:lang w:eastAsia="pl-PL"/>
              </w:rPr>
              <w:t xml:space="preserve"> dla osiągnięcia dobrego stanu/potencjału wód całkowicie brak wdrożenia zapisów KPRWP. </w:t>
            </w:r>
            <w:r w:rsidRPr="00575CB5">
              <w:rPr>
                <w:rFonts w:ascii="Calibri" w:eastAsia="Times New Roman" w:hAnsi="Calibri" w:cs="Calibri"/>
                <w:color w:val="000000"/>
                <w:sz w:val="18"/>
                <w:szCs w:val="18"/>
                <w:lang w:eastAsia="pl-PL"/>
              </w:rPr>
              <w:br/>
              <w:t xml:space="preserve"> </w:t>
            </w:r>
            <w:r w:rsidRPr="00575CB5">
              <w:rPr>
                <w:rFonts w:ascii="Calibri" w:eastAsia="Times New Roman" w:hAnsi="Calibri" w:cs="Calibri"/>
                <w:color w:val="000000"/>
                <w:sz w:val="18"/>
                <w:szCs w:val="18"/>
                <w:lang w:eastAsia="pl-PL"/>
              </w:rPr>
              <w:br/>
              <w:t xml:space="preserve">Załącznik 1 (plik Excel) do Raportu WWF zawiera wyniki szczegółowych analiz dla każdej z 3116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rzecznych, należących do 9 dorzeczy. W formie tabelarycznej zestawiono zapisy z projektów II aPGW w porównaniu z zapisami KPRWP oraz z informacjami o nowych presjach (o inwestycjach i innych przedsięwzięciach wymienionych w zał. 6 do II aPGW oraz w aktualizacji Planów Zarządzania Ryzykiem Powodziowym i w Planie Przeciwdziałania Skutkom Suszy). Dla każdej z 3116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rzecznych sformułowano szczegółowe rekomendacje odnośnie do zmian, jakie powinny być wprowadzone do II aPGW, aby w danej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terminowo osiągnąć stan hydromorfologiczny niezbędny dla osiągnięcia dobrego stanu/potencjału wód wymaganego przez Ramową Dyrektywę Wodną. Rekomendacje te zawiera kolumna FV pliku Excel. W związku z tym proszę traktować załącznik 1 do Raportu WWF jako zbiorcze zestawienie 3116 szczegółowych uwag obejmujących wszystkie 9 dorzeczy, które to uwagi Fundacja WWF zgłasza w ramach konsultacji społecznych projektów II aPGW.  </w:t>
            </w:r>
            <w:r w:rsidRPr="00575CB5">
              <w:rPr>
                <w:rFonts w:ascii="Calibri" w:eastAsia="Times New Roman" w:hAnsi="Calibri" w:cs="Calibri"/>
                <w:color w:val="000000"/>
                <w:sz w:val="18"/>
                <w:szCs w:val="18"/>
                <w:lang w:eastAsia="pl-PL"/>
              </w:rPr>
              <w:br/>
              <w:t xml:space="preserve"> </w:t>
            </w:r>
            <w:r w:rsidRPr="00575CB5">
              <w:rPr>
                <w:rFonts w:ascii="Calibri" w:eastAsia="Times New Roman" w:hAnsi="Calibri" w:cs="Calibri"/>
                <w:color w:val="000000"/>
                <w:sz w:val="18"/>
                <w:szCs w:val="18"/>
                <w:lang w:eastAsia="pl-PL"/>
              </w:rPr>
              <w:br/>
              <w:t xml:space="preserve">Raport WWF jest wkładem społecznym w działania na rzecz udoskonalenia projektów II aPGW. Mam nadzieję, że sposób przedstawienia szczegółowych rekomendacji dla każdej z 3116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rzecznych umożliwi łatwe usunięcie zidentyfikowanych w Raporcie WWF poważnych </w:t>
            </w:r>
            <w:r w:rsidRPr="00575CB5">
              <w:rPr>
                <w:rFonts w:ascii="Calibri" w:eastAsia="Times New Roman" w:hAnsi="Calibri" w:cs="Calibri"/>
                <w:color w:val="000000"/>
                <w:sz w:val="18"/>
                <w:szCs w:val="18"/>
                <w:lang w:eastAsia="pl-PL"/>
              </w:rPr>
              <w:lastRenderedPageBreak/>
              <w:t xml:space="preserve">mankamentów projektów II aPGW – najpierw na poziomie każdej z 3116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rzecznej, a docelowo na poziomie każdego z 9 dorzeczy.  </w:t>
            </w:r>
            <w:r w:rsidRPr="00575CB5">
              <w:rPr>
                <w:rFonts w:ascii="Calibri" w:eastAsia="Times New Roman" w:hAnsi="Calibri" w:cs="Calibri"/>
                <w:color w:val="000000"/>
                <w:sz w:val="18"/>
                <w:szCs w:val="18"/>
                <w:lang w:eastAsia="pl-PL"/>
              </w:rPr>
              <w:br/>
              <w:t xml:space="preserve"> </w:t>
            </w:r>
            <w:r w:rsidRPr="00575CB5">
              <w:rPr>
                <w:rFonts w:ascii="Calibri" w:eastAsia="Times New Roman" w:hAnsi="Calibri" w:cs="Calibri"/>
                <w:color w:val="000000"/>
                <w:sz w:val="18"/>
                <w:szCs w:val="18"/>
                <w:lang w:eastAsia="pl-PL"/>
              </w:rPr>
              <w:br/>
              <w:t xml:space="preserve">Fundacja WWF Polska deklaruje współpracę w usuwaniu mankamentów projektów II aPGW, np. w postaci przekazania analiz GIS, które były podstawą sformułowania wzmiankowanych wyżej rekomendacji dla poszczególnych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rzecznych. </w:t>
            </w:r>
          </w:p>
        </w:tc>
        <w:tc>
          <w:tcPr>
            <w:tcW w:w="2990" w:type="dxa"/>
            <w:tcBorders>
              <w:top w:val="nil"/>
              <w:left w:val="nil"/>
              <w:bottom w:val="single" w:sz="4" w:space="0" w:color="auto"/>
              <w:right w:val="single" w:sz="4" w:space="0" w:color="auto"/>
            </w:tcBorders>
            <w:shd w:val="clear" w:color="auto" w:fill="auto"/>
            <w:hideMark/>
          </w:tcPr>
          <w:p w14:paraId="29E2606F"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lastRenderedPageBreak/>
              <w:t>-</w:t>
            </w:r>
          </w:p>
        </w:tc>
        <w:tc>
          <w:tcPr>
            <w:tcW w:w="2658" w:type="dxa"/>
            <w:tcBorders>
              <w:top w:val="nil"/>
              <w:left w:val="nil"/>
              <w:bottom w:val="single" w:sz="4" w:space="0" w:color="auto"/>
              <w:right w:val="single" w:sz="4" w:space="0" w:color="auto"/>
            </w:tcBorders>
            <w:shd w:val="clear" w:color="auto" w:fill="auto"/>
            <w:hideMark/>
          </w:tcPr>
          <w:p w14:paraId="6C9A4DC6"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w:t>
            </w:r>
          </w:p>
        </w:tc>
        <w:tc>
          <w:tcPr>
            <w:tcW w:w="1633" w:type="dxa"/>
            <w:tcBorders>
              <w:top w:val="nil"/>
              <w:left w:val="nil"/>
              <w:bottom w:val="single" w:sz="4" w:space="0" w:color="auto"/>
              <w:right w:val="single" w:sz="4" w:space="0" w:color="auto"/>
            </w:tcBorders>
            <w:shd w:val="clear" w:color="auto" w:fill="auto"/>
            <w:hideMark/>
          </w:tcPr>
          <w:p w14:paraId="76A6A1C2" w14:textId="77777777" w:rsidR="000254DC" w:rsidRPr="00575CB5" w:rsidRDefault="000254DC" w:rsidP="000254DC">
            <w:pPr>
              <w:ind w:firstLine="0"/>
              <w:jc w:val="left"/>
              <w:rPr>
                <w:rFonts w:ascii="Calibri" w:eastAsia="Times New Roman" w:hAnsi="Calibri" w:cs="Calibri"/>
                <w:color w:val="000000"/>
                <w:sz w:val="18"/>
                <w:szCs w:val="18"/>
                <w:lang w:eastAsia="pl-PL"/>
              </w:rPr>
            </w:pPr>
            <w:proofErr w:type="spellStart"/>
            <w:r w:rsidRPr="00575CB5">
              <w:rPr>
                <w:rFonts w:ascii="Calibri" w:eastAsia="Times New Roman" w:hAnsi="Calibri" w:cs="Calibri"/>
                <w:color w:val="000000"/>
                <w:sz w:val="18"/>
                <w:szCs w:val="18"/>
                <w:lang w:eastAsia="pl-PL"/>
              </w:rPr>
              <w:t>Raport_ocena</w:t>
            </w:r>
            <w:proofErr w:type="spellEnd"/>
            <w:r w:rsidRPr="00575CB5">
              <w:rPr>
                <w:rFonts w:ascii="Calibri" w:eastAsia="Times New Roman" w:hAnsi="Calibri" w:cs="Calibri"/>
                <w:color w:val="000000"/>
                <w:sz w:val="18"/>
                <w:szCs w:val="18"/>
                <w:lang w:eastAsia="pl-PL"/>
              </w:rPr>
              <w:t>_</w:t>
            </w:r>
          </w:p>
          <w:p w14:paraId="719880FD" w14:textId="77777777" w:rsidR="000254DC" w:rsidRPr="00575CB5" w:rsidRDefault="000254DC" w:rsidP="000254DC">
            <w:pPr>
              <w:ind w:firstLine="0"/>
              <w:jc w:val="left"/>
              <w:rPr>
                <w:rFonts w:ascii="Calibri" w:eastAsia="Times New Roman" w:hAnsi="Calibri" w:cs="Calibri"/>
                <w:color w:val="000000"/>
                <w:sz w:val="18"/>
                <w:szCs w:val="18"/>
                <w:lang w:eastAsia="pl-PL"/>
              </w:rPr>
            </w:pPr>
            <w:proofErr w:type="spellStart"/>
            <w:r w:rsidRPr="00575CB5">
              <w:rPr>
                <w:rFonts w:ascii="Calibri" w:eastAsia="Times New Roman" w:hAnsi="Calibri" w:cs="Calibri"/>
                <w:color w:val="000000"/>
                <w:sz w:val="18"/>
                <w:szCs w:val="18"/>
                <w:lang w:eastAsia="pl-PL"/>
              </w:rPr>
              <w:t>IIaPGW_KPRWP</w:t>
            </w:r>
            <w:proofErr w:type="spellEnd"/>
          </w:p>
        </w:tc>
        <w:tc>
          <w:tcPr>
            <w:tcW w:w="1393" w:type="dxa"/>
            <w:tcBorders>
              <w:top w:val="nil"/>
              <w:left w:val="nil"/>
              <w:bottom w:val="single" w:sz="4" w:space="0" w:color="auto"/>
              <w:right w:val="single" w:sz="4" w:space="0" w:color="auto"/>
            </w:tcBorders>
            <w:shd w:val="clear" w:color="auto" w:fill="auto"/>
            <w:hideMark/>
          </w:tcPr>
          <w:p w14:paraId="0299714F"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uwzględniono częściowo</w:t>
            </w:r>
          </w:p>
        </w:tc>
        <w:tc>
          <w:tcPr>
            <w:tcW w:w="5082" w:type="dxa"/>
            <w:tcBorders>
              <w:top w:val="nil"/>
              <w:left w:val="nil"/>
              <w:bottom w:val="single" w:sz="4" w:space="0" w:color="auto"/>
              <w:right w:val="single" w:sz="4" w:space="0" w:color="auto"/>
            </w:tcBorders>
            <w:shd w:val="clear" w:color="auto" w:fill="auto"/>
            <w:hideMark/>
          </w:tcPr>
          <w:p w14:paraId="539C9FDE" w14:textId="08F06F38"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 xml:space="preserve">Krajowy program </w:t>
            </w:r>
            <w:proofErr w:type="spellStart"/>
            <w:r w:rsidRPr="00575CB5">
              <w:rPr>
                <w:rFonts w:ascii="Calibri" w:eastAsia="Times New Roman" w:hAnsi="Calibri" w:cs="Calibri"/>
                <w:color w:val="000000"/>
                <w:sz w:val="18"/>
                <w:szCs w:val="18"/>
                <w:lang w:eastAsia="pl-PL"/>
              </w:rPr>
              <w:t>renaturyzacji</w:t>
            </w:r>
            <w:proofErr w:type="spellEnd"/>
            <w:r w:rsidRPr="00575CB5">
              <w:rPr>
                <w:rFonts w:ascii="Calibri" w:eastAsia="Times New Roman" w:hAnsi="Calibri" w:cs="Calibri"/>
                <w:color w:val="000000"/>
                <w:sz w:val="18"/>
                <w:szCs w:val="18"/>
                <w:lang w:eastAsia="pl-PL"/>
              </w:rPr>
              <w:t xml:space="preserve"> wód powierzchniowych</w:t>
            </w:r>
            <w:r w:rsidR="001F37E7">
              <w:rPr>
                <w:rFonts w:ascii="Calibri" w:eastAsia="Times New Roman" w:hAnsi="Calibri" w:cs="Calibri"/>
                <w:color w:val="000000"/>
                <w:sz w:val="18"/>
                <w:szCs w:val="18"/>
                <w:lang w:eastAsia="pl-PL"/>
              </w:rPr>
              <w:t xml:space="preserve"> (KPRWP)</w:t>
            </w:r>
            <w:r w:rsidRPr="00575CB5">
              <w:rPr>
                <w:rFonts w:ascii="Calibri" w:eastAsia="Times New Roman" w:hAnsi="Calibri" w:cs="Calibri"/>
                <w:color w:val="000000"/>
                <w:sz w:val="18"/>
                <w:szCs w:val="18"/>
                <w:lang w:eastAsia="pl-PL"/>
              </w:rPr>
              <w:t xml:space="preserve"> był punktem wyjścia do opracowania działań dla wód powierzchniowych z zakresu poprawy stanu hydromorfologicznego i biologicznego wód powierzchniowych z uwzględnieniem celów środowiskowych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KPRWP opracowany w 2019/2020 roku stanowi realizację wymagań aPWŚK, a zawarte w nim działania były odpowiedzią na zidentyfikowane presje hydromorfologiczne (na podstawie danych z 2018 roku), wskazał potrzeby poprawy stanu hydromorfologicznego wód powierzchniowych. W ramach KPRWP wskazano tzw. Obszary Wymagające Renaturyzacji oraz Obszary Priorytetowe, w których działania renaturyzacyjne powinny zostać zrealizowane w pierwszej kolejności, biorąc pod uwagę </w:t>
            </w:r>
            <w:r w:rsidRPr="00575CB5">
              <w:rPr>
                <w:rFonts w:ascii="Calibri" w:eastAsia="Times New Roman" w:hAnsi="Calibri" w:cs="Calibri"/>
                <w:color w:val="000000"/>
                <w:sz w:val="18"/>
                <w:szCs w:val="18"/>
                <w:lang w:eastAsia="pl-PL"/>
              </w:rPr>
              <w:lastRenderedPageBreak/>
              <w:t>uwarunkowania środowiskowe i ekonomiczne. W Programie tym każdej jednolitej części wód powierzchniowych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która została zaliczona do tych obszarów, przypisano potencjalne zestawy działań </w:t>
            </w:r>
            <w:proofErr w:type="spellStart"/>
            <w:r w:rsidRPr="00575CB5">
              <w:rPr>
                <w:rFonts w:ascii="Calibri" w:eastAsia="Times New Roman" w:hAnsi="Calibri" w:cs="Calibri"/>
                <w:color w:val="000000"/>
                <w:sz w:val="18"/>
                <w:szCs w:val="18"/>
                <w:lang w:eastAsia="pl-PL"/>
              </w:rPr>
              <w:t>renaturyzacyjnych</w:t>
            </w:r>
            <w:proofErr w:type="spellEnd"/>
            <w:r w:rsidRPr="00575CB5">
              <w:rPr>
                <w:rFonts w:ascii="Calibri" w:eastAsia="Times New Roman" w:hAnsi="Calibri" w:cs="Calibri"/>
                <w:color w:val="000000"/>
                <w:sz w:val="18"/>
                <w:szCs w:val="18"/>
                <w:lang w:eastAsia="pl-PL"/>
              </w:rPr>
              <w:t xml:space="preserve">, jednak co należy podkreślić, już wówczas wskazano, że zakres działań w KPRWP, sposób wdrożenia działań, jak i sama lokalizacja działań wymagają doprecyzowania dla każdej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i dalszych szczegółowych analiz w skali lokalnej.</w:t>
            </w:r>
            <w:r w:rsidRPr="00575CB5">
              <w:rPr>
                <w:rFonts w:ascii="Calibri" w:eastAsia="Times New Roman" w:hAnsi="Calibri" w:cs="Calibri"/>
                <w:color w:val="000000"/>
                <w:sz w:val="18"/>
                <w:szCs w:val="18"/>
                <w:lang w:eastAsia="pl-PL"/>
              </w:rPr>
              <w:br/>
              <w:t>Na potrzeby IIaPGW uwzględniono najnowsze dane opracowane w ramach Analiza znaczących oddziaływań antropogenicznych wraz z oceną ich wpływu na stan wód oraz ryzykiem nieosiągnięcia celów środowiskowych, aktualne wyniki z monitoringu GIOŚ z 2019 r., wykonano aktualizację bazy danych HYMO zawierającą dane o presjach hydromorfologicznych, w tym budowli piętrzących. Dokonano weryfikacji między innymi obiektów piętrzących wpływających na ciągłość biologiczną i morfologiczną cieków, usuwając z bazy obiekty powtarzające się, uszczegółowiając na podstawie ankietyzacji informację z zakresu wysokości piętrzenia, drożności, skutecznośc</w:t>
            </w:r>
            <w:r w:rsidR="00EC1FD1">
              <w:rPr>
                <w:rFonts w:ascii="Calibri" w:eastAsia="Times New Roman" w:hAnsi="Calibri" w:cs="Calibri"/>
                <w:color w:val="000000"/>
                <w:sz w:val="18"/>
                <w:szCs w:val="18"/>
                <w:lang w:eastAsia="pl-PL"/>
              </w:rPr>
              <w:t>i przepławek itp</w:t>
            </w:r>
            <w:r w:rsidRPr="00575CB5">
              <w:rPr>
                <w:rFonts w:ascii="Calibri" w:eastAsia="Times New Roman" w:hAnsi="Calibri" w:cs="Calibri"/>
                <w:color w:val="000000"/>
                <w:sz w:val="18"/>
                <w:szCs w:val="18"/>
                <w:lang w:eastAsia="pl-PL"/>
              </w:rPr>
              <w:t>.</w:t>
            </w:r>
            <w:r w:rsidRPr="00575CB5">
              <w:rPr>
                <w:rFonts w:ascii="Calibri" w:eastAsia="Times New Roman" w:hAnsi="Calibri" w:cs="Calibri"/>
                <w:color w:val="000000"/>
                <w:sz w:val="18"/>
                <w:szCs w:val="18"/>
                <w:lang w:eastAsia="pl-PL"/>
              </w:rPr>
              <w:br/>
              <w:t xml:space="preserve">Na podstawie pozyskanych i zweryfikowanych informacji zostały zaplanowane działania ukierunkowane na przywrócenie i określenie problemów związanych z ciągłością biologiczną, z jednoczesnym uwzględnieniem najważniejszych potrzeb ryb dwuśrodowiskowych, gatunków chronionych i klasy wskaźników ichtiologicznych oraz efektywności ekonomicznej szerokich potrzeb udrożnienia cieków. Dodatkowo bardzo szczegółowo uwzględniono działania służące spełnieniu celów środowiskowych dla obszarów chronionych. W zakresie renaturyzacji włączono do zestawu działań dla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rzecznych działania służące poprawie stanu hydromorfologicznego, biologicznego i fizykochemicznego wód z uwzględnieniem możliwości likwidacji presji antropogenicznych zawarte w PZO i PO, oraz działania z tzw. testu restytucji opracowanego w ramach projektu: Przegląd i weryfikacja metodyk wyznaczania silnie zmienionych i sztucznych części wód powierzchniowych wraz ze wstępnym i ostatecznym wyznaczeniem wskazane dla SZCW, dla których na podstawie danych GIOŚ zidentyfikowano ryzyko nieosiągnięcia celów środowiskowych z uwagi na presje hydromorfologiczne. W przypadku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jeziornych zespół ekspertów pracujący przy KPRWP opracował i uszczegółowił na potrzeby IIaPGW zestawy działań możliwe do wdrożenia w tych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uwzględniając czynniki dodatkowe takie jak: zagrożenie suszą, brak przepływu w ciekach zasilających, presje na wody podziemne - związane z lejami depresji, a także stan jakościowy. W wielu przypadkach wskazano konieczność realizacji indywidualnych programów naprawczych dla jezior, w tym programu Renaturyzacji i Rekultywacji. W przypadku indywidualnych programów naprawczych dla jezior należy mieć na uwadze, że poprawa warunków hydromorfologicznych, w tym w szczególności w strefie brzegowej i litoralnej, stanowi kluczowy element tych programów. Są to m.in. strefy buforowe, pozwalające z jednej strony na poprawę stanu hydromorfologicznych, z drugiej stanowiące barierę dla biogenów mogących dostawać się do jeziora że zlewni.</w:t>
            </w:r>
            <w:r w:rsidRPr="00575CB5">
              <w:rPr>
                <w:rFonts w:ascii="Calibri" w:eastAsia="Times New Roman" w:hAnsi="Calibri" w:cs="Calibri"/>
                <w:color w:val="000000"/>
                <w:sz w:val="18"/>
                <w:szCs w:val="18"/>
                <w:lang w:eastAsia="pl-PL"/>
              </w:rPr>
              <w:br/>
              <w:t xml:space="preserve">KPRWP wskazywał działania potencjalne bez uwzględnienia powiązań z wodami podziemnymi, których zły stan ilościowy (presje związane np. z poborem wód i odwodnieniem) zasadniczo weryfikuje możliwość wdrożenia działań </w:t>
            </w:r>
            <w:proofErr w:type="spellStart"/>
            <w:r w:rsidRPr="00575CB5">
              <w:rPr>
                <w:rFonts w:ascii="Calibri" w:eastAsia="Times New Roman" w:hAnsi="Calibri" w:cs="Calibri"/>
                <w:color w:val="000000"/>
                <w:sz w:val="18"/>
                <w:szCs w:val="18"/>
                <w:lang w:eastAsia="pl-PL"/>
              </w:rPr>
              <w:t>renaturyzacyjnych</w:t>
            </w:r>
            <w:proofErr w:type="spellEnd"/>
            <w:r w:rsidRPr="00575CB5">
              <w:rPr>
                <w:rFonts w:ascii="Calibri" w:eastAsia="Times New Roman" w:hAnsi="Calibri" w:cs="Calibri"/>
                <w:color w:val="000000"/>
                <w:sz w:val="18"/>
                <w:szCs w:val="18"/>
                <w:lang w:eastAsia="pl-PL"/>
              </w:rPr>
              <w:t xml:space="preserve"> wskazanych w KPRWP.</w:t>
            </w:r>
            <w:r w:rsidRPr="00575CB5">
              <w:rPr>
                <w:rFonts w:ascii="Calibri" w:eastAsia="Times New Roman" w:hAnsi="Calibri" w:cs="Calibri"/>
                <w:color w:val="000000"/>
                <w:sz w:val="18"/>
                <w:szCs w:val="18"/>
                <w:lang w:eastAsia="pl-PL"/>
              </w:rPr>
              <w:br/>
            </w:r>
            <w:r w:rsidRPr="00575CB5">
              <w:rPr>
                <w:rFonts w:ascii="Calibri" w:eastAsia="Times New Roman" w:hAnsi="Calibri" w:cs="Calibri"/>
                <w:color w:val="000000"/>
                <w:sz w:val="18"/>
                <w:szCs w:val="18"/>
                <w:lang w:eastAsia="pl-PL"/>
              </w:rPr>
              <w:lastRenderedPageBreak/>
              <w:br/>
              <w:t xml:space="preserve">Działania z KPRWP wymagają szczegółowej weryfikacji w zakresie zarówno zakresu jak i możliwości ich wdrożenia w danej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w tym weryfikacji wpływu wdrożenia działań </w:t>
            </w:r>
            <w:proofErr w:type="spellStart"/>
            <w:r w:rsidRPr="00575CB5">
              <w:rPr>
                <w:rFonts w:ascii="Calibri" w:eastAsia="Times New Roman" w:hAnsi="Calibri" w:cs="Calibri"/>
                <w:color w:val="000000"/>
                <w:sz w:val="18"/>
                <w:szCs w:val="18"/>
                <w:lang w:eastAsia="pl-PL"/>
              </w:rPr>
              <w:t>renaturyzacyjnych</w:t>
            </w:r>
            <w:proofErr w:type="spellEnd"/>
            <w:r w:rsidRPr="00575CB5">
              <w:rPr>
                <w:rFonts w:ascii="Calibri" w:eastAsia="Times New Roman" w:hAnsi="Calibri" w:cs="Calibri"/>
                <w:color w:val="000000"/>
                <w:sz w:val="18"/>
                <w:szCs w:val="18"/>
                <w:lang w:eastAsia="pl-PL"/>
              </w:rPr>
              <w:t xml:space="preserve"> na ryzyko powodziowe w danej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a zatem wymagać będą między innymi modelowania hydraulicznego przepływu wód, uwzględnienia potencjalnych działań wpisanych w aktualizowane obecnie aPZRP, a także konsultacji z podmiotami będącymi właścicielami gruntów czy urządzeń wodnych w obrębie planowanych działań. Uwzględnienie działań dla </w:t>
            </w:r>
            <w:proofErr w:type="spellStart"/>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d</w:t>
            </w:r>
            <w:proofErr w:type="spellEnd"/>
            <w:r w:rsidRPr="00575CB5">
              <w:rPr>
                <w:rFonts w:ascii="Calibri" w:eastAsia="Times New Roman" w:hAnsi="Calibri" w:cs="Calibri"/>
                <w:color w:val="000000"/>
                <w:sz w:val="18"/>
                <w:szCs w:val="18"/>
                <w:lang w:eastAsia="pl-PL"/>
              </w:rPr>
              <w:t xml:space="preserve"> oraz zestawów działań aPGW wynikających z PO/PZO/ZO w celu eliminacji działań powtarzających się.</w:t>
            </w:r>
            <w:r w:rsidRPr="00575CB5">
              <w:rPr>
                <w:rFonts w:ascii="Calibri" w:eastAsia="Times New Roman" w:hAnsi="Calibri" w:cs="Calibri"/>
                <w:color w:val="000000"/>
                <w:sz w:val="18"/>
                <w:szCs w:val="18"/>
                <w:lang w:eastAsia="pl-PL"/>
              </w:rPr>
              <w:br/>
              <w:t xml:space="preserve">W wyniku dokonanej ponownej weryfikacji w zakresie działań KPRWP, zestawy działań IIaPGW uzupełnione zostały o działania </w:t>
            </w:r>
            <w:proofErr w:type="spellStart"/>
            <w:r w:rsidRPr="00575CB5">
              <w:rPr>
                <w:rFonts w:ascii="Calibri" w:eastAsia="Times New Roman" w:hAnsi="Calibri" w:cs="Calibri"/>
                <w:color w:val="000000"/>
                <w:sz w:val="18"/>
                <w:szCs w:val="18"/>
                <w:lang w:eastAsia="pl-PL"/>
              </w:rPr>
              <w:t>renaturyzacyjne</w:t>
            </w:r>
            <w:proofErr w:type="spellEnd"/>
            <w:r w:rsidRPr="00575CB5">
              <w:rPr>
                <w:rFonts w:ascii="Calibri" w:eastAsia="Times New Roman" w:hAnsi="Calibri" w:cs="Calibri"/>
                <w:color w:val="000000"/>
                <w:sz w:val="18"/>
                <w:szCs w:val="18"/>
                <w:lang w:eastAsia="pl-PL"/>
              </w:rPr>
              <w:t xml:space="preserve"> wskazane dla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NAT, zagrożonych, z presją znaczącą BIO_HM inną niż ciągłość (PPH2), powodującą zły stan elementów biologicznych zależnych od hydromorfologii i ryzyko nieosiągnięcia celów środowiskowych, w tym dla obszarów chronionych, dla których wskazano cele środowiskowe w zakresie wymogów rzek </w:t>
            </w:r>
            <w:proofErr w:type="spellStart"/>
            <w:r w:rsidRPr="00575CB5">
              <w:rPr>
                <w:rFonts w:ascii="Calibri" w:eastAsia="Times New Roman" w:hAnsi="Calibri" w:cs="Calibri"/>
                <w:color w:val="000000"/>
                <w:sz w:val="18"/>
                <w:szCs w:val="18"/>
                <w:lang w:eastAsia="pl-PL"/>
              </w:rPr>
              <w:t>włosinicznikowych</w:t>
            </w:r>
            <w:proofErr w:type="spellEnd"/>
            <w:r w:rsidRPr="00575CB5">
              <w:rPr>
                <w:rFonts w:ascii="Calibri" w:eastAsia="Times New Roman" w:hAnsi="Calibri" w:cs="Calibri"/>
                <w:color w:val="000000"/>
                <w:sz w:val="18"/>
                <w:szCs w:val="18"/>
                <w:lang w:eastAsia="pl-PL"/>
              </w:rPr>
              <w:t xml:space="preserve"> i wylewów, bez działań wynikających z testu restytucji.</w:t>
            </w:r>
            <w:r w:rsidRPr="00575CB5">
              <w:rPr>
                <w:rFonts w:ascii="Calibri" w:eastAsia="Times New Roman" w:hAnsi="Calibri" w:cs="Calibri"/>
                <w:color w:val="000000"/>
                <w:sz w:val="18"/>
                <w:szCs w:val="18"/>
                <w:lang w:eastAsia="pl-PL"/>
              </w:rPr>
              <w:br/>
            </w:r>
            <w:r w:rsidRPr="00575CB5">
              <w:rPr>
                <w:rFonts w:ascii="Calibri" w:eastAsia="Times New Roman" w:hAnsi="Calibri" w:cs="Calibri"/>
                <w:color w:val="000000"/>
                <w:sz w:val="18"/>
                <w:szCs w:val="18"/>
                <w:lang w:eastAsia="pl-PL"/>
              </w:rPr>
              <w:br/>
              <w:t xml:space="preserve">Wprowadzono działanie dla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RW: Analiza sposobu przeprowadzenia renaturyzacji koryta cieku oraz realizacja działań na podstawie przeprowadzonej analizy (do 2027 r.).</w:t>
            </w:r>
            <w:r w:rsidRPr="00575CB5">
              <w:rPr>
                <w:rFonts w:ascii="Calibri" w:eastAsia="Times New Roman" w:hAnsi="Calibri" w:cs="Calibri"/>
                <w:color w:val="000000"/>
                <w:sz w:val="18"/>
                <w:szCs w:val="18"/>
                <w:lang w:eastAsia="pl-PL"/>
              </w:rPr>
              <w:br/>
            </w:r>
            <w:r w:rsidRPr="00575CB5">
              <w:rPr>
                <w:rFonts w:ascii="Calibri" w:eastAsia="Times New Roman" w:hAnsi="Calibri" w:cs="Calibri"/>
                <w:color w:val="000000"/>
                <w:sz w:val="18"/>
                <w:szCs w:val="18"/>
                <w:lang w:eastAsia="pl-PL"/>
              </w:rPr>
              <w:br/>
              <w:t>Dokonane zostały również modyfikacje zestawów działań w zakresie działań ukierunkowanych na zapewnienie ciągłości biologicznej, a tym samym zapewnienie osiągnięcia celów środowiskowych w zakresie ciągłości biologicznej w perspektywie do 2027 r. Wprowadzone zmiany dotyczą m.in. działania RWHM_02.06, uzupełnionego o możliwość realizacji działania technicznego z zakresu przywrócenia drożności po wykonaniu oceny. Działanie RWHM_02.06 obecnie zawiera następujące zapisy:</w:t>
            </w:r>
            <w:r w:rsidRPr="00575CB5">
              <w:rPr>
                <w:rFonts w:ascii="Calibri" w:eastAsia="Times New Roman" w:hAnsi="Calibri" w:cs="Calibri"/>
                <w:color w:val="000000"/>
                <w:sz w:val="18"/>
                <w:szCs w:val="18"/>
                <w:lang w:eastAsia="pl-PL"/>
              </w:rPr>
              <w:br/>
              <w:t>Nazwa działania:</w:t>
            </w:r>
            <w:r w:rsidRPr="00575CB5">
              <w:rPr>
                <w:rFonts w:ascii="Calibri" w:eastAsia="Times New Roman" w:hAnsi="Calibri" w:cs="Calibri"/>
                <w:color w:val="000000"/>
                <w:sz w:val="18"/>
                <w:szCs w:val="18"/>
                <w:lang w:eastAsia="pl-PL"/>
              </w:rPr>
              <w:br/>
              <w:t xml:space="preserve">Ocena wpływu budowli poprzecznych na ciągłość biologiczną i cele środowiskowe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w:t>
            </w:r>
            <w:r w:rsidRPr="00575CB5">
              <w:rPr>
                <w:rFonts w:ascii="Calibri" w:eastAsia="Times New Roman" w:hAnsi="Calibri" w:cs="Calibri"/>
                <w:color w:val="000000"/>
                <w:sz w:val="18"/>
                <w:szCs w:val="18"/>
                <w:lang w:eastAsia="pl-PL"/>
              </w:rPr>
              <w:br/>
              <w:t>Opis działania:</w:t>
            </w:r>
            <w:r w:rsidRPr="00575CB5">
              <w:rPr>
                <w:rFonts w:ascii="Calibri" w:eastAsia="Times New Roman" w:hAnsi="Calibri" w:cs="Calibri"/>
                <w:color w:val="000000"/>
                <w:sz w:val="18"/>
                <w:szCs w:val="18"/>
                <w:lang w:eastAsia="pl-PL"/>
              </w:rPr>
              <w:br/>
              <w:t xml:space="preserve">Ocena wpływu budowli poprzecznych na ciągłość biologiczną i cele środowiskowe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W przypadku stwierdzenia negatywnego wpływu budowli na ciągłość biologiczną i cele środowiskowe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analiza możliwości wdrożenia działań zapewniających ciągłość biologiczną i spełnienie celów środowiskowych. Realizacja działań zgodnie z przeprowadzoną analizą. Wykaz budowli objętych działaniem zamieszczono w Zał. 1 Wykaz działań dla budowli.</w:t>
            </w:r>
            <w:r w:rsidRPr="00575CB5">
              <w:rPr>
                <w:rFonts w:ascii="Calibri" w:eastAsia="Times New Roman" w:hAnsi="Calibri" w:cs="Calibri"/>
                <w:color w:val="000000"/>
                <w:sz w:val="18"/>
                <w:szCs w:val="18"/>
                <w:lang w:eastAsia="pl-PL"/>
              </w:rPr>
              <w:br/>
              <w:t>Zastosowanie:</w:t>
            </w:r>
            <w:r w:rsidRPr="00575CB5">
              <w:rPr>
                <w:rFonts w:ascii="Calibri" w:eastAsia="Times New Roman" w:hAnsi="Calibri" w:cs="Calibri"/>
                <w:color w:val="000000"/>
                <w:sz w:val="18"/>
                <w:szCs w:val="18"/>
                <w:lang w:eastAsia="pl-PL"/>
              </w:rPr>
              <w:br/>
              <w:t>Działania mają na celu identyfikację wpływu budowli poprzecznych na ciągłość biologiczną. Działanie dedykowane w przypadku występowania budowli, dla których brak informacji uniemożliwia ocenę wpływu na ciągłość biologiczną, w szczególności, czy obiekt jest wyposażony w urządzenia do migracji ryb lub parametry obiektu (np. wysokość piętrzenia) umożliwiają migrację ryb. Wykaz budowli objętych działaniem zamieszczono w Zał. 1 Wykaz działań dla budowli.</w:t>
            </w:r>
            <w:r w:rsidRPr="00575CB5">
              <w:rPr>
                <w:rFonts w:ascii="Calibri" w:eastAsia="Times New Roman" w:hAnsi="Calibri" w:cs="Calibri"/>
                <w:color w:val="000000"/>
                <w:sz w:val="18"/>
                <w:szCs w:val="18"/>
                <w:lang w:eastAsia="pl-PL"/>
              </w:rPr>
              <w:br/>
              <w:t>Jednocześnie zmiany dokonano również w zakresie działania RWHM_02.08, które obecnie zawiera następujące zapisy:</w:t>
            </w:r>
            <w:r w:rsidRPr="00575CB5">
              <w:rPr>
                <w:rFonts w:ascii="Calibri" w:eastAsia="Times New Roman" w:hAnsi="Calibri" w:cs="Calibri"/>
                <w:color w:val="000000"/>
                <w:sz w:val="18"/>
                <w:szCs w:val="18"/>
                <w:lang w:eastAsia="pl-PL"/>
              </w:rPr>
              <w:br/>
              <w:t xml:space="preserve">Nazwa działania: Monitoring skuteczności istniejących urządzeń do </w:t>
            </w:r>
            <w:r w:rsidRPr="00575CB5">
              <w:rPr>
                <w:rFonts w:ascii="Calibri" w:eastAsia="Times New Roman" w:hAnsi="Calibri" w:cs="Calibri"/>
                <w:color w:val="000000"/>
                <w:sz w:val="18"/>
                <w:szCs w:val="18"/>
                <w:lang w:eastAsia="pl-PL"/>
              </w:rPr>
              <w:lastRenderedPageBreak/>
              <w:t>migracji ryb.</w:t>
            </w:r>
            <w:r w:rsidRPr="00575CB5">
              <w:rPr>
                <w:rFonts w:ascii="Calibri" w:eastAsia="Times New Roman" w:hAnsi="Calibri" w:cs="Calibri"/>
                <w:color w:val="000000"/>
                <w:sz w:val="18"/>
                <w:szCs w:val="18"/>
                <w:lang w:eastAsia="pl-PL"/>
              </w:rPr>
              <w:br/>
              <w:t xml:space="preserve">Opis działania: Monitoring skuteczności istniejących urządzeń do migracji ryb w celu weryfikacji prawidłowego funkcjonowania tych urządzeń. W przypadku stwierdzenia negatywnego wpływu budowli na ciągłość biologiczną i cele środowiskowe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analiza możliwości wdrożenia działań zapewniających ciągłość biologiczną i spełnienie celów środowiskowych. Realizacja działań zgodnie z przeprowadzoną analizą. Monitoring należy wykonać co najmniej raz w ciągu cyklu planistycznego. Wykaz budowli objętych działaniem zamieszczono w Zał. 1 Wykaz działań dla budowli.</w:t>
            </w:r>
            <w:r w:rsidRPr="00575CB5">
              <w:rPr>
                <w:rFonts w:ascii="Calibri" w:eastAsia="Times New Roman" w:hAnsi="Calibri" w:cs="Calibri"/>
                <w:color w:val="000000"/>
                <w:sz w:val="18"/>
                <w:szCs w:val="18"/>
                <w:lang w:eastAsia="pl-PL"/>
              </w:rPr>
              <w:br/>
              <w:t>Zastosowanie: Działanie mające na celu zapewnienie monitoringu urządzeń do migracji ryb, w przypadku, gdy istnieje informacja, że obiekty są wyposażone w takie urządzenia. Wykaz budowli objętych działaniem zamieszczono w Zał. 1 Wykaz działań dla budowli.</w:t>
            </w:r>
          </w:p>
        </w:tc>
      </w:tr>
      <w:tr w:rsidR="000254DC" w:rsidRPr="00575CB5" w14:paraId="0B28429D" w14:textId="77777777" w:rsidTr="00C46A1C">
        <w:trPr>
          <w:trHeight w:val="454"/>
        </w:trPr>
        <w:tc>
          <w:tcPr>
            <w:tcW w:w="434" w:type="dxa"/>
            <w:tcBorders>
              <w:top w:val="nil"/>
              <w:left w:val="single" w:sz="4" w:space="0" w:color="auto"/>
              <w:bottom w:val="single" w:sz="4" w:space="0" w:color="auto"/>
              <w:right w:val="single" w:sz="4" w:space="0" w:color="auto"/>
            </w:tcBorders>
            <w:shd w:val="clear" w:color="auto" w:fill="auto"/>
            <w:hideMark/>
          </w:tcPr>
          <w:p w14:paraId="3ADE8A87" w14:textId="77777777" w:rsidR="000254DC" w:rsidRPr="00575CB5" w:rsidRDefault="000254DC" w:rsidP="000254DC">
            <w:pPr>
              <w:ind w:firstLine="0"/>
              <w:jc w:val="center"/>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lastRenderedPageBreak/>
              <w:t>6</w:t>
            </w:r>
          </w:p>
        </w:tc>
        <w:tc>
          <w:tcPr>
            <w:tcW w:w="1516" w:type="dxa"/>
            <w:tcBorders>
              <w:top w:val="nil"/>
              <w:left w:val="nil"/>
              <w:bottom w:val="single" w:sz="4" w:space="0" w:color="auto"/>
              <w:right w:val="single" w:sz="4" w:space="0" w:color="auto"/>
            </w:tcBorders>
            <w:shd w:val="clear" w:color="auto" w:fill="auto"/>
            <w:hideMark/>
          </w:tcPr>
          <w:p w14:paraId="0675274D"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Szkoła Główna Gospodarstwa Wiejskiego w Warszawie</w:t>
            </w:r>
          </w:p>
        </w:tc>
        <w:tc>
          <w:tcPr>
            <w:tcW w:w="1480" w:type="dxa"/>
            <w:tcBorders>
              <w:top w:val="nil"/>
              <w:left w:val="nil"/>
              <w:bottom w:val="single" w:sz="4" w:space="0" w:color="auto"/>
              <w:right w:val="single" w:sz="4" w:space="0" w:color="auto"/>
            </w:tcBorders>
            <w:shd w:val="clear" w:color="auto" w:fill="auto"/>
            <w:hideMark/>
          </w:tcPr>
          <w:p w14:paraId="577168AC"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inne/pozostałe</w:t>
            </w:r>
          </w:p>
        </w:tc>
        <w:tc>
          <w:tcPr>
            <w:tcW w:w="3781" w:type="dxa"/>
            <w:tcBorders>
              <w:top w:val="nil"/>
              <w:left w:val="nil"/>
              <w:bottom w:val="single" w:sz="4" w:space="0" w:color="auto"/>
              <w:right w:val="single" w:sz="4" w:space="0" w:color="auto"/>
            </w:tcBorders>
            <w:shd w:val="clear" w:color="auto" w:fill="auto"/>
            <w:hideMark/>
          </w:tcPr>
          <w:p w14:paraId="34C97510" w14:textId="343BB116"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 xml:space="preserve">1. Projekty IIaPGW nie pozwolą na rozpoczęcie procesu poprawy stanu wód w Polsce, gdyż niemal zupełnie nie </w:t>
            </w:r>
            <w:r w:rsidR="00AC2331" w:rsidRPr="00575CB5">
              <w:rPr>
                <w:rFonts w:ascii="Calibri" w:eastAsia="Times New Roman" w:hAnsi="Calibri" w:cs="Calibri"/>
                <w:color w:val="000000"/>
                <w:sz w:val="18"/>
                <w:szCs w:val="18"/>
                <w:lang w:eastAsia="pl-PL"/>
              </w:rPr>
              <w:t>uwzględniają</w:t>
            </w:r>
            <w:r w:rsidRPr="00575CB5">
              <w:rPr>
                <w:rFonts w:ascii="Calibri" w:eastAsia="Times New Roman" w:hAnsi="Calibri" w:cs="Calibri"/>
                <w:color w:val="000000"/>
                <w:sz w:val="18"/>
                <w:szCs w:val="18"/>
                <w:lang w:eastAsia="pl-PL"/>
              </w:rPr>
              <w:t xml:space="preserve"> zapisów Krajowego Programu Renaturyzacji Wód Powierzchniowych (KPRWP) oraz ze względu na nowe presje hydromorfologiczne, będące skutkiem planowanych inwestycji i innych przedsięwzięć hydrotechnicznych, jak również prac utrzymaniowych rozumianych zgodnie z treścią Art. 227. ust. 3. ustawy Prawo Wodne, Dz. U. 2017 poz. 1566 z dnia 20 lipca 2017 r. Jak wskazano w KPRWP, 90% </w:t>
            </w:r>
            <w:proofErr w:type="spellStart"/>
            <w:r w:rsidRPr="00575CB5">
              <w:rPr>
                <w:rFonts w:ascii="Calibri" w:eastAsia="Times New Roman" w:hAnsi="Calibri" w:cs="Calibri"/>
                <w:color w:val="000000"/>
                <w:sz w:val="18"/>
                <w:szCs w:val="18"/>
                <w:lang w:eastAsia="pl-PL"/>
              </w:rPr>
              <w:t>a</w:t>
            </w:r>
            <w:r w:rsidR="001F37E7">
              <w:rPr>
                <w:rFonts w:ascii="Calibri" w:eastAsia="Times New Roman" w:hAnsi="Calibri" w:cs="Calibri"/>
                <w:color w:val="000000"/>
                <w:sz w:val="18"/>
                <w:szCs w:val="18"/>
                <w:lang w:eastAsia="pl-PL"/>
              </w:rPr>
              <w:t>JCWP</w:t>
            </w:r>
            <w:proofErr w:type="spellEnd"/>
            <w:r w:rsidRPr="00575CB5">
              <w:rPr>
                <w:rFonts w:ascii="Calibri" w:eastAsia="Times New Roman" w:hAnsi="Calibri" w:cs="Calibri"/>
                <w:color w:val="000000"/>
                <w:sz w:val="18"/>
                <w:szCs w:val="18"/>
                <w:lang w:eastAsia="pl-PL"/>
              </w:rPr>
              <w:t xml:space="preserve"> rzecznych w Polsce wymaga podjęcia jakichś działań </w:t>
            </w:r>
            <w:proofErr w:type="spellStart"/>
            <w:r w:rsidRPr="00575CB5">
              <w:rPr>
                <w:rFonts w:ascii="Calibri" w:eastAsia="Times New Roman" w:hAnsi="Calibri" w:cs="Calibri"/>
                <w:color w:val="000000"/>
                <w:sz w:val="18"/>
                <w:szCs w:val="18"/>
                <w:lang w:eastAsia="pl-PL"/>
              </w:rPr>
              <w:t>renaturyzacyjnych</w:t>
            </w:r>
            <w:proofErr w:type="spellEnd"/>
            <w:r w:rsidRPr="00575CB5">
              <w:rPr>
                <w:rFonts w:ascii="Calibri" w:eastAsia="Times New Roman" w:hAnsi="Calibri" w:cs="Calibri"/>
                <w:color w:val="000000"/>
                <w:sz w:val="18"/>
                <w:szCs w:val="18"/>
                <w:lang w:eastAsia="pl-PL"/>
              </w:rPr>
              <w:t xml:space="preserve">, rozumianych nawet jako modyfikację dotychczas prowadzonych prac. IIaPGW obszaru dorzecza Wisły, Odry, Niemna i Pregoły nie odnosi się do wyników KPRWP poza zdawkowym wspomnieniem istnienia tego dokumentu. Zwracamy uwagę na konieczność weryfikacji IIaPGW poprzez uwzględnienie szerokiej potrzeby wdrożenia prac </w:t>
            </w:r>
            <w:proofErr w:type="spellStart"/>
            <w:r w:rsidRPr="00575CB5">
              <w:rPr>
                <w:rFonts w:ascii="Calibri" w:eastAsia="Times New Roman" w:hAnsi="Calibri" w:cs="Calibri"/>
                <w:color w:val="000000"/>
                <w:sz w:val="18"/>
                <w:szCs w:val="18"/>
                <w:lang w:eastAsia="pl-PL"/>
              </w:rPr>
              <w:t>renaturyzacyjnych</w:t>
            </w:r>
            <w:proofErr w:type="spellEnd"/>
            <w:r w:rsidRPr="00575CB5">
              <w:rPr>
                <w:rFonts w:ascii="Calibri" w:eastAsia="Times New Roman" w:hAnsi="Calibri" w:cs="Calibri"/>
                <w:color w:val="000000"/>
                <w:sz w:val="18"/>
                <w:szCs w:val="18"/>
                <w:lang w:eastAsia="pl-PL"/>
              </w:rPr>
              <w:t xml:space="preserve"> w Polsce.</w:t>
            </w:r>
            <w:r w:rsidRPr="00575CB5">
              <w:rPr>
                <w:rFonts w:ascii="Calibri" w:eastAsia="Times New Roman" w:hAnsi="Calibri" w:cs="Calibri"/>
                <w:color w:val="000000"/>
                <w:sz w:val="18"/>
                <w:szCs w:val="18"/>
                <w:lang w:eastAsia="pl-PL"/>
              </w:rPr>
              <w:br/>
              <w:t>2. Projekty IIaPGW w żadnym stopniu nie odnoszą się do potrzeby zmiany trybu prowadzenia prac utrzymaniowych wskazywanych w Katalogu Dobrych Praktyk Robót Hydrotechnicznych i Prac Utrzymaniowych Wraz z Opracowaniem Zasad Ich Wdrażania. Zwracamy uwagę na konieczność jasnego zaznaczenia w IIaPGW obszaru dorzecza Wisły, Odry, Niemna i Pregoły informacji o negatywnym oddziaływaniu prac utrzymaniowych na ekosystemy wód podlegających tym pracom (sensu Art. 227. ust. 3. ustawy Prawo Wodne, Dz. U. 2017 poz. 1566 z dnia 20 lipca 2017 r). Zwracamy się również z prośbą o wprowadzenie do IIaPGW zapisów dotyczących konieczności ograniczenia prowadzenia prac utrzymaniowych wskazanych w załącznikach do konsultowanych dokumentów.</w:t>
            </w:r>
            <w:r w:rsidRPr="00575CB5">
              <w:rPr>
                <w:rFonts w:ascii="Calibri" w:eastAsia="Times New Roman" w:hAnsi="Calibri" w:cs="Calibri"/>
                <w:color w:val="000000"/>
                <w:sz w:val="18"/>
                <w:szCs w:val="18"/>
                <w:lang w:eastAsia="pl-PL"/>
              </w:rPr>
              <w:br/>
              <w:t xml:space="preserve">3. Zwracamy się z prośbą o wyjaśnienie, dlaczego nie dla wszystkich </w:t>
            </w:r>
            <w:proofErr w:type="spellStart"/>
            <w:r w:rsidRPr="00575CB5">
              <w:rPr>
                <w:rFonts w:ascii="Calibri" w:eastAsia="Times New Roman" w:hAnsi="Calibri" w:cs="Calibri"/>
                <w:color w:val="000000"/>
                <w:sz w:val="18"/>
                <w:szCs w:val="18"/>
                <w:lang w:eastAsia="pl-PL"/>
              </w:rPr>
              <w:t>a</w:t>
            </w:r>
            <w:r w:rsidR="001F37E7">
              <w:rPr>
                <w:rFonts w:ascii="Calibri" w:eastAsia="Times New Roman" w:hAnsi="Calibri" w:cs="Calibri"/>
                <w:color w:val="000000"/>
                <w:sz w:val="18"/>
                <w:szCs w:val="18"/>
                <w:lang w:eastAsia="pl-PL"/>
              </w:rPr>
              <w:t>JCWP</w:t>
            </w:r>
            <w:proofErr w:type="spellEnd"/>
            <w:r w:rsidRPr="00575CB5">
              <w:rPr>
                <w:rFonts w:ascii="Calibri" w:eastAsia="Times New Roman" w:hAnsi="Calibri" w:cs="Calibri"/>
                <w:color w:val="000000"/>
                <w:sz w:val="18"/>
                <w:szCs w:val="18"/>
                <w:lang w:eastAsia="pl-PL"/>
              </w:rPr>
              <w:t xml:space="preserve"> rzecznych, na których </w:t>
            </w:r>
            <w:r w:rsidRPr="00575CB5">
              <w:rPr>
                <w:rFonts w:ascii="Calibri" w:eastAsia="Times New Roman" w:hAnsi="Calibri" w:cs="Calibri"/>
                <w:color w:val="000000"/>
                <w:sz w:val="18"/>
                <w:szCs w:val="18"/>
                <w:lang w:eastAsia="pl-PL"/>
              </w:rPr>
              <w:lastRenderedPageBreak/>
              <w:t xml:space="preserve">są zlokalizowane elektrownie wodne, zaplanowano działania z zakresu wdrożenia przepływów środowiskowych. Duża zmienność przepływów poniżej elektrowni wodnych ma negatywny wpływ na organizmy żywe i tym samym może przyczyniać się do nieosiągnięcia celów środowiskowych. Wnioskujemy o zaplanowanie przepływów środowiskowych dla wszystkich </w:t>
            </w:r>
            <w:proofErr w:type="spellStart"/>
            <w:r w:rsidRPr="00575CB5">
              <w:rPr>
                <w:rFonts w:ascii="Calibri" w:eastAsia="Times New Roman" w:hAnsi="Calibri" w:cs="Calibri"/>
                <w:color w:val="000000"/>
                <w:sz w:val="18"/>
                <w:szCs w:val="18"/>
                <w:lang w:eastAsia="pl-PL"/>
              </w:rPr>
              <w:t>a</w:t>
            </w:r>
            <w:r w:rsidR="001F37E7">
              <w:rPr>
                <w:rFonts w:ascii="Calibri" w:eastAsia="Times New Roman" w:hAnsi="Calibri" w:cs="Calibri"/>
                <w:color w:val="000000"/>
                <w:sz w:val="18"/>
                <w:szCs w:val="18"/>
                <w:lang w:eastAsia="pl-PL"/>
              </w:rPr>
              <w:t>JCWP</w:t>
            </w:r>
            <w:proofErr w:type="spellEnd"/>
            <w:r w:rsidRPr="00575CB5">
              <w:rPr>
                <w:rFonts w:ascii="Calibri" w:eastAsia="Times New Roman" w:hAnsi="Calibri" w:cs="Calibri"/>
                <w:color w:val="000000"/>
                <w:sz w:val="18"/>
                <w:szCs w:val="18"/>
                <w:lang w:eastAsia="pl-PL"/>
              </w:rPr>
              <w:t>, w których występują elektrownie wodne.</w:t>
            </w:r>
            <w:r w:rsidRPr="00575CB5">
              <w:rPr>
                <w:rFonts w:ascii="Calibri" w:eastAsia="Times New Roman" w:hAnsi="Calibri" w:cs="Calibri"/>
                <w:color w:val="000000"/>
                <w:sz w:val="18"/>
                <w:szCs w:val="18"/>
                <w:lang w:eastAsia="pl-PL"/>
              </w:rPr>
              <w:br/>
              <w:t>4. IIaPGW w obecnej postaci przewiduje działania z zakresu przywrócenia ciągłości biologicznej, natomiast część wskazanych obiektów jest administrowana przez osoby/firmy prywatne. Obecne przepisy uniemożliwiają wyegzekwowanie udrożnienia budowli poprzecznych na podmiotach prywatnych. Obowiązek budowy urządzeń do migracji ryb dotyczy tylko nowobudowanych obiektów. Wnioskujemy o zmianę dotychczasowych przepisów prawnych w tym zakresie lub o modyfikację zapisów IIaPGW i doprowadzenie zapisów do ich zgodności z obowiązującym prawem, aby złożenia i działania przedstawione w IIaPGW były realne do wdrożenia i były pozbawione zapisów niemożliwych do wyegzekwowania.</w:t>
            </w:r>
            <w:r w:rsidRPr="00575CB5">
              <w:rPr>
                <w:rFonts w:ascii="Calibri" w:eastAsia="Times New Roman" w:hAnsi="Calibri" w:cs="Calibri"/>
                <w:color w:val="000000"/>
                <w:sz w:val="18"/>
                <w:szCs w:val="18"/>
                <w:lang w:eastAsia="pl-PL"/>
              </w:rPr>
              <w:br/>
              <w:t xml:space="preserve">5. Dlaczego w IIaPGW zaplanowano działania renaturyzacyjne tylko dla odcinków pilotażowych z KPRWP? Opracowany KRPWP jak i wyniki oceny stanu wód wskazują, że większość rzek w Polsce zagrożona jest nieosiągnięciem celów środowiskowych. Wobec tego, działania z KPRWP we wszystkich wymagających tego </w:t>
            </w:r>
            <w:proofErr w:type="spellStart"/>
            <w:r w:rsidRPr="00575CB5">
              <w:rPr>
                <w:rFonts w:ascii="Calibri" w:eastAsia="Times New Roman" w:hAnsi="Calibri" w:cs="Calibri"/>
                <w:color w:val="000000"/>
                <w:sz w:val="18"/>
                <w:szCs w:val="18"/>
                <w:lang w:eastAsia="pl-PL"/>
              </w:rPr>
              <w:t>a</w:t>
            </w:r>
            <w:r w:rsidR="001F37E7">
              <w:rPr>
                <w:rFonts w:ascii="Calibri" w:eastAsia="Times New Roman" w:hAnsi="Calibri" w:cs="Calibri"/>
                <w:color w:val="000000"/>
                <w:sz w:val="18"/>
                <w:szCs w:val="18"/>
                <w:lang w:eastAsia="pl-PL"/>
              </w:rPr>
              <w:t>JCWP</w:t>
            </w:r>
            <w:proofErr w:type="spellEnd"/>
            <w:r w:rsidRPr="00575CB5">
              <w:rPr>
                <w:rFonts w:ascii="Calibri" w:eastAsia="Times New Roman" w:hAnsi="Calibri" w:cs="Calibri"/>
                <w:color w:val="000000"/>
                <w:sz w:val="18"/>
                <w:szCs w:val="18"/>
                <w:lang w:eastAsia="pl-PL"/>
              </w:rPr>
              <w:t xml:space="preserve"> rzecznych powinny zostać przeniesione do IIaPGW.</w:t>
            </w:r>
            <w:r w:rsidRPr="00575CB5">
              <w:rPr>
                <w:rFonts w:ascii="Calibri" w:eastAsia="Times New Roman" w:hAnsi="Calibri" w:cs="Calibri"/>
                <w:color w:val="000000"/>
                <w:sz w:val="18"/>
                <w:szCs w:val="18"/>
                <w:lang w:eastAsia="pl-PL"/>
              </w:rPr>
              <w:br/>
              <w:t xml:space="preserve">6. Zwracamy się z prośbą o jednoznaczne wskazanie w IIaPGW konieczności podjęcia działań szkoleniowych dla zarządców </w:t>
            </w:r>
            <w:proofErr w:type="spellStart"/>
            <w:r w:rsidRPr="00575CB5">
              <w:rPr>
                <w:rFonts w:ascii="Calibri" w:eastAsia="Times New Roman" w:hAnsi="Calibri" w:cs="Calibri"/>
                <w:color w:val="000000"/>
                <w:sz w:val="18"/>
                <w:szCs w:val="18"/>
                <w:lang w:eastAsia="pl-PL"/>
              </w:rPr>
              <w:t>a</w:t>
            </w:r>
            <w:r w:rsidR="001F37E7">
              <w:rPr>
                <w:rFonts w:ascii="Calibri" w:eastAsia="Times New Roman" w:hAnsi="Calibri" w:cs="Calibri"/>
                <w:color w:val="000000"/>
                <w:sz w:val="18"/>
                <w:szCs w:val="18"/>
                <w:lang w:eastAsia="pl-PL"/>
              </w:rPr>
              <w:t>JCWP</w:t>
            </w:r>
            <w:proofErr w:type="spellEnd"/>
            <w:r w:rsidRPr="00575CB5">
              <w:rPr>
                <w:rFonts w:ascii="Calibri" w:eastAsia="Times New Roman" w:hAnsi="Calibri" w:cs="Calibri"/>
                <w:color w:val="000000"/>
                <w:sz w:val="18"/>
                <w:szCs w:val="18"/>
                <w:lang w:eastAsia="pl-PL"/>
              </w:rPr>
              <w:t xml:space="preserve"> lub innych podmiotów wykonujących prawa właścicielskie w stosunku do </w:t>
            </w:r>
            <w:proofErr w:type="spellStart"/>
            <w:r w:rsidRPr="00575CB5">
              <w:rPr>
                <w:rFonts w:ascii="Calibri" w:eastAsia="Times New Roman" w:hAnsi="Calibri" w:cs="Calibri"/>
                <w:color w:val="000000"/>
                <w:sz w:val="18"/>
                <w:szCs w:val="18"/>
                <w:lang w:eastAsia="pl-PL"/>
              </w:rPr>
              <w:t>a</w:t>
            </w:r>
            <w:r w:rsidR="001F37E7">
              <w:rPr>
                <w:rFonts w:ascii="Calibri" w:eastAsia="Times New Roman" w:hAnsi="Calibri" w:cs="Calibri"/>
                <w:color w:val="000000"/>
                <w:sz w:val="18"/>
                <w:szCs w:val="18"/>
                <w:lang w:eastAsia="pl-PL"/>
              </w:rPr>
              <w:t>JCWP</w:t>
            </w:r>
            <w:proofErr w:type="spellEnd"/>
            <w:r w:rsidRPr="00575CB5">
              <w:rPr>
                <w:rFonts w:ascii="Calibri" w:eastAsia="Times New Roman" w:hAnsi="Calibri" w:cs="Calibri"/>
                <w:color w:val="000000"/>
                <w:sz w:val="18"/>
                <w:szCs w:val="18"/>
                <w:lang w:eastAsia="pl-PL"/>
              </w:rPr>
              <w:t xml:space="preserve"> z zakresu rozwiązań bazujących na zastosowaniu zielonej infrastruktury oraz renaturyzacji rzek pozwalającej równocześnie na ich gospodarcze wykorzystanie. </w:t>
            </w:r>
            <w:r w:rsidRPr="00575CB5">
              <w:rPr>
                <w:rFonts w:ascii="Calibri" w:eastAsia="Times New Roman" w:hAnsi="Calibri" w:cs="Calibri"/>
                <w:color w:val="000000"/>
                <w:sz w:val="18"/>
                <w:szCs w:val="18"/>
                <w:lang w:eastAsia="pl-PL"/>
              </w:rPr>
              <w:br/>
              <w:t>7. Działania proponowane w wykazach działań będących załącznikami do dokumentów IIaPGW oraz w zestawieniach inwestycji kierunkowych nie są opatrzone informacjami o możliwości ich adaptacji na podstawie wyników monitoringu. Wnosimy o podanie dla poszczególnych działań informacji o prowadzonym monitoringu pozwalającym na stwierdzenie, że dane działania są niezbędne do przeprowadzenia.</w:t>
            </w:r>
          </w:p>
        </w:tc>
        <w:tc>
          <w:tcPr>
            <w:tcW w:w="2990" w:type="dxa"/>
            <w:tcBorders>
              <w:top w:val="nil"/>
              <w:left w:val="nil"/>
              <w:bottom w:val="single" w:sz="4" w:space="0" w:color="auto"/>
              <w:right w:val="single" w:sz="4" w:space="0" w:color="auto"/>
            </w:tcBorders>
            <w:shd w:val="clear" w:color="auto" w:fill="auto"/>
            <w:hideMark/>
          </w:tcPr>
          <w:p w14:paraId="2F9CB3D7"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lastRenderedPageBreak/>
              <w:t>-</w:t>
            </w:r>
          </w:p>
        </w:tc>
        <w:tc>
          <w:tcPr>
            <w:tcW w:w="2658" w:type="dxa"/>
            <w:tcBorders>
              <w:top w:val="nil"/>
              <w:left w:val="nil"/>
              <w:bottom w:val="single" w:sz="4" w:space="0" w:color="auto"/>
              <w:right w:val="single" w:sz="4" w:space="0" w:color="auto"/>
            </w:tcBorders>
            <w:shd w:val="clear" w:color="auto" w:fill="auto"/>
            <w:hideMark/>
          </w:tcPr>
          <w:p w14:paraId="29AC0E75"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w:t>
            </w:r>
          </w:p>
        </w:tc>
        <w:tc>
          <w:tcPr>
            <w:tcW w:w="1633" w:type="dxa"/>
            <w:tcBorders>
              <w:top w:val="nil"/>
              <w:left w:val="nil"/>
              <w:bottom w:val="single" w:sz="4" w:space="0" w:color="auto"/>
              <w:right w:val="single" w:sz="4" w:space="0" w:color="auto"/>
            </w:tcBorders>
            <w:shd w:val="clear" w:color="auto" w:fill="auto"/>
            <w:hideMark/>
          </w:tcPr>
          <w:p w14:paraId="48B35FB1"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 xml:space="preserve"> - </w:t>
            </w:r>
          </w:p>
        </w:tc>
        <w:tc>
          <w:tcPr>
            <w:tcW w:w="1393" w:type="dxa"/>
            <w:tcBorders>
              <w:top w:val="nil"/>
              <w:left w:val="nil"/>
              <w:bottom w:val="single" w:sz="4" w:space="0" w:color="auto"/>
              <w:right w:val="single" w:sz="4" w:space="0" w:color="auto"/>
            </w:tcBorders>
            <w:shd w:val="clear" w:color="auto" w:fill="auto"/>
            <w:hideMark/>
          </w:tcPr>
          <w:p w14:paraId="246AE431"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uwzględniono częściowo</w:t>
            </w:r>
          </w:p>
        </w:tc>
        <w:tc>
          <w:tcPr>
            <w:tcW w:w="5082" w:type="dxa"/>
            <w:tcBorders>
              <w:top w:val="nil"/>
              <w:left w:val="nil"/>
              <w:bottom w:val="single" w:sz="4" w:space="0" w:color="auto"/>
              <w:right w:val="single" w:sz="4" w:space="0" w:color="auto"/>
            </w:tcBorders>
            <w:shd w:val="clear" w:color="auto" w:fill="auto"/>
            <w:hideMark/>
          </w:tcPr>
          <w:p w14:paraId="33C0EBF1" w14:textId="77B28513"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 xml:space="preserve">Ad. 1 Zestaw działań naprawczych IIaPGW został zweryfikowany, uwzględniono uwagi w zakresie KPRWP zgłoszone w trakcie konsultacji społecznych. Rozbudowano zestawy działań naprawczych IIaPGW w zakresie likwidacji presji hydromorfologicznych, wskazano dodatkowe działania techniczne mające na celu przywrócenie ciągłości biologicznej cieków, działania techniczne w zakresie renaturyzacji koryta oraz rozszerzono zakres działań nietechnicznych do działań 2- etapowych, obejmujących część analityczną oraz w przypadku, kiedy analizy wykażą negatywny wpływ budowli na ciągłość lub brak skuteczności istniejących urządzeń służących migracji ryb, obejmujący realizację działań technicznych. W zestawach działań II aPGW w celu przywrócenia drożności cieków, przypisano konkretne działania dla konkretnych obiektów, których szczegółowe zestawienie zawiera Załącznik 1 IIaPGW Wykaz działań dla budowli, łącznie zaplanowano 1216 działań technicznych (lub działań nietechnicznych z rozszerzeniem do działań technicznych w przypadku stwierdzonego braku ciągłości) dla 676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W IIaPGW łącznie działań technicznych służących poprawie warunków hydromorfologicznych wpisujących się w działania wskazane w KPRWP przypisano dla 1119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rzecznych oraz dla 129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jeziornych. W IIaPGW włączono dodatkowo wszystkie działania nakierowane na poprawę i ochronę warunków hydromorfologicznych wód powierzchniowych implementowane z PZO/PO dla obszarów przyrodniczo chronionych - łącznie 7791 działań zaplanowanych w obrębie 1171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rzecznych oraz 1690 działań w obrębie 295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jeziornych.</w:t>
            </w:r>
            <w:r w:rsidRPr="00575CB5">
              <w:rPr>
                <w:rFonts w:ascii="Calibri" w:eastAsia="Times New Roman" w:hAnsi="Calibri" w:cs="Calibri"/>
                <w:color w:val="000000"/>
                <w:sz w:val="18"/>
                <w:szCs w:val="18"/>
                <w:lang w:eastAsia="pl-PL"/>
              </w:rPr>
              <w:br/>
            </w:r>
            <w:r w:rsidRPr="00575CB5">
              <w:rPr>
                <w:rFonts w:ascii="Calibri" w:eastAsia="Times New Roman" w:hAnsi="Calibri" w:cs="Calibri"/>
                <w:color w:val="000000"/>
                <w:sz w:val="18"/>
                <w:szCs w:val="18"/>
                <w:lang w:eastAsia="pl-PL"/>
              </w:rPr>
              <w:br/>
              <w:t xml:space="preserve">Ad. 2. Na poziomie krajowym wskazano działanie dla wszystkich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Prowadzenie prac utrzymaniowych zgodnie z Katalogiem Dobrych Praktyk Robót Hydrotechnicznych i Prac Utrzymaniowych. Dodatkowo dla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zagrożonych, dla których zidentyfikowano presje hydromorfologiczne związane z pracami utrzymaniowymi, wskazano działanie: RWHM_03.01: Rozpoznanie zasadności, a w przypadku jej stwierdzenia wprowadzenie w PZO/PO działań dot. wskazań obejmujących: zakres prac utrzymaniowych (modyfikacja, zaniechanie, prowadzenie prac zgodnie z katalogiem dobrych praktyk prac utrzymaniowych itp.), wprowadzenie modyfikacji </w:t>
            </w:r>
            <w:proofErr w:type="spellStart"/>
            <w:r w:rsidRPr="00575CB5">
              <w:rPr>
                <w:rFonts w:ascii="Calibri" w:eastAsia="Times New Roman" w:hAnsi="Calibri" w:cs="Calibri"/>
                <w:color w:val="000000"/>
                <w:sz w:val="18"/>
                <w:szCs w:val="18"/>
                <w:lang w:eastAsia="pl-PL"/>
              </w:rPr>
              <w:t>renaturyzujących</w:t>
            </w:r>
            <w:proofErr w:type="spellEnd"/>
            <w:r w:rsidRPr="00575CB5">
              <w:rPr>
                <w:rFonts w:ascii="Calibri" w:eastAsia="Times New Roman" w:hAnsi="Calibri" w:cs="Calibri"/>
                <w:color w:val="000000"/>
                <w:sz w:val="18"/>
                <w:szCs w:val="18"/>
                <w:lang w:eastAsia="pl-PL"/>
              </w:rPr>
              <w:t xml:space="preserve"> w ramach prac utrzymaniowych wg katalogu KPRWP, poprawę warunków siedliskowych w korycie, odtwarzanie siedlisk w korycie i strefie brzegowej w ramach prac </w:t>
            </w:r>
            <w:proofErr w:type="spellStart"/>
            <w:r w:rsidRPr="00575CB5">
              <w:rPr>
                <w:rFonts w:ascii="Calibri" w:eastAsia="Times New Roman" w:hAnsi="Calibri" w:cs="Calibri"/>
                <w:color w:val="000000"/>
                <w:sz w:val="18"/>
                <w:szCs w:val="18"/>
                <w:lang w:eastAsia="pl-PL"/>
              </w:rPr>
              <w:t>renaturyzacyjnych</w:t>
            </w:r>
            <w:proofErr w:type="spellEnd"/>
            <w:r w:rsidRPr="00575CB5">
              <w:rPr>
                <w:rFonts w:ascii="Calibri" w:eastAsia="Times New Roman" w:hAnsi="Calibri" w:cs="Calibri"/>
                <w:color w:val="000000"/>
                <w:sz w:val="18"/>
                <w:szCs w:val="18"/>
                <w:lang w:eastAsia="pl-PL"/>
              </w:rPr>
              <w:t xml:space="preserve"> wg KPRWP (zgodnie z celami środowiskowymi </w:t>
            </w:r>
            <w:r w:rsidRPr="00575CB5">
              <w:rPr>
                <w:rFonts w:ascii="Calibri" w:eastAsia="Times New Roman" w:hAnsi="Calibri" w:cs="Calibri"/>
                <w:color w:val="000000"/>
                <w:sz w:val="18"/>
                <w:szCs w:val="18"/>
                <w:lang w:eastAsia="pl-PL"/>
              </w:rPr>
              <w:lastRenderedPageBreak/>
              <w:t xml:space="preserve">dla obszaru chronionego, adekwatnie do natężenia istniejącej presji). Ograniczono działanie do nietechnicznego, ponieważ wprowadzenie </w:t>
            </w:r>
            <w:proofErr w:type="spellStart"/>
            <w:r w:rsidRPr="00575CB5">
              <w:rPr>
                <w:rFonts w:ascii="Calibri" w:eastAsia="Times New Roman" w:hAnsi="Calibri" w:cs="Calibri"/>
                <w:color w:val="000000"/>
                <w:sz w:val="18"/>
                <w:szCs w:val="18"/>
                <w:lang w:eastAsia="pl-PL"/>
              </w:rPr>
              <w:t>renaturyzcji</w:t>
            </w:r>
            <w:proofErr w:type="spellEnd"/>
            <w:r w:rsidRPr="00575CB5">
              <w:rPr>
                <w:rFonts w:ascii="Calibri" w:eastAsia="Times New Roman" w:hAnsi="Calibri" w:cs="Calibri"/>
                <w:color w:val="000000"/>
                <w:sz w:val="18"/>
                <w:szCs w:val="18"/>
                <w:lang w:eastAsia="pl-PL"/>
              </w:rPr>
              <w:t xml:space="preserve"> przez prace utrzymaniowe wymaga szczegółowych ocen wpływu na cele środowiskowe oraz przedmioty ochrony.</w:t>
            </w:r>
            <w:r w:rsidRPr="00575CB5">
              <w:rPr>
                <w:rFonts w:ascii="Calibri" w:eastAsia="Times New Roman" w:hAnsi="Calibri" w:cs="Calibri"/>
                <w:color w:val="000000"/>
                <w:sz w:val="18"/>
                <w:szCs w:val="18"/>
                <w:lang w:eastAsia="pl-PL"/>
              </w:rPr>
              <w:br/>
            </w:r>
            <w:r w:rsidRPr="00575CB5">
              <w:rPr>
                <w:rFonts w:ascii="Calibri" w:eastAsia="Times New Roman" w:hAnsi="Calibri" w:cs="Calibri"/>
                <w:color w:val="000000"/>
                <w:sz w:val="18"/>
                <w:szCs w:val="18"/>
                <w:lang w:eastAsia="pl-PL"/>
              </w:rPr>
              <w:br/>
              <w:t xml:space="preserve">Ad. 3. Na poziomie krajowym dla wszystkich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wskazano działanie: Ustalenie przepływów hydrobiologicznych dla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z uwzględnieniem celów środowiskowych wskazanych dla obszarów przyrodniczych, po uwagach zgłoszonych w toku konsultacji doprecyzowano nazwę działania krajowego i brzmi aktualnie: Ustalenie przepływów środowiskowych wymaganych do osiągnięcia celów środowiskowych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w:t>
            </w:r>
            <w:r w:rsidRPr="00575CB5">
              <w:rPr>
                <w:rFonts w:ascii="Calibri" w:eastAsia="Times New Roman" w:hAnsi="Calibri" w:cs="Calibri"/>
                <w:color w:val="000000"/>
                <w:sz w:val="18"/>
                <w:szCs w:val="18"/>
                <w:lang w:eastAsia="pl-PL"/>
              </w:rPr>
              <w:br/>
            </w:r>
            <w:r w:rsidRPr="00575CB5">
              <w:rPr>
                <w:rFonts w:ascii="Calibri" w:eastAsia="Times New Roman" w:hAnsi="Calibri" w:cs="Calibri"/>
                <w:color w:val="000000"/>
                <w:sz w:val="18"/>
                <w:szCs w:val="18"/>
                <w:lang w:eastAsia="pl-PL"/>
              </w:rPr>
              <w:br/>
              <w:t xml:space="preserve">Ad. 4. Plany gospodarowania wodami mają określoną w ustawie Prawo wodne funkcję prawną, a ich zawartość powinna być adekwatna do delegacji wynikającej z tej ustawy, nie mogą zatem zawierać treści niewynikających z podstawy prawnej wskazanej w ustawie - np. postulatów zmian obowiązujących przepisów. Natomiast trzeba zauważyć, że istniejące przepisy dają podstawę do tego, by wyegzekwować działania </w:t>
            </w:r>
            <w:proofErr w:type="spellStart"/>
            <w:r w:rsidRPr="00575CB5">
              <w:rPr>
                <w:rFonts w:ascii="Calibri" w:eastAsia="Times New Roman" w:hAnsi="Calibri" w:cs="Calibri"/>
                <w:color w:val="000000"/>
                <w:sz w:val="18"/>
                <w:szCs w:val="18"/>
                <w:lang w:eastAsia="pl-PL"/>
              </w:rPr>
              <w:t>udrożnieniowe</w:t>
            </w:r>
            <w:proofErr w:type="spellEnd"/>
            <w:r w:rsidRPr="00575CB5">
              <w:rPr>
                <w:rFonts w:ascii="Calibri" w:eastAsia="Times New Roman" w:hAnsi="Calibri" w:cs="Calibri"/>
                <w:color w:val="000000"/>
                <w:sz w:val="18"/>
                <w:szCs w:val="18"/>
                <w:lang w:eastAsia="pl-PL"/>
              </w:rPr>
              <w:t xml:space="preserve"> także od "podmiotów prywatnych". Jeżeli przyjmiemy, że piętrzenie wód jest prowadzone po to, by możliwe było korzystanie z wód lub usług wodnych (np. pobór wody lub produkcja energii), to pozwolenia wodnoprawne na takie korzystanie powinny (według ustawy Prawo wodne) podlegać cyklicznym przeglądom, są one zresztą wydawane na określony czas. W ramach przeglądu lub wydawania pozwoleń wodnoprawnych niezbędne jest sprawdzenie zgodności z celami środowiskowymi; jeżeli tej zgodności nie ma, to ustawa daje możliwość do cofnięcia (lub odmowy wydania) pozwolenia wodnoprawnego.</w:t>
            </w:r>
            <w:r w:rsidRPr="00575CB5">
              <w:rPr>
                <w:rFonts w:ascii="Calibri" w:eastAsia="Times New Roman" w:hAnsi="Calibri" w:cs="Calibri"/>
                <w:color w:val="000000"/>
                <w:sz w:val="18"/>
                <w:szCs w:val="18"/>
                <w:lang w:eastAsia="pl-PL"/>
              </w:rPr>
              <w:br/>
            </w:r>
            <w:r w:rsidRPr="00575CB5">
              <w:rPr>
                <w:rFonts w:ascii="Calibri" w:eastAsia="Times New Roman" w:hAnsi="Calibri" w:cs="Calibri"/>
                <w:color w:val="000000"/>
                <w:sz w:val="18"/>
                <w:szCs w:val="18"/>
                <w:lang w:eastAsia="pl-PL"/>
              </w:rPr>
              <w:br/>
              <w:t xml:space="preserve">Ad. 5. W IIaPGW po uwzględnieniu uwag zgłoszonych w konsultacjach społecznych z uwzględnieniem najnowszych wyników monitoringu GIOŚ, działań technicznych służących poprawie warunków hydromorfologicznych wpisujących się w założenia KPRWP przypisano dla 1119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rzecznych oraz dla 129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jeziornych. W IIaPGW implementowano dodatkowo wszystkie działania nakierowane na poprawę i ochronę warunków hydromorfologicznych wód powierzchniowych zawarte w PZO/PO dla obszarów przyrodniczo chronionych - łącznie 7791 działań zaplanowanych w obrębie 1171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rzecznych oraz 1690 działań w obrębie 295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jeziornych (działania przypisywano do poszczególnych obszarów na poziomie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w:t>
            </w:r>
            <w:r w:rsidRPr="00575CB5">
              <w:rPr>
                <w:rFonts w:ascii="Calibri" w:eastAsia="Times New Roman" w:hAnsi="Calibri" w:cs="Calibri"/>
                <w:color w:val="000000"/>
                <w:sz w:val="18"/>
                <w:szCs w:val="18"/>
                <w:lang w:eastAsia="pl-PL"/>
              </w:rPr>
              <w:br/>
            </w:r>
            <w:r w:rsidRPr="00575CB5">
              <w:rPr>
                <w:rFonts w:ascii="Calibri" w:eastAsia="Times New Roman" w:hAnsi="Calibri" w:cs="Calibri"/>
                <w:color w:val="000000"/>
                <w:sz w:val="18"/>
                <w:szCs w:val="18"/>
                <w:lang w:eastAsia="pl-PL"/>
              </w:rPr>
              <w:br/>
              <w:t>Ad.6 .PGW WP dostrzega potrzebę przeprowadzenia szkoleń dla zarządców wód z zakresu rozwiązań bazujących na zastosowaniu zielonej infrastruktury oraz renaturyzacji rzek, jednak podjęcie takich działań nie jest uwarunkowane od wpisania ich w zestaw działań naprawczych i mogą być one realizowane niezależnie od zapisów IIaPGW.</w:t>
            </w:r>
            <w:r w:rsidRPr="00575CB5">
              <w:rPr>
                <w:rFonts w:ascii="Calibri" w:eastAsia="Times New Roman" w:hAnsi="Calibri" w:cs="Calibri"/>
                <w:color w:val="000000"/>
                <w:sz w:val="18"/>
                <w:szCs w:val="18"/>
                <w:lang w:eastAsia="pl-PL"/>
              </w:rPr>
              <w:br/>
            </w:r>
            <w:r w:rsidRPr="00575CB5">
              <w:rPr>
                <w:rFonts w:ascii="Calibri" w:eastAsia="Times New Roman" w:hAnsi="Calibri" w:cs="Calibri"/>
                <w:color w:val="000000"/>
                <w:sz w:val="18"/>
                <w:szCs w:val="18"/>
                <w:lang w:eastAsia="pl-PL"/>
              </w:rPr>
              <w:br/>
              <w:t xml:space="preserve">Ad. 7. Każde działanie wskazane w ramach IIaPGW ma przypisaną jednostkę odpowiedzialną za jego realizację oraz monitoring. Działania techniczne wprowadzono w większości jako działania 2-etapowe, składające się z części analitycznej, nietechnicznej oraz technicznej czyli realizację zakresu działania zgodnie z wykonanymi </w:t>
            </w:r>
            <w:r w:rsidRPr="00575CB5">
              <w:rPr>
                <w:rFonts w:ascii="Calibri" w:eastAsia="Times New Roman" w:hAnsi="Calibri" w:cs="Calibri"/>
                <w:color w:val="000000"/>
                <w:sz w:val="18"/>
                <w:szCs w:val="18"/>
                <w:lang w:eastAsia="pl-PL"/>
              </w:rPr>
              <w:lastRenderedPageBreak/>
              <w:t xml:space="preserve">analizami, ocenami, projektami i po uzyskaniu odpowiednich dokumentacji i pozwoleń. W przypadku działań technicznych proponowanych do realizacji w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jeziornych, których efektywność uzależniona jest od czynników zewnętrznych, zaproponowano działanie LWC_12.01 Kontrola procesów rekultywacji. W stosunku do pozostałych działań każdorazowo w Zestawie działań wskazywano Jednostkę odpowiedzialną za sprawozdawczość wraz z przypisanymi wskaźnikami oceny postępu we wdrażaniu poszczególnych działań</w:t>
            </w:r>
            <w:r w:rsidR="00562D8A">
              <w:rPr>
                <w:rFonts w:ascii="Calibri" w:eastAsia="Times New Roman" w:hAnsi="Calibri" w:cs="Calibri"/>
                <w:color w:val="000000"/>
                <w:sz w:val="18"/>
                <w:szCs w:val="18"/>
                <w:lang w:eastAsia="pl-PL"/>
              </w:rPr>
              <w:t>.</w:t>
            </w:r>
          </w:p>
        </w:tc>
      </w:tr>
      <w:tr w:rsidR="000254DC" w:rsidRPr="00575CB5" w14:paraId="4B2925DC" w14:textId="77777777" w:rsidTr="00650CA2">
        <w:trPr>
          <w:trHeight w:val="454"/>
        </w:trPr>
        <w:tc>
          <w:tcPr>
            <w:tcW w:w="434" w:type="dxa"/>
            <w:tcBorders>
              <w:top w:val="nil"/>
              <w:left w:val="single" w:sz="4" w:space="0" w:color="auto"/>
              <w:bottom w:val="single" w:sz="4" w:space="0" w:color="auto"/>
              <w:right w:val="single" w:sz="4" w:space="0" w:color="auto"/>
            </w:tcBorders>
            <w:shd w:val="clear" w:color="auto" w:fill="auto"/>
            <w:hideMark/>
          </w:tcPr>
          <w:p w14:paraId="22902E25" w14:textId="77777777" w:rsidR="000254DC" w:rsidRPr="00575CB5" w:rsidRDefault="000254DC" w:rsidP="000254DC">
            <w:pPr>
              <w:ind w:firstLine="0"/>
              <w:jc w:val="center"/>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lastRenderedPageBreak/>
              <w:t>7</w:t>
            </w:r>
          </w:p>
        </w:tc>
        <w:tc>
          <w:tcPr>
            <w:tcW w:w="1516" w:type="dxa"/>
            <w:tcBorders>
              <w:top w:val="nil"/>
              <w:left w:val="nil"/>
              <w:bottom w:val="single" w:sz="4" w:space="0" w:color="auto"/>
              <w:right w:val="single" w:sz="4" w:space="0" w:color="auto"/>
            </w:tcBorders>
            <w:shd w:val="clear" w:color="auto" w:fill="auto"/>
            <w:hideMark/>
          </w:tcPr>
          <w:p w14:paraId="10470242"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Klub Przyrodników</w:t>
            </w:r>
          </w:p>
        </w:tc>
        <w:tc>
          <w:tcPr>
            <w:tcW w:w="1480" w:type="dxa"/>
            <w:tcBorders>
              <w:top w:val="nil"/>
              <w:left w:val="nil"/>
              <w:bottom w:val="single" w:sz="4" w:space="0" w:color="auto"/>
              <w:right w:val="single" w:sz="4" w:space="0" w:color="auto"/>
            </w:tcBorders>
            <w:shd w:val="clear" w:color="auto" w:fill="auto"/>
            <w:hideMark/>
          </w:tcPr>
          <w:p w14:paraId="0F2E5607" w14:textId="77777777" w:rsidR="000254DC" w:rsidRPr="00575CB5" w:rsidRDefault="003B610E" w:rsidP="000254DC">
            <w:pPr>
              <w:ind w:firstLine="0"/>
              <w:jc w:val="lef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KONSULTACJE SPOŁECZNE</w:t>
            </w:r>
          </w:p>
        </w:tc>
        <w:tc>
          <w:tcPr>
            <w:tcW w:w="3781" w:type="dxa"/>
            <w:tcBorders>
              <w:top w:val="nil"/>
              <w:left w:val="nil"/>
              <w:bottom w:val="single" w:sz="4" w:space="0" w:color="auto"/>
              <w:right w:val="single" w:sz="4" w:space="0" w:color="auto"/>
            </w:tcBorders>
            <w:shd w:val="clear" w:color="auto" w:fill="auto"/>
            <w:hideMark/>
          </w:tcPr>
          <w:p w14:paraId="7FA6F8EC" w14:textId="1CAEC802"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1. Zgodnie z art 14 ust. 1c Ramowej Dyrektyw Wodnej, byli Państwo zobowiązani  udostępnić projekt planu co najmniej na rok od początku okresu, którego plan dotyczy.</w:t>
            </w:r>
            <w:r w:rsidRPr="00575CB5">
              <w:rPr>
                <w:rFonts w:ascii="Calibri" w:eastAsia="Times New Roman" w:hAnsi="Calibri" w:cs="Calibri"/>
                <w:color w:val="000000"/>
                <w:sz w:val="18"/>
                <w:szCs w:val="18"/>
                <w:lang w:eastAsia="pl-PL"/>
              </w:rPr>
              <w:br w:type="page"/>
              <w:t>2. Zgodnie z art 14 ust. 2 Ramowej Dyrektyw Wodnej, są Pastwo obowiązani przeznaczyć co najmniej 6 miesięcy na składanie pisemnych uwag do projektów planów. Termin ten biegnie od nowa w przypadku ogłoszenia „erraty” do projektów planów.</w:t>
            </w:r>
            <w:r w:rsidRPr="00575CB5">
              <w:rPr>
                <w:rFonts w:ascii="Calibri" w:eastAsia="Times New Roman" w:hAnsi="Calibri" w:cs="Calibri"/>
                <w:color w:val="000000"/>
                <w:sz w:val="18"/>
                <w:szCs w:val="18"/>
                <w:lang w:eastAsia="pl-PL"/>
              </w:rPr>
              <w:br w:type="page"/>
              <w:t xml:space="preserve">3. Wątpliwości nasuwa wyznaczenie jednolitych części wód, będących podstawowymi jednostkami planistycznymi. W planach użyto zreformowanych </w:t>
            </w:r>
            <w:proofErr w:type="spellStart"/>
            <w:r w:rsidRPr="00575CB5">
              <w:rPr>
                <w:rFonts w:ascii="Calibri" w:eastAsia="Times New Roman" w:hAnsi="Calibri" w:cs="Calibri"/>
                <w:color w:val="000000"/>
                <w:sz w:val="18"/>
                <w:szCs w:val="18"/>
                <w:lang w:eastAsia="pl-PL"/>
              </w:rPr>
              <w:t>a</w:t>
            </w:r>
            <w:r w:rsidR="001F37E7">
              <w:rPr>
                <w:rFonts w:ascii="Calibri" w:eastAsia="Times New Roman" w:hAnsi="Calibri" w:cs="Calibri"/>
                <w:color w:val="000000"/>
                <w:sz w:val="18"/>
                <w:szCs w:val="18"/>
                <w:lang w:eastAsia="pl-PL"/>
              </w:rPr>
              <w:t>JCWP</w:t>
            </w:r>
            <w:proofErr w:type="spellEnd"/>
            <w:r w:rsidRPr="00575CB5">
              <w:rPr>
                <w:rFonts w:ascii="Calibri" w:eastAsia="Times New Roman" w:hAnsi="Calibri" w:cs="Calibri"/>
                <w:color w:val="000000"/>
                <w:sz w:val="18"/>
                <w:szCs w:val="18"/>
                <w:lang w:eastAsia="pl-PL"/>
              </w:rPr>
              <w:t>, jednak:</w:t>
            </w:r>
            <w:r w:rsidRPr="00575CB5">
              <w:rPr>
                <w:rFonts w:ascii="Calibri" w:eastAsia="Times New Roman" w:hAnsi="Calibri" w:cs="Calibri"/>
                <w:color w:val="000000"/>
                <w:sz w:val="18"/>
                <w:szCs w:val="18"/>
                <w:lang w:eastAsia="pl-PL"/>
              </w:rPr>
              <w:br w:type="page"/>
              <w:t xml:space="preserve">- Wiele </w:t>
            </w:r>
            <w:proofErr w:type="spellStart"/>
            <w:r w:rsidRPr="00575CB5">
              <w:rPr>
                <w:rFonts w:ascii="Calibri" w:eastAsia="Times New Roman" w:hAnsi="Calibri" w:cs="Calibri"/>
                <w:color w:val="000000"/>
                <w:sz w:val="18"/>
                <w:szCs w:val="18"/>
                <w:lang w:eastAsia="pl-PL"/>
              </w:rPr>
              <w:t>aJCW</w:t>
            </w:r>
            <w:proofErr w:type="spellEnd"/>
            <w:r w:rsidRPr="00575CB5">
              <w:rPr>
                <w:rFonts w:ascii="Calibri" w:eastAsia="Times New Roman" w:hAnsi="Calibri" w:cs="Calibri"/>
                <w:color w:val="000000"/>
                <w:sz w:val="18"/>
                <w:szCs w:val="18"/>
                <w:lang w:eastAsia="pl-PL"/>
              </w:rPr>
              <w:t xml:space="preserve"> jest nadmiernie heterogenicznych, obejmując bardzo długie odcinki rzek o zróżnicowanym charakterze, w tym łącząc dłuższe odcinki naturalne i silnie przekształcone; łącząc w jednej </w:t>
            </w:r>
            <w:proofErr w:type="spellStart"/>
            <w:r w:rsidRPr="00575CB5">
              <w:rPr>
                <w:rFonts w:ascii="Calibri" w:eastAsia="Times New Roman" w:hAnsi="Calibri" w:cs="Calibri"/>
                <w:color w:val="000000"/>
                <w:sz w:val="18"/>
                <w:szCs w:val="18"/>
                <w:lang w:eastAsia="pl-PL"/>
              </w:rPr>
              <w:t>a</w:t>
            </w:r>
            <w:r w:rsidR="001F37E7">
              <w:rPr>
                <w:rFonts w:ascii="Calibri" w:eastAsia="Times New Roman" w:hAnsi="Calibri" w:cs="Calibri"/>
                <w:color w:val="000000"/>
                <w:sz w:val="18"/>
                <w:szCs w:val="18"/>
                <w:lang w:eastAsia="pl-PL"/>
              </w:rPr>
              <w:t>JCWP</w:t>
            </w:r>
            <w:proofErr w:type="spellEnd"/>
            <w:r w:rsidRPr="00575CB5">
              <w:rPr>
                <w:rFonts w:ascii="Calibri" w:eastAsia="Times New Roman" w:hAnsi="Calibri" w:cs="Calibri"/>
                <w:color w:val="000000"/>
                <w:sz w:val="18"/>
                <w:szCs w:val="18"/>
                <w:lang w:eastAsia="pl-PL"/>
              </w:rPr>
              <w:t xml:space="preserve"> odcinki poddane zupełnie różnym presjom. Na tak wyznaczonym zbiorze </w:t>
            </w:r>
            <w:proofErr w:type="spellStart"/>
            <w:r w:rsidRPr="00575CB5">
              <w:rPr>
                <w:rFonts w:ascii="Calibri" w:eastAsia="Times New Roman" w:hAnsi="Calibri" w:cs="Calibri"/>
                <w:color w:val="000000"/>
                <w:sz w:val="18"/>
                <w:szCs w:val="18"/>
                <w:lang w:eastAsia="pl-PL"/>
              </w:rPr>
              <w:t>aJWCP</w:t>
            </w:r>
            <w:proofErr w:type="spellEnd"/>
            <w:r w:rsidRPr="00575CB5">
              <w:rPr>
                <w:rFonts w:ascii="Calibri" w:eastAsia="Times New Roman" w:hAnsi="Calibri" w:cs="Calibri"/>
                <w:color w:val="000000"/>
                <w:sz w:val="18"/>
                <w:szCs w:val="18"/>
                <w:lang w:eastAsia="pl-PL"/>
              </w:rPr>
              <w:t xml:space="preserve"> trudno prawidłowo zrealizować wyznaczenie SZCWP, jak również trudno prawidłowo ocenić przyczyny niezadowalającego stanu wód i zapobiegać presjom;</w:t>
            </w:r>
            <w:r w:rsidRPr="00575CB5">
              <w:rPr>
                <w:rFonts w:ascii="Calibri" w:eastAsia="Times New Roman" w:hAnsi="Calibri" w:cs="Calibri"/>
                <w:color w:val="000000"/>
                <w:sz w:val="18"/>
                <w:szCs w:val="18"/>
                <w:lang w:eastAsia="pl-PL"/>
              </w:rPr>
              <w:br w:type="page"/>
              <w:t xml:space="preserve">- Niektóre </w:t>
            </w:r>
            <w:proofErr w:type="spellStart"/>
            <w:r w:rsidRPr="00575CB5">
              <w:rPr>
                <w:rFonts w:ascii="Calibri" w:eastAsia="Times New Roman" w:hAnsi="Calibri" w:cs="Calibri"/>
                <w:color w:val="000000"/>
                <w:sz w:val="18"/>
                <w:szCs w:val="18"/>
                <w:lang w:eastAsia="pl-PL"/>
              </w:rPr>
              <w:t>a</w:t>
            </w:r>
            <w:r w:rsidR="001F37E7">
              <w:rPr>
                <w:rFonts w:ascii="Calibri" w:eastAsia="Times New Roman" w:hAnsi="Calibri" w:cs="Calibri"/>
                <w:color w:val="000000"/>
                <w:sz w:val="18"/>
                <w:szCs w:val="18"/>
                <w:lang w:eastAsia="pl-PL"/>
              </w:rPr>
              <w:t>JCWP</w:t>
            </w:r>
            <w:proofErr w:type="spellEnd"/>
            <w:r w:rsidRPr="00575CB5">
              <w:rPr>
                <w:rFonts w:ascii="Calibri" w:eastAsia="Times New Roman" w:hAnsi="Calibri" w:cs="Calibri"/>
                <w:color w:val="000000"/>
                <w:sz w:val="18"/>
                <w:szCs w:val="18"/>
                <w:lang w:eastAsia="pl-PL"/>
              </w:rPr>
              <w:t xml:space="preserve"> łączą widlasto zbiegające się, równorzędne cieki, mające w danej </w:t>
            </w:r>
            <w:proofErr w:type="spellStart"/>
            <w:r w:rsidRPr="00575CB5">
              <w:rPr>
                <w:rFonts w:ascii="Calibri" w:eastAsia="Times New Roman" w:hAnsi="Calibri" w:cs="Calibri"/>
                <w:color w:val="000000"/>
                <w:sz w:val="18"/>
                <w:szCs w:val="18"/>
                <w:lang w:eastAsia="pl-PL"/>
              </w:rPr>
              <w:t>a</w:t>
            </w:r>
            <w:r w:rsidR="001F37E7">
              <w:rPr>
                <w:rFonts w:ascii="Calibri" w:eastAsia="Times New Roman" w:hAnsi="Calibri" w:cs="Calibri"/>
                <w:color w:val="000000"/>
                <w:sz w:val="18"/>
                <w:szCs w:val="18"/>
                <w:lang w:eastAsia="pl-PL"/>
              </w:rPr>
              <w:t>JCWP</w:t>
            </w:r>
            <w:proofErr w:type="spellEnd"/>
            <w:r w:rsidRPr="00575CB5">
              <w:rPr>
                <w:rFonts w:ascii="Calibri" w:eastAsia="Times New Roman" w:hAnsi="Calibri" w:cs="Calibri"/>
                <w:color w:val="000000"/>
                <w:sz w:val="18"/>
                <w:szCs w:val="18"/>
                <w:lang w:eastAsia="pl-PL"/>
              </w:rPr>
              <w:t xml:space="preserve"> tylko jeden punkt wspólny w miejscu polaczenia, będącym końcem </w:t>
            </w:r>
            <w:proofErr w:type="spellStart"/>
            <w:r w:rsidRPr="00575CB5">
              <w:rPr>
                <w:rFonts w:ascii="Calibri" w:eastAsia="Times New Roman" w:hAnsi="Calibri" w:cs="Calibri"/>
                <w:color w:val="000000"/>
                <w:sz w:val="18"/>
                <w:szCs w:val="18"/>
                <w:lang w:eastAsia="pl-PL"/>
              </w:rPr>
              <w:t>a</w:t>
            </w:r>
            <w:r w:rsidR="001F37E7">
              <w:rPr>
                <w:rFonts w:ascii="Calibri" w:eastAsia="Times New Roman" w:hAnsi="Calibri" w:cs="Calibri"/>
                <w:color w:val="000000"/>
                <w:sz w:val="18"/>
                <w:szCs w:val="18"/>
                <w:lang w:eastAsia="pl-PL"/>
              </w:rPr>
              <w:t>JCWP</w:t>
            </w:r>
            <w:proofErr w:type="spellEnd"/>
            <w:r w:rsidRPr="00575CB5">
              <w:rPr>
                <w:rFonts w:ascii="Calibri" w:eastAsia="Times New Roman" w:hAnsi="Calibri" w:cs="Calibri"/>
                <w:color w:val="000000"/>
                <w:sz w:val="18"/>
                <w:szCs w:val="18"/>
                <w:lang w:eastAsia="pl-PL"/>
              </w:rPr>
              <w:t xml:space="preserve">. Takie wyznaczenie </w:t>
            </w:r>
            <w:proofErr w:type="spellStart"/>
            <w:r w:rsidRPr="00575CB5">
              <w:rPr>
                <w:rFonts w:ascii="Calibri" w:eastAsia="Times New Roman" w:hAnsi="Calibri" w:cs="Calibri"/>
                <w:color w:val="000000"/>
                <w:sz w:val="18"/>
                <w:szCs w:val="18"/>
                <w:lang w:eastAsia="pl-PL"/>
              </w:rPr>
              <w:t>a</w:t>
            </w:r>
            <w:r w:rsidR="001F37E7">
              <w:rPr>
                <w:rFonts w:ascii="Calibri" w:eastAsia="Times New Roman" w:hAnsi="Calibri" w:cs="Calibri"/>
                <w:color w:val="000000"/>
                <w:sz w:val="18"/>
                <w:szCs w:val="18"/>
                <w:lang w:eastAsia="pl-PL"/>
              </w:rPr>
              <w:t>JCWP</w:t>
            </w:r>
            <w:proofErr w:type="spellEnd"/>
            <w:r w:rsidRPr="00575CB5">
              <w:rPr>
                <w:rFonts w:ascii="Calibri" w:eastAsia="Times New Roman" w:hAnsi="Calibri" w:cs="Calibri"/>
                <w:color w:val="000000"/>
                <w:sz w:val="18"/>
                <w:szCs w:val="18"/>
                <w:lang w:eastAsia="pl-PL"/>
              </w:rPr>
              <w:t xml:space="preserve"> jest pozbawione sensu, bo sposób zarządzania jednym z takich cieków nie będzie miał żadnego wpływu na drugi.</w:t>
            </w:r>
            <w:r w:rsidRPr="00575CB5">
              <w:rPr>
                <w:rFonts w:ascii="Calibri" w:eastAsia="Times New Roman" w:hAnsi="Calibri" w:cs="Calibri"/>
                <w:color w:val="000000"/>
                <w:sz w:val="18"/>
                <w:szCs w:val="18"/>
                <w:lang w:eastAsia="pl-PL"/>
              </w:rPr>
              <w:br w:type="page"/>
              <w:t xml:space="preserve">4. Diagnoza stanu ekologicznego wód – jako wyprowadzania ze stanu poszczególnych elementów biologicznych wg metody One Out – </w:t>
            </w:r>
            <w:proofErr w:type="spellStart"/>
            <w:r w:rsidRPr="00575CB5">
              <w:rPr>
                <w:rFonts w:ascii="Calibri" w:eastAsia="Times New Roman" w:hAnsi="Calibri" w:cs="Calibri"/>
                <w:color w:val="000000"/>
                <w:sz w:val="18"/>
                <w:szCs w:val="18"/>
                <w:lang w:eastAsia="pl-PL"/>
              </w:rPr>
              <w:t>All</w:t>
            </w:r>
            <w:proofErr w:type="spellEnd"/>
            <w:r w:rsidRPr="00575CB5">
              <w:rPr>
                <w:rFonts w:ascii="Calibri" w:eastAsia="Times New Roman" w:hAnsi="Calibri" w:cs="Calibri"/>
                <w:color w:val="000000"/>
                <w:sz w:val="18"/>
                <w:szCs w:val="18"/>
                <w:lang w:eastAsia="pl-PL"/>
              </w:rPr>
              <w:t xml:space="preserve"> Out, może być wiarygodna tylko wtedy, gdy zbadano wszystkie elementy biologiczne, charakteryzujące ten stan. W planach należy wyraźnie odróżnić oceny spełniające ten warunek, od ocen, które go nie spełniają.</w:t>
            </w:r>
            <w:r w:rsidRPr="00575CB5">
              <w:rPr>
                <w:rFonts w:ascii="Calibri" w:eastAsia="Times New Roman" w:hAnsi="Calibri" w:cs="Calibri"/>
                <w:color w:val="000000"/>
                <w:sz w:val="18"/>
                <w:szCs w:val="18"/>
                <w:lang w:eastAsia="pl-PL"/>
              </w:rPr>
              <w:br w:type="page"/>
              <w:t>5. W projekcie planu brak, wymaganych Dyrektywą, indywidualnych uzasadnień dla wyznaczenia SCWP. Dyrektywa wymaga, by powód wyznaczenia każdej SZCW był „</w:t>
            </w:r>
            <w:r w:rsidR="00AC2331" w:rsidRPr="00575CB5">
              <w:rPr>
                <w:rFonts w:ascii="Calibri" w:eastAsia="Times New Roman" w:hAnsi="Calibri" w:cs="Calibri"/>
                <w:color w:val="000000"/>
                <w:sz w:val="18"/>
                <w:szCs w:val="18"/>
                <w:lang w:eastAsia="pl-PL"/>
              </w:rPr>
              <w:t>szczegółowo</w:t>
            </w:r>
            <w:r w:rsidRPr="00575CB5">
              <w:rPr>
                <w:rFonts w:ascii="Calibri" w:eastAsia="Times New Roman" w:hAnsi="Calibri" w:cs="Calibri"/>
                <w:color w:val="000000"/>
                <w:sz w:val="18"/>
                <w:szCs w:val="18"/>
                <w:lang w:eastAsia="pl-PL"/>
              </w:rPr>
              <w:t xml:space="preserve"> określony” w planie. Tymczasem w projektach planów podano tylko hasłowo „brak możliwości skutecznego odwrócenia zmian hydromorfologicznych, brak alternatyw dla pełnionych funkcji”, nie uzasadniając tych tez dla konkretnych przypadków.</w:t>
            </w:r>
            <w:r w:rsidRPr="00575CB5">
              <w:rPr>
                <w:rFonts w:ascii="Calibri" w:eastAsia="Times New Roman" w:hAnsi="Calibri" w:cs="Calibri"/>
                <w:color w:val="000000"/>
                <w:sz w:val="18"/>
                <w:szCs w:val="18"/>
                <w:lang w:eastAsia="pl-PL"/>
              </w:rPr>
              <w:br w:type="page"/>
              <w:t xml:space="preserve">6. Brak jest prawidłowych uzasadnień dla przyznanych </w:t>
            </w:r>
            <w:r w:rsidRPr="00575CB5">
              <w:rPr>
                <w:rFonts w:ascii="Calibri" w:eastAsia="Times New Roman" w:hAnsi="Calibri" w:cs="Calibri"/>
                <w:color w:val="000000"/>
                <w:sz w:val="18"/>
                <w:szCs w:val="18"/>
                <w:lang w:eastAsia="pl-PL"/>
              </w:rPr>
              <w:lastRenderedPageBreak/>
              <w:t>odstępstw z art. 4.5 dyrektywy, wskutek czego odstępstwo to przyznano nadmiernie. Wielokrotnie przyznano odstępstwo 4.5 tam, gdzie wdrożenie działań prowadzących do osiągnięcia dobrego stanu wód było możliwe. Sam fakt, że takich działań nie wdrożono przez dwa dotychczasowe okresy planistyczne, nie może być argumentem za przyznaniem odstępstwa 4.5.</w:t>
            </w:r>
            <w:r w:rsidRPr="00575CB5">
              <w:rPr>
                <w:rFonts w:ascii="Calibri" w:eastAsia="Times New Roman" w:hAnsi="Calibri" w:cs="Calibri"/>
                <w:color w:val="000000"/>
                <w:sz w:val="18"/>
                <w:szCs w:val="18"/>
                <w:lang w:eastAsia="pl-PL"/>
              </w:rPr>
              <w:br w:type="page"/>
              <w:t>7. Nieprzekonujące uzasadnienia odstępstw z art 4.7 dyrektywy. W planach umieszczono informację o tej derogacji także dla wielu przedsięwzięć, dla których zasadność derogacji została zanegowana w dotychczasowym postępowaniu o decyzję środowiskową. Zamieszczone uzasadnienia często nieprzekonująco uzasadniają nadrzędny interes społeczny i nie rozważają narzucających się alternatyw.</w:t>
            </w:r>
            <w:r w:rsidRPr="00575CB5">
              <w:rPr>
                <w:rFonts w:ascii="Calibri" w:eastAsia="Times New Roman" w:hAnsi="Calibri" w:cs="Calibri"/>
                <w:color w:val="000000"/>
                <w:sz w:val="18"/>
                <w:szCs w:val="18"/>
                <w:lang w:eastAsia="pl-PL"/>
              </w:rPr>
              <w:br w:type="page"/>
              <w:t>8. Zaproponowany program środków nie zapewnia osiągnięcia celów wymaganych dyrektywą, w szczególności zbyt mało ambitnie podchodzi do zagadnienia renaturyzacji hydromorfologicznej cieków. Rozbieżność z potrzebami zidentyfikowanymi w Krajowym Programie Renaturyzacji Wód Powierzchniowych, a także wnioski stad wynikające, są szczegółowo udokumentowane w raporcie: http://www.ratujmyrzeki.pl/250-konsultacjeapgw</w:t>
            </w:r>
            <w:r w:rsidRPr="00575CB5">
              <w:rPr>
                <w:rFonts w:ascii="Calibri" w:eastAsia="Times New Roman" w:hAnsi="Calibri" w:cs="Calibri"/>
                <w:color w:val="000000"/>
                <w:sz w:val="18"/>
                <w:szCs w:val="18"/>
                <w:lang w:eastAsia="pl-PL"/>
              </w:rPr>
              <w:br w:type="page"/>
              <w:t xml:space="preserve">W szczególności, w przypadku niezadowalającego stanu wód, w aktualnym okresie planistycznym nie można już ograniczać programu działań do wykonania analiz, studiów i projektów. Ponieważ osiągnięcia celów środowiskowych nie można przedłużać do 2027r., wszystko co może być potrzebne do ich osiągniecia, musi być fizycznie wdrożone przed tym terminem, a nie tylko rozważone i zaprojektowane. </w:t>
            </w:r>
          </w:p>
        </w:tc>
        <w:tc>
          <w:tcPr>
            <w:tcW w:w="2990" w:type="dxa"/>
            <w:tcBorders>
              <w:top w:val="nil"/>
              <w:left w:val="nil"/>
              <w:bottom w:val="single" w:sz="4" w:space="0" w:color="auto"/>
              <w:right w:val="single" w:sz="4" w:space="0" w:color="auto"/>
            </w:tcBorders>
            <w:shd w:val="clear" w:color="auto" w:fill="auto"/>
            <w:hideMark/>
          </w:tcPr>
          <w:p w14:paraId="43A86048"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lastRenderedPageBreak/>
              <w:t>-</w:t>
            </w:r>
          </w:p>
        </w:tc>
        <w:tc>
          <w:tcPr>
            <w:tcW w:w="2658" w:type="dxa"/>
            <w:tcBorders>
              <w:top w:val="nil"/>
              <w:left w:val="nil"/>
              <w:bottom w:val="single" w:sz="4" w:space="0" w:color="auto"/>
              <w:right w:val="single" w:sz="4" w:space="0" w:color="auto"/>
            </w:tcBorders>
            <w:shd w:val="clear" w:color="auto" w:fill="auto"/>
            <w:hideMark/>
          </w:tcPr>
          <w:p w14:paraId="2D828F63"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w:t>
            </w:r>
          </w:p>
        </w:tc>
        <w:tc>
          <w:tcPr>
            <w:tcW w:w="1633" w:type="dxa"/>
            <w:tcBorders>
              <w:top w:val="nil"/>
              <w:left w:val="nil"/>
              <w:bottom w:val="single" w:sz="4" w:space="0" w:color="auto"/>
              <w:right w:val="single" w:sz="4" w:space="0" w:color="auto"/>
            </w:tcBorders>
            <w:shd w:val="clear" w:color="auto" w:fill="auto"/>
            <w:hideMark/>
          </w:tcPr>
          <w:p w14:paraId="04C38BA8" w14:textId="77777777" w:rsidR="000254DC" w:rsidRPr="00575CB5" w:rsidRDefault="000254DC" w:rsidP="000254DC">
            <w:pPr>
              <w:ind w:firstLine="0"/>
              <w:jc w:val="left"/>
              <w:rPr>
                <w:rFonts w:ascii="Calibri" w:eastAsia="Times New Roman" w:hAnsi="Calibri" w:cs="Calibri"/>
                <w:color w:val="000000"/>
                <w:sz w:val="18"/>
                <w:szCs w:val="18"/>
                <w:lang w:eastAsia="pl-PL"/>
              </w:rPr>
            </w:pPr>
            <w:proofErr w:type="spellStart"/>
            <w:r w:rsidRPr="00575CB5">
              <w:rPr>
                <w:rFonts w:ascii="Calibri" w:eastAsia="Times New Roman" w:hAnsi="Calibri" w:cs="Calibri"/>
                <w:color w:val="000000"/>
                <w:sz w:val="18"/>
                <w:szCs w:val="18"/>
                <w:lang w:eastAsia="pl-PL"/>
              </w:rPr>
              <w:t>KPrzyrodników</w:t>
            </w:r>
            <w:proofErr w:type="spellEnd"/>
            <w:r w:rsidRPr="00575CB5">
              <w:rPr>
                <w:rFonts w:ascii="Calibri" w:eastAsia="Times New Roman" w:hAnsi="Calibri" w:cs="Calibri"/>
                <w:color w:val="000000"/>
                <w:sz w:val="18"/>
                <w:szCs w:val="18"/>
                <w:lang w:eastAsia="pl-PL"/>
              </w:rPr>
              <w:t>_</w:t>
            </w:r>
          </w:p>
          <w:p w14:paraId="5CD15278"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IIaPGW</w:t>
            </w:r>
          </w:p>
        </w:tc>
        <w:tc>
          <w:tcPr>
            <w:tcW w:w="1393" w:type="dxa"/>
            <w:tcBorders>
              <w:top w:val="nil"/>
              <w:left w:val="nil"/>
              <w:bottom w:val="single" w:sz="4" w:space="0" w:color="auto"/>
              <w:right w:val="single" w:sz="4" w:space="0" w:color="auto"/>
            </w:tcBorders>
            <w:shd w:val="clear" w:color="auto" w:fill="auto"/>
            <w:hideMark/>
          </w:tcPr>
          <w:p w14:paraId="6555A666" w14:textId="77777777" w:rsidR="000254DC" w:rsidRPr="00575CB5" w:rsidRDefault="000254DC" w:rsidP="000254DC">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wyjaśnienie</w:t>
            </w:r>
          </w:p>
        </w:tc>
        <w:tc>
          <w:tcPr>
            <w:tcW w:w="5082" w:type="dxa"/>
            <w:tcBorders>
              <w:top w:val="nil"/>
              <w:left w:val="nil"/>
              <w:bottom w:val="single" w:sz="4" w:space="0" w:color="auto"/>
              <w:right w:val="single" w:sz="4" w:space="0" w:color="auto"/>
            </w:tcBorders>
            <w:shd w:val="clear" w:color="auto" w:fill="auto"/>
            <w:hideMark/>
          </w:tcPr>
          <w:p w14:paraId="21DD8AF9" w14:textId="6D4D6778" w:rsidR="000254DC" w:rsidRPr="00575CB5" w:rsidRDefault="000254DC" w:rsidP="00562D8A">
            <w:pPr>
              <w:ind w:firstLine="0"/>
              <w:jc w:val="left"/>
              <w:rPr>
                <w:rFonts w:ascii="Calibri" w:eastAsia="Times New Roman" w:hAnsi="Calibri" w:cs="Calibri"/>
                <w:color w:val="000000"/>
                <w:sz w:val="18"/>
                <w:szCs w:val="18"/>
                <w:lang w:eastAsia="pl-PL"/>
              </w:rPr>
            </w:pPr>
            <w:r w:rsidRPr="00575CB5">
              <w:rPr>
                <w:rFonts w:ascii="Calibri" w:eastAsia="Times New Roman" w:hAnsi="Calibri" w:cs="Calibri"/>
                <w:color w:val="000000"/>
                <w:sz w:val="18"/>
                <w:szCs w:val="18"/>
                <w:lang w:eastAsia="pl-PL"/>
              </w:rPr>
              <w:t>Plany gospodarowania wodami są przygotowywane zgodnie z przepisami prawa zarówno na etapie opracowania projektów tych dokumentów, jak również ich wersji ostatecznych. Podstawę prawną stanowią:</w:t>
            </w:r>
            <w:r w:rsidRPr="00575CB5">
              <w:rPr>
                <w:rFonts w:ascii="Calibri" w:eastAsia="Times New Roman" w:hAnsi="Calibri" w:cs="Calibri"/>
                <w:color w:val="000000"/>
                <w:sz w:val="18"/>
                <w:szCs w:val="18"/>
                <w:lang w:eastAsia="pl-PL"/>
              </w:rPr>
              <w:br w:type="page"/>
            </w:r>
            <w:r w:rsidRPr="00575CB5">
              <w:rPr>
                <w:rFonts w:ascii="Calibri" w:eastAsia="Times New Roman" w:hAnsi="Calibri" w:cs="Calibri"/>
                <w:color w:val="000000"/>
                <w:sz w:val="18"/>
                <w:szCs w:val="18"/>
                <w:lang w:eastAsia="pl-PL"/>
              </w:rPr>
              <w:br w:type="page"/>
              <w:t xml:space="preserve">• Ustawa Prawo wodne (Dz.U. z 2021 roku poz. </w:t>
            </w:r>
            <w:r w:rsidR="00562D8A">
              <w:rPr>
                <w:rFonts w:ascii="Calibri" w:eastAsia="Times New Roman" w:hAnsi="Calibri" w:cs="Calibri"/>
                <w:color w:val="000000"/>
                <w:sz w:val="18"/>
                <w:szCs w:val="18"/>
                <w:lang w:eastAsia="pl-PL"/>
              </w:rPr>
              <w:t>2233</w:t>
            </w:r>
            <w:r w:rsidRPr="00575CB5">
              <w:rPr>
                <w:rFonts w:ascii="Calibri" w:eastAsia="Times New Roman" w:hAnsi="Calibri" w:cs="Calibri"/>
                <w:color w:val="000000"/>
                <w:sz w:val="18"/>
                <w:szCs w:val="18"/>
                <w:lang w:eastAsia="pl-PL"/>
              </w:rPr>
              <w:t xml:space="preserve"> z późn. zm., dalej ustawa pr.w.): w zakresie opracowania projektów planów gospodarowania wodami wraz z przeprowadzeniem konsultacji społecznych dla umożliwienia przedłożenia uwag do projektów dokumentów;</w:t>
            </w:r>
            <w:r w:rsidRPr="00575CB5">
              <w:rPr>
                <w:rFonts w:ascii="Calibri" w:eastAsia="Times New Roman" w:hAnsi="Calibri" w:cs="Calibri"/>
                <w:color w:val="000000"/>
                <w:sz w:val="18"/>
                <w:szCs w:val="18"/>
                <w:lang w:eastAsia="pl-PL"/>
              </w:rPr>
              <w:br w:type="page"/>
              <w:t xml:space="preserve">• Ustawa o udostępnianiu informacji o środowisku i jego ochronie, udziale społeczeństwa w ochronie środowiska oraz o ocenach oddziaływania na środowisko (Dz.U. z 2021 roku poz. 247 z późn. zm., dalej </w:t>
            </w:r>
            <w:proofErr w:type="spellStart"/>
            <w:r w:rsidRPr="00575CB5">
              <w:rPr>
                <w:rFonts w:ascii="Calibri" w:eastAsia="Times New Roman" w:hAnsi="Calibri" w:cs="Calibri"/>
                <w:color w:val="000000"/>
                <w:sz w:val="18"/>
                <w:szCs w:val="18"/>
                <w:lang w:eastAsia="pl-PL"/>
              </w:rPr>
              <w:t>u.i.o.ś</w:t>
            </w:r>
            <w:proofErr w:type="spellEnd"/>
            <w:r w:rsidRPr="00575CB5">
              <w:rPr>
                <w:rFonts w:ascii="Calibri" w:eastAsia="Times New Roman" w:hAnsi="Calibri" w:cs="Calibri"/>
                <w:color w:val="000000"/>
                <w:sz w:val="18"/>
                <w:szCs w:val="18"/>
                <w:lang w:eastAsia="pl-PL"/>
              </w:rPr>
              <w:t>) w zakresie wymaganej dla planów gospodarowania wodami strategicznej oceny oddziaływania na środowisko, w tym zapewnienia udziału społeczeństwa w procedurze strategicznej oceny oddziaływania na środowisko (dalej SOOŚ) przed przyjęciem dokumentów.</w:t>
            </w:r>
            <w:r w:rsidRPr="00575CB5">
              <w:rPr>
                <w:rFonts w:ascii="Calibri" w:eastAsia="Times New Roman" w:hAnsi="Calibri" w:cs="Calibri"/>
                <w:color w:val="000000"/>
                <w:sz w:val="18"/>
                <w:szCs w:val="18"/>
                <w:lang w:eastAsia="pl-PL"/>
              </w:rPr>
              <w:br w:type="page"/>
              <w:t>Informacje dotyczące ww. procedur zawierają zarówno same projekty IIaPGW (rozdział 20 każdego z projektów IIaPGW), jak również Prognozy oddziaływania na środowisko (rozdział 1.2 każdej z prognoz).</w:t>
            </w:r>
            <w:r w:rsidRPr="00575CB5">
              <w:rPr>
                <w:rFonts w:ascii="Calibri" w:eastAsia="Times New Roman" w:hAnsi="Calibri" w:cs="Calibri"/>
                <w:color w:val="000000"/>
                <w:sz w:val="18"/>
                <w:szCs w:val="18"/>
                <w:lang w:eastAsia="pl-PL"/>
              </w:rPr>
              <w:br w:type="page"/>
            </w:r>
            <w:r w:rsidR="00562D8A">
              <w:rPr>
                <w:rFonts w:ascii="Calibri" w:eastAsia="Times New Roman" w:hAnsi="Calibri" w:cs="Calibri"/>
                <w:color w:val="000000"/>
                <w:sz w:val="18"/>
                <w:szCs w:val="18"/>
                <w:lang w:eastAsia="pl-PL"/>
              </w:rPr>
              <w:t xml:space="preserve"> </w:t>
            </w:r>
            <w:r w:rsidRPr="00575CB5">
              <w:rPr>
                <w:rFonts w:ascii="Calibri" w:eastAsia="Times New Roman" w:hAnsi="Calibri" w:cs="Calibri"/>
                <w:color w:val="000000"/>
                <w:sz w:val="18"/>
                <w:szCs w:val="18"/>
                <w:lang w:eastAsia="pl-PL"/>
              </w:rPr>
              <w:t>W związku z charakterem projektów IIaPGW istnieje obowiązek przeprowadzenia dwóch procesów konsultacji społecznych: konsultacje społeczne projektów IIaPGW oraz konsultacje społeczne w ramach SOOŚ.</w:t>
            </w:r>
            <w:r w:rsidRPr="00575CB5">
              <w:rPr>
                <w:rFonts w:ascii="Calibri" w:eastAsia="Times New Roman" w:hAnsi="Calibri" w:cs="Calibri"/>
                <w:color w:val="000000"/>
                <w:sz w:val="18"/>
                <w:szCs w:val="18"/>
                <w:lang w:eastAsia="pl-PL"/>
              </w:rPr>
              <w:br w:type="page"/>
            </w:r>
            <w:r w:rsidR="00562D8A">
              <w:rPr>
                <w:rFonts w:ascii="Calibri" w:eastAsia="Times New Roman" w:hAnsi="Calibri" w:cs="Calibri"/>
                <w:color w:val="000000"/>
                <w:sz w:val="18"/>
                <w:szCs w:val="18"/>
                <w:lang w:eastAsia="pl-PL"/>
              </w:rPr>
              <w:t xml:space="preserve"> </w:t>
            </w:r>
            <w:r w:rsidRPr="00575CB5">
              <w:rPr>
                <w:rFonts w:ascii="Calibri" w:eastAsia="Times New Roman" w:hAnsi="Calibri" w:cs="Calibri"/>
                <w:color w:val="000000"/>
                <w:sz w:val="18"/>
                <w:szCs w:val="18"/>
                <w:lang w:eastAsia="pl-PL"/>
              </w:rPr>
              <w:t xml:space="preserve">Przywołane w uwadze półroczne konsultacje społeczne projektów IIaPGW wynikające z przepisów Ramowej Dyrektywy Wodnej (2000/60/WE) oraz ustawy pr.w. – mają na celu zaangażowanie wszystkich zainteresowanych stron do aktywnego udziału w opracowywaniu, przeglądzie i aktualizacji planów gospodarowania wodami. Zgodnie z art. 319 ust. 5 ustawy pr.w. w terminie 6 miesięcy od dnia podania do publicznej wiadomości dokumentu projektu planu gospodarowania wodami, zainteresowani mogą składać do ministra właściwego do spraw gospodarki wodnej pisemne uwagi do ustaleń zawartych w tych dokumentach. Wypełniając ww. obowiązek prawny, projekty II aPGW zostały opublikowane i udostępnione społeczeństwu do uwag między 14 kwietnia a 14 października 2021 r. Przez cały okres 6 miesięcy, projekty IIaPGW dla poszczególnych obszarów dorzeczy podane były do publicznej wiadomości poprzez umieszczenie ich na stronie internetowej drugiej aktualizacji planów gospodarowania wodami (https://www.apgw.gov.pl), jak również wyłożenie ich do wglądu zarówno w siedzibie Ministerstwa Infrastruktury, jak i Państwowego Gospodarstwa Wodnego Wody Polskie. Uwagi do projektów IIaPGW można było składać poprzez ankietę on-line, wiadomość e-mail na wskazany adres, pisemnie na adres MI i PGW WP, ustnie do protokołu, jak również w trakcie przeprowadzonych spotkań konsultacyjnych (łącznie 15 spotkań konsultacyjnych dotyczących poszczególnych regionów wodnych). Niezależnie od sposobu zgłoszenia uwagi, każda z nich zostaje poddana indywidualnej analizie pod kątem zasadności, a następnie w </w:t>
            </w:r>
            <w:r w:rsidRPr="00575CB5">
              <w:rPr>
                <w:rFonts w:ascii="Calibri" w:eastAsia="Times New Roman" w:hAnsi="Calibri" w:cs="Calibri"/>
                <w:color w:val="000000"/>
                <w:sz w:val="18"/>
                <w:szCs w:val="18"/>
                <w:lang w:eastAsia="pl-PL"/>
              </w:rPr>
              <w:lastRenderedPageBreak/>
              <w:t>zależności od wyniku analizy, zostaje uwzględniona lub częściowo uwzględniona w ostatecznej wersji dokumentów, albo uznana jako niezasadna.</w:t>
            </w:r>
            <w:r w:rsidRPr="00575CB5">
              <w:rPr>
                <w:rFonts w:ascii="Calibri" w:eastAsia="Times New Roman" w:hAnsi="Calibri" w:cs="Calibri"/>
                <w:color w:val="000000"/>
                <w:sz w:val="18"/>
                <w:szCs w:val="18"/>
                <w:lang w:eastAsia="pl-PL"/>
              </w:rPr>
              <w:br w:type="page"/>
            </w:r>
            <w:r w:rsidR="00562D8A">
              <w:rPr>
                <w:rFonts w:ascii="Calibri" w:eastAsia="Times New Roman" w:hAnsi="Calibri" w:cs="Calibri"/>
                <w:color w:val="000000"/>
                <w:sz w:val="18"/>
                <w:szCs w:val="18"/>
                <w:lang w:eastAsia="pl-PL"/>
              </w:rPr>
              <w:t xml:space="preserve"> </w:t>
            </w:r>
            <w:r w:rsidRPr="00575CB5">
              <w:rPr>
                <w:rFonts w:ascii="Calibri" w:eastAsia="Times New Roman" w:hAnsi="Calibri" w:cs="Calibri"/>
                <w:color w:val="000000"/>
                <w:sz w:val="18"/>
                <w:szCs w:val="18"/>
                <w:lang w:eastAsia="pl-PL"/>
              </w:rPr>
              <w:t>Z uwagi na dokonane w trakcie trwających konsultacji społecznych, zmiany przepisów prawa oraz istotne zmiany projektu dokumentu stanowiącego materiał źródłowy do projektów IIaPGW, których uwzględnienie nie było możliwe przed podaniem projektów IIaPGW do konsultacji społecznych, podjęte zostały działania dla zapewnienia społeczeństwu informacji o dokonywanych zmianach w projektach IIaPGW, jeszcze w okresie konsultacji społecznych. Dokonane zmiany w projekcie IIaPGW związane były z wejściem w życie rozporządzenia Ministra Rolnictwa i Rozwoju Wsi z dnia 6 maja 2021 r. w sprawie określenia gatunków zwierząt wodnych o znaczeniu gospodarczym oraz obszarów przeznaczonych do ochrony tych gatunków (Dz.U. 2021 r. poz. 896) oraz zmianach projektu szóstej aktualizacji Krajowego Programu Oczyszczania Ścieków Komunalnych (VIaKPOŚK) w wersji z dnia 30.08.2021 r. Zarówno nowy akt prawny, jak i projekt VIaKPOŚK stanowią dokumenty, których ustalenia uwzględniane są w projektach IIaPGW. Oba ww. dokumenty procedowane były niezależnie od projektów IIaPGW (tj. procedura legislacyjna przyjęcia rozporządzenia oraz konsultacje społeczne projektu VIaKPOŚK) w związku z tym nie stanowią one nowych, niedostępnych dla społeczeństwa dokumentów, w rozumieniu prezentowania ich ustaleń po raz pierwszy w projektach IIaPGW. Zmiany, o których mowa powyżej włączone zostały w formie errat stanowiących element konsultowanych projektów IIaPGW (są to dokumenty wskazujące w przejrzysty sposób zmiany dokonywane w projektach IIaPGW, poprzez zdefiniowanie miejsca i rodzaju dokonywanej zmiany). Erraty podane zostały do publicznej wiadomości w dniu 30.09.2021 r.</w:t>
            </w:r>
            <w:r w:rsidRPr="00575CB5">
              <w:rPr>
                <w:rFonts w:ascii="Calibri" w:eastAsia="Times New Roman" w:hAnsi="Calibri" w:cs="Calibri"/>
                <w:color w:val="000000"/>
                <w:sz w:val="18"/>
                <w:szCs w:val="18"/>
                <w:lang w:eastAsia="pl-PL"/>
              </w:rPr>
              <w:br w:type="page"/>
              <w:t>W związku z przygotowaniem i przeprowadzeniem konsultacji społecznych zgodnie z przepisami prawa oraz przy zapewnieniu możliwie pełnego i aktywnego udziału społeczeństwa w konsultacjach społecznych (pomimo utrudnień wynikających z COVID-19) uznać należy, iż nie zaistniały przesłanki do przedłużenia przyjętego okresu konsultacji społecznych.</w:t>
            </w:r>
            <w:r w:rsidRPr="00575CB5">
              <w:rPr>
                <w:rFonts w:ascii="Calibri" w:eastAsia="Times New Roman" w:hAnsi="Calibri" w:cs="Calibri"/>
                <w:color w:val="000000"/>
                <w:sz w:val="18"/>
                <w:szCs w:val="18"/>
                <w:lang w:eastAsia="pl-PL"/>
              </w:rPr>
              <w:br w:type="page"/>
            </w:r>
            <w:r w:rsidR="00A02382">
              <w:rPr>
                <w:rFonts w:ascii="Calibri" w:eastAsia="Times New Roman" w:hAnsi="Calibri" w:cs="Calibri"/>
                <w:color w:val="000000"/>
                <w:sz w:val="18"/>
                <w:szCs w:val="18"/>
                <w:lang w:eastAsia="pl-PL"/>
              </w:rPr>
              <w:t xml:space="preserve"> </w:t>
            </w:r>
            <w:r w:rsidRPr="00575CB5">
              <w:rPr>
                <w:rFonts w:ascii="Calibri" w:eastAsia="Times New Roman" w:hAnsi="Calibri" w:cs="Calibri"/>
                <w:color w:val="000000"/>
                <w:sz w:val="18"/>
                <w:szCs w:val="18"/>
                <w:lang w:eastAsia="pl-PL"/>
              </w:rPr>
              <w:t xml:space="preserve">Jednocześnie zwracamy uwagę, iż zainteresowane strony miały możliwość zapoznania się z dokumentami projektów IIaPGW przez okres 6 pełnych miesięcy oraz przez 21 dni w przypadku Prognoz. Osoby zainteresowane projektem IIaPGW mają dostęp do bieżącej informacji o prowadzonych pracach w formie </w:t>
            </w:r>
            <w:proofErr w:type="spellStart"/>
            <w:r w:rsidR="001F37E7">
              <w:rPr>
                <w:rFonts w:ascii="Calibri" w:eastAsia="Times New Roman" w:hAnsi="Calibri" w:cs="Calibri"/>
                <w:color w:val="000000"/>
                <w:sz w:val="18"/>
                <w:szCs w:val="18"/>
                <w:lang w:eastAsia="pl-PL"/>
              </w:rPr>
              <w:t>n</w:t>
            </w:r>
            <w:r w:rsidRPr="00575CB5">
              <w:rPr>
                <w:rFonts w:ascii="Calibri" w:eastAsia="Times New Roman" w:hAnsi="Calibri" w:cs="Calibri"/>
                <w:color w:val="000000"/>
                <w:sz w:val="18"/>
                <w:szCs w:val="18"/>
                <w:lang w:eastAsia="pl-PL"/>
              </w:rPr>
              <w:t>ewslettera</w:t>
            </w:r>
            <w:proofErr w:type="spellEnd"/>
            <w:r w:rsidRPr="00575CB5">
              <w:rPr>
                <w:rFonts w:ascii="Calibri" w:eastAsia="Times New Roman" w:hAnsi="Calibri" w:cs="Calibri"/>
                <w:color w:val="000000"/>
                <w:sz w:val="18"/>
                <w:szCs w:val="18"/>
                <w:lang w:eastAsia="pl-PL"/>
              </w:rPr>
              <w:t>, w tym również informacji o dokonaniu koniecznych zmian wynikających ze zmian prawa oraz VIaKPOŚK i zaprezentowaniu ich w postaci errat podanych do publicznej wiadomości. Podczas prowadzonych spotkań konsultacyjnych również podkreślana była konieczność wprowadzenia korekt związanych z wejściem w życie rozporządzenia w sprawie określenia gatunków zwierząt wodnych o znaczeniu gospodarczym oraz obszarów przeznaczonych do ochrony tych gatunków.</w:t>
            </w:r>
            <w:r w:rsidRPr="00575CB5">
              <w:rPr>
                <w:rFonts w:ascii="Calibri" w:eastAsia="Times New Roman" w:hAnsi="Calibri" w:cs="Calibri"/>
                <w:color w:val="000000"/>
                <w:sz w:val="18"/>
                <w:szCs w:val="18"/>
                <w:lang w:eastAsia="pl-PL"/>
              </w:rPr>
              <w:br w:type="page"/>
              <w:t>Tym samym zachowane zostały terminy wymagane przepisami prawa oraz umożliwiające w rzetelny sposób zapoznanie się z projektami IIaPGW oraz ich prognozami oddziaływania na środowisko i zgłoszenie uwag w ramach obu wymienionych powyżej procedur.</w:t>
            </w:r>
            <w:r w:rsidRPr="00575CB5">
              <w:rPr>
                <w:rFonts w:ascii="Calibri" w:eastAsia="Times New Roman" w:hAnsi="Calibri" w:cs="Calibri"/>
                <w:color w:val="000000"/>
                <w:sz w:val="18"/>
                <w:szCs w:val="18"/>
                <w:lang w:eastAsia="pl-PL"/>
              </w:rPr>
              <w:br w:type="page"/>
            </w:r>
            <w:r w:rsidR="00A02382">
              <w:rPr>
                <w:rFonts w:ascii="Calibri" w:eastAsia="Times New Roman" w:hAnsi="Calibri" w:cs="Calibri"/>
                <w:color w:val="000000"/>
                <w:sz w:val="18"/>
                <w:szCs w:val="18"/>
                <w:lang w:eastAsia="pl-PL"/>
              </w:rPr>
              <w:t xml:space="preserve"> </w:t>
            </w:r>
            <w:r w:rsidRPr="00575CB5">
              <w:rPr>
                <w:rFonts w:ascii="Calibri" w:eastAsia="Times New Roman" w:hAnsi="Calibri" w:cs="Calibri"/>
                <w:color w:val="000000"/>
                <w:sz w:val="18"/>
                <w:szCs w:val="18"/>
                <w:lang w:eastAsia="pl-PL"/>
              </w:rPr>
              <w:t xml:space="preserve">Co do wskazanych w uwadze wątpliwości dotyczących wyznaczenia jednolitych części wód, będących podstawowymi jednostkami planistycznymi. W ramach szeregu prac realizowanych w okresie III cyklu planistycznego przeprowadzone zostały również działania dotyczące aktualizacji jednostek do planowania z uwzględnieniem </w:t>
            </w:r>
            <w:r w:rsidRPr="00575CB5">
              <w:rPr>
                <w:rFonts w:ascii="Calibri" w:eastAsia="Times New Roman" w:hAnsi="Calibri" w:cs="Calibri"/>
                <w:color w:val="000000"/>
                <w:sz w:val="18"/>
                <w:szCs w:val="18"/>
                <w:lang w:eastAsia="pl-PL"/>
              </w:rPr>
              <w:lastRenderedPageBreak/>
              <w:t xml:space="preserve">MPHP10. W wyniku przeprowadzonych analiz przygotowany został nowy wykaz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stanowiący materiał źródłowy dla IIaPGW. Wykaz jednostek planistycznych stanowiących materiał źródłowy do projektów IIaPGW był poddany oddzielnym konsultacjom społecznym w trakcie ich opracowywania. Projekty IIaPGW zawierają informacje wymagane w tym zakresie wskazując dokonane zmiany w okresie obowiązywania poprzedniego planu tj. aPGW. Zgłoszona uwaga dotyczy materiału źródłowego do projektów IIaPGW, które dostępne są dla społeczeństwa w ramach udostępnienia informacji o środowisku - w tym metodyki realizacji przywołanych prac.</w:t>
            </w:r>
            <w:r w:rsidRPr="00575CB5">
              <w:rPr>
                <w:rFonts w:ascii="Calibri" w:eastAsia="Times New Roman" w:hAnsi="Calibri" w:cs="Calibri"/>
                <w:color w:val="000000"/>
                <w:sz w:val="18"/>
                <w:szCs w:val="18"/>
                <w:lang w:eastAsia="pl-PL"/>
              </w:rPr>
              <w:br w:type="page"/>
            </w:r>
            <w:r w:rsidR="00A02382">
              <w:rPr>
                <w:rFonts w:ascii="Calibri" w:eastAsia="Times New Roman" w:hAnsi="Calibri" w:cs="Calibri"/>
                <w:color w:val="000000"/>
                <w:sz w:val="18"/>
                <w:szCs w:val="18"/>
                <w:lang w:eastAsia="pl-PL"/>
              </w:rPr>
              <w:t xml:space="preserve"> </w:t>
            </w:r>
            <w:r w:rsidRPr="00575CB5">
              <w:rPr>
                <w:rFonts w:ascii="Calibri" w:eastAsia="Times New Roman" w:hAnsi="Calibri" w:cs="Calibri"/>
                <w:color w:val="000000"/>
                <w:sz w:val="18"/>
                <w:szCs w:val="18"/>
                <w:lang w:eastAsia="pl-PL"/>
              </w:rPr>
              <w:t>Odnosząc się do uwagi w zakresie diagnozy stanu ekologicznego wód, wskazać należy, iż IIaPGW bazuje na wynikach PMŚ wg danych 2014-2019, w tym ocenie stanu GIOŚ 2014-2019. Zgodnie z informacjami przedstawionymi w rozdziale 5 IIaPGW w związku z dokonywanymi zmianami w zakresie klasyfikacji stanu/potencjału ekologicznego oraz stanu chemicznego i oceny stanu od 2022 roku, a więc okresu obowiązywania IIaPGW, dane i informacje prezentowane w IIaPGW zostały przeniesione na nowy układ planistyczny wraz z uwzględnieniem zmian klasyfikacji dla zapewnienia możliwości wskazania prawidłowego punktu odniesienia dla rozpoczynającego się nowego cyklu planistycznego.</w:t>
            </w:r>
            <w:r w:rsidRPr="00575CB5">
              <w:rPr>
                <w:rFonts w:ascii="Calibri" w:eastAsia="Times New Roman" w:hAnsi="Calibri" w:cs="Calibri"/>
                <w:color w:val="000000"/>
                <w:sz w:val="18"/>
                <w:szCs w:val="18"/>
                <w:lang w:eastAsia="pl-PL"/>
              </w:rPr>
              <w:br w:type="page"/>
            </w:r>
            <w:r w:rsidR="00A02382">
              <w:rPr>
                <w:rFonts w:ascii="Calibri" w:eastAsia="Times New Roman" w:hAnsi="Calibri" w:cs="Calibri"/>
                <w:color w:val="000000"/>
                <w:sz w:val="18"/>
                <w:szCs w:val="18"/>
                <w:lang w:eastAsia="pl-PL"/>
              </w:rPr>
              <w:t xml:space="preserve"> </w:t>
            </w:r>
            <w:r w:rsidRPr="00575CB5">
              <w:rPr>
                <w:rFonts w:ascii="Calibri" w:eastAsia="Times New Roman" w:hAnsi="Calibri" w:cs="Calibri"/>
                <w:color w:val="000000"/>
                <w:sz w:val="18"/>
                <w:szCs w:val="18"/>
                <w:lang w:eastAsia="pl-PL"/>
              </w:rPr>
              <w:t xml:space="preserve">Odnosząc się do uwagi w zakresie uzasadnień wyznaczenia SCWP. W ramach szeregu prac realizowanych w okresie III cyklu planistycznego przeprowadzone zostały również działania dotyczące przeglądu i weryfikacji metodyk wyznaczania silnie zmienionych (SZCW) i sztucznych (SCW) części wód wraz ze wstępnym i ostatecznym ich wyznaczeniem. W wyniku przeprowadzonych analiz przygotowane zostały zaktualizowany wykaz SCW i SZCW stanowiący materiał źródłowy dla IIaPGW. Załącznik nr 1 IIaPGW przedstawia wyniki tego działania dla poszczególnych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w zakresie uzasadnienia wyznaczenia, sposobu użytkowania wód oraz zmian hydromorfologicznych z nimi związanych. Załącznik nr 3.1 przedstawia wartości graniczne dobrego potencjału ekologicznego. Wartości te zostały określone indywidualnie dla poszczególnych części wód przy uwzględnieniu wdrażania planowanych działań restytucyjnych. Szczegóły metodyczne pracy dot. przeglądu i weryfikacji metodyk wyznaczania silnie zmienionych (SZCW) i sztucznych (SCW) części wód wraz ze wstępnym i ostatecznym ich wyznaczeniem stanowią element materiałów źródłowych do IIaPGW dostępnych w ramach udostępniania informacji o środowisku.</w:t>
            </w:r>
            <w:r w:rsidR="00A02382">
              <w:rPr>
                <w:rFonts w:ascii="Calibri" w:eastAsia="Times New Roman" w:hAnsi="Calibri" w:cs="Calibri"/>
                <w:color w:val="000000"/>
                <w:sz w:val="18"/>
                <w:szCs w:val="18"/>
                <w:lang w:eastAsia="pl-PL"/>
              </w:rPr>
              <w:t xml:space="preserve"> </w:t>
            </w:r>
            <w:r w:rsidRPr="00575CB5">
              <w:rPr>
                <w:rFonts w:ascii="Calibri" w:eastAsia="Times New Roman" w:hAnsi="Calibri" w:cs="Calibri"/>
                <w:color w:val="000000"/>
                <w:sz w:val="18"/>
                <w:szCs w:val="18"/>
                <w:lang w:eastAsia="pl-PL"/>
              </w:rPr>
              <w:br w:type="page"/>
              <w:t>Odnosząc się do uwagi w zakresie uzasadnień odstępstw z art. 4 ust. 5 RDW, wskazać należy, iż IIaPGW przedstawia szczegółowe (wskaźnikowe) uzasadnienia odstępstw od celów środowiskowych.</w:t>
            </w:r>
            <w:r w:rsidR="00A02382">
              <w:rPr>
                <w:rFonts w:ascii="Calibri" w:eastAsia="Times New Roman" w:hAnsi="Calibri" w:cs="Calibri"/>
                <w:color w:val="000000"/>
                <w:sz w:val="18"/>
                <w:szCs w:val="18"/>
                <w:lang w:eastAsia="pl-PL"/>
              </w:rPr>
              <w:t xml:space="preserve"> </w:t>
            </w:r>
            <w:r w:rsidRPr="00575CB5">
              <w:rPr>
                <w:rFonts w:ascii="Calibri" w:eastAsia="Times New Roman" w:hAnsi="Calibri" w:cs="Calibri"/>
                <w:color w:val="000000"/>
                <w:sz w:val="18"/>
                <w:szCs w:val="18"/>
                <w:lang w:eastAsia="pl-PL"/>
              </w:rPr>
              <w:br w:type="page"/>
              <w:t xml:space="preserve">Odstępstwem od celów środowiskowych RDW jest sytuacja, w której cel środowiskowy nie został osiągnięty; taka sytuacja wymaga odpowiedniego uzasadnienia i wyjaśnienia oraz podjęcia adekwatnej reakcji (podjęcia działań naprawczych). Każdy przypadek odstępstwa od osiągnięcia celów środowiskowych (czyli: każdy przypadek, w którym nie zostały osiągnięte cele środowiskowe lub -w przypadku niemonitorowanego stanu/potencjału ekologicznego - stwierdzono zagrożenie ich nieosiągnięcia) jest szczegółowo uzasadniony w Wykazie Odstępstw (który należy odczytywać w połączeniu z danymi IIaPGW na temat skuteczności zestawów działań) informacjami na temat przyczyn nieosiągnięcia celów środowiskowych. Do katalogu tych przyczyn należą konkretne </w:t>
            </w:r>
            <w:r w:rsidRPr="00575CB5">
              <w:rPr>
                <w:rFonts w:ascii="Calibri" w:eastAsia="Times New Roman" w:hAnsi="Calibri" w:cs="Calibri"/>
                <w:color w:val="000000"/>
                <w:sz w:val="18"/>
                <w:szCs w:val="18"/>
                <w:lang w:eastAsia="pl-PL"/>
              </w:rPr>
              <w:lastRenderedPageBreak/>
              <w:t xml:space="preserve">rodzaje presji lub warunki naturalne - szczegółowe informacje (adekwatne do współczesnego stanu wiedzy i do dostępnych danych) zostały przedstawione w Wykazie Odstępstw. Kryteria wykonalności technicznej i racjonalności kosztów są przedmiotem szerokich analiz związanych z opracowywaniem zestawów działań, stanowiących obecnie bezpośredni element IIaPGW (w odróżnieniu od poprzednich planów gospodarowania wodami, gdzie w samej treści Planu znajdowało się podsumowanie zestawów, które stanowiły przedmiot odrębnego dokumentu aPWŚK). Proces budowy zestawów działań poprzedzony został wypracowaniem metodyki opracowania zestawów działań (materiał źródłowy IIaPGW) zawierającej szczegółowe informacje dotyczące podejścia metodycznego dokonywanych analiz. Metodyka opracowania zestawów działań zakładała konieczność przeprowadzenia wielowariantowych analiz doboru działań ukierunkowanych na dobór działań odpowiednio do statusu, oceny stanu, uwarunkowań środowiskowych i prawnych, zidentyfikowanych presji antropogenicznych danej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przy zachowaniu możliwie najwyższej skuteczności całych zestawów działań. Każde działanie podlegało analizom realności, efektywności jakościowej i kosztowej na wielu poziomach, zarówno prognozy stanu wód, jak i aspektów ekonomicznych ich realności wraz z analizami skutków społeczno – gospodarczych oraz przy uwzględnieniu wyników sprawdzianu klimatycznego. W efekcie dobrane zostały, w zestawy dla każdej jcw, działania których realizacja (łącznie) skutkować ma osiągnięciem szacowanych poziomów poprawy określonych wskaźników. Zestawy działań poddane zostały szczegółowym analizom skuteczności wskazującym potencjalny szacowany poziom możliwego do uzyskania efektu przy założeniu pełnej realizacji działań wskazanych w zestawach. Każda zmiana działania, czy też niepełna realizacja zestawu przyczynia się do zmian w zakresie oszacowanej skuteczności. Wyniki analiz w odniesieniu do każdego działania zaprezentowane zostały w załączniku do IIaPGW (zestaw działań)</w:t>
            </w:r>
            <w:r w:rsidRPr="00575CB5">
              <w:rPr>
                <w:rFonts w:ascii="Calibri" w:eastAsia="Times New Roman" w:hAnsi="Calibri" w:cs="Calibri"/>
                <w:color w:val="000000"/>
                <w:sz w:val="18"/>
                <w:szCs w:val="18"/>
                <w:lang w:eastAsia="pl-PL"/>
              </w:rPr>
              <w:br w:type="page"/>
              <w:t xml:space="preserve">Odnosząc się do uwagi w zakresie odstępstw z art. 4 ust. 7 RDW wskazać należy, iż zgodnie z rolą Wykazu Inwestycji i Działań w zakresie przygotowania przedsięwzięć w nim uwzględnionych (funkcja sprawozdawcza Wykazu o wydanych w przeszłości zgodach administracyjnych na realizację przedsięwzięć w nim uwzględnionych, nie mająca na celu potwierdzenia negatywnego oddziaływania poszczególnych przedsięwzięć) stanowi on wyłącznie zestawienie przedsięwzięć, które w przeszłości były objęte (gdy było to wymagane) SOOŚ oraz postępowaniami w sprawie oceny oddziaływania planowanego przedsięwzięcia na środowisko przed wydaniem przez właściwy organ decyzji o środowiskowych uwarunkowaniach lub innej. W Wykazie Inwestycji i Działań mogą być ujęte (i zostały ujęte) wyłącznie takie planowane działania i przedsięwzięcia co do których już potwierdzono (w aPGW z 2016 r. lub w formie decyzji o środowiskowych uwarunkowaniach/oceny wodnoprawnej), że mogą one spowodować zagrożenie dla celów środowiskowych oraz potwierdzono dopuszczalność tego zagrożenia w formie przypisania odstępstwa w trybie art. 4 ust. 7 Ramowej Dyrektywy Wodnej w formie wpisu do aPGW z 2016 r. lub/oraz wydania decyzji (oceny wodnoprawnej lub decyzji o środowiskowych uwarunkowaniach) z zastosowaniem art. 68 ustawy Prawo wodne. Metodyka wykonania Wykazów Inwestycji i Działań zakłada, że inwestycje bez decyzji wydanej z zastosowaniem art. 68 ustawy Prawo wodne, co do których </w:t>
            </w:r>
            <w:r w:rsidRPr="00575CB5">
              <w:rPr>
                <w:rFonts w:ascii="Calibri" w:eastAsia="Times New Roman" w:hAnsi="Calibri" w:cs="Calibri"/>
                <w:color w:val="000000"/>
                <w:sz w:val="18"/>
                <w:szCs w:val="18"/>
                <w:lang w:eastAsia="pl-PL"/>
              </w:rPr>
              <w:lastRenderedPageBreak/>
              <w:t xml:space="preserve">stwierdzono (w aPGW z 2016 r.) ryzyko pogorszenia stanu wód (lub uniemożliwienia osiągnięcia celów środowiskowych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zostały wpisane do Wykazów Inwestycji i Działań z tego powodu, że analiza przesłanek wynikających z art. 4.7 RDW została wykonana dla tych przedsięwzięć w poprzednim PGW (z 2016 r.). Przyjęto, że odstępstwa w trybie art. 4.7 RDW zawarte w aPGW z 2016 r. nie powinny pozostać niezauważone i potraktowane jako nieistniejące.</w:t>
            </w:r>
            <w:r w:rsidRPr="00575CB5">
              <w:rPr>
                <w:rFonts w:ascii="Calibri" w:eastAsia="Times New Roman" w:hAnsi="Calibri" w:cs="Calibri"/>
                <w:color w:val="000000"/>
                <w:sz w:val="18"/>
                <w:szCs w:val="18"/>
                <w:lang w:eastAsia="pl-PL"/>
              </w:rPr>
              <w:br w:type="page"/>
            </w:r>
            <w:r w:rsidR="00A02382">
              <w:rPr>
                <w:rFonts w:ascii="Calibri" w:eastAsia="Times New Roman" w:hAnsi="Calibri" w:cs="Calibri"/>
                <w:color w:val="000000"/>
                <w:sz w:val="18"/>
                <w:szCs w:val="18"/>
                <w:lang w:eastAsia="pl-PL"/>
              </w:rPr>
              <w:t xml:space="preserve"> </w:t>
            </w:r>
            <w:r w:rsidRPr="00575CB5">
              <w:rPr>
                <w:rFonts w:ascii="Calibri" w:eastAsia="Times New Roman" w:hAnsi="Calibri" w:cs="Calibri"/>
                <w:color w:val="000000"/>
                <w:sz w:val="18"/>
                <w:szCs w:val="18"/>
                <w:lang w:eastAsia="pl-PL"/>
              </w:rPr>
              <w:t xml:space="preserve">W odniesieniu do uwagi w zakresie zagadnień renaturyzacji hydromorfologicznej wskazać należy, iż na potrzeby IIaPGW uwzględniono najnowsze dane opracowane w ramach Analizy znaczących oddziaływań antropogenicznych wraz z oceną ich wpływu na stan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aktualne wyniki z monitoringu GIOŚ z 2019 r., wykonano aktualizację bazy danych HYMO zawierającą dane o presjach hydromorfologicznych, w tym budowli piętrzących. Dokonano weryfikacji między innymi obiektów piętrzących wpływających na ciągłość biologiczną i morfologiczną cieków, usuwając z bazy obiekty powtarzające się, uszczegółowiając na podstawie ankietyzacji informację z zakresu wysokości piętrzenia, drożności, skuteczności przepławek itp. Na podstawie pozyskanych i zweryfikowanych informacji zostały zaplanowane działania ukierunkowane na przywrócenie i określenie problemów związanych z ciągłością biologiczną, z jednoczesnym uwzględnieniem najważniejszych potrzeb ryb dwuśrodowiskowych, gatunków chronionych i klasy wskaźników ichtiologicznych oraz efektywności ekonomicznej szerokich potrzeb udrożnienia cieków. Dodatkowo bardzo szczegółowo uwzględniono działania służące spełnieniu celów środowiskowych dla obszarów chronionych. W zakresie renaturyzacji włączono do zestawu działań dla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rzecznych działania służące poprawie stanu hydromorfologicznego, biologicznego i fizykochemicznego wód z uwzględnieniem możliwości likwidacji presji antropogenicznych zawarte w PZO i PO, oraz działania z tzw. testu restytucji opracowanego w ramach projektu: Przegląd i weryfikacja metodyk wyznaczania silnie zmienionych i sztucznych części wód powierzchniowych wraz ze wstępnym i ostatecznym wyznaczeniem wskazane dla SZCW, dla których na podstawie danych GIOŚ zidentyfikowano ryzyko nieosiągnięcia celów środowiskowych z uwagi na presje hydromorfologiczne. W przypadku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jeziornych zespół ekspertów pracujący przy KPRWP opracował i uszczegółowił na potrzeby IIaPGW zestawy działań możliwe do wdrożenia w tych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uwzględniając czynniki dodatkowe takie jak: zagrożenie suszą, brak przepływu w ciekach zasilających, presje na wody podziemne - związane z lejami depresji, a także stan jakościowy. W wielu przypadkach wskazano konieczność realizacji indywidualnych programów naprawczych dla jezior, w tym programu Renaturyzacji i Rekultywacji. W przypadku indywidualnych programów naprawczych dla jezior należy mieć na uwadze, że poprawa warunków hydromorfologicznych, w tym w szczególności w strefie brzegowej i litoralnej, stanowi kluczowy element tych programów. Są to m.in. strefy buforowe, pozwalające z jednej strony na poprawę stanu hydromorfologicznych, z drugiej stanowiące barierę dla biogenów mogących dostawać się do jeziora że zlewni. KPRWP (będący punktem wyjścia dla budowy działań z zakresu poprawy stanu hydromorfologicznego) wskazywał działania potencjalne bez uwzględnienia powiązań z wodami podziemnymi, których zły stan ilościowy (presje związane np. z poborem wód i odwodnieniem) zasadniczo weryfikuje możliwość wdrożenia działań </w:t>
            </w:r>
            <w:proofErr w:type="spellStart"/>
            <w:r w:rsidRPr="00575CB5">
              <w:rPr>
                <w:rFonts w:ascii="Calibri" w:eastAsia="Times New Roman" w:hAnsi="Calibri" w:cs="Calibri"/>
                <w:color w:val="000000"/>
                <w:sz w:val="18"/>
                <w:szCs w:val="18"/>
                <w:lang w:eastAsia="pl-PL"/>
              </w:rPr>
              <w:lastRenderedPageBreak/>
              <w:t>renaturyzacyjnych</w:t>
            </w:r>
            <w:proofErr w:type="spellEnd"/>
            <w:r w:rsidRPr="00575CB5">
              <w:rPr>
                <w:rFonts w:ascii="Calibri" w:eastAsia="Times New Roman" w:hAnsi="Calibri" w:cs="Calibri"/>
                <w:color w:val="000000"/>
                <w:sz w:val="18"/>
                <w:szCs w:val="18"/>
                <w:lang w:eastAsia="pl-PL"/>
              </w:rPr>
              <w:t xml:space="preserve"> wskazanych w KPRWP. Działania z KPRWP wymagają szczegółowej weryfikacji w zakresie zarówno zakresu jak i możliwości ich wdrożenia w danej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w tym weryfikacji wpływu wdrożenia działań </w:t>
            </w:r>
            <w:proofErr w:type="spellStart"/>
            <w:r w:rsidRPr="00575CB5">
              <w:rPr>
                <w:rFonts w:ascii="Calibri" w:eastAsia="Times New Roman" w:hAnsi="Calibri" w:cs="Calibri"/>
                <w:color w:val="000000"/>
                <w:sz w:val="18"/>
                <w:szCs w:val="18"/>
                <w:lang w:eastAsia="pl-PL"/>
              </w:rPr>
              <w:t>renaturyzacyjnych</w:t>
            </w:r>
            <w:proofErr w:type="spellEnd"/>
            <w:r w:rsidRPr="00575CB5">
              <w:rPr>
                <w:rFonts w:ascii="Calibri" w:eastAsia="Times New Roman" w:hAnsi="Calibri" w:cs="Calibri"/>
                <w:color w:val="000000"/>
                <w:sz w:val="18"/>
                <w:szCs w:val="18"/>
                <w:lang w:eastAsia="pl-PL"/>
              </w:rPr>
              <w:t xml:space="preserve"> na ryzyko powodziowe w danej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a zatem wymagać będą między innymi modelowania hydraulicznego przepływu wód, uwzględnienia potencjalnych działań wpisanych w aktualizowane obecnie aPZRP, a także konsultacji z podmiotami będącymi właścicielami gruntów czy urządzeń wodnych w obrębie planowanych działań. Uwzględnienia działań dla </w:t>
            </w:r>
            <w:proofErr w:type="spellStart"/>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d</w:t>
            </w:r>
            <w:proofErr w:type="spellEnd"/>
            <w:r w:rsidRPr="00575CB5">
              <w:rPr>
                <w:rFonts w:ascii="Calibri" w:eastAsia="Times New Roman" w:hAnsi="Calibri" w:cs="Calibri"/>
                <w:color w:val="000000"/>
                <w:sz w:val="18"/>
                <w:szCs w:val="18"/>
                <w:lang w:eastAsia="pl-PL"/>
              </w:rPr>
              <w:t xml:space="preserve"> oraz zestawów działań aPGW wynikających z PO/PZO/ZO w celu eliminacji działań powtarzających się.</w:t>
            </w:r>
            <w:r w:rsidRPr="00575CB5">
              <w:rPr>
                <w:rFonts w:ascii="Calibri" w:eastAsia="Times New Roman" w:hAnsi="Calibri" w:cs="Calibri"/>
                <w:color w:val="000000"/>
                <w:sz w:val="18"/>
                <w:szCs w:val="18"/>
                <w:lang w:eastAsia="pl-PL"/>
              </w:rPr>
              <w:br w:type="page"/>
            </w:r>
            <w:r w:rsidR="00A02382">
              <w:rPr>
                <w:rFonts w:ascii="Calibri" w:eastAsia="Times New Roman" w:hAnsi="Calibri" w:cs="Calibri"/>
                <w:color w:val="000000"/>
                <w:sz w:val="18"/>
                <w:szCs w:val="18"/>
                <w:lang w:eastAsia="pl-PL"/>
              </w:rPr>
              <w:t xml:space="preserve"> </w:t>
            </w:r>
            <w:r w:rsidRPr="00575CB5">
              <w:rPr>
                <w:rFonts w:ascii="Calibri" w:eastAsia="Times New Roman" w:hAnsi="Calibri" w:cs="Calibri"/>
                <w:color w:val="000000"/>
                <w:sz w:val="18"/>
                <w:szCs w:val="18"/>
                <w:lang w:eastAsia="pl-PL"/>
              </w:rPr>
              <w:t xml:space="preserve">W wyniku dokonanej ponownej weryfikacji w zakresie działań KPRWP, zestawy działań IIaPGW uzupełnione zostały o działania </w:t>
            </w:r>
            <w:proofErr w:type="spellStart"/>
            <w:r w:rsidRPr="00575CB5">
              <w:rPr>
                <w:rFonts w:ascii="Calibri" w:eastAsia="Times New Roman" w:hAnsi="Calibri" w:cs="Calibri"/>
                <w:color w:val="000000"/>
                <w:sz w:val="18"/>
                <w:szCs w:val="18"/>
                <w:lang w:eastAsia="pl-PL"/>
              </w:rPr>
              <w:t>renaturyzacyjne</w:t>
            </w:r>
            <w:proofErr w:type="spellEnd"/>
            <w:r w:rsidRPr="00575CB5">
              <w:rPr>
                <w:rFonts w:ascii="Calibri" w:eastAsia="Times New Roman" w:hAnsi="Calibri" w:cs="Calibri"/>
                <w:color w:val="000000"/>
                <w:sz w:val="18"/>
                <w:szCs w:val="18"/>
                <w:lang w:eastAsia="pl-PL"/>
              </w:rPr>
              <w:t xml:space="preserve"> wskazane dla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NAT, zagrożonych, z presją znaczącą BIO_HM inną niż ciągłość (PPH2), powodującą zły stan elementów biologicznych zależnych od hydromorfologii i ryzyko nieosiągnięcia celów środowiskowych, w tym dla obszarów chronionych, dla których wskazano cele środowiskowe w zakresie wymogów rzek </w:t>
            </w:r>
            <w:proofErr w:type="spellStart"/>
            <w:r w:rsidRPr="00575CB5">
              <w:rPr>
                <w:rFonts w:ascii="Calibri" w:eastAsia="Times New Roman" w:hAnsi="Calibri" w:cs="Calibri"/>
                <w:color w:val="000000"/>
                <w:sz w:val="18"/>
                <w:szCs w:val="18"/>
                <w:lang w:eastAsia="pl-PL"/>
              </w:rPr>
              <w:t>włosinicznikowych</w:t>
            </w:r>
            <w:proofErr w:type="spellEnd"/>
            <w:r w:rsidRPr="00575CB5">
              <w:rPr>
                <w:rFonts w:ascii="Calibri" w:eastAsia="Times New Roman" w:hAnsi="Calibri" w:cs="Calibri"/>
                <w:color w:val="000000"/>
                <w:sz w:val="18"/>
                <w:szCs w:val="18"/>
                <w:lang w:eastAsia="pl-PL"/>
              </w:rPr>
              <w:t xml:space="preserve"> i wylewów, bez działań wynikających z testu restytucji. Wprowadzono działanie dla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RW: Analiza sposobu przeprowadzenia renaturyzacji koryta cieku oraz realizacja działań na podstawie przeprowadzonej analizy (do 2027 r.). Dokonane zostały również modyfikacje zestawów działań w zakresie działań ukierunkowanych na zapewnienie ciągłości biologicznej, a tym samym zapewnienie osiągnięcia celów środowiskowych w zakresie ciągłości biologicznej w perspektywie do 2027 r. Wprowadzone zmiany dotyczą m.in. działania RWHM_02.06, uzupełnionego o możliwość realizacji działania technicznego z zakresu przywrócenia drożności po wykonaniu oceny. Działanie RWHM_02.06 obecnie zawiera następujące zapisy: Nazwa działania: Ocena wpływu budowli poprzecznych na ciągłość biologiczną i cele środowiskowe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Opis działania: Ocena wpływu budowli poprzecznych na ciągłość biologiczną i cele środowiskowe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W przypadku stwierdzenia negatywnego wpływu budowli na ciągłość biologiczną i cele środowiskowe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analiza możliwości wdrożenia działań zapewniających ciągłość biologiczną i spełnienie celów środowiskowych. Realizacja działań zgodnie z przeprowadzoną analizą. Wykaz budowli objętych działaniem zamieszczono w Zał. 1 Wykaz działań dla budowli. Zastosowanie: Działania mają na celu identyfikację wpływu budowli poprzecznych na ciągłość biologiczną. Działanie dedykowane w przypadku występowania budowli, dla których brak informacji uniemożliwia ocenę wpływu na ciągłość biologiczną, w szczególności, czy obiekt jest wyposażony w urządzenia do migracji ryb lub parametry obiektu (np. wysokość piętrzenia) umożliwiają migrację ryb. Wykaz budowli objętych działaniem zamieszczono w Zał. 1 Wykaz działań dla budowli.</w:t>
            </w:r>
            <w:r w:rsidRPr="00575CB5">
              <w:rPr>
                <w:rFonts w:ascii="Calibri" w:eastAsia="Times New Roman" w:hAnsi="Calibri" w:cs="Calibri"/>
                <w:color w:val="000000"/>
                <w:sz w:val="18"/>
                <w:szCs w:val="18"/>
                <w:lang w:eastAsia="pl-PL"/>
              </w:rPr>
              <w:br w:type="page"/>
              <w:t xml:space="preserve">Jednocześnie zmiany dokonano również w zakresie działania RWHM_02.08, które obecnie zawiera następujące zapisy: Nazwa działania: Monitoring skuteczności istniejących urządzeń do migracji ryb. Opis działania: Monitoring skuteczności istniejących urządzeń do migracji ryb w celu weryfikacji prawidłowego funkcjonowania tych urządzeń. W przypadku stwierdzenia negatywnego wpływu budowli na ciągłość biologiczną i cele środowiskowe </w:t>
            </w:r>
            <w:r w:rsidR="001F37E7">
              <w:rPr>
                <w:rFonts w:ascii="Calibri" w:eastAsia="Times New Roman" w:hAnsi="Calibri" w:cs="Calibri"/>
                <w:color w:val="000000"/>
                <w:sz w:val="18"/>
                <w:szCs w:val="18"/>
                <w:lang w:eastAsia="pl-PL"/>
              </w:rPr>
              <w:t>JCWP</w:t>
            </w:r>
            <w:r w:rsidRPr="00575CB5">
              <w:rPr>
                <w:rFonts w:ascii="Calibri" w:eastAsia="Times New Roman" w:hAnsi="Calibri" w:cs="Calibri"/>
                <w:color w:val="000000"/>
                <w:sz w:val="18"/>
                <w:szCs w:val="18"/>
                <w:lang w:eastAsia="pl-PL"/>
              </w:rPr>
              <w:t xml:space="preserve">, analiza możliwości wdrożenia działań zapewniających ciągłość biologiczną i spełnienie celów środowiskowych. Realizacja działań zgodnie z przeprowadzoną </w:t>
            </w:r>
            <w:r w:rsidRPr="00575CB5">
              <w:rPr>
                <w:rFonts w:ascii="Calibri" w:eastAsia="Times New Roman" w:hAnsi="Calibri" w:cs="Calibri"/>
                <w:color w:val="000000"/>
                <w:sz w:val="18"/>
                <w:szCs w:val="18"/>
                <w:lang w:eastAsia="pl-PL"/>
              </w:rPr>
              <w:lastRenderedPageBreak/>
              <w:t>analizą. Monitoring należy wykonać co najmniej raz w ciągu cyklu planistycznego. Wykaz budowli objętych działaniem zamieszczono w Zał. 1 Wykaz działań dla budowli. Zastosowanie: Działanie mające na celu zapewnienie monitoringu urządzeń do migracji ryb, w przypadku, gdy istnieje informacja, że obiekty są wyposażone w takie urządzenia. Wykaz budowli objętych działaniem zamieszczono w Zał. 1 Wykaz działań dla budowli.</w:t>
            </w:r>
          </w:p>
        </w:tc>
      </w:tr>
      <w:tr w:rsidR="00650CA2" w:rsidRPr="00575CB5" w14:paraId="773A5DEE" w14:textId="77777777" w:rsidTr="00204A63">
        <w:trPr>
          <w:trHeight w:val="454"/>
        </w:trPr>
        <w:tc>
          <w:tcPr>
            <w:tcW w:w="434" w:type="dxa"/>
            <w:tcBorders>
              <w:top w:val="single" w:sz="4" w:space="0" w:color="auto"/>
              <w:left w:val="single" w:sz="4" w:space="0" w:color="auto"/>
              <w:bottom w:val="single" w:sz="4" w:space="0" w:color="auto"/>
              <w:right w:val="single" w:sz="4" w:space="0" w:color="auto"/>
            </w:tcBorders>
            <w:shd w:val="clear" w:color="auto" w:fill="auto"/>
          </w:tcPr>
          <w:p w14:paraId="049E33A1" w14:textId="77777777" w:rsidR="00650CA2" w:rsidRPr="00575CB5" w:rsidRDefault="00650CA2" w:rsidP="00650CA2">
            <w:pPr>
              <w:ind w:firstLine="0"/>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lastRenderedPageBreak/>
              <w:t>8.</w:t>
            </w:r>
          </w:p>
        </w:tc>
        <w:tc>
          <w:tcPr>
            <w:tcW w:w="1516" w:type="dxa"/>
            <w:tcBorders>
              <w:top w:val="nil"/>
              <w:left w:val="nil"/>
              <w:bottom w:val="single" w:sz="4" w:space="0" w:color="auto"/>
              <w:right w:val="single" w:sz="4" w:space="0" w:color="auto"/>
            </w:tcBorders>
            <w:shd w:val="clear" w:color="auto" w:fill="auto"/>
          </w:tcPr>
          <w:p w14:paraId="442F5EA3" w14:textId="77777777" w:rsidR="00650CA2" w:rsidRPr="00575CB5" w:rsidRDefault="00650CA2" w:rsidP="00650CA2">
            <w:pPr>
              <w:ind w:firstLine="0"/>
              <w:jc w:val="left"/>
              <w:rPr>
                <w:rFonts w:ascii="Calibri" w:eastAsia="Times New Roman" w:hAnsi="Calibri" w:cs="Calibri"/>
                <w:color w:val="000000"/>
                <w:sz w:val="18"/>
                <w:szCs w:val="18"/>
                <w:lang w:eastAsia="pl-PL"/>
              </w:rPr>
            </w:pPr>
            <w:r w:rsidRPr="00F16C05">
              <w:rPr>
                <w:rFonts w:ascii="Calibri" w:eastAsia="Times New Roman" w:hAnsi="Calibri" w:cs="Calibri"/>
                <w:color w:val="000000"/>
                <w:sz w:val="18"/>
                <w:szCs w:val="18"/>
                <w:lang w:eastAsia="pl-PL"/>
              </w:rPr>
              <w:t>Eco Life System Sp. z o.o.</w:t>
            </w:r>
          </w:p>
        </w:tc>
        <w:tc>
          <w:tcPr>
            <w:tcW w:w="1480" w:type="dxa"/>
            <w:tcBorders>
              <w:top w:val="single" w:sz="4" w:space="0" w:color="auto"/>
              <w:left w:val="nil"/>
              <w:bottom w:val="single" w:sz="4" w:space="0" w:color="auto"/>
              <w:right w:val="single" w:sz="4" w:space="0" w:color="auto"/>
            </w:tcBorders>
          </w:tcPr>
          <w:p w14:paraId="684E6110" w14:textId="77777777" w:rsidR="00650CA2" w:rsidRPr="00575CB5" w:rsidRDefault="00650CA2" w:rsidP="00650CA2">
            <w:pPr>
              <w:ind w:firstLine="0"/>
              <w:jc w:val="left"/>
              <w:rPr>
                <w:rFonts w:ascii="Calibri" w:eastAsia="Times New Roman" w:hAnsi="Calibri" w:cs="Calibri"/>
                <w:color w:val="000000"/>
                <w:sz w:val="18"/>
                <w:szCs w:val="18"/>
                <w:lang w:eastAsia="pl-PL"/>
              </w:rPr>
            </w:pPr>
            <w:r w:rsidRPr="00F16C05">
              <w:rPr>
                <w:rFonts w:ascii="Calibri" w:eastAsia="Times New Roman" w:hAnsi="Calibri" w:cs="Calibri"/>
                <w:color w:val="000000"/>
                <w:sz w:val="18"/>
                <w:szCs w:val="18"/>
                <w:lang w:eastAsia="pl-PL"/>
              </w:rPr>
              <w:t>inne/pozostałe</w:t>
            </w:r>
          </w:p>
        </w:tc>
        <w:tc>
          <w:tcPr>
            <w:tcW w:w="3781" w:type="dxa"/>
            <w:tcBorders>
              <w:top w:val="nil"/>
              <w:left w:val="nil"/>
              <w:bottom w:val="single" w:sz="4" w:space="0" w:color="auto"/>
              <w:right w:val="single" w:sz="4" w:space="0" w:color="auto"/>
            </w:tcBorders>
            <w:shd w:val="clear" w:color="auto" w:fill="auto"/>
          </w:tcPr>
          <w:p w14:paraId="21EE9874" w14:textId="77777777" w:rsidR="00650CA2" w:rsidRPr="00575CB5" w:rsidRDefault="00650CA2" w:rsidP="00650CA2">
            <w:pPr>
              <w:ind w:firstLine="0"/>
              <w:jc w:val="left"/>
              <w:rPr>
                <w:rFonts w:ascii="Calibri" w:eastAsia="Times New Roman" w:hAnsi="Calibri" w:cs="Calibri"/>
                <w:color w:val="000000"/>
                <w:sz w:val="18"/>
                <w:szCs w:val="18"/>
                <w:lang w:eastAsia="pl-PL"/>
              </w:rPr>
            </w:pPr>
            <w:r w:rsidRPr="00F16C05">
              <w:rPr>
                <w:rFonts w:ascii="Calibri" w:eastAsia="Times New Roman" w:hAnsi="Calibri" w:cs="Calibri"/>
                <w:color w:val="000000"/>
                <w:sz w:val="18"/>
                <w:szCs w:val="18"/>
                <w:lang w:eastAsia="pl-PL"/>
              </w:rPr>
              <w:t>Eco Life System Sp. z o.o (www. ecolifesystem.com.pl ) stworzyła Zintegrowany System Oczyszczania Ścieków, który może poprawić jakość wody w Łynie przy jednoczesnych oszczędnościach w kosztach oczyszczania ścieków odprowadzających ścieki oczyszczone do Łyny . Komu można przedstawić ten pomysł do oceny aby zweryfikować jego przydatność w obecnych działaniach?</w:t>
            </w:r>
          </w:p>
        </w:tc>
        <w:tc>
          <w:tcPr>
            <w:tcW w:w="2990" w:type="dxa"/>
            <w:tcBorders>
              <w:top w:val="single" w:sz="4" w:space="0" w:color="auto"/>
              <w:left w:val="nil"/>
              <w:bottom w:val="single" w:sz="4" w:space="0" w:color="auto"/>
              <w:right w:val="single" w:sz="4" w:space="0" w:color="auto"/>
            </w:tcBorders>
            <w:shd w:val="clear" w:color="auto" w:fill="auto"/>
          </w:tcPr>
          <w:p w14:paraId="595B545C" w14:textId="77777777" w:rsidR="00650CA2" w:rsidRPr="00575CB5" w:rsidRDefault="00650CA2" w:rsidP="00650CA2">
            <w:pPr>
              <w:ind w:firstLine="0"/>
              <w:jc w:val="lef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w:t>
            </w:r>
          </w:p>
        </w:tc>
        <w:tc>
          <w:tcPr>
            <w:tcW w:w="2658" w:type="dxa"/>
            <w:tcBorders>
              <w:top w:val="single" w:sz="4" w:space="0" w:color="auto"/>
              <w:left w:val="nil"/>
              <w:bottom w:val="single" w:sz="4" w:space="0" w:color="auto"/>
              <w:right w:val="single" w:sz="4" w:space="0" w:color="auto"/>
            </w:tcBorders>
            <w:shd w:val="clear" w:color="auto" w:fill="auto"/>
          </w:tcPr>
          <w:p w14:paraId="1FC02C6F" w14:textId="77777777" w:rsidR="00650CA2" w:rsidRPr="00575CB5" w:rsidRDefault="00650CA2" w:rsidP="00650CA2">
            <w:pPr>
              <w:ind w:firstLine="0"/>
              <w:jc w:val="lef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w:t>
            </w:r>
          </w:p>
        </w:tc>
        <w:tc>
          <w:tcPr>
            <w:tcW w:w="1633" w:type="dxa"/>
            <w:tcBorders>
              <w:top w:val="single" w:sz="4" w:space="0" w:color="auto"/>
              <w:left w:val="nil"/>
              <w:bottom w:val="single" w:sz="4" w:space="0" w:color="auto"/>
              <w:right w:val="single" w:sz="4" w:space="0" w:color="auto"/>
            </w:tcBorders>
            <w:shd w:val="clear" w:color="auto" w:fill="auto"/>
          </w:tcPr>
          <w:p w14:paraId="2A755E17" w14:textId="77777777" w:rsidR="00650CA2" w:rsidRPr="00575CB5" w:rsidRDefault="00650CA2" w:rsidP="00650CA2">
            <w:pPr>
              <w:ind w:firstLine="0"/>
              <w:jc w:val="lef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w:t>
            </w:r>
          </w:p>
        </w:tc>
        <w:tc>
          <w:tcPr>
            <w:tcW w:w="1393" w:type="dxa"/>
            <w:tcBorders>
              <w:top w:val="nil"/>
              <w:left w:val="nil"/>
              <w:bottom w:val="single" w:sz="4" w:space="0" w:color="auto"/>
              <w:right w:val="single" w:sz="4" w:space="0" w:color="auto"/>
            </w:tcBorders>
            <w:shd w:val="clear" w:color="auto" w:fill="auto"/>
          </w:tcPr>
          <w:p w14:paraId="73A761EF" w14:textId="77777777" w:rsidR="00650CA2" w:rsidRPr="00575CB5" w:rsidRDefault="00650CA2" w:rsidP="00650CA2">
            <w:pPr>
              <w:ind w:firstLine="0"/>
              <w:jc w:val="left"/>
              <w:rPr>
                <w:rFonts w:ascii="Calibri" w:eastAsia="Times New Roman" w:hAnsi="Calibri" w:cs="Calibri"/>
                <w:color w:val="000000"/>
                <w:sz w:val="18"/>
                <w:szCs w:val="18"/>
                <w:lang w:eastAsia="pl-PL"/>
              </w:rPr>
            </w:pPr>
            <w:r w:rsidRPr="00F16C05">
              <w:rPr>
                <w:rFonts w:ascii="Calibri" w:eastAsia="Times New Roman" w:hAnsi="Calibri" w:cs="Calibri"/>
                <w:color w:val="000000"/>
                <w:sz w:val="18"/>
                <w:szCs w:val="18"/>
                <w:lang w:eastAsia="pl-PL"/>
              </w:rPr>
              <w:t>wyjaśnienie</w:t>
            </w:r>
          </w:p>
        </w:tc>
        <w:tc>
          <w:tcPr>
            <w:tcW w:w="5082" w:type="dxa"/>
            <w:tcBorders>
              <w:top w:val="nil"/>
              <w:left w:val="nil"/>
              <w:bottom w:val="single" w:sz="4" w:space="0" w:color="auto"/>
              <w:right w:val="single" w:sz="4" w:space="0" w:color="auto"/>
            </w:tcBorders>
            <w:shd w:val="clear" w:color="auto" w:fill="auto"/>
          </w:tcPr>
          <w:p w14:paraId="7764F5E6" w14:textId="77777777" w:rsidR="00650CA2" w:rsidRPr="00575CB5" w:rsidRDefault="00650CA2" w:rsidP="00650CA2">
            <w:pPr>
              <w:ind w:firstLine="0"/>
              <w:jc w:val="left"/>
              <w:rPr>
                <w:rFonts w:ascii="Calibri" w:eastAsia="Times New Roman" w:hAnsi="Calibri" w:cs="Calibri"/>
                <w:color w:val="000000"/>
                <w:sz w:val="18"/>
                <w:szCs w:val="18"/>
                <w:lang w:eastAsia="pl-PL"/>
              </w:rPr>
            </w:pPr>
            <w:r w:rsidRPr="00F16C05">
              <w:rPr>
                <w:rFonts w:ascii="Calibri" w:eastAsia="Times New Roman" w:hAnsi="Calibri" w:cs="Calibri"/>
                <w:color w:val="000000"/>
                <w:sz w:val="18"/>
                <w:szCs w:val="18"/>
                <w:lang w:eastAsia="pl-PL"/>
              </w:rPr>
              <w:t>Odpowiedzi udzielono na spotkaniu konsultacyjnym.</w:t>
            </w:r>
            <w:r w:rsidRPr="00F16C05">
              <w:rPr>
                <w:rFonts w:ascii="Calibri" w:eastAsia="Times New Roman" w:hAnsi="Calibri" w:cs="Calibri"/>
                <w:color w:val="000000"/>
                <w:sz w:val="18"/>
                <w:szCs w:val="18"/>
                <w:lang w:eastAsia="pl-PL"/>
              </w:rPr>
              <w:br/>
            </w:r>
            <w:r w:rsidRPr="00F16C05">
              <w:rPr>
                <w:rFonts w:ascii="Calibri" w:eastAsia="Times New Roman" w:hAnsi="Calibri" w:cs="Calibri"/>
                <w:color w:val="000000"/>
                <w:sz w:val="18"/>
                <w:szCs w:val="18"/>
                <w:lang w:eastAsia="pl-PL"/>
              </w:rPr>
              <w:br/>
              <w:t>Tego typu inicjatywy nie można wprost powiązać z planami gospodarowania wodami. Niestety, Wody Polskie nie mają kompetencji w zakresie oczyszczania ścieków, natomiast plan gospodarowania wodami nie może wprost rekomendować z nazwy rozwiązań, które na rynku się pojawiają. Każda z takich inicjatyw jest na pewno cenna, ponieważ gospodarka ściekowa to domena samorządów, ja bym proponował zainteresowanie lokalnych samorządów gmin.</w:t>
            </w:r>
          </w:p>
        </w:tc>
      </w:tr>
      <w:tr w:rsidR="00650CA2" w:rsidRPr="00575CB5" w14:paraId="0FDC126E" w14:textId="77777777" w:rsidTr="00204A63">
        <w:trPr>
          <w:trHeight w:val="454"/>
        </w:trPr>
        <w:tc>
          <w:tcPr>
            <w:tcW w:w="434" w:type="dxa"/>
            <w:tcBorders>
              <w:top w:val="single" w:sz="4" w:space="0" w:color="auto"/>
              <w:left w:val="single" w:sz="4" w:space="0" w:color="auto"/>
              <w:bottom w:val="single" w:sz="4" w:space="0" w:color="auto"/>
              <w:right w:val="single" w:sz="4" w:space="0" w:color="auto"/>
            </w:tcBorders>
            <w:shd w:val="clear" w:color="auto" w:fill="auto"/>
          </w:tcPr>
          <w:p w14:paraId="15326A86" w14:textId="77777777" w:rsidR="00650CA2" w:rsidRPr="00575CB5" w:rsidRDefault="00650CA2" w:rsidP="00650CA2">
            <w:pPr>
              <w:ind w:firstLine="0"/>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9.</w:t>
            </w:r>
          </w:p>
        </w:tc>
        <w:tc>
          <w:tcPr>
            <w:tcW w:w="1516" w:type="dxa"/>
            <w:tcBorders>
              <w:top w:val="nil"/>
              <w:left w:val="nil"/>
              <w:bottom w:val="single" w:sz="4" w:space="0" w:color="auto"/>
              <w:right w:val="single" w:sz="4" w:space="0" w:color="auto"/>
            </w:tcBorders>
            <w:shd w:val="clear" w:color="auto" w:fill="auto"/>
          </w:tcPr>
          <w:p w14:paraId="4A2D6248" w14:textId="77777777" w:rsidR="00650CA2" w:rsidRPr="00575CB5" w:rsidRDefault="00650CA2" w:rsidP="00650CA2">
            <w:pPr>
              <w:ind w:firstLine="0"/>
              <w:jc w:val="left"/>
              <w:rPr>
                <w:rFonts w:ascii="Calibri" w:eastAsia="Times New Roman" w:hAnsi="Calibri" w:cs="Calibri"/>
                <w:color w:val="000000"/>
                <w:sz w:val="18"/>
                <w:szCs w:val="18"/>
                <w:lang w:eastAsia="pl-PL"/>
              </w:rPr>
            </w:pPr>
            <w:r w:rsidRPr="00F16C05">
              <w:rPr>
                <w:rFonts w:ascii="Calibri" w:eastAsia="Times New Roman" w:hAnsi="Calibri" w:cs="Calibri"/>
                <w:color w:val="000000"/>
                <w:sz w:val="18"/>
                <w:szCs w:val="18"/>
                <w:lang w:eastAsia="pl-PL"/>
              </w:rPr>
              <w:t>Urząd Marszałkowski Województwa Warmińsko-Mazurskiego w Olsztynie</w:t>
            </w:r>
          </w:p>
        </w:tc>
        <w:tc>
          <w:tcPr>
            <w:tcW w:w="1480" w:type="dxa"/>
            <w:tcBorders>
              <w:top w:val="single" w:sz="4" w:space="0" w:color="auto"/>
              <w:left w:val="nil"/>
              <w:bottom w:val="single" w:sz="4" w:space="0" w:color="auto"/>
              <w:right w:val="single" w:sz="4" w:space="0" w:color="auto"/>
            </w:tcBorders>
          </w:tcPr>
          <w:p w14:paraId="4A20488F" w14:textId="77777777" w:rsidR="00650CA2" w:rsidRPr="00575CB5" w:rsidRDefault="00650CA2" w:rsidP="00650CA2">
            <w:pPr>
              <w:ind w:firstLine="0"/>
              <w:jc w:val="left"/>
              <w:rPr>
                <w:rFonts w:ascii="Calibri" w:eastAsia="Times New Roman" w:hAnsi="Calibri" w:cs="Calibri"/>
                <w:color w:val="000000"/>
                <w:sz w:val="18"/>
                <w:szCs w:val="18"/>
                <w:lang w:eastAsia="pl-PL"/>
              </w:rPr>
            </w:pPr>
            <w:r w:rsidRPr="00F16C05">
              <w:rPr>
                <w:rFonts w:ascii="Calibri" w:eastAsia="Times New Roman" w:hAnsi="Calibri" w:cs="Calibri"/>
                <w:color w:val="000000"/>
                <w:sz w:val="18"/>
                <w:szCs w:val="18"/>
                <w:lang w:eastAsia="pl-PL"/>
              </w:rPr>
              <w:t>inne/pozostałe</w:t>
            </w:r>
          </w:p>
        </w:tc>
        <w:tc>
          <w:tcPr>
            <w:tcW w:w="3781" w:type="dxa"/>
            <w:tcBorders>
              <w:top w:val="nil"/>
              <w:left w:val="nil"/>
              <w:bottom w:val="single" w:sz="4" w:space="0" w:color="auto"/>
              <w:right w:val="single" w:sz="4" w:space="0" w:color="auto"/>
            </w:tcBorders>
            <w:shd w:val="clear" w:color="auto" w:fill="auto"/>
          </w:tcPr>
          <w:p w14:paraId="538C7F13" w14:textId="77777777" w:rsidR="00650CA2" w:rsidRPr="00575CB5" w:rsidRDefault="00650CA2" w:rsidP="00650CA2">
            <w:pPr>
              <w:ind w:firstLine="0"/>
              <w:jc w:val="left"/>
              <w:rPr>
                <w:rFonts w:ascii="Calibri" w:eastAsia="Times New Roman" w:hAnsi="Calibri" w:cs="Calibri"/>
                <w:color w:val="000000"/>
                <w:sz w:val="18"/>
                <w:szCs w:val="18"/>
                <w:lang w:eastAsia="pl-PL"/>
              </w:rPr>
            </w:pPr>
            <w:r w:rsidRPr="00F16C05">
              <w:rPr>
                <w:rFonts w:ascii="Calibri" w:eastAsia="Times New Roman" w:hAnsi="Calibri" w:cs="Calibri"/>
                <w:color w:val="000000"/>
                <w:sz w:val="18"/>
                <w:szCs w:val="18"/>
                <w:lang w:eastAsia="pl-PL"/>
              </w:rPr>
              <w:t>Mając na uwadze znaczenie IIaPGW w szeroko rozumianym obszarze planistycznym, proszę o doprecyzowanie powiązania tego dokumentu z innymi dokumentami planistycznymi na poziomie regionalnym (wojewódzkim)?</w:t>
            </w:r>
          </w:p>
        </w:tc>
        <w:tc>
          <w:tcPr>
            <w:tcW w:w="2990" w:type="dxa"/>
            <w:tcBorders>
              <w:top w:val="single" w:sz="4" w:space="0" w:color="auto"/>
              <w:left w:val="nil"/>
              <w:bottom w:val="single" w:sz="4" w:space="0" w:color="auto"/>
              <w:right w:val="single" w:sz="4" w:space="0" w:color="auto"/>
            </w:tcBorders>
            <w:shd w:val="clear" w:color="auto" w:fill="auto"/>
          </w:tcPr>
          <w:p w14:paraId="4FF3CFAC" w14:textId="77777777" w:rsidR="00650CA2" w:rsidRPr="00575CB5" w:rsidRDefault="00650CA2" w:rsidP="00650CA2">
            <w:pPr>
              <w:ind w:firstLine="0"/>
              <w:jc w:val="lef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w:t>
            </w:r>
          </w:p>
        </w:tc>
        <w:tc>
          <w:tcPr>
            <w:tcW w:w="2658" w:type="dxa"/>
            <w:tcBorders>
              <w:top w:val="single" w:sz="4" w:space="0" w:color="auto"/>
              <w:left w:val="nil"/>
              <w:bottom w:val="single" w:sz="4" w:space="0" w:color="auto"/>
              <w:right w:val="single" w:sz="4" w:space="0" w:color="auto"/>
            </w:tcBorders>
            <w:shd w:val="clear" w:color="auto" w:fill="auto"/>
          </w:tcPr>
          <w:p w14:paraId="5772D62B" w14:textId="77777777" w:rsidR="00650CA2" w:rsidRPr="00575CB5" w:rsidRDefault="00650CA2" w:rsidP="00650CA2">
            <w:pPr>
              <w:ind w:firstLine="0"/>
              <w:jc w:val="lef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w:t>
            </w:r>
          </w:p>
        </w:tc>
        <w:tc>
          <w:tcPr>
            <w:tcW w:w="1633" w:type="dxa"/>
            <w:tcBorders>
              <w:top w:val="single" w:sz="4" w:space="0" w:color="auto"/>
              <w:left w:val="nil"/>
              <w:bottom w:val="single" w:sz="4" w:space="0" w:color="auto"/>
              <w:right w:val="single" w:sz="4" w:space="0" w:color="auto"/>
            </w:tcBorders>
            <w:shd w:val="clear" w:color="auto" w:fill="auto"/>
          </w:tcPr>
          <w:p w14:paraId="6B8F23E8" w14:textId="77777777" w:rsidR="00650CA2" w:rsidRPr="00575CB5" w:rsidRDefault="00650CA2" w:rsidP="00650CA2">
            <w:pPr>
              <w:ind w:firstLine="0"/>
              <w:jc w:val="lef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w:t>
            </w:r>
          </w:p>
        </w:tc>
        <w:tc>
          <w:tcPr>
            <w:tcW w:w="1393" w:type="dxa"/>
            <w:tcBorders>
              <w:top w:val="nil"/>
              <w:left w:val="nil"/>
              <w:bottom w:val="single" w:sz="4" w:space="0" w:color="auto"/>
              <w:right w:val="single" w:sz="4" w:space="0" w:color="auto"/>
            </w:tcBorders>
            <w:shd w:val="clear" w:color="auto" w:fill="auto"/>
          </w:tcPr>
          <w:p w14:paraId="6D6177E2" w14:textId="77777777" w:rsidR="00650CA2" w:rsidRPr="00575CB5" w:rsidRDefault="00650CA2" w:rsidP="00650CA2">
            <w:pPr>
              <w:ind w:firstLine="0"/>
              <w:jc w:val="left"/>
              <w:rPr>
                <w:rFonts w:ascii="Calibri" w:eastAsia="Times New Roman" w:hAnsi="Calibri" w:cs="Calibri"/>
                <w:color w:val="000000"/>
                <w:sz w:val="18"/>
                <w:szCs w:val="18"/>
                <w:lang w:eastAsia="pl-PL"/>
              </w:rPr>
            </w:pPr>
            <w:r w:rsidRPr="00F16C05">
              <w:rPr>
                <w:rFonts w:ascii="Calibri" w:eastAsia="Times New Roman" w:hAnsi="Calibri" w:cs="Calibri"/>
                <w:color w:val="000000"/>
                <w:sz w:val="18"/>
                <w:szCs w:val="18"/>
                <w:lang w:eastAsia="pl-PL"/>
              </w:rPr>
              <w:t>wyjaśnienie</w:t>
            </w:r>
          </w:p>
        </w:tc>
        <w:tc>
          <w:tcPr>
            <w:tcW w:w="5082" w:type="dxa"/>
            <w:tcBorders>
              <w:top w:val="nil"/>
              <w:left w:val="nil"/>
              <w:bottom w:val="single" w:sz="4" w:space="0" w:color="auto"/>
              <w:right w:val="single" w:sz="4" w:space="0" w:color="auto"/>
            </w:tcBorders>
            <w:shd w:val="clear" w:color="auto" w:fill="auto"/>
          </w:tcPr>
          <w:p w14:paraId="4F411C00" w14:textId="77777777" w:rsidR="00650CA2" w:rsidRPr="00575CB5" w:rsidRDefault="00650CA2" w:rsidP="00650CA2">
            <w:pPr>
              <w:ind w:firstLine="0"/>
              <w:jc w:val="left"/>
              <w:rPr>
                <w:rFonts w:ascii="Calibri" w:eastAsia="Times New Roman" w:hAnsi="Calibri" w:cs="Calibri"/>
                <w:color w:val="000000"/>
                <w:sz w:val="18"/>
                <w:szCs w:val="18"/>
                <w:lang w:eastAsia="pl-PL"/>
              </w:rPr>
            </w:pPr>
            <w:r w:rsidRPr="00F16C05">
              <w:rPr>
                <w:rFonts w:ascii="Calibri" w:eastAsia="Times New Roman" w:hAnsi="Calibri" w:cs="Calibri"/>
                <w:color w:val="000000"/>
                <w:sz w:val="18"/>
                <w:szCs w:val="18"/>
                <w:lang w:eastAsia="pl-PL"/>
              </w:rPr>
              <w:t>Odpowiedzi udzielono na spotkaniu konsultacyjnym.</w:t>
            </w:r>
            <w:r w:rsidRPr="00F16C05">
              <w:rPr>
                <w:rFonts w:ascii="Calibri" w:eastAsia="Times New Roman" w:hAnsi="Calibri" w:cs="Calibri"/>
                <w:color w:val="000000"/>
                <w:sz w:val="18"/>
                <w:szCs w:val="18"/>
                <w:lang w:eastAsia="pl-PL"/>
              </w:rPr>
              <w:br/>
            </w:r>
            <w:r w:rsidRPr="00F16C05">
              <w:rPr>
                <w:rFonts w:ascii="Calibri" w:eastAsia="Times New Roman" w:hAnsi="Calibri" w:cs="Calibri"/>
                <w:color w:val="000000"/>
                <w:sz w:val="18"/>
                <w:szCs w:val="18"/>
                <w:lang w:eastAsia="pl-PL"/>
              </w:rPr>
              <w:br/>
              <w:t>To jest bardzo ważne pytanie, szczególnie dla urzędników, którzy są odpowiedzialni za strategie na poziomie wojewódzkim czy też regionalnym, gminnym. Art. 326 ust. 1 ustawy Prawo wodne wprost wskazuje, że ustalenia, które są zawarte m.in. w planach gospodarowania wodami, powinny znaleźć się chociażby w strategii rozwoju województwa, w planie zagospodarowania przestrzennego województwa, czy też strategii gminy, miejscowym planie zagospodarowania przestrzennego. Literalnie są wymienione dokumenty na poziomie wojewódzkim i lokalnym, gdzie ustalenia planu gospodarowania wodami powinny być uwzględnione. Dodam, że oprócz ustaleń planu gospodarowania wodami w dokumentach wojewódzkich czy też gminnych, powinny być też uwzględnione ustalenia zawarte chociażby w planach zarządzania ryzykiem powodziowym (mapy ryzyka i zagrożenia powodziowego mają bezpośredni wpływ na kształt planów zagospodarowania przestrzennego), krajowym programie oczyszczania ścieków komunalnych, czy też programie ochrony wód morskich. Te dokumenty planistyczne, które wskazane są w ustawie Prawo wodne, powinny być uwzględniane w strategiach czy też w planach zagospodarowania przestrzennego na poziomie wojewódzkim i gminnym.</w:t>
            </w:r>
            <w:r w:rsidRPr="00F16C05">
              <w:rPr>
                <w:rFonts w:ascii="Calibri" w:eastAsia="Times New Roman" w:hAnsi="Calibri" w:cs="Calibri"/>
                <w:color w:val="000000"/>
                <w:sz w:val="18"/>
                <w:szCs w:val="18"/>
                <w:lang w:eastAsia="pl-PL"/>
              </w:rPr>
              <w:br/>
            </w:r>
            <w:r w:rsidRPr="00F16C05">
              <w:rPr>
                <w:rFonts w:ascii="Calibri" w:eastAsia="Times New Roman" w:hAnsi="Calibri" w:cs="Calibri"/>
                <w:color w:val="000000"/>
                <w:sz w:val="18"/>
                <w:szCs w:val="18"/>
                <w:lang w:eastAsia="pl-PL"/>
              </w:rPr>
              <w:br/>
              <w:t>Uzupełnienie odpowiedzi poza spotkaniem konsultacyjnym:</w:t>
            </w:r>
            <w:r w:rsidRPr="00F16C05">
              <w:rPr>
                <w:rFonts w:ascii="Calibri" w:eastAsia="Times New Roman" w:hAnsi="Calibri" w:cs="Calibri"/>
                <w:color w:val="000000"/>
                <w:sz w:val="18"/>
                <w:szCs w:val="18"/>
                <w:lang w:eastAsia="pl-PL"/>
              </w:rPr>
              <w:br/>
            </w:r>
            <w:r w:rsidRPr="00F16C05">
              <w:rPr>
                <w:rFonts w:ascii="Calibri" w:eastAsia="Times New Roman" w:hAnsi="Calibri" w:cs="Calibri"/>
                <w:color w:val="000000"/>
                <w:sz w:val="18"/>
                <w:szCs w:val="18"/>
                <w:lang w:eastAsia="pl-PL"/>
              </w:rPr>
              <w:br/>
              <w:t xml:space="preserve">Zagadnienie powiązań pomiędzy dokumentami strategicznymi a IIaPGW przedstawione zostało w rozdziale 19 każdego z projektów IIaPGW. Przeprowadzona identyfikacja dokumentów powiązanych miała charakter wielopłaszczyznowy i uwzględniała: aspekt przestrzenny (podział na jednostki planistyczne); sektory gospodarki; problemy (np. susza, powódź, transport wodny itp.); kategorie wód (podział na wody powierzchniowe: rzeki, zbiorniki, jeziora, wody przejściowe, wody przybrzeżne, wody morskie; oraz wody podziemne). Analizy wskazują zastosowany podział na dwie grupy dokumentów: dokumenty powiązane mające wpływ na ustalenia IIaPGW oraz dokumenty, których zakres i zawartość determinowały będą zapisy m.in. IIaPGW. W pierwszej grupie znajdują się zarówno dokumenty o charakterze strategicznym i o ogólnokrajowym zasięgu, jak również dokumenty i instrumenty </w:t>
            </w:r>
            <w:r w:rsidRPr="00F16C05">
              <w:rPr>
                <w:rFonts w:ascii="Calibri" w:eastAsia="Times New Roman" w:hAnsi="Calibri" w:cs="Calibri"/>
                <w:color w:val="000000"/>
                <w:sz w:val="18"/>
                <w:szCs w:val="18"/>
                <w:lang w:eastAsia="pl-PL"/>
              </w:rPr>
              <w:lastRenderedPageBreak/>
              <w:t>wdrożeniowe, wśród których wyodrębnić należy grupę dokumentów komplementarnych względem IIaPGW, stanowiących swoisty pakiet dokumentów planistycznych kształtujących gospodarkę wodną w kraju. Drugą grupę dokumentów tworzą regionalne oraz lokalne strategie rozwoju oraz akty planowania przestrzennego, które przez wzgląd na zasadę synergii i komplementarności, uwzględniają zapisy dokumentów strategicznych oraz operacyjno-wdrożeniowych obowiązujących na wyższych szczeblach.</w:t>
            </w:r>
          </w:p>
        </w:tc>
      </w:tr>
      <w:tr w:rsidR="00650CA2" w:rsidRPr="00575CB5" w14:paraId="19C72E0E" w14:textId="77777777" w:rsidTr="00204A63">
        <w:trPr>
          <w:trHeight w:val="454"/>
        </w:trPr>
        <w:tc>
          <w:tcPr>
            <w:tcW w:w="434" w:type="dxa"/>
            <w:tcBorders>
              <w:top w:val="single" w:sz="4" w:space="0" w:color="auto"/>
              <w:left w:val="single" w:sz="4" w:space="0" w:color="auto"/>
              <w:bottom w:val="single" w:sz="4" w:space="0" w:color="auto"/>
              <w:right w:val="single" w:sz="4" w:space="0" w:color="auto"/>
            </w:tcBorders>
            <w:shd w:val="clear" w:color="auto" w:fill="auto"/>
          </w:tcPr>
          <w:p w14:paraId="08BBC50E" w14:textId="77777777" w:rsidR="00650CA2" w:rsidRPr="00575CB5" w:rsidRDefault="00650CA2" w:rsidP="00650CA2">
            <w:pPr>
              <w:ind w:firstLine="0"/>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lastRenderedPageBreak/>
              <w:t>10.</w:t>
            </w:r>
          </w:p>
        </w:tc>
        <w:tc>
          <w:tcPr>
            <w:tcW w:w="1516" w:type="dxa"/>
            <w:tcBorders>
              <w:top w:val="nil"/>
              <w:left w:val="nil"/>
              <w:bottom w:val="single" w:sz="4" w:space="0" w:color="auto"/>
              <w:right w:val="single" w:sz="4" w:space="0" w:color="auto"/>
            </w:tcBorders>
            <w:shd w:val="clear" w:color="auto" w:fill="auto"/>
          </w:tcPr>
          <w:p w14:paraId="26835B51" w14:textId="77777777" w:rsidR="00650CA2" w:rsidRPr="00575CB5" w:rsidRDefault="00650CA2" w:rsidP="00650CA2">
            <w:pPr>
              <w:ind w:firstLine="0"/>
              <w:jc w:val="left"/>
              <w:rPr>
                <w:rFonts w:ascii="Calibri" w:eastAsia="Times New Roman" w:hAnsi="Calibri" w:cs="Calibri"/>
                <w:color w:val="000000"/>
                <w:sz w:val="18"/>
                <w:szCs w:val="18"/>
                <w:lang w:eastAsia="pl-PL"/>
              </w:rPr>
            </w:pPr>
            <w:r w:rsidRPr="00F16C05">
              <w:rPr>
                <w:rFonts w:ascii="Calibri" w:eastAsia="Times New Roman" w:hAnsi="Calibri" w:cs="Calibri"/>
                <w:color w:val="000000"/>
                <w:sz w:val="18"/>
                <w:szCs w:val="18"/>
                <w:lang w:eastAsia="pl-PL"/>
              </w:rPr>
              <w:t>Urząd Miejski w Wielbarku</w:t>
            </w:r>
          </w:p>
        </w:tc>
        <w:tc>
          <w:tcPr>
            <w:tcW w:w="1480" w:type="dxa"/>
            <w:tcBorders>
              <w:top w:val="single" w:sz="4" w:space="0" w:color="auto"/>
              <w:left w:val="nil"/>
              <w:bottom w:val="single" w:sz="4" w:space="0" w:color="auto"/>
              <w:right w:val="single" w:sz="4" w:space="0" w:color="auto"/>
            </w:tcBorders>
          </w:tcPr>
          <w:p w14:paraId="1852F2DE" w14:textId="77777777" w:rsidR="00650CA2" w:rsidRPr="00575CB5" w:rsidRDefault="00650CA2" w:rsidP="00650CA2">
            <w:pPr>
              <w:ind w:firstLine="0"/>
              <w:jc w:val="left"/>
              <w:rPr>
                <w:rFonts w:ascii="Calibri" w:eastAsia="Times New Roman" w:hAnsi="Calibri" w:cs="Calibri"/>
                <w:color w:val="000000"/>
                <w:sz w:val="18"/>
                <w:szCs w:val="18"/>
                <w:lang w:eastAsia="pl-PL"/>
              </w:rPr>
            </w:pPr>
            <w:r w:rsidRPr="00F16C05">
              <w:rPr>
                <w:rFonts w:ascii="Calibri" w:eastAsia="Times New Roman" w:hAnsi="Calibri" w:cs="Calibri"/>
                <w:color w:val="000000"/>
                <w:sz w:val="18"/>
                <w:szCs w:val="18"/>
                <w:lang w:eastAsia="pl-PL"/>
              </w:rPr>
              <w:t>inne/pozostałe</w:t>
            </w:r>
          </w:p>
        </w:tc>
        <w:tc>
          <w:tcPr>
            <w:tcW w:w="3781" w:type="dxa"/>
            <w:tcBorders>
              <w:top w:val="nil"/>
              <w:left w:val="nil"/>
              <w:bottom w:val="single" w:sz="4" w:space="0" w:color="auto"/>
              <w:right w:val="single" w:sz="4" w:space="0" w:color="auto"/>
            </w:tcBorders>
            <w:shd w:val="clear" w:color="auto" w:fill="auto"/>
          </w:tcPr>
          <w:p w14:paraId="413BEA37" w14:textId="77777777" w:rsidR="00650CA2" w:rsidRPr="00575CB5" w:rsidRDefault="00650CA2" w:rsidP="00650CA2">
            <w:pPr>
              <w:ind w:firstLine="0"/>
              <w:jc w:val="left"/>
              <w:rPr>
                <w:rFonts w:ascii="Calibri" w:eastAsia="Times New Roman" w:hAnsi="Calibri" w:cs="Calibri"/>
                <w:color w:val="000000"/>
                <w:sz w:val="18"/>
                <w:szCs w:val="18"/>
                <w:lang w:eastAsia="pl-PL"/>
              </w:rPr>
            </w:pPr>
            <w:r w:rsidRPr="00F16C05">
              <w:rPr>
                <w:rFonts w:ascii="Calibri" w:eastAsia="Times New Roman" w:hAnsi="Calibri" w:cs="Calibri"/>
                <w:color w:val="000000"/>
                <w:sz w:val="18"/>
                <w:szCs w:val="18"/>
                <w:lang w:eastAsia="pl-PL"/>
              </w:rPr>
              <w:t xml:space="preserve">W listopadzie 2019 roku Gmina Wielbark złożyła wniosek do Regionalnego Zarządu Gospodarki Wodnej w Białymstoku z prośbą o przeprowadzenie niezbędnych działań zmierzających do </w:t>
            </w:r>
            <w:proofErr w:type="spellStart"/>
            <w:r w:rsidRPr="00F16C05">
              <w:rPr>
                <w:rFonts w:ascii="Calibri" w:eastAsia="Times New Roman" w:hAnsi="Calibri" w:cs="Calibri"/>
                <w:color w:val="000000"/>
                <w:sz w:val="18"/>
                <w:szCs w:val="18"/>
                <w:lang w:eastAsia="pl-PL"/>
              </w:rPr>
              <w:t>renaturalizacji</w:t>
            </w:r>
            <w:proofErr w:type="spellEnd"/>
            <w:r w:rsidRPr="00F16C05">
              <w:rPr>
                <w:rFonts w:ascii="Calibri" w:eastAsia="Times New Roman" w:hAnsi="Calibri" w:cs="Calibri"/>
                <w:color w:val="000000"/>
                <w:sz w:val="18"/>
                <w:szCs w:val="18"/>
                <w:lang w:eastAsia="pl-PL"/>
              </w:rPr>
              <w:t xml:space="preserve"> rzeki Sawica na odcinku Kucbork - Wielbark (odcinek ok. 6-7 km). W związku z tym pytanie czy wniosek został zarejestrowany i uwzględniony w projektowanym dokumencie? Rzeka na tym odcinku została przekopana w połowie lat 70-tych i zlikwidowano kilka obszarów o intensywnym meandrowaniu rzeki. Wpuszczenie rzeki do naturalnego koryta, po uprzednim oczyszczeniu w krótkim czasie przywróci naturalne warunki co przyczyni się do realizacji celów środowiskowych poprzez utrzymanie bioróżnorodności ekosystemów wodnych (przywrócenie naturalnych tarlisk). Rzeka Sawica znajduje się w obszarze Natura 2000 - Puszcza Napiwodzko - </w:t>
            </w:r>
            <w:proofErr w:type="spellStart"/>
            <w:r w:rsidRPr="00F16C05">
              <w:rPr>
                <w:rFonts w:ascii="Calibri" w:eastAsia="Times New Roman" w:hAnsi="Calibri" w:cs="Calibri"/>
                <w:color w:val="000000"/>
                <w:sz w:val="18"/>
                <w:szCs w:val="18"/>
                <w:lang w:eastAsia="pl-PL"/>
              </w:rPr>
              <w:t>Ramucka</w:t>
            </w:r>
            <w:proofErr w:type="spellEnd"/>
            <w:r w:rsidRPr="00F16C05">
              <w:rPr>
                <w:rFonts w:ascii="Calibri" w:eastAsia="Times New Roman" w:hAnsi="Calibri" w:cs="Calibri"/>
                <w:color w:val="000000"/>
                <w:sz w:val="18"/>
                <w:szCs w:val="18"/>
                <w:lang w:eastAsia="pl-PL"/>
              </w:rPr>
              <w:t xml:space="preserve"> kod obszaru PLB 280007. Na całym odcinku grunty po jednej i drugiej stronie rzeki należą do Skarbu Państwa. Jeżeli wniosek nie został uwzględniony proszę o informację czy istnieje możliwość aby umieścić to zadanie w projektowanym dokumencie?</w:t>
            </w:r>
          </w:p>
        </w:tc>
        <w:tc>
          <w:tcPr>
            <w:tcW w:w="2990" w:type="dxa"/>
            <w:tcBorders>
              <w:top w:val="single" w:sz="4" w:space="0" w:color="auto"/>
              <w:left w:val="nil"/>
              <w:bottom w:val="single" w:sz="4" w:space="0" w:color="auto"/>
              <w:right w:val="single" w:sz="4" w:space="0" w:color="auto"/>
            </w:tcBorders>
            <w:shd w:val="clear" w:color="auto" w:fill="auto"/>
          </w:tcPr>
          <w:p w14:paraId="32952955" w14:textId="77777777" w:rsidR="00650CA2" w:rsidRPr="00575CB5" w:rsidRDefault="00650CA2" w:rsidP="00650CA2">
            <w:pPr>
              <w:ind w:firstLine="0"/>
              <w:jc w:val="lef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w:t>
            </w:r>
          </w:p>
        </w:tc>
        <w:tc>
          <w:tcPr>
            <w:tcW w:w="2658" w:type="dxa"/>
            <w:tcBorders>
              <w:top w:val="single" w:sz="4" w:space="0" w:color="auto"/>
              <w:left w:val="nil"/>
              <w:bottom w:val="single" w:sz="4" w:space="0" w:color="auto"/>
              <w:right w:val="single" w:sz="4" w:space="0" w:color="auto"/>
            </w:tcBorders>
            <w:shd w:val="clear" w:color="auto" w:fill="auto"/>
          </w:tcPr>
          <w:p w14:paraId="1F5F6431" w14:textId="77777777" w:rsidR="00650CA2" w:rsidRPr="00575CB5" w:rsidRDefault="00650CA2" w:rsidP="00650CA2">
            <w:pPr>
              <w:ind w:firstLine="0"/>
              <w:jc w:val="lef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w:t>
            </w:r>
          </w:p>
        </w:tc>
        <w:tc>
          <w:tcPr>
            <w:tcW w:w="1633" w:type="dxa"/>
            <w:tcBorders>
              <w:top w:val="single" w:sz="4" w:space="0" w:color="auto"/>
              <w:left w:val="nil"/>
              <w:bottom w:val="single" w:sz="4" w:space="0" w:color="auto"/>
              <w:right w:val="single" w:sz="4" w:space="0" w:color="auto"/>
            </w:tcBorders>
            <w:shd w:val="clear" w:color="auto" w:fill="auto"/>
          </w:tcPr>
          <w:p w14:paraId="29937C20" w14:textId="77777777" w:rsidR="00650CA2" w:rsidRPr="00575CB5" w:rsidRDefault="00650CA2" w:rsidP="00650CA2">
            <w:pPr>
              <w:ind w:firstLine="0"/>
              <w:jc w:val="lef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w:t>
            </w:r>
          </w:p>
        </w:tc>
        <w:tc>
          <w:tcPr>
            <w:tcW w:w="1393" w:type="dxa"/>
            <w:tcBorders>
              <w:top w:val="nil"/>
              <w:left w:val="nil"/>
              <w:bottom w:val="single" w:sz="4" w:space="0" w:color="auto"/>
              <w:right w:val="single" w:sz="4" w:space="0" w:color="auto"/>
            </w:tcBorders>
            <w:shd w:val="clear" w:color="auto" w:fill="auto"/>
          </w:tcPr>
          <w:p w14:paraId="1A0DA6AD" w14:textId="6793045E" w:rsidR="00650CA2" w:rsidRPr="00575CB5" w:rsidRDefault="001F2B28" w:rsidP="00650CA2">
            <w:pPr>
              <w:ind w:firstLine="0"/>
              <w:jc w:val="lef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wyjaśnienie</w:t>
            </w:r>
          </w:p>
        </w:tc>
        <w:tc>
          <w:tcPr>
            <w:tcW w:w="5082" w:type="dxa"/>
            <w:tcBorders>
              <w:top w:val="nil"/>
              <w:left w:val="nil"/>
              <w:bottom w:val="single" w:sz="4" w:space="0" w:color="auto"/>
              <w:right w:val="single" w:sz="4" w:space="0" w:color="auto"/>
            </w:tcBorders>
            <w:shd w:val="clear" w:color="auto" w:fill="auto"/>
          </w:tcPr>
          <w:p w14:paraId="18C00687" w14:textId="5E939106" w:rsidR="00927186" w:rsidRPr="00575CB5" w:rsidRDefault="00650CA2" w:rsidP="00650CA2">
            <w:pPr>
              <w:ind w:firstLine="0"/>
              <w:jc w:val="left"/>
              <w:rPr>
                <w:rFonts w:ascii="Calibri" w:eastAsia="Times New Roman" w:hAnsi="Calibri" w:cs="Calibri"/>
                <w:color w:val="000000"/>
                <w:sz w:val="18"/>
                <w:szCs w:val="18"/>
                <w:lang w:eastAsia="pl-PL"/>
              </w:rPr>
            </w:pPr>
            <w:r w:rsidRPr="00F16C05">
              <w:rPr>
                <w:rFonts w:ascii="Calibri" w:eastAsia="Times New Roman" w:hAnsi="Calibri" w:cs="Calibri"/>
                <w:color w:val="000000"/>
                <w:sz w:val="18"/>
                <w:szCs w:val="18"/>
                <w:lang w:eastAsia="pl-PL"/>
              </w:rPr>
              <w:t>Odpowiedzi udzielono na spotkaniu konsultacyjnym.</w:t>
            </w:r>
            <w:r w:rsidRPr="00F16C05">
              <w:rPr>
                <w:rFonts w:ascii="Calibri" w:eastAsia="Times New Roman" w:hAnsi="Calibri" w:cs="Calibri"/>
                <w:color w:val="000000"/>
                <w:sz w:val="18"/>
                <w:szCs w:val="18"/>
                <w:lang w:eastAsia="pl-PL"/>
              </w:rPr>
              <w:br/>
            </w:r>
            <w:r w:rsidRPr="00F16C05">
              <w:rPr>
                <w:rFonts w:ascii="Calibri" w:eastAsia="Times New Roman" w:hAnsi="Calibri" w:cs="Calibri"/>
                <w:color w:val="000000"/>
                <w:sz w:val="18"/>
                <w:szCs w:val="18"/>
                <w:lang w:eastAsia="pl-PL"/>
              </w:rPr>
              <w:br/>
              <w:t>Po pierwsze, jeżeli chodzi o konkretną jednolitą część wód, to ta jednolita nie jest zagrożoną jednolitą częścią wód. Ma przypisany zestaw działań ze względu na zidentyfikowane presje</w:t>
            </w:r>
            <w:r w:rsidR="00927186">
              <w:rPr>
                <w:rFonts w:ascii="Calibri" w:eastAsia="Times New Roman" w:hAnsi="Calibri" w:cs="Calibri"/>
                <w:color w:val="000000"/>
                <w:sz w:val="18"/>
                <w:szCs w:val="18"/>
                <w:lang w:eastAsia="pl-PL"/>
              </w:rPr>
              <w:t>.</w:t>
            </w:r>
            <w:r w:rsidRPr="00F16C05">
              <w:rPr>
                <w:rFonts w:ascii="Calibri" w:eastAsia="Times New Roman" w:hAnsi="Calibri" w:cs="Calibri"/>
                <w:color w:val="000000"/>
                <w:sz w:val="18"/>
                <w:szCs w:val="18"/>
                <w:lang w:eastAsia="pl-PL"/>
              </w:rPr>
              <w:t xml:space="preserve"> </w:t>
            </w:r>
            <w:r w:rsidR="00927186">
              <w:rPr>
                <w:rFonts w:ascii="Calibri" w:eastAsia="Times New Roman" w:hAnsi="Calibri" w:cs="Calibri"/>
                <w:color w:val="000000"/>
                <w:sz w:val="18"/>
                <w:szCs w:val="18"/>
                <w:lang w:eastAsia="pl-PL"/>
              </w:rPr>
              <w:t xml:space="preserve">Zestaw działań dla tej </w:t>
            </w:r>
            <w:r w:rsidR="001F37E7">
              <w:rPr>
                <w:rFonts w:ascii="Calibri" w:eastAsia="Times New Roman" w:hAnsi="Calibri" w:cs="Calibri"/>
                <w:color w:val="000000"/>
                <w:sz w:val="18"/>
                <w:szCs w:val="18"/>
                <w:lang w:eastAsia="pl-PL"/>
              </w:rPr>
              <w:t>JCWP</w:t>
            </w:r>
            <w:r w:rsidR="00927186">
              <w:rPr>
                <w:rFonts w:ascii="Calibri" w:eastAsia="Times New Roman" w:hAnsi="Calibri" w:cs="Calibri"/>
                <w:color w:val="000000"/>
                <w:sz w:val="18"/>
                <w:szCs w:val="18"/>
                <w:lang w:eastAsia="pl-PL"/>
              </w:rPr>
              <w:t xml:space="preserve"> obejmuje</w:t>
            </w:r>
            <w:r w:rsidRPr="00F16C05">
              <w:rPr>
                <w:rFonts w:ascii="Calibri" w:eastAsia="Times New Roman" w:hAnsi="Calibri" w:cs="Calibri"/>
                <w:color w:val="000000"/>
                <w:sz w:val="18"/>
                <w:szCs w:val="18"/>
                <w:lang w:eastAsia="pl-PL"/>
              </w:rPr>
              <w:t xml:space="preserve"> działanie dotyczące ciągłości biologicznej - tutaj znalazły się działania z hydromorfologii, gdyż cele środowiskowe wskazują na konieczność ciągłości biologicznej i tutaj </w:t>
            </w:r>
            <w:r w:rsidR="00A02382" w:rsidRPr="00F16C05">
              <w:rPr>
                <w:rFonts w:ascii="Calibri" w:eastAsia="Times New Roman" w:hAnsi="Calibri" w:cs="Calibri"/>
                <w:color w:val="000000"/>
                <w:sz w:val="18"/>
                <w:szCs w:val="18"/>
                <w:lang w:eastAsia="pl-PL"/>
              </w:rPr>
              <w:t>znalazła</w:t>
            </w:r>
            <w:r w:rsidRPr="00F16C05">
              <w:rPr>
                <w:rFonts w:ascii="Calibri" w:eastAsia="Times New Roman" w:hAnsi="Calibri" w:cs="Calibri"/>
                <w:color w:val="000000"/>
                <w:sz w:val="18"/>
                <w:szCs w:val="18"/>
                <w:lang w:eastAsia="pl-PL"/>
              </w:rPr>
              <w:t xml:space="preserve"> się analiza możliwości przebudowy tej budowli i ocena jej wpływu. Wskazana jest ilość konkretnych budowli i w wykazie państwo te budowle znajdziecie. W przypadku działań naprawczych dla obszarów chronionych, o których też jest tu mowa - takie działanie się znalazło. Jeżeli chodzi o wspomniany odcinek i potrzebę, która była zgłaszana w 2019 r. - takich informacji na poziomie opracowywania dokumentu nie mieliśmy. </w:t>
            </w:r>
            <w:r w:rsidR="00927186">
              <w:rPr>
                <w:rFonts w:ascii="Calibri" w:eastAsia="Times New Roman" w:hAnsi="Calibri" w:cs="Calibri"/>
                <w:color w:val="000000"/>
                <w:sz w:val="18"/>
                <w:szCs w:val="18"/>
                <w:lang w:eastAsia="pl-PL"/>
              </w:rPr>
              <w:t xml:space="preserve">Obecnie zestaw działań nie zawiera działań </w:t>
            </w:r>
            <w:proofErr w:type="spellStart"/>
            <w:r w:rsidR="00927186">
              <w:rPr>
                <w:rFonts w:ascii="Calibri" w:eastAsia="Times New Roman" w:hAnsi="Calibri" w:cs="Calibri"/>
                <w:color w:val="000000"/>
                <w:sz w:val="18"/>
                <w:szCs w:val="18"/>
                <w:lang w:eastAsia="pl-PL"/>
              </w:rPr>
              <w:t>renaturyzacyjnych</w:t>
            </w:r>
            <w:proofErr w:type="spellEnd"/>
            <w:r w:rsidR="001F2B28">
              <w:rPr>
                <w:rFonts w:ascii="Calibri" w:eastAsia="Times New Roman" w:hAnsi="Calibri" w:cs="Calibri"/>
                <w:color w:val="000000"/>
                <w:sz w:val="18"/>
                <w:szCs w:val="18"/>
                <w:lang w:eastAsia="pl-PL"/>
              </w:rPr>
              <w:t xml:space="preserve"> wskazanych w uwadze</w:t>
            </w:r>
            <w:r w:rsidR="00927186">
              <w:rPr>
                <w:rFonts w:ascii="Calibri" w:eastAsia="Times New Roman" w:hAnsi="Calibri" w:cs="Calibri"/>
                <w:color w:val="000000"/>
                <w:sz w:val="18"/>
                <w:szCs w:val="18"/>
                <w:lang w:eastAsia="pl-PL"/>
              </w:rPr>
              <w:t xml:space="preserve">. </w:t>
            </w:r>
            <w:r w:rsidRPr="00F16C05">
              <w:rPr>
                <w:rFonts w:ascii="Calibri" w:eastAsia="Times New Roman" w:hAnsi="Calibri" w:cs="Calibri"/>
                <w:color w:val="000000"/>
                <w:sz w:val="18"/>
                <w:szCs w:val="18"/>
                <w:lang w:eastAsia="pl-PL"/>
              </w:rPr>
              <w:t xml:space="preserve">Z drugiej strony zestawy działań dobierane były pod kątem presji istotnych, które powodują nieosiągnięcia celów środowiskowych. Co nie znaczy, że taki projekt nie powinien być wpisany w plan gospodarowania wodami w zestaw działań. Jeżeli państwo posiadacie wiedzę, chęć i jesteście w stanie zgłosić taki projekt, to jak najbardziej proszę zamieścić tutaj informacje, my będziemy rozpatrywać i do zestawów działań takie działanie będzie włączone, tym bardziej, że poprawa czy renaturyzacja w zakresie odtwarzania krętości cieku, odtwarzania starorzeczy, to bardzo pozytywne działanie w odtwarzaniu naturalnej retencji, zatem i korzyści na system od wód zależny, ale także przeciwdziałanie skutkom suszy. W związku z tym jest to idealne działanie wpisujące się w adaptację do zmian klimatu. Nie mieliśmy wiedzy o tym konkretnym przypadku, bo to jest krótki odcinek, ale prosimy o zgłoszenie, na pewno będzie uwzględnione i takie projekty są realizowane coraz częściej, zachęcamy do ich realizacji, bo to, co znalazło się w planach gospodarowania wodami, to jest to minimum, które musimy zrobić, żeby uzyskać i poprawić stan wód do warunku akceptowalnego. Natomiast jeżeli zrobimy coś więcej, to będzie tylko na korzyść. W związku z tym, jeżeli państwo jesteście zainteresowani jakimś szczególnym obszarem, to zachęcam do podejmowania inicjatywy. Jest duża otwartość, przede wszystkim RZGW i Zarządów Zlewni, żeby takie projekty realizować. Wskazywaliśmy źródła finansowania i tego typu inwestycję można realizować z programów finansowanych z Unii Europejskiej. Ponieważ tego typu działania wymagają również oceny pod kątem wpływu np. na bezpieczeństwo powodziowe, czy odtworzenie dawnego przebiegu koryta nie wpłynie na ewentualnie ryzyko podtopień itd. Z jakiegoś powodu regulacje na tym odcinku były. To jest naturalna część wód, niezagrożona, w związku z tym jeżeli państwo identyfikujecie konkretne miejsce do </w:t>
            </w:r>
            <w:r w:rsidRPr="00F16C05">
              <w:rPr>
                <w:rFonts w:ascii="Calibri" w:eastAsia="Times New Roman" w:hAnsi="Calibri" w:cs="Calibri"/>
                <w:color w:val="000000"/>
                <w:sz w:val="18"/>
                <w:szCs w:val="18"/>
                <w:lang w:eastAsia="pl-PL"/>
              </w:rPr>
              <w:lastRenderedPageBreak/>
              <w:t>renaturyzacji, jest szansa w ramach konsultacji społecznych zgłosić to.</w:t>
            </w:r>
          </w:p>
        </w:tc>
      </w:tr>
      <w:tr w:rsidR="00650CA2" w:rsidRPr="00575CB5" w14:paraId="439855E4" w14:textId="77777777" w:rsidTr="00204A63">
        <w:trPr>
          <w:trHeight w:val="454"/>
        </w:trPr>
        <w:tc>
          <w:tcPr>
            <w:tcW w:w="434" w:type="dxa"/>
            <w:tcBorders>
              <w:top w:val="single" w:sz="4" w:space="0" w:color="auto"/>
              <w:left w:val="single" w:sz="4" w:space="0" w:color="auto"/>
              <w:bottom w:val="single" w:sz="4" w:space="0" w:color="auto"/>
              <w:right w:val="single" w:sz="4" w:space="0" w:color="auto"/>
            </w:tcBorders>
            <w:shd w:val="clear" w:color="auto" w:fill="auto"/>
          </w:tcPr>
          <w:p w14:paraId="093E8DBB" w14:textId="77777777" w:rsidR="00650CA2" w:rsidRPr="00575CB5" w:rsidRDefault="00650CA2" w:rsidP="00650CA2">
            <w:pPr>
              <w:ind w:firstLine="0"/>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lastRenderedPageBreak/>
              <w:t>11.</w:t>
            </w:r>
          </w:p>
        </w:tc>
        <w:tc>
          <w:tcPr>
            <w:tcW w:w="1516" w:type="dxa"/>
            <w:tcBorders>
              <w:top w:val="nil"/>
              <w:left w:val="nil"/>
              <w:bottom w:val="single" w:sz="4" w:space="0" w:color="auto"/>
              <w:right w:val="single" w:sz="4" w:space="0" w:color="auto"/>
            </w:tcBorders>
            <w:shd w:val="clear" w:color="auto" w:fill="auto"/>
          </w:tcPr>
          <w:p w14:paraId="3FCFECB7" w14:textId="77777777" w:rsidR="00650CA2" w:rsidRPr="00575CB5" w:rsidRDefault="00650CA2" w:rsidP="00650CA2">
            <w:pPr>
              <w:ind w:firstLine="0"/>
              <w:jc w:val="left"/>
              <w:rPr>
                <w:rFonts w:ascii="Calibri" w:eastAsia="Times New Roman" w:hAnsi="Calibri" w:cs="Calibri"/>
                <w:color w:val="000000"/>
                <w:sz w:val="18"/>
                <w:szCs w:val="18"/>
                <w:lang w:eastAsia="pl-PL"/>
              </w:rPr>
            </w:pPr>
            <w:r w:rsidRPr="00F16C05">
              <w:rPr>
                <w:rFonts w:ascii="Calibri" w:eastAsia="Times New Roman" w:hAnsi="Calibri" w:cs="Calibri"/>
                <w:color w:val="000000"/>
                <w:sz w:val="18"/>
                <w:szCs w:val="18"/>
                <w:lang w:eastAsia="pl-PL"/>
              </w:rPr>
              <w:t>Urząd Miejski w Elblągu</w:t>
            </w:r>
          </w:p>
        </w:tc>
        <w:tc>
          <w:tcPr>
            <w:tcW w:w="1480" w:type="dxa"/>
            <w:tcBorders>
              <w:top w:val="single" w:sz="4" w:space="0" w:color="auto"/>
              <w:left w:val="nil"/>
              <w:bottom w:val="single" w:sz="4" w:space="0" w:color="auto"/>
              <w:right w:val="single" w:sz="4" w:space="0" w:color="auto"/>
            </w:tcBorders>
          </w:tcPr>
          <w:p w14:paraId="26B901A6" w14:textId="77777777" w:rsidR="00650CA2" w:rsidRPr="00575CB5" w:rsidRDefault="00650CA2" w:rsidP="00650CA2">
            <w:pPr>
              <w:ind w:firstLine="0"/>
              <w:jc w:val="left"/>
              <w:rPr>
                <w:rFonts w:ascii="Calibri" w:eastAsia="Times New Roman" w:hAnsi="Calibri" w:cs="Calibri"/>
                <w:color w:val="000000"/>
                <w:sz w:val="18"/>
                <w:szCs w:val="18"/>
                <w:lang w:eastAsia="pl-PL"/>
              </w:rPr>
            </w:pPr>
            <w:r w:rsidRPr="00F16C05">
              <w:rPr>
                <w:rFonts w:ascii="Calibri" w:eastAsia="Times New Roman" w:hAnsi="Calibri" w:cs="Calibri"/>
                <w:color w:val="000000"/>
                <w:sz w:val="18"/>
                <w:szCs w:val="18"/>
                <w:lang w:eastAsia="pl-PL"/>
              </w:rPr>
              <w:t>inne/pozostałe</w:t>
            </w:r>
          </w:p>
        </w:tc>
        <w:tc>
          <w:tcPr>
            <w:tcW w:w="3781" w:type="dxa"/>
            <w:tcBorders>
              <w:top w:val="nil"/>
              <w:left w:val="nil"/>
              <w:bottom w:val="single" w:sz="4" w:space="0" w:color="auto"/>
              <w:right w:val="single" w:sz="4" w:space="0" w:color="auto"/>
            </w:tcBorders>
            <w:shd w:val="clear" w:color="auto" w:fill="auto"/>
          </w:tcPr>
          <w:p w14:paraId="2280F6A1" w14:textId="77777777" w:rsidR="00650CA2" w:rsidRPr="00575CB5" w:rsidRDefault="00650CA2" w:rsidP="00650CA2">
            <w:pPr>
              <w:ind w:firstLine="0"/>
              <w:jc w:val="left"/>
              <w:rPr>
                <w:rFonts w:ascii="Calibri" w:eastAsia="Times New Roman" w:hAnsi="Calibri" w:cs="Calibri"/>
                <w:color w:val="000000"/>
                <w:sz w:val="18"/>
                <w:szCs w:val="18"/>
                <w:lang w:eastAsia="pl-PL"/>
              </w:rPr>
            </w:pPr>
            <w:r w:rsidRPr="00F16C05">
              <w:rPr>
                <w:rFonts w:ascii="Calibri" w:eastAsia="Times New Roman" w:hAnsi="Calibri" w:cs="Calibri"/>
                <w:color w:val="000000"/>
                <w:sz w:val="18"/>
                <w:szCs w:val="18"/>
                <w:lang w:eastAsia="pl-PL"/>
              </w:rPr>
              <w:t>Jakiemu celowi służy załączenie do dokumentów podlegających konsultacjom &amp;#34;</w:t>
            </w:r>
            <w:r w:rsidR="00EC203E">
              <w:rPr>
                <w:rFonts w:ascii="Calibri" w:eastAsia="Times New Roman" w:hAnsi="Calibri" w:cs="Calibri"/>
                <w:color w:val="000000"/>
                <w:sz w:val="18"/>
                <w:szCs w:val="18"/>
                <w:lang w:eastAsia="pl-PL"/>
              </w:rPr>
              <w:t xml:space="preserve"> </w:t>
            </w:r>
            <w:r w:rsidRPr="00F16C05">
              <w:rPr>
                <w:rFonts w:ascii="Calibri" w:eastAsia="Times New Roman" w:hAnsi="Calibri" w:cs="Calibri"/>
                <w:color w:val="000000"/>
                <w:sz w:val="18"/>
                <w:szCs w:val="18"/>
                <w:lang w:eastAsia="pl-PL"/>
              </w:rPr>
              <w:t>Zestawienia kierunkowych inwestycji w gospodarce wodnej lub związanych z wodami&amp;#34;?</w:t>
            </w:r>
            <w:r w:rsidRPr="00F16C05">
              <w:rPr>
                <w:rFonts w:ascii="Calibri" w:eastAsia="Times New Roman" w:hAnsi="Calibri" w:cs="Calibri"/>
                <w:color w:val="000000"/>
                <w:sz w:val="18"/>
                <w:szCs w:val="18"/>
                <w:lang w:eastAsia="pl-PL"/>
              </w:rPr>
              <w:br w:type="page"/>
              <w:t>Dokument ten nie jest zaliczony do jako załącznik IIaPGW, zaś z informacji przekazanych w ramach spotkania wynika że projekt IIaPGW zawiera niezbędne działania bez wskazywania konkretnych inwestycji.</w:t>
            </w:r>
            <w:r w:rsidRPr="00F16C05">
              <w:rPr>
                <w:rFonts w:ascii="Calibri" w:eastAsia="Times New Roman" w:hAnsi="Calibri" w:cs="Calibri"/>
                <w:color w:val="000000"/>
                <w:sz w:val="18"/>
                <w:szCs w:val="18"/>
                <w:lang w:eastAsia="pl-PL"/>
              </w:rPr>
              <w:br w:type="page"/>
            </w:r>
          </w:p>
        </w:tc>
        <w:tc>
          <w:tcPr>
            <w:tcW w:w="2990" w:type="dxa"/>
            <w:tcBorders>
              <w:top w:val="single" w:sz="4" w:space="0" w:color="auto"/>
              <w:left w:val="nil"/>
              <w:bottom w:val="single" w:sz="4" w:space="0" w:color="auto"/>
              <w:right w:val="single" w:sz="4" w:space="0" w:color="auto"/>
            </w:tcBorders>
            <w:shd w:val="clear" w:color="auto" w:fill="auto"/>
          </w:tcPr>
          <w:p w14:paraId="4882303E" w14:textId="77777777" w:rsidR="00650CA2" w:rsidRPr="00575CB5" w:rsidRDefault="00650CA2" w:rsidP="00650CA2">
            <w:pPr>
              <w:ind w:firstLine="0"/>
              <w:jc w:val="lef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w:t>
            </w:r>
          </w:p>
        </w:tc>
        <w:tc>
          <w:tcPr>
            <w:tcW w:w="2658" w:type="dxa"/>
            <w:tcBorders>
              <w:top w:val="single" w:sz="4" w:space="0" w:color="auto"/>
              <w:left w:val="nil"/>
              <w:bottom w:val="single" w:sz="4" w:space="0" w:color="auto"/>
              <w:right w:val="single" w:sz="4" w:space="0" w:color="auto"/>
            </w:tcBorders>
            <w:shd w:val="clear" w:color="auto" w:fill="auto"/>
          </w:tcPr>
          <w:p w14:paraId="45818560" w14:textId="77777777" w:rsidR="00650CA2" w:rsidRPr="00575CB5" w:rsidRDefault="00650CA2" w:rsidP="00650CA2">
            <w:pPr>
              <w:ind w:firstLine="0"/>
              <w:jc w:val="lef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w:t>
            </w:r>
          </w:p>
        </w:tc>
        <w:tc>
          <w:tcPr>
            <w:tcW w:w="1633" w:type="dxa"/>
            <w:tcBorders>
              <w:top w:val="single" w:sz="4" w:space="0" w:color="auto"/>
              <w:left w:val="nil"/>
              <w:bottom w:val="single" w:sz="4" w:space="0" w:color="auto"/>
              <w:right w:val="single" w:sz="4" w:space="0" w:color="auto"/>
            </w:tcBorders>
            <w:shd w:val="clear" w:color="auto" w:fill="auto"/>
          </w:tcPr>
          <w:p w14:paraId="14E69F53" w14:textId="77777777" w:rsidR="00650CA2" w:rsidRPr="00575CB5" w:rsidRDefault="00650CA2" w:rsidP="00650CA2">
            <w:pPr>
              <w:ind w:firstLine="0"/>
              <w:jc w:val="lef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w:t>
            </w:r>
          </w:p>
        </w:tc>
        <w:tc>
          <w:tcPr>
            <w:tcW w:w="1393" w:type="dxa"/>
            <w:tcBorders>
              <w:top w:val="nil"/>
              <w:left w:val="nil"/>
              <w:bottom w:val="single" w:sz="4" w:space="0" w:color="auto"/>
              <w:right w:val="single" w:sz="4" w:space="0" w:color="auto"/>
            </w:tcBorders>
            <w:shd w:val="clear" w:color="auto" w:fill="auto"/>
          </w:tcPr>
          <w:p w14:paraId="6E7AF8C2" w14:textId="77777777" w:rsidR="00650CA2" w:rsidRPr="00575CB5" w:rsidRDefault="00650CA2" w:rsidP="00650CA2">
            <w:pPr>
              <w:ind w:firstLine="0"/>
              <w:jc w:val="left"/>
              <w:rPr>
                <w:rFonts w:ascii="Calibri" w:eastAsia="Times New Roman" w:hAnsi="Calibri" w:cs="Calibri"/>
                <w:color w:val="000000"/>
                <w:sz w:val="18"/>
                <w:szCs w:val="18"/>
                <w:lang w:eastAsia="pl-PL"/>
              </w:rPr>
            </w:pPr>
            <w:r w:rsidRPr="00F16C05">
              <w:rPr>
                <w:rFonts w:ascii="Calibri" w:eastAsia="Times New Roman" w:hAnsi="Calibri" w:cs="Calibri"/>
                <w:color w:val="000000"/>
                <w:sz w:val="18"/>
                <w:szCs w:val="18"/>
                <w:lang w:eastAsia="pl-PL"/>
              </w:rPr>
              <w:t>wyjaśnienie</w:t>
            </w:r>
          </w:p>
        </w:tc>
        <w:tc>
          <w:tcPr>
            <w:tcW w:w="5082" w:type="dxa"/>
            <w:tcBorders>
              <w:top w:val="nil"/>
              <w:left w:val="nil"/>
              <w:bottom w:val="single" w:sz="4" w:space="0" w:color="auto"/>
              <w:right w:val="single" w:sz="4" w:space="0" w:color="auto"/>
            </w:tcBorders>
            <w:shd w:val="clear" w:color="auto" w:fill="auto"/>
          </w:tcPr>
          <w:p w14:paraId="7EA620DC" w14:textId="77777777" w:rsidR="00EC203E" w:rsidRDefault="00650CA2" w:rsidP="00EC203E">
            <w:pPr>
              <w:ind w:firstLine="0"/>
              <w:jc w:val="left"/>
              <w:rPr>
                <w:rFonts w:ascii="Calibri" w:eastAsia="Times New Roman" w:hAnsi="Calibri" w:cs="Calibri"/>
                <w:color w:val="000000"/>
                <w:sz w:val="18"/>
                <w:szCs w:val="18"/>
                <w:lang w:eastAsia="pl-PL"/>
              </w:rPr>
            </w:pPr>
            <w:r w:rsidRPr="00F16C05">
              <w:rPr>
                <w:rFonts w:ascii="Calibri" w:eastAsia="Times New Roman" w:hAnsi="Calibri" w:cs="Calibri"/>
                <w:color w:val="000000"/>
                <w:sz w:val="18"/>
                <w:szCs w:val="18"/>
                <w:lang w:eastAsia="pl-PL"/>
              </w:rPr>
              <w:t>Odpowiedzi udzielono na spotkaniu konsultacyjnym.</w:t>
            </w:r>
            <w:r w:rsidRPr="00F16C05">
              <w:rPr>
                <w:rFonts w:ascii="Calibri" w:eastAsia="Times New Roman" w:hAnsi="Calibri" w:cs="Calibri"/>
                <w:color w:val="000000"/>
                <w:sz w:val="18"/>
                <w:szCs w:val="18"/>
                <w:lang w:eastAsia="pl-PL"/>
              </w:rPr>
              <w:br w:type="page"/>
            </w:r>
            <w:r w:rsidRPr="00F16C05">
              <w:rPr>
                <w:rFonts w:ascii="Calibri" w:eastAsia="Times New Roman" w:hAnsi="Calibri" w:cs="Calibri"/>
                <w:color w:val="000000"/>
                <w:sz w:val="18"/>
                <w:szCs w:val="18"/>
                <w:lang w:eastAsia="pl-PL"/>
              </w:rPr>
              <w:br w:type="page"/>
            </w:r>
            <w:r w:rsidR="00EC203E">
              <w:rPr>
                <w:rFonts w:ascii="Calibri" w:eastAsia="Times New Roman" w:hAnsi="Calibri" w:cs="Calibri"/>
                <w:color w:val="000000"/>
                <w:sz w:val="18"/>
                <w:szCs w:val="18"/>
                <w:lang w:eastAsia="pl-PL"/>
              </w:rPr>
              <w:t xml:space="preserve"> </w:t>
            </w:r>
          </w:p>
          <w:p w14:paraId="464797D3" w14:textId="77777777" w:rsidR="00650CA2" w:rsidRPr="00575CB5" w:rsidRDefault="00650CA2" w:rsidP="00234AE0">
            <w:pPr>
              <w:ind w:firstLine="0"/>
              <w:jc w:val="left"/>
              <w:rPr>
                <w:rFonts w:ascii="Calibri" w:eastAsia="Times New Roman" w:hAnsi="Calibri" w:cs="Calibri"/>
                <w:color w:val="000000"/>
                <w:sz w:val="18"/>
                <w:szCs w:val="18"/>
                <w:lang w:eastAsia="pl-PL"/>
              </w:rPr>
            </w:pPr>
            <w:r w:rsidRPr="00F16C05">
              <w:rPr>
                <w:rFonts w:ascii="Calibri" w:eastAsia="Times New Roman" w:hAnsi="Calibri" w:cs="Calibri"/>
                <w:color w:val="000000"/>
                <w:sz w:val="18"/>
                <w:szCs w:val="18"/>
                <w:lang w:eastAsia="pl-PL"/>
              </w:rPr>
              <w:t xml:space="preserve">Jeżeli chodzi o listę kierunkowych inwestycji, są </w:t>
            </w:r>
            <w:r w:rsidR="00EC203E" w:rsidRPr="00F16C05">
              <w:rPr>
                <w:rFonts w:ascii="Calibri" w:eastAsia="Times New Roman" w:hAnsi="Calibri" w:cs="Calibri"/>
                <w:color w:val="000000"/>
                <w:sz w:val="18"/>
                <w:szCs w:val="18"/>
                <w:lang w:eastAsia="pl-PL"/>
              </w:rPr>
              <w:t xml:space="preserve">to </w:t>
            </w:r>
            <w:r w:rsidRPr="00F16C05">
              <w:rPr>
                <w:rFonts w:ascii="Calibri" w:eastAsia="Times New Roman" w:hAnsi="Calibri" w:cs="Calibri"/>
                <w:color w:val="000000"/>
                <w:sz w:val="18"/>
                <w:szCs w:val="18"/>
                <w:lang w:eastAsia="pl-PL"/>
              </w:rPr>
              <w:t xml:space="preserve">inwestycje, które są planowane, jeżeli chodzi o gospodarowanie wodami, czy to w zakresie ochrony przeciwpowodziowej, czy też ochrony przed suszą. Natomiast stopień ich </w:t>
            </w:r>
            <w:r w:rsidR="00EC203E">
              <w:rPr>
                <w:rFonts w:ascii="Calibri" w:eastAsia="Times New Roman" w:hAnsi="Calibri" w:cs="Calibri"/>
                <w:color w:val="000000"/>
                <w:sz w:val="18"/>
                <w:szCs w:val="18"/>
                <w:lang w:eastAsia="pl-PL"/>
              </w:rPr>
              <w:t>przygotowania i realizacji</w:t>
            </w:r>
            <w:r w:rsidRPr="00F16C05">
              <w:rPr>
                <w:rFonts w:ascii="Calibri" w:eastAsia="Times New Roman" w:hAnsi="Calibri" w:cs="Calibri"/>
                <w:color w:val="000000"/>
                <w:sz w:val="18"/>
                <w:szCs w:val="18"/>
                <w:lang w:eastAsia="pl-PL"/>
              </w:rPr>
              <w:t xml:space="preserve">, jest na </w:t>
            </w:r>
            <w:r w:rsidR="00EC203E">
              <w:rPr>
                <w:rFonts w:ascii="Calibri" w:eastAsia="Times New Roman" w:hAnsi="Calibri" w:cs="Calibri"/>
                <w:color w:val="000000"/>
                <w:sz w:val="18"/>
                <w:szCs w:val="18"/>
                <w:lang w:eastAsia="pl-PL"/>
              </w:rPr>
              <w:t xml:space="preserve">bardzo </w:t>
            </w:r>
            <w:r w:rsidRPr="00F16C05">
              <w:rPr>
                <w:rFonts w:ascii="Calibri" w:eastAsia="Times New Roman" w:hAnsi="Calibri" w:cs="Calibri"/>
                <w:color w:val="000000"/>
                <w:sz w:val="18"/>
                <w:szCs w:val="18"/>
                <w:lang w:eastAsia="pl-PL"/>
              </w:rPr>
              <w:t xml:space="preserve">wczesnym etapie; wiemy, że zasadna byłaby realizacja takiej inwestycji w tym regionie, aby zwiększyć bezpieczeństwo powodziowe czy też </w:t>
            </w:r>
            <w:r w:rsidR="00EC203E">
              <w:rPr>
                <w:rFonts w:ascii="Calibri" w:eastAsia="Times New Roman" w:hAnsi="Calibri" w:cs="Calibri"/>
                <w:color w:val="000000"/>
                <w:sz w:val="18"/>
                <w:szCs w:val="18"/>
                <w:lang w:eastAsia="pl-PL"/>
              </w:rPr>
              <w:t>ograniczyć</w:t>
            </w:r>
            <w:r w:rsidRPr="00F16C05">
              <w:rPr>
                <w:rFonts w:ascii="Calibri" w:eastAsia="Times New Roman" w:hAnsi="Calibri" w:cs="Calibri"/>
                <w:color w:val="000000"/>
                <w:sz w:val="18"/>
                <w:szCs w:val="18"/>
                <w:lang w:eastAsia="pl-PL"/>
              </w:rPr>
              <w:t xml:space="preserve"> skutki suszy. Natomiast informacje są na dzień dzisiejszy zbyt małe, aby można je było szczegółowo ocenić pod kątem ewentualnych derogacji, czyli wpływu na stan jednolitych części wód. Więc lista </w:t>
            </w:r>
            <w:r w:rsidR="00EC203E">
              <w:rPr>
                <w:rFonts w:ascii="Calibri" w:eastAsia="Times New Roman" w:hAnsi="Calibri" w:cs="Calibri"/>
                <w:color w:val="000000"/>
                <w:sz w:val="18"/>
                <w:szCs w:val="18"/>
                <w:lang w:eastAsia="pl-PL"/>
              </w:rPr>
              <w:t xml:space="preserve">inwestycji </w:t>
            </w:r>
            <w:r w:rsidRPr="00F16C05">
              <w:rPr>
                <w:rFonts w:ascii="Calibri" w:eastAsia="Times New Roman" w:hAnsi="Calibri" w:cs="Calibri"/>
                <w:color w:val="000000"/>
                <w:sz w:val="18"/>
                <w:szCs w:val="18"/>
                <w:lang w:eastAsia="pl-PL"/>
              </w:rPr>
              <w:t>kierunkow</w:t>
            </w:r>
            <w:r w:rsidR="00EC203E">
              <w:rPr>
                <w:rFonts w:ascii="Calibri" w:eastAsia="Times New Roman" w:hAnsi="Calibri" w:cs="Calibri"/>
                <w:color w:val="000000"/>
                <w:sz w:val="18"/>
                <w:szCs w:val="18"/>
                <w:lang w:eastAsia="pl-PL"/>
              </w:rPr>
              <w:t>ych</w:t>
            </w:r>
            <w:r w:rsidRPr="00F16C05">
              <w:rPr>
                <w:rFonts w:ascii="Calibri" w:eastAsia="Times New Roman" w:hAnsi="Calibri" w:cs="Calibri"/>
                <w:color w:val="000000"/>
                <w:sz w:val="18"/>
                <w:szCs w:val="18"/>
                <w:lang w:eastAsia="pl-PL"/>
              </w:rPr>
              <w:t xml:space="preserve"> jest informacją, że potencjalnie jeszcze takie i</w:t>
            </w:r>
            <w:r w:rsidR="00EC203E">
              <w:rPr>
                <w:rFonts w:ascii="Calibri" w:eastAsia="Times New Roman" w:hAnsi="Calibri" w:cs="Calibri"/>
                <w:color w:val="000000"/>
                <w:sz w:val="18"/>
                <w:szCs w:val="18"/>
                <w:lang w:eastAsia="pl-PL"/>
              </w:rPr>
              <w:t>nwestycje mogą być realizowane</w:t>
            </w:r>
            <w:r w:rsidRPr="00F16C05">
              <w:rPr>
                <w:rFonts w:ascii="Calibri" w:eastAsia="Times New Roman" w:hAnsi="Calibri" w:cs="Calibri"/>
                <w:color w:val="000000"/>
                <w:sz w:val="18"/>
                <w:szCs w:val="18"/>
                <w:lang w:eastAsia="pl-PL"/>
              </w:rPr>
              <w:t>, natomiast jeżeli stan ich zaawansowania będzie na tyle duży, aby można było je ocenić pod kątem środowiskowym, będą one włączone do kolejnych aktualizacji planów gospodarowania wodami (jeśli zajdzie potrzeba derogacji). Co wa</w:t>
            </w:r>
            <w:r w:rsidR="00EC203E">
              <w:rPr>
                <w:rFonts w:ascii="Calibri" w:eastAsia="Times New Roman" w:hAnsi="Calibri" w:cs="Calibri"/>
                <w:color w:val="000000"/>
                <w:sz w:val="18"/>
                <w:szCs w:val="18"/>
                <w:lang w:eastAsia="pl-PL"/>
              </w:rPr>
              <w:t>rto podkreślić to zastrzeżenia Komisji E</w:t>
            </w:r>
            <w:r w:rsidRPr="00F16C05">
              <w:rPr>
                <w:rFonts w:ascii="Calibri" w:eastAsia="Times New Roman" w:hAnsi="Calibri" w:cs="Calibri"/>
                <w:color w:val="000000"/>
                <w:sz w:val="18"/>
                <w:szCs w:val="18"/>
                <w:lang w:eastAsia="pl-PL"/>
              </w:rPr>
              <w:t xml:space="preserve">uropejskich do poszczególnych cykli planów gospodarowania wodami, dotyczyły uzasadnienia do derogacji. </w:t>
            </w:r>
            <w:r w:rsidR="00EC203E">
              <w:rPr>
                <w:rFonts w:ascii="Calibri" w:eastAsia="Times New Roman" w:hAnsi="Calibri" w:cs="Calibri"/>
                <w:color w:val="000000"/>
                <w:sz w:val="18"/>
                <w:szCs w:val="18"/>
                <w:lang w:eastAsia="pl-PL"/>
              </w:rPr>
              <w:t>K</w:t>
            </w:r>
            <w:r w:rsidRPr="00F16C05">
              <w:rPr>
                <w:rFonts w:ascii="Calibri" w:eastAsia="Times New Roman" w:hAnsi="Calibri" w:cs="Calibri"/>
                <w:color w:val="000000"/>
                <w:sz w:val="18"/>
                <w:szCs w:val="18"/>
                <w:lang w:eastAsia="pl-PL"/>
              </w:rPr>
              <w:t xml:space="preserve">omisja jasno wskazuje, że uzasadnienie powinno być bardzo szczegółowe, więc aby to uzasadnienie mogło być szczegółowe musimy mieć </w:t>
            </w:r>
            <w:r w:rsidR="00EC203E">
              <w:rPr>
                <w:rFonts w:ascii="Calibri" w:eastAsia="Times New Roman" w:hAnsi="Calibri" w:cs="Calibri"/>
                <w:color w:val="000000"/>
                <w:sz w:val="18"/>
                <w:szCs w:val="18"/>
                <w:lang w:eastAsia="pl-PL"/>
              </w:rPr>
              <w:t>odpowiednią ilość</w:t>
            </w:r>
            <w:r w:rsidRPr="00F16C05">
              <w:rPr>
                <w:rFonts w:ascii="Calibri" w:eastAsia="Times New Roman" w:hAnsi="Calibri" w:cs="Calibri"/>
                <w:color w:val="000000"/>
                <w:sz w:val="18"/>
                <w:szCs w:val="18"/>
                <w:lang w:eastAsia="pl-PL"/>
              </w:rPr>
              <w:t xml:space="preserve"> informacji jeżeli chodzi o planowaną inwestycję. Temu też służyły zmiany w Prawie wodnym, które wprowadzono w 2018 roku; ustawa </w:t>
            </w:r>
            <w:r w:rsidR="00EC203E">
              <w:rPr>
                <w:rFonts w:ascii="Calibri" w:eastAsia="Times New Roman" w:hAnsi="Calibri" w:cs="Calibri"/>
                <w:color w:val="000000"/>
                <w:sz w:val="18"/>
                <w:szCs w:val="18"/>
                <w:lang w:eastAsia="pl-PL"/>
              </w:rPr>
              <w:t>Prawo wodne</w:t>
            </w:r>
            <w:r w:rsidRPr="00F16C05">
              <w:rPr>
                <w:rFonts w:ascii="Calibri" w:eastAsia="Times New Roman" w:hAnsi="Calibri" w:cs="Calibri"/>
                <w:color w:val="000000"/>
                <w:sz w:val="18"/>
                <w:szCs w:val="18"/>
                <w:lang w:eastAsia="pl-PL"/>
              </w:rPr>
              <w:t xml:space="preserve"> reguluje wprowadziła system oceny wodnoprawnej, dzięki której można szczegółowo przeanalizować daną inwestycję i stwierdzić czy ma negatywny wpływ na stan jednolitych części wód i w związku z tym jest wymagana derogacja, czy też można ją realizować bez żadnej derogacji, ponieważ nie ma negatywnego wpływu na stan wód. W ustawie jasno zostało określone, że właśnie te inwestycje, które przejdą ocenę wodnoprawną, bądź też mają </w:t>
            </w:r>
            <w:r w:rsidR="00EC203E">
              <w:rPr>
                <w:rFonts w:ascii="Calibri" w:eastAsia="Times New Roman" w:hAnsi="Calibri" w:cs="Calibri"/>
                <w:color w:val="000000"/>
                <w:sz w:val="18"/>
                <w:szCs w:val="18"/>
                <w:lang w:eastAsia="pl-PL"/>
              </w:rPr>
              <w:t xml:space="preserve">ocenę </w:t>
            </w:r>
            <w:r w:rsidRPr="00F16C05">
              <w:rPr>
                <w:rFonts w:ascii="Calibri" w:eastAsia="Times New Roman" w:hAnsi="Calibri" w:cs="Calibri"/>
                <w:color w:val="000000"/>
                <w:sz w:val="18"/>
                <w:szCs w:val="18"/>
                <w:lang w:eastAsia="pl-PL"/>
              </w:rPr>
              <w:t>oddziaływani</w:t>
            </w:r>
            <w:r w:rsidR="00EC203E">
              <w:rPr>
                <w:rFonts w:ascii="Calibri" w:eastAsia="Times New Roman" w:hAnsi="Calibri" w:cs="Calibri"/>
                <w:color w:val="000000"/>
                <w:sz w:val="18"/>
                <w:szCs w:val="18"/>
                <w:lang w:eastAsia="pl-PL"/>
              </w:rPr>
              <w:t>a</w:t>
            </w:r>
            <w:r w:rsidRPr="00F16C05">
              <w:rPr>
                <w:rFonts w:ascii="Calibri" w:eastAsia="Times New Roman" w:hAnsi="Calibri" w:cs="Calibri"/>
                <w:color w:val="000000"/>
                <w:sz w:val="18"/>
                <w:szCs w:val="18"/>
                <w:lang w:eastAsia="pl-PL"/>
              </w:rPr>
              <w:t xml:space="preserve"> na środowisko, będą uwzględnione w planach gospodarowania wodami właśnie pod k</w:t>
            </w:r>
            <w:r w:rsidR="00EC203E">
              <w:rPr>
                <w:rFonts w:ascii="Calibri" w:eastAsia="Times New Roman" w:hAnsi="Calibri" w:cs="Calibri"/>
                <w:color w:val="000000"/>
                <w:sz w:val="18"/>
                <w:szCs w:val="18"/>
                <w:lang w:eastAsia="pl-PL"/>
              </w:rPr>
              <w:t>ątem derogacji. Podsumowując,</w:t>
            </w:r>
            <w:r w:rsidRPr="00F16C05">
              <w:rPr>
                <w:rFonts w:ascii="Calibri" w:eastAsia="Times New Roman" w:hAnsi="Calibri" w:cs="Calibri"/>
                <w:color w:val="000000"/>
                <w:sz w:val="18"/>
                <w:szCs w:val="18"/>
                <w:lang w:eastAsia="pl-PL"/>
              </w:rPr>
              <w:t xml:space="preserve"> lista </w:t>
            </w:r>
            <w:r w:rsidR="00EC203E">
              <w:rPr>
                <w:rFonts w:ascii="Calibri" w:eastAsia="Times New Roman" w:hAnsi="Calibri" w:cs="Calibri"/>
                <w:color w:val="000000"/>
                <w:sz w:val="18"/>
                <w:szCs w:val="18"/>
                <w:lang w:eastAsia="pl-PL"/>
              </w:rPr>
              <w:t>inwestycji kierunkowych</w:t>
            </w:r>
            <w:r w:rsidRPr="00F16C05">
              <w:rPr>
                <w:rFonts w:ascii="Calibri" w:eastAsia="Times New Roman" w:hAnsi="Calibri" w:cs="Calibri"/>
                <w:color w:val="000000"/>
                <w:sz w:val="18"/>
                <w:szCs w:val="18"/>
                <w:lang w:eastAsia="pl-PL"/>
              </w:rPr>
              <w:t xml:space="preserve"> pokazuje nam jeszcze jakie inne potencjalnie inwestycje prawdopodobnie będą realizowane, aby przede wszystkim zrealizować kwestie ochrony przeciwpowodziowej czy ochrony przed suszą.</w:t>
            </w:r>
            <w:r w:rsidRPr="00F16C05">
              <w:rPr>
                <w:rFonts w:ascii="Calibri" w:eastAsia="Times New Roman" w:hAnsi="Calibri" w:cs="Calibri"/>
                <w:color w:val="000000"/>
                <w:sz w:val="18"/>
                <w:szCs w:val="18"/>
                <w:lang w:eastAsia="pl-PL"/>
              </w:rPr>
              <w:br w:type="page"/>
            </w:r>
            <w:r w:rsidRPr="00F16C05">
              <w:rPr>
                <w:rFonts w:ascii="Calibri" w:eastAsia="Times New Roman" w:hAnsi="Calibri" w:cs="Calibri"/>
                <w:color w:val="000000"/>
                <w:sz w:val="18"/>
                <w:szCs w:val="18"/>
                <w:lang w:eastAsia="pl-PL"/>
              </w:rPr>
              <w:br w:type="page"/>
              <w:t xml:space="preserve">Przy poprzednich planach gospodarowania wodami załącznikiem był wykaz inwestycji, przy IIaPGW wykaz ten ma już nieco inny charakter. W odróżnieniu od poprzedniego cyklu, nie ma procedury zgłaszania inwestycji do planów gospodarowania wodami. W planach znajdują się tylko przedsięwzięcia o potencjalnie negatywnym wpływie na stan wód, na możliwość osiągnięcia celów środowiskowych. Nie mówimy o tym pakiecie działań, w tym inwestycjach prośrodowiskowych. Czyli cały czas należy te dwie grupy rozróżnić. W planach gospodarowania wodami co do zasady zamieszczamy tylko te przedsięwzięcia o możliwym negatywnym wpływie, które otrzymały odstępstwo od celów środowiskowych z tzw. art. 4.7 Ramowej Dyrektywy Wodnej, czy z art. 68 ustawy Prawo wodne. Warunkiem wpisania jest albo posiadanie przez taką inwestycję już odstępstwa z poprzednich planów gospodarowania wodami, albo uzyskanie pozytywnej opinii, czy deklaracji zgodności z celami w ramach procedury oceny wodnoprawnej bądź decyzji o środowiskowych uwarunkowaniach. W związku z czym żadne z przedsięwzięć zamieszczone w planie gospodarowania wodami, które ma odstępstwo (to jest tak naprawdę zgoda na </w:t>
            </w:r>
            <w:r w:rsidRPr="00F16C05">
              <w:rPr>
                <w:rFonts w:ascii="Calibri" w:eastAsia="Times New Roman" w:hAnsi="Calibri" w:cs="Calibri"/>
                <w:color w:val="000000"/>
                <w:sz w:val="18"/>
                <w:szCs w:val="18"/>
                <w:lang w:eastAsia="pl-PL"/>
              </w:rPr>
              <w:lastRenderedPageBreak/>
              <w:t xml:space="preserve">wprowadzenie nowych zmian w środowisku wodnym), które nie przeszło tej procedury administracyjnej, albo w poprzednim cyklu nie zostało ocenione w planach się nie znalazło. Lista </w:t>
            </w:r>
            <w:r w:rsidR="00EC203E">
              <w:rPr>
                <w:rFonts w:ascii="Calibri" w:eastAsia="Times New Roman" w:hAnsi="Calibri" w:cs="Calibri"/>
                <w:color w:val="000000"/>
                <w:sz w:val="18"/>
                <w:szCs w:val="18"/>
                <w:lang w:eastAsia="pl-PL"/>
              </w:rPr>
              <w:t xml:space="preserve">inwestycji </w:t>
            </w:r>
            <w:r w:rsidRPr="00F16C05">
              <w:rPr>
                <w:rFonts w:ascii="Calibri" w:eastAsia="Times New Roman" w:hAnsi="Calibri" w:cs="Calibri"/>
                <w:color w:val="000000"/>
                <w:sz w:val="18"/>
                <w:szCs w:val="18"/>
                <w:lang w:eastAsia="pl-PL"/>
              </w:rPr>
              <w:t>kierunkow</w:t>
            </w:r>
            <w:r w:rsidR="00EC203E">
              <w:rPr>
                <w:rFonts w:ascii="Calibri" w:eastAsia="Times New Roman" w:hAnsi="Calibri" w:cs="Calibri"/>
                <w:color w:val="000000"/>
                <w:sz w:val="18"/>
                <w:szCs w:val="18"/>
                <w:lang w:eastAsia="pl-PL"/>
              </w:rPr>
              <w:t>ych,</w:t>
            </w:r>
            <w:r w:rsidRPr="00F16C05">
              <w:rPr>
                <w:rFonts w:ascii="Calibri" w:eastAsia="Times New Roman" w:hAnsi="Calibri" w:cs="Calibri"/>
                <w:color w:val="000000"/>
                <w:sz w:val="18"/>
                <w:szCs w:val="18"/>
                <w:lang w:eastAsia="pl-PL"/>
              </w:rPr>
              <w:t xml:space="preserve"> to są właśnie te przedsięwzięcia, o których wiemy, że być może są planowane, być może będą kiedyś realizowane, stanowią one swego rodzaju sygnał, że to jest jeszcze pakiet, który być</w:t>
            </w:r>
            <w:r w:rsidR="00234AE0">
              <w:rPr>
                <w:rFonts w:ascii="Calibri" w:eastAsia="Times New Roman" w:hAnsi="Calibri" w:cs="Calibri"/>
                <w:color w:val="000000"/>
                <w:sz w:val="18"/>
                <w:szCs w:val="18"/>
                <w:lang w:eastAsia="pl-PL"/>
              </w:rPr>
              <w:t xml:space="preserve"> może kiedyś się zmaterializuje</w:t>
            </w:r>
            <w:r w:rsidRPr="00F16C05">
              <w:rPr>
                <w:rFonts w:ascii="Calibri" w:eastAsia="Times New Roman" w:hAnsi="Calibri" w:cs="Calibri"/>
                <w:color w:val="000000"/>
                <w:sz w:val="18"/>
                <w:szCs w:val="18"/>
                <w:lang w:eastAsia="pl-PL"/>
              </w:rPr>
              <w:t xml:space="preserve">. Natomiast są to przedsięwzięcia, które nie przeszły tej oficjalnej procedury oceny wodnoprawnej, procedury administracyjnej, wobec czego nie spełniły warunku do bycia wpisanymi do planów gospodarowania wodami. </w:t>
            </w:r>
          </w:p>
        </w:tc>
      </w:tr>
    </w:tbl>
    <w:p w14:paraId="4623D64F" w14:textId="77777777" w:rsidR="00EE278A" w:rsidRDefault="005F4D9C"/>
    <w:sectPr w:rsidR="00EE278A" w:rsidSect="000602F3">
      <w:headerReference w:type="even" r:id="rId10"/>
      <w:headerReference w:type="default" r:id="rId11"/>
      <w:footerReference w:type="even" r:id="rId12"/>
      <w:footerReference w:type="default" r:id="rId13"/>
      <w:headerReference w:type="first" r:id="rId14"/>
      <w:footerReference w:type="first" r:id="rId15"/>
      <w:pgSz w:w="23811" w:h="16838" w:orient="landscape" w:code="8"/>
      <w:pgMar w:top="1843" w:right="1417" w:bottom="1417" w:left="1417" w:header="284"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E2E0" w16cex:dateUtc="2022-03-30T10:43:00Z"/>
  <w16cex:commentExtensible w16cex:durableId="25F0060A" w16cex:dateUtc="2022-03-31T08:50:00Z"/>
  <w16cex:commentExtensible w16cex:durableId="25F00544" w16cex:dateUtc="2022-03-31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FB6FA" w14:textId="77777777" w:rsidR="005F4D9C" w:rsidRDefault="005F4D9C" w:rsidP="000602F3">
      <w:r>
        <w:separator/>
      </w:r>
    </w:p>
  </w:endnote>
  <w:endnote w:type="continuationSeparator" w:id="0">
    <w:p w14:paraId="44F2F7C7" w14:textId="77777777" w:rsidR="005F4D9C" w:rsidRDefault="005F4D9C" w:rsidP="0006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47BF" w14:textId="77777777" w:rsidR="00DB2738" w:rsidRDefault="00DB273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D65B" w14:textId="77777777" w:rsidR="00DB2738" w:rsidRDefault="00DB273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7CFA0" w14:textId="77777777" w:rsidR="00DB2738" w:rsidRDefault="00DB273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FAF39" w14:textId="77777777" w:rsidR="005F4D9C" w:rsidRDefault="005F4D9C" w:rsidP="000602F3">
      <w:r>
        <w:separator/>
      </w:r>
    </w:p>
  </w:footnote>
  <w:footnote w:type="continuationSeparator" w:id="0">
    <w:p w14:paraId="13CCD859" w14:textId="77777777" w:rsidR="005F4D9C" w:rsidRDefault="005F4D9C" w:rsidP="00060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E2855" w14:textId="77777777" w:rsidR="00DB2738" w:rsidRDefault="00DB273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3E1FC" w14:textId="77777777" w:rsidR="000602F3" w:rsidRDefault="000602F3">
    <w:pPr>
      <w:pStyle w:val="Nagwek"/>
      <w:rPr>
        <w:rFonts w:ascii="Calibri" w:eastAsia="Times New Roman" w:hAnsi="Calibri" w:cs="Calibri"/>
        <w:b/>
        <w:bCs/>
        <w:color w:val="000000"/>
        <w:lang w:eastAsia="pl-PL"/>
      </w:rPr>
    </w:pPr>
  </w:p>
  <w:p w14:paraId="381144E2" w14:textId="77777777" w:rsidR="000602F3" w:rsidRDefault="000602F3">
    <w:pPr>
      <w:pStyle w:val="Nagwek"/>
      <w:rPr>
        <w:rFonts w:ascii="Calibri" w:eastAsia="Times New Roman" w:hAnsi="Calibri" w:cs="Calibri"/>
        <w:b/>
        <w:bCs/>
        <w:color w:val="000000"/>
        <w:lang w:eastAsia="pl-PL"/>
      </w:rPr>
    </w:pPr>
  </w:p>
  <w:p w14:paraId="098C5EC2" w14:textId="77777777" w:rsidR="000602F3" w:rsidRDefault="000602F3">
    <w:pPr>
      <w:pStyle w:val="Nagwek"/>
      <w:rPr>
        <w:rFonts w:ascii="Calibri" w:eastAsia="Times New Roman" w:hAnsi="Calibri" w:cs="Calibri"/>
        <w:b/>
        <w:bCs/>
        <w:color w:val="000000"/>
        <w:lang w:eastAsia="pl-PL"/>
      </w:rPr>
    </w:pPr>
  </w:p>
  <w:p w14:paraId="691BE4FB" w14:textId="77777777" w:rsidR="000602F3" w:rsidRDefault="000602F3">
    <w:pPr>
      <w:pStyle w:val="Nagwek"/>
      <w:rPr>
        <w:rFonts w:ascii="Calibri" w:eastAsia="Times New Roman" w:hAnsi="Calibri" w:cs="Calibri"/>
        <w:b/>
        <w:bCs/>
        <w:color w:val="000000"/>
        <w:lang w:eastAsia="pl-PL"/>
      </w:rPr>
    </w:pPr>
  </w:p>
  <w:p w14:paraId="6E2C6D56" w14:textId="77777777" w:rsidR="000602F3" w:rsidRDefault="000602F3">
    <w:pPr>
      <w:pStyle w:val="Nagwek"/>
      <w:rPr>
        <w:rFonts w:ascii="Calibri" w:eastAsia="Times New Roman" w:hAnsi="Calibri" w:cs="Calibri"/>
        <w:b/>
        <w:bCs/>
        <w:color w:val="000000"/>
        <w:lang w:eastAsia="pl-PL"/>
      </w:rPr>
    </w:pPr>
  </w:p>
  <w:p w14:paraId="396B7B9F" w14:textId="77777777" w:rsidR="000602F3" w:rsidRDefault="000602F3">
    <w:pPr>
      <w:pStyle w:val="Nagwek"/>
      <w:rPr>
        <w:rFonts w:ascii="Calibri" w:eastAsia="Times New Roman" w:hAnsi="Calibri" w:cs="Calibri"/>
        <w:b/>
        <w:bCs/>
        <w:color w:val="000000"/>
        <w:lang w:eastAsia="pl-PL"/>
      </w:rPr>
    </w:pPr>
    <w:r w:rsidRPr="000602F3">
      <w:rPr>
        <w:rFonts w:ascii="Calibri" w:eastAsia="Times New Roman" w:hAnsi="Calibri" w:cs="Calibri"/>
        <w:b/>
        <w:bCs/>
        <w:color w:val="000000"/>
        <w:lang w:eastAsia="pl-PL"/>
      </w:rPr>
      <w:t xml:space="preserve">ZESTAWIENIE UWAG ZGŁOSZONYCH W TRAKCIE KONSULTACJI SPOŁECZNYCH PROJEKTU </w:t>
    </w:r>
    <w:r w:rsidR="000D249A">
      <w:rPr>
        <w:rFonts w:ascii="Calibri" w:eastAsia="Times New Roman" w:hAnsi="Calibri" w:cs="Calibri"/>
        <w:b/>
        <w:bCs/>
        <w:color w:val="000000"/>
        <w:lang w:eastAsia="pl-PL"/>
      </w:rPr>
      <w:t>DRUGIEJ AKTUALIZACJI PLANU GOSPODAROWANIA WODAMI (</w:t>
    </w:r>
    <w:r w:rsidRPr="000602F3">
      <w:rPr>
        <w:rFonts w:ascii="Calibri" w:eastAsia="Times New Roman" w:hAnsi="Calibri" w:cs="Calibri"/>
        <w:b/>
        <w:bCs/>
        <w:color w:val="000000"/>
        <w:lang w:eastAsia="pl-PL"/>
      </w:rPr>
      <w:t>IIaPGW</w:t>
    </w:r>
    <w:r w:rsidR="000D249A">
      <w:rPr>
        <w:rFonts w:ascii="Calibri" w:eastAsia="Times New Roman" w:hAnsi="Calibri" w:cs="Calibri"/>
        <w:b/>
        <w:bCs/>
        <w:color w:val="000000"/>
        <w:lang w:eastAsia="pl-PL"/>
      </w:rPr>
      <w:t>)</w:t>
    </w:r>
    <w:r w:rsidRPr="000602F3">
      <w:rPr>
        <w:rFonts w:ascii="Calibri" w:eastAsia="Times New Roman" w:hAnsi="Calibri" w:cs="Calibri"/>
        <w:b/>
        <w:bCs/>
        <w:color w:val="000000"/>
        <w:lang w:eastAsia="pl-PL"/>
      </w:rPr>
      <w:t xml:space="preserve"> </w:t>
    </w:r>
    <w:r w:rsidR="000D249A">
      <w:rPr>
        <w:rFonts w:ascii="Calibri" w:eastAsia="Times New Roman" w:hAnsi="Calibri" w:cs="Calibri"/>
        <w:b/>
        <w:bCs/>
        <w:color w:val="000000"/>
        <w:lang w:eastAsia="pl-PL"/>
      </w:rPr>
      <w:t>NA</w:t>
    </w:r>
    <w:r w:rsidRPr="000602F3">
      <w:rPr>
        <w:rFonts w:ascii="Calibri" w:eastAsia="Times New Roman" w:hAnsi="Calibri" w:cs="Calibri"/>
        <w:b/>
        <w:bCs/>
        <w:color w:val="000000"/>
        <w:lang w:eastAsia="pl-PL"/>
      </w:rPr>
      <w:t xml:space="preserve"> OBSZAR</w:t>
    </w:r>
    <w:r w:rsidR="000D249A">
      <w:rPr>
        <w:rFonts w:ascii="Calibri" w:eastAsia="Times New Roman" w:hAnsi="Calibri" w:cs="Calibri"/>
        <w:b/>
        <w:bCs/>
        <w:color w:val="000000"/>
        <w:lang w:eastAsia="pl-PL"/>
      </w:rPr>
      <w:t>ZE</w:t>
    </w:r>
    <w:r w:rsidRPr="000602F3">
      <w:rPr>
        <w:rFonts w:ascii="Calibri" w:eastAsia="Times New Roman" w:hAnsi="Calibri" w:cs="Calibri"/>
        <w:b/>
        <w:bCs/>
        <w:color w:val="000000"/>
        <w:lang w:eastAsia="pl-PL"/>
      </w:rPr>
      <w:t xml:space="preserve"> DORZECZA </w:t>
    </w:r>
    <w:r w:rsidR="000254DC">
      <w:rPr>
        <w:rFonts w:ascii="Calibri" w:eastAsia="Times New Roman" w:hAnsi="Calibri" w:cs="Calibri"/>
        <w:b/>
        <w:bCs/>
        <w:color w:val="000000"/>
        <w:lang w:eastAsia="pl-PL"/>
      </w:rPr>
      <w:t>PREGOŁY</w:t>
    </w:r>
    <w:r w:rsidR="00846586">
      <w:rPr>
        <w:rFonts w:ascii="Calibri" w:eastAsia="Times New Roman" w:hAnsi="Calibri" w:cs="Calibri"/>
        <w:b/>
        <w:bCs/>
        <w:color w:val="000000"/>
        <w:lang w:eastAsia="pl-PL"/>
      </w:rPr>
      <w:t xml:space="preserve"> </w:t>
    </w:r>
    <w:r w:rsidRPr="000602F3">
      <w:rPr>
        <w:rFonts w:ascii="Calibri" w:eastAsia="Times New Roman" w:hAnsi="Calibri" w:cs="Calibri"/>
        <w:b/>
        <w:bCs/>
        <w:color w:val="000000"/>
        <w:lang w:eastAsia="pl-PL"/>
      </w:rPr>
      <w:t>(14.04.2021 - 14.10.2021)</w:t>
    </w:r>
  </w:p>
  <w:p w14:paraId="6B725482" w14:textId="77777777" w:rsidR="00D86E84" w:rsidRDefault="00D86E8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B137" w14:textId="77777777" w:rsidR="00DB2738" w:rsidRDefault="00DB2738">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2F3"/>
    <w:rsid w:val="00014EED"/>
    <w:rsid w:val="000254DC"/>
    <w:rsid w:val="00044721"/>
    <w:rsid w:val="000602F3"/>
    <w:rsid w:val="00061EC9"/>
    <w:rsid w:val="00096BC6"/>
    <w:rsid w:val="000D249A"/>
    <w:rsid w:val="000D6B96"/>
    <w:rsid w:val="000E5D50"/>
    <w:rsid w:val="00124EB6"/>
    <w:rsid w:val="00161CC7"/>
    <w:rsid w:val="00180A82"/>
    <w:rsid w:val="00197698"/>
    <w:rsid w:val="001A18D8"/>
    <w:rsid w:val="001E404E"/>
    <w:rsid w:val="001F2B28"/>
    <w:rsid w:val="001F37E7"/>
    <w:rsid w:val="001F4888"/>
    <w:rsid w:val="00202017"/>
    <w:rsid w:val="00206924"/>
    <w:rsid w:val="00211E44"/>
    <w:rsid w:val="0022211C"/>
    <w:rsid w:val="00222141"/>
    <w:rsid w:val="00232B2A"/>
    <w:rsid w:val="00234AE0"/>
    <w:rsid w:val="00272402"/>
    <w:rsid w:val="00340B03"/>
    <w:rsid w:val="00344386"/>
    <w:rsid w:val="0035458C"/>
    <w:rsid w:val="003B1AF2"/>
    <w:rsid w:val="003B610E"/>
    <w:rsid w:val="003C7318"/>
    <w:rsid w:val="003D25C3"/>
    <w:rsid w:val="003E0FE7"/>
    <w:rsid w:val="00401310"/>
    <w:rsid w:val="00425C9F"/>
    <w:rsid w:val="00463E4D"/>
    <w:rsid w:val="004744CC"/>
    <w:rsid w:val="00491161"/>
    <w:rsid w:val="004A68B1"/>
    <w:rsid w:val="004F7363"/>
    <w:rsid w:val="00562D8A"/>
    <w:rsid w:val="00575CB5"/>
    <w:rsid w:val="005A7C7F"/>
    <w:rsid w:val="005B6DCF"/>
    <w:rsid w:val="005D5368"/>
    <w:rsid w:val="005F4D9C"/>
    <w:rsid w:val="00601A0F"/>
    <w:rsid w:val="00623E83"/>
    <w:rsid w:val="00625F9B"/>
    <w:rsid w:val="00650CA2"/>
    <w:rsid w:val="0067266D"/>
    <w:rsid w:val="006F4C50"/>
    <w:rsid w:val="00721E63"/>
    <w:rsid w:val="00737B63"/>
    <w:rsid w:val="00752DB5"/>
    <w:rsid w:val="007C2374"/>
    <w:rsid w:val="007D109E"/>
    <w:rsid w:val="007F01F8"/>
    <w:rsid w:val="00834058"/>
    <w:rsid w:val="00846586"/>
    <w:rsid w:val="00850A61"/>
    <w:rsid w:val="008D428E"/>
    <w:rsid w:val="008E3C3C"/>
    <w:rsid w:val="00927186"/>
    <w:rsid w:val="009357AB"/>
    <w:rsid w:val="0094031E"/>
    <w:rsid w:val="009F49C7"/>
    <w:rsid w:val="00A02382"/>
    <w:rsid w:val="00A2152B"/>
    <w:rsid w:val="00A355B5"/>
    <w:rsid w:val="00AB1F90"/>
    <w:rsid w:val="00AC0A92"/>
    <w:rsid w:val="00AC2331"/>
    <w:rsid w:val="00AC5FB1"/>
    <w:rsid w:val="00AE4E62"/>
    <w:rsid w:val="00B00FB6"/>
    <w:rsid w:val="00B5166E"/>
    <w:rsid w:val="00B65162"/>
    <w:rsid w:val="00B83E36"/>
    <w:rsid w:val="00BA63E1"/>
    <w:rsid w:val="00C02B07"/>
    <w:rsid w:val="00C46A1C"/>
    <w:rsid w:val="00CD5FC4"/>
    <w:rsid w:val="00D22D78"/>
    <w:rsid w:val="00D32B2A"/>
    <w:rsid w:val="00D61942"/>
    <w:rsid w:val="00D86E84"/>
    <w:rsid w:val="00D91057"/>
    <w:rsid w:val="00DB2738"/>
    <w:rsid w:val="00E05515"/>
    <w:rsid w:val="00E4392B"/>
    <w:rsid w:val="00E47ABC"/>
    <w:rsid w:val="00E52001"/>
    <w:rsid w:val="00EA6A36"/>
    <w:rsid w:val="00EC1FD1"/>
    <w:rsid w:val="00EC203E"/>
    <w:rsid w:val="00F4097F"/>
    <w:rsid w:val="00F455AF"/>
    <w:rsid w:val="00F71813"/>
    <w:rsid w:val="00F86078"/>
    <w:rsid w:val="00F91712"/>
    <w:rsid w:val="00FD21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276B"/>
  <w15:chartTrackingRefBased/>
  <w15:docId w15:val="{20F35EFD-B412-4565-97B9-8A1C993E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line="360" w:lineRule="auto"/>
        <w:ind w:firstLine="28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602F3"/>
    <w:pPr>
      <w:tabs>
        <w:tab w:val="center" w:pos="4536"/>
        <w:tab w:val="right" w:pos="9072"/>
      </w:tabs>
    </w:pPr>
  </w:style>
  <w:style w:type="character" w:customStyle="1" w:styleId="NagwekZnak">
    <w:name w:val="Nagłówek Znak"/>
    <w:basedOn w:val="Domylnaczcionkaakapitu"/>
    <w:link w:val="Nagwek"/>
    <w:uiPriority w:val="99"/>
    <w:rsid w:val="000602F3"/>
  </w:style>
  <w:style w:type="paragraph" w:styleId="Stopka">
    <w:name w:val="footer"/>
    <w:basedOn w:val="Normalny"/>
    <w:link w:val="StopkaZnak"/>
    <w:uiPriority w:val="99"/>
    <w:unhideWhenUsed/>
    <w:rsid w:val="000602F3"/>
    <w:pPr>
      <w:tabs>
        <w:tab w:val="center" w:pos="4536"/>
        <w:tab w:val="right" w:pos="9072"/>
      </w:tabs>
    </w:pPr>
  </w:style>
  <w:style w:type="character" w:customStyle="1" w:styleId="StopkaZnak">
    <w:name w:val="Stopka Znak"/>
    <w:basedOn w:val="Domylnaczcionkaakapitu"/>
    <w:link w:val="Stopka"/>
    <w:uiPriority w:val="99"/>
    <w:rsid w:val="000602F3"/>
  </w:style>
  <w:style w:type="character" w:styleId="Odwoaniedokomentarza">
    <w:name w:val="annotation reference"/>
    <w:basedOn w:val="Domylnaczcionkaakapitu"/>
    <w:uiPriority w:val="99"/>
    <w:semiHidden/>
    <w:unhideWhenUsed/>
    <w:rsid w:val="00EC203E"/>
    <w:rPr>
      <w:sz w:val="16"/>
      <w:szCs w:val="16"/>
    </w:rPr>
  </w:style>
  <w:style w:type="paragraph" w:styleId="Tekstkomentarza">
    <w:name w:val="annotation text"/>
    <w:basedOn w:val="Normalny"/>
    <w:link w:val="TekstkomentarzaZnak"/>
    <w:uiPriority w:val="99"/>
    <w:semiHidden/>
    <w:unhideWhenUsed/>
    <w:rsid w:val="00EC203E"/>
    <w:rPr>
      <w:sz w:val="20"/>
      <w:szCs w:val="20"/>
    </w:rPr>
  </w:style>
  <w:style w:type="character" w:customStyle="1" w:styleId="TekstkomentarzaZnak">
    <w:name w:val="Tekst komentarza Znak"/>
    <w:basedOn w:val="Domylnaczcionkaakapitu"/>
    <w:link w:val="Tekstkomentarza"/>
    <w:uiPriority w:val="99"/>
    <w:semiHidden/>
    <w:rsid w:val="00EC203E"/>
    <w:rPr>
      <w:sz w:val="20"/>
      <w:szCs w:val="20"/>
    </w:rPr>
  </w:style>
  <w:style w:type="paragraph" w:styleId="Tematkomentarza">
    <w:name w:val="annotation subject"/>
    <w:basedOn w:val="Tekstkomentarza"/>
    <w:next w:val="Tekstkomentarza"/>
    <w:link w:val="TematkomentarzaZnak"/>
    <w:uiPriority w:val="99"/>
    <w:semiHidden/>
    <w:unhideWhenUsed/>
    <w:rsid w:val="00EC203E"/>
    <w:rPr>
      <w:b/>
      <w:bCs/>
    </w:rPr>
  </w:style>
  <w:style w:type="character" w:customStyle="1" w:styleId="TematkomentarzaZnak">
    <w:name w:val="Temat komentarza Znak"/>
    <w:basedOn w:val="TekstkomentarzaZnak"/>
    <w:link w:val="Tematkomentarza"/>
    <w:uiPriority w:val="99"/>
    <w:semiHidden/>
    <w:rsid w:val="00EC203E"/>
    <w:rPr>
      <w:b/>
      <w:bCs/>
      <w:sz w:val="20"/>
      <w:szCs w:val="20"/>
    </w:rPr>
  </w:style>
  <w:style w:type="paragraph" w:styleId="Poprawka">
    <w:name w:val="Revision"/>
    <w:hidden/>
    <w:uiPriority w:val="99"/>
    <w:semiHidden/>
    <w:rsid w:val="00EC203E"/>
    <w:pPr>
      <w:spacing w:line="240" w:lineRule="auto"/>
      <w:ind w:firstLine="0"/>
      <w:jc w:val="left"/>
    </w:pPr>
  </w:style>
  <w:style w:type="paragraph" w:styleId="Tekstdymka">
    <w:name w:val="Balloon Text"/>
    <w:basedOn w:val="Normalny"/>
    <w:link w:val="TekstdymkaZnak"/>
    <w:uiPriority w:val="99"/>
    <w:semiHidden/>
    <w:unhideWhenUsed/>
    <w:rsid w:val="00EC203E"/>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20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231729">
      <w:bodyDiv w:val="1"/>
      <w:marLeft w:val="0"/>
      <w:marRight w:val="0"/>
      <w:marTop w:val="0"/>
      <w:marBottom w:val="0"/>
      <w:divBdr>
        <w:top w:val="none" w:sz="0" w:space="0" w:color="auto"/>
        <w:left w:val="none" w:sz="0" w:space="0" w:color="auto"/>
        <w:bottom w:val="none" w:sz="0" w:space="0" w:color="auto"/>
        <w:right w:val="none" w:sz="0" w:space="0" w:color="auto"/>
      </w:divBdr>
    </w:div>
    <w:div w:id="1672833438">
      <w:bodyDiv w:val="1"/>
      <w:marLeft w:val="0"/>
      <w:marRight w:val="0"/>
      <w:marTop w:val="0"/>
      <w:marBottom w:val="0"/>
      <w:divBdr>
        <w:top w:val="none" w:sz="0" w:space="0" w:color="auto"/>
        <w:left w:val="none" w:sz="0" w:space="0" w:color="auto"/>
        <w:bottom w:val="none" w:sz="0" w:space="0" w:color="auto"/>
        <w:right w:val="none" w:sz="0" w:space="0" w:color="auto"/>
      </w:divBdr>
    </w:div>
    <w:div w:id="1766458075">
      <w:bodyDiv w:val="1"/>
      <w:marLeft w:val="0"/>
      <w:marRight w:val="0"/>
      <w:marTop w:val="0"/>
      <w:marBottom w:val="0"/>
      <w:divBdr>
        <w:top w:val="none" w:sz="0" w:space="0" w:color="auto"/>
        <w:left w:val="none" w:sz="0" w:space="0" w:color="auto"/>
        <w:bottom w:val="none" w:sz="0" w:space="0" w:color="auto"/>
        <w:right w:val="none" w:sz="0" w:space="0" w:color="auto"/>
      </w:divBdr>
    </w:div>
    <w:div w:id="183071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0f259f9-296d-45ec-b40f-2b565e2e2123"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31B5C08652FC1429372B5E78D97DA0F" ma:contentTypeVersion="20" ma:contentTypeDescription="Create a new document." ma:contentTypeScope="" ma:versionID="cf1b93eebcc3854adc59ab5355008bfb">
  <xsd:schema xmlns:xsd="http://www.w3.org/2001/XMLSchema" xmlns:xs="http://www.w3.org/2001/XMLSchema" xmlns:p="http://schemas.microsoft.com/office/2006/metadata/properties" xmlns:ns1="http://schemas.microsoft.com/sharepoint/v3" xmlns:ns2="6f613be0-efef-4148-8d6c-4c6445522e24" xmlns:ns3="c947fafa-9138-486d-ae8b-4def84560bfe" xmlns:ns4="c5a445d0-5d19-4ba4-b755-822631e11c1e" targetNamespace="http://schemas.microsoft.com/office/2006/metadata/properties" ma:root="true" ma:fieldsID="6442dca07c623177a622810a68ab8acc" ns1:_="" ns2:_="" ns3:_="" ns4:_="">
    <xsd:import namespace="http://schemas.microsoft.com/sharepoint/v3"/>
    <xsd:import namespace="6f613be0-efef-4148-8d6c-4c6445522e24"/>
    <xsd:import namespace="c947fafa-9138-486d-ae8b-4def84560bfe"/>
    <xsd:import namespace="c5a445d0-5d19-4ba4-b755-822631e11c1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_x0067_m02" minOccurs="0"/>
                <xsd:element ref="ns2:Godzina_x0020_Dodania" minOccurs="0"/>
                <xsd:element ref="ns1:TranslationStateStartTime"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TranslationStateStartTime" ma:index="20" nillable="true" ma:displayName="Submission Time" ma:description="" ma:indexed="true" ma:internalName="TranslationStateStart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f613be0-efef-4148-8d6c-4c6445522e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x0067_m02" ma:index="18" nillable="true" ma:displayName="Data i godzina" ma:default="[today]" ma:format="DateTime" ma:internalName="_x0067_m02">
      <xsd:simpleType>
        <xsd:restriction base="dms:DateTime"/>
      </xsd:simpleType>
    </xsd:element>
    <xsd:element name="Godzina_x0020_Dodania" ma:index="19" nillable="true" ma:displayName="Godzina Dodania" ma:default="[today]" ma:format="DateTime" ma:internalName="Godzina_x0020_Dodania">
      <xsd:simpleType>
        <xsd:restriction base="dms:DateTime"/>
      </xsd:simpleType>
    </xsd:element>
    <xsd:element name="MediaServiceLocation" ma:index="21"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0f259f9-296d-45ec-b40f-2b565e2e21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47fafa-9138-486d-ae8b-4def84560bf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a445d0-5d19-4ba4-b755-822631e11c1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6453cc47-13e0-4380-a8c3-08ddacfb2b2f}" ma:internalName="TaxCatchAll" ma:showField="CatchAllData" ma:web="c947fafa-9138-486d-ae8b-4def84560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067_m02 xmlns="6f613be0-efef-4148-8d6c-4c6445522e24">2022-01-13T18:57:39+00:00</_x0067_m02>
    <PublishingExpirationDate xmlns="http://schemas.microsoft.com/sharepoint/v3" xsi:nil="true"/>
    <TranslationStateStartTime xmlns="http://schemas.microsoft.com/sharepoint/v3" xsi:nil="true"/>
    <PublishingStartDate xmlns="http://schemas.microsoft.com/sharepoint/v3" xsi:nil="true"/>
    <Godzina_x0020_Dodania xmlns="6f613be0-efef-4148-8d6c-4c6445522e24">2022-01-13T18:57:39+00:00</Godzina_x0020_Dodania>
    <TaxCatchAll xmlns="c5a445d0-5d19-4ba4-b755-822631e11c1e" xsi:nil="true"/>
    <lcf76f155ced4ddcb4097134ff3c332f xmlns="6f613be0-efef-4148-8d6c-4c6445522e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15E14E-D1F8-475F-8196-C231A0FED3DA}">
  <ds:schemaRefs>
    <ds:schemaRef ds:uri="http://schemas.microsoft.com/sharepoint/v3/contenttype/forms"/>
  </ds:schemaRefs>
</ds:datastoreItem>
</file>

<file path=customXml/itemProps2.xml><?xml version="1.0" encoding="utf-8"?>
<ds:datastoreItem xmlns:ds="http://schemas.openxmlformats.org/officeDocument/2006/customXml" ds:itemID="{7CFBD86D-100F-4C96-9631-3991305EEEA1}">
  <ds:schemaRefs>
    <ds:schemaRef ds:uri="Microsoft.SharePoint.Taxonomy.ContentTypeSync"/>
  </ds:schemaRefs>
</ds:datastoreItem>
</file>

<file path=customXml/itemProps3.xml><?xml version="1.0" encoding="utf-8"?>
<ds:datastoreItem xmlns:ds="http://schemas.openxmlformats.org/officeDocument/2006/customXml" ds:itemID="{95BCE2CF-B197-425A-BE18-B8D530A65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613be0-efef-4148-8d6c-4c6445522e24"/>
    <ds:schemaRef ds:uri="c947fafa-9138-486d-ae8b-4def84560bfe"/>
    <ds:schemaRef ds:uri="c5a445d0-5d19-4ba4-b755-822631e11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9F8AA5-D19B-425B-90D8-D5664BA21DFA}">
  <ds:schemaRefs>
    <ds:schemaRef ds:uri="http://schemas.microsoft.com/office/2006/metadata/properties"/>
    <ds:schemaRef ds:uri="http://schemas.microsoft.com/office/infopath/2007/PartnerControls"/>
    <ds:schemaRef ds:uri="6f613be0-efef-4148-8d6c-4c6445522e24"/>
    <ds:schemaRef ds:uri="http://schemas.microsoft.com/sharepoint/v3"/>
    <ds:schemaRef ds:uri="c5a445d0-5d19-4ba4-b755-822631e11c1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9370</Words>
  <Characters>56226</Characters>
  <Application>Microsoft Office Word</Application>
  <DocSecurity>0</DocSecurity>
  <Lines>468</Lines>
  <Paragraphs>130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Klukowska, Katarzyna</dc:creator>
  <cp:keywords/>
  <dc:description/>
  <cp:lastModifiedBy>Brzozowska Patrycja</cp:lastModifiedBy>
  <cp:revision>2</cp:revision>
  <cp:lastPrinted>2021-12-17T10:31:00Z</cp:lastPrinted>
  <dcterms:created xsi:type="dcterms:W3CDTF">2022-05-06T10:33:00Z</dcterms:created>
  <dcterms:modified xsi:type="dcterms:W3CDTF">2022-05-06T10:33:00Z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0x010100931B5C08652FC1429372B5E78D97DA0F</vt:lpwstr>
  </property>
  <property fmtid="{D5CDD505-2E9C-101B-9397-08002B2CF9AE}" pid="3" name="DataiGodzina">
    <vt:filetime>2021-12-17T13:10:02Z</vt:filetime>
  </property>
</Properties>
</file>