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51CCD49E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83F1C">
        <w:rPr>
          <w:rFonts w:ascii="Arial" w:eastAsia="Times New Roman" w:hAnsi="Arial" w:cs="Arial"/>
          <w:bCs/>
          <w:sz w:val="20"/>
          <w:szCs w:val="20"/>
        </w:rPr>
        <w:t>1</w:t>
      </w:r>
      <w:r w:rsidR="00680566">
        <w:rPr>
          <w:rFonts w:ascii="Arial" w:eastAsia="Times New Roman" w:hAnsi="Arial" w:cs="Arial"/>
          <w:bCs/>
          <w:sz w:val="20"/>
          <w:szCs w:val="20"/>
        </w:rPr>
        <w:t>7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183F1C">
        <w:rPr>
          <w:rFonts w:ascii="Arial" w:eastAsia="Times New Roman" w:hAnsi="Arial" w:cs="Arial"/>
          <w:bCs/>
          <w:sz w:val="20"/>
          <w:szCs w:val="20"/>
        </w:rPr>
        <w:t>5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F72F456" w14:textId="77777777" w:rsidR="00753367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</w:p>
    <w:p w14:paraId="78267CDD" w14:textId="7D0CCF20" w:rsidR="005B65CD" w:rsidRPr="004326F6" w:rsidRDefault="00C86D8C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0012F8A" w14:textId="1DD9155C" w:rsidR="00FC2BF1" w:rsidRPr="00FC2BF1" w:rsidRDefault="00680566" w:rsidP="00680566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prawa własności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zabudowanej, </w:t>
      </w:r>
      <w:r>
        <w:rPr>
          <w:rFonts w:ascii="Arial" w:hAnsi="Arial" w:cs="Arial"/>
          <w:sz w:val="20"/>
          <w:szCs w:val="20"/>
          <w:lang w:eastAsia="en-US"/>
        </w:rPr>
        <w:t>budynkiem handlowo – usługowym o powierzchni użytkowej 126,15 m</w:t>
      </w:r>
      <w:r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>
        <w:rPr>
          <w:rFonts w:ascii="Arial" w:hAnsi="Arial" w:cs="Arial"/>
          <w:sz w:val="20"/>
          <w:szCs w:val="20"/>
          <w:lang w:eastAsia="en-US"/>
        </w:rPr>
        <w:t xml:space="preserve"> , </w:t>
      </w:r>
      <w:r w:rsidRPr="00B92278">
        <w:rPr>
          <w:rFonts w:ascii="Arial" w:hAnsi="Arial" w:cs="Arial"/>
          <w:sz w:val="20"/>
          <w:szCs w:val="20"/>
          <w:lang w:eastAsia="en-US"/>
        </w:rPr>
        <w:t>oznaczonej geodezyjnie jako działk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nr</w:t>
      </w:r>
      <w:r>
        <w:rPr>
          <w:rFonts w:ascii="Arial" w:hAnsi="Arial" w:cs="Arial"/>
          <w:sz w:val="20"/>
          <w:szCs w:val="20"/>
          <w:lang w:eastAsia="en-US"/>
        </w:rPr>
        <w:t xml:space="preserve"> 5/3 i 17/13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km.16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obręb Ligota,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o </w:t>
      </w:r>
      <w:r>
        <w:rPr>
          <w:rFonts w:ascii="Arial" w:hAnsi="Arial" w:cs="Arial"/>
          <w:sz w:val="20"/>
          <w:szCs w:val="20"/>
          <w:lang w:eastAsia="en-US"/>
        </w:rPr>
        <w:t xml:space="preserve">łącznej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powierzchni </w:t>
      </w:r>
      <w:r>
        <w:rPr>
          <w:rFonts w:ascii="Arial" w:hAnsi="Arial" w:cs="Arial"/>
          <w:sz w:val="20"/>
          <w:szCs w:val="20"/>
          <w:lang w:eastAsia="en-US"/>
        </w:rPr>
        <w:t>182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eastAsia="en-US"/>
        </w:rPr>
        <w:t xml:space="preserve">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położonej w </w:t>
      </w:r>
      <w:r>
        <w:rPr>
          <w:rFonts w:ascii="Arial" w:hAnsi="Arial" w:cs="Arial"/>
          <w:sz w:val="20"/>
          <w:szCs w:val="20"/>
          <w:lang w:eastAsia="en-US"/>
        </w:rPr>
        <w:t>Katowicach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w rejonie ul. </w:t>
      </w:r>
      <w:bookmarkStart w:id="0" w:name="_GoBack"/>
      <w:r>
        <w:rPr>
          <w:rFonts w:ascii="Arial" w:hAnsi="Arial" w:cs="Arial"/>
          <w:sz w:val="20"/>
          <w:szCs w:val="20"/>
          <w:lang w:eastAsia="en-US"/>
        </w:rPr>
        <w:t>Załęsk</w:t>
      </w:r>
      <w:bookmarkEnd w:id="0"/>
      <w:r>
        <w:rPr>
          <w:rFonts w:ascii="Arial" w:hAnsi="Arial" w:cs="Arial"/>
          <w:sz w:val="20"/>
          <w:szCs w:val="20"/>
          <w:lang w:eastAsia="en-US"/>
        </w:rPr>
        <w:t xml:space="preserve">iej,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wpisanej do księgi wieczystej nr </w:t>
      </w:r>
      <w:r>
        <w:rPr>
          <w:rFonts w:ascii="Arial" w:hAnsi="Arial" w:cs="Arial"/>
          <w:sz w:val="20"/>
          <w:szCs w:val="20"/>
          <w:lang w:eastAsia="en-US"/>
        </w:rPr>
        <w:t>KA1K/00032583/5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</w:p>
    <w:p w14:paraId="45B21DFB" w14:textId="77777777" w:rsidR="00680566" w:rsidRDefault="00680566" w:rsidP="00CA5633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48896E04" w14:textId="406F2E0C" w:rsidR="00CA5633" w:rsidRPr="00CA5633" w:rsidRDefault="00882834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A1C5F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680566">
        <w:rPr>
          <w:rFonts w:ascii="Arial" w:eastAsia="Times New Roman" w:hAnsi="Arial" w:cs="Arial"/>
          <w:b/>
          <w:sz w:val="20"/>
          <w:szCs w:val="20"/>
        </w:rPr>
        <w:t>220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680566">
        <w:rPr>
          <w:rFonts w:ascii="Arial" w:eastAsia="Times New Roman" w:hAnsi="Arial" w:cs="Arial"/>
          <w:b/>
          <w:sz w:val="20"/>
          <w:szCs w:val="20"/>
        </w:rPr>
        <w:t>2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251F867A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680566">
        <w:rPr>
          <w:rFonts w:ascii="Arial" w:eastAsia="Times New Roman" w:hAnsi="Arial" w:cs="Arial"/>
          <w:b/>
          <w:sz w:val="20"/>
          <w:szCs w:val="20"/>
        </w:rPr>
        <w:t>2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80566">
        <w:rPr>
          <w:rFonts w:ascii="Arial" w:eastAsia="Times New Roman" w:hAnsi="Arial" w:cs="Arial"/>
          <w:b/>
          <w:sz w:val="20"/>
          <w:szCs w:val="20"/>
        </w:rPr>
        <w:t>5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80566">
        <w:rPr>
          <w:rFonts w:ascii="Arial" w:eastAsia="Times New Roman" w:hAnsi="Arial" w:cs="Arial"/>
          <w:b/>
          <w:sz w:val="20"/>
          <w:szCs w:val="20"/>
        </w:rPr>
        <w:t>ZW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1D1954" w14:textId="77777777" w:rsidR="00680566" w:rsidRPr="003F0B51" w:rsidRDefault="00680566" w:rsidP="00680566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13617E2A" w14:textId="77777777" w:rsidR="00680566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Działki nr 5/3 i 17/13 km.16, obręb Ligota, o łącznej powierzchni 182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położone są przy ul. Załęskiej w Katowicach. Na przedmiotowych działkach posadowiony jest budynek handlowo – usługowy. </w:t>
      </w:r>
      <w:r>
        <w:rPr>
          <w:rFonts w:ascii="Arial" w:hAnsi="Arial" w:cs="Arial"/>
          <w:bCs/>
          <w:sz w:val="20"/>
          <w:szCs w:val="20"/>
        </w:rPr>
        <w:br/>
        <w:t xml:space="preserve">W/w nieruchomość zabudowana stanowi własność  Śląsko – Dąbrowskiej Spółki Mieszkaniowej </w:t>
      </w:r>
      <w:r>
        <w:rPr>
          <w:rFonts w:ascii="Arial" w:hAnsi="Arial" w:cs="Arial"/>
          <w:bCs/>
          <w:sz w:val="20"/>
          <w:szCs w:val="20"/>
        </w:rPr>
        <w:br/>
        <w:t xml:space="preserve">Sp. z o.o. </w:t>
      </w:r>
    </w:p>
    <w:p w14:paraId="1E31D226" w14:textId="77777777" w:rsidR="00680566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B48DA">
        <w:rPr>
          <w:rFonts w:ascii="Arial" w:hAnsi="Arial" w:cs="Arial"/>
          <w:bCs/>
          <w:sz w:val="20"/>
          <w:szCs w:val="20"/>
          <w:u w:val="single"/>
        </w:rPr>
        <w:t>Opis budynku: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7857BAD1" w14:textId="4C45CE4C" w:rsidR="00680566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przedmiotowych działkach posadowiony jest budynek dwukondygnacyjny (parter i 1 piętro), o powierzchni użytkowej 126,15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 Obiekt został wybudowany w 1985r. w technologii tradycyjnej, murowanej z cegły, ze stropem żelbetowym, kryty papą. Budynek stanowi pustostan od 2009r. Ostatnio użytkowany był jako apteka. W budynku znajdują się instalacje: wodno – kanalizacyjna, </w:t>
      </w:r>
      <w:r>
        <w:rPr>
          <w:rFonts w:ascii="Arial" w:hAnsi="Arial" w:cs="Arial"/>
          <w:bCs/>
          <w:sz w:val="20"/>
          <w:szCs w:val="20"/>
        </w:rPr>
        <w:lastRenderedPageBreak/>
        <w:t>elektryczna i c.o. Brak możliwości podłączenia do sieci ciepłowniczej, Po stronie nabywcy konieczne będzie wykonanie własnego źródła ogrzewania.</w:t>
      </w:r>
    </w:p>
    <w:p w14:paraId="588E6B9D" w14:textId="77777777" w:rsidR="00680566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F03A1">
        <w:rPr>
          <w:rFonts w:ascii="Arial" w:hAnsi="Arial" w:cs="Arial"/>
          <w:bCs/>
          <w:sz w:val="20"/>
          <w:szCs w:val="20"/>
          <w:u w:val="single"/>
        </w:rPr>
        <w:t>Dostęp do drogi: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6AC35D18" w14:textId="77777777" w:rsidR="00680566" w:rsidRPr="003A452C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A452C">
        <w:rPr>
          <w:rFonts w:ascii="Arial" w:hAnsi="Arial" w:cs="Arial"/>
          <w:bCs/>
          <w:sz w:val="20"/>
          <w:szCs w:val="20"/>
        </w:rPr>
        <w:t>Dojazd do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3A452C">
        <w:rPr>
          <w:rFonts w:ascii="Arial" w:hAnsi="Arial" w:cs="Arial"/>
          <w:bCs/>
          <w:sz w:val="20"/>
          <w:szCs w:val="20"/>
        </w:rPr>
        <w:t>opisywanej nieruchomoś</w:t>
      </w:r>
      <w:r>
        <w:rPr>
          <w:rFonts w:ascii="Arial" w:hAnsi="Arial" w:cs="Arial"/>
          <w:bCs/>
          <w:sz w:val="20"/>
          <w:szCs w:val="20"/>
        </w:rPr>
        <w:t xml:space="preserve">ci </w:t>
      </w:r>
      <w:r w:rsidRPr="003A452C">
        <w:rPr>
          <w:rFonts w:ascii="Arial" w:hAnsi="Arial" w:cs="Arial"/>
          <w:bCs/>
          <w:sz w:val="20"/>
          <w:szCs w:val="20"/>
        </w:rPr>
        <w:t xml:space="preserve">odbywa się </w:t>
      </w:r>
      <w:r>
        <w:rPr>
          <w:rFonts w:ascii="Arial" w:hAnsi="Arial" w:cs="Arial"/>
          <w:bCs/>
          <w:sz w:val="20"/>
          <w:szCs w:val="20"/>
        </w:rPr>
        <w:t>drogą dojazdową wewnątrz terenów mieszkaniowych. W dziale I – SP księgi wieczystej została ujawniona służebność gruntowa polegająca na prawie przejazdu i przechodu dla w/w nieruchomości.</w:t>
      </w:r>
    </w:p>
    <w:p w14:paraId="63D7539C" w14:textId="77777777" w:rsidR="00680566" w:rsidRPr="003F0B51" w:rsidRDefault="00680566" w:rsidP="0068056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56AF651B" w14:textId="77777777" w:rsidR="00680566" w:rsidRDefault="00680566" w:rsidP="00680566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Opisywana nieruchomość znajduje się na terenie objętym uchwałą nr XXXIX/888/13 Rady Miasta Katowice z dnia 30 lipca 2013r. w sprawie uchwalenia miejscowego planu zagospodarowania przestrzennego obszaru położonego w rejonie ul. Załęskiej, Wincentego Pola i Ligockiej w Katowicach, zgodnie z którą przedmiotowa działka posiada przeznaczenie:</w:t>
      </w:r>
    </w:p>
    <w:p w14:paraId="21C6AA0E" w14:textId="77777777" w:rsidR="00680566" w:rsidRPr="00120127" w:rsidRDefault="00680566" w:rsidP="0068056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0127">
        <w:rPr>
          <w:rFonts w:ascii="Arial" w:hAnsi="Arial" w:cs="Arial"/>
          <w:b/>
          <w:sz w:val="20"/>
          <w:szCs w:val="20"/>
          <w:lang w:eastAsia="en-US"/>
        </w:rPr>
        <w:t>MW/</w:t>
      </w:r>
      <w:r>
        <w:rPr>
          <w:rFonts w:ascii="Arial" w:hAnsi="Arial" w:cs="Arial"/>
          <w:b/>
          <w:sz w:val="20"/>
          <w:szCs w:val="20"/>
          <w:lang w:eastAsia="en-US"/>
        </w:rPr>
        <w:t>ZP</w:t>
      </w:r>
      <w:r w:rsidRPr="00120127">
        <w:rPr>
          <w:rFonts w:ascii="Arial" w:hAnsi="Arial" w:cs="Arial"/>
          <w:b/>
          <w:sz w:val="20"/>
          <w:szCs w:val="20"/>
          <w:lang w:eastAsia="en-US"/>
        </w:rPr>
        <w:t xml:space="preserve"> – tereny zabudowy mieszkaniowej wielorodzinnej </w:t>
      </w:r>
      <w:r>
        <w:rPr>
          <w:rFonts w:ascii="Arial" w:hAnsi="Arial" w:cs="Arial"/>
          <w:b/>
          <w:sz w:val="20"/>
          <w:szCs w:val="20"/>
          <w:lang w:eastAsia="en-US"/>
        </w:rPr>
        <w:t>z zielenią urządzoną.</w:t>
      </w:r>
    </w:p>
    <w:p w14:paraId="2BDBBD8F" w14:textId="4D4F021E" w:rsidR="00680566" w:rsidRPr="002A302D" w:rsidRDefault="002A302D" w:rsidP="00FC6068">
      <w:pPr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17.05.2021r. do dnia 29.06.2021r.</w:t>
      </w:r>
    </w:p>
    <w:p w14:paraId="06B5CAAA" w14:textId="2D0820B6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13F0D262" w:rsidR="00FC2BF1" w:rsidRDefault="00183F1C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="00680566">
        <w:rPr>
          <w:rFonts w:ascii="Arial" w:eastAsia="Times New Roman" w:hAnsi="Arial" w:cs="Arial"/>
          <w:b/>
          <w:sz w:val="20"/>
          <w:szCs w:val="20"/>
        </w:rPr>
        <w:t>9</w:t>
      </w:r>
      <w:r>
        <w:rPr>
          <w:rFonts w:ascii="Arial" w:eastAsia="Times New Roman" w:hAnsi="Arial" w:cs="Arial"/>
          <w:b/>
          <w:sz w:val="20"/>
          <w:szCs w:val="20"/>
        </w:rPr>
        <w:t xml:space="preserve"> czerwca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 w:rsidR="00680566">
        <w:rPr>
          <w:rFonts w:ascii="Arial" w:eastAsia="Times New Roman" w:hAnsi="Arial" w:cs="Arial"/>
          <w:b/>
          <w:sz w:val="20"/>
          <w:szCs w:val="20"/>
        </w:rPr>
        <w:t>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2EF7A973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6A1A16F1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83F1C">
        <w:rPr>
          <w:rFonts w:ascii="Arial" w:eastAsia="Times New Roman" w:hAnsi="Arial" w:cs="Arial"/>
          <w:b/>
          <w:sz w:val="20"/>
          <w:szCs w:val="20"/>
        </w:rPr>
        <w:t>23 czerwca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</w:t>
      </w: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</w:t>
      </w: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E650B2D" w14:textId="456AA01A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5C68F7AA" w14:textId="77777777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C638" w14:textId="77777777" w:rsidR="00CD0711" w:rsidRDefault="00CD0711">
      <w:pPr>
        <w:spacing w:after="0" w:line="240" w:lineRule="auto"/>
      </w:pPr>
      <w:r>
        <w:separator/>
      </w:r>
    </w:p>
  </w:endnote>
  <w:endnote w:type="continuationSeparator" w:id="0">
    <w:p w14:paraId="6BF19D9A" w14:textId="77777777" w:rsidR="00CD0711" w:rsidRDefault="00CD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C4F99" w14:textId="77777777" w:rsidR="00CD0711" w:rsidRDefault="00CD0711">
      <w:pPr>
        <w:spacing w:after="0" w:line="240" w:lineRule="auto"/>
      </w:pPr>
      <w:r>
        <w:separator/>
      </w:r>
    </w:p>
  </w:footnote>
  <w:footnote w:type="continuationSeparator" w:id="0">
    <w:p w14:paraId="72C2648C" w14:textId="77777777" w:rsidR="00CD0711" w:rsidRDefault="00CD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0F01"/>
    <w:rsid w:val="00071CDB"/>
    <w:rsid w:val="0008621A"/>
    <w:rsid w:val="0009775B"/>
    <w:rsid w:val="000A50F1"/>
    <w:rsid w:val="000A65F8"/>
    <w:rsid w:val="000A76DD"/>
    <w:rsid w:val="000C74BF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02CC"/>
    <w:rsid w:val="00177409"/>
    <w:rsid w:val="00183F1C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A302D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350D8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6681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80566"/>
    <w:rsid w:val="00690754"/>
    <w:rsid w:val="006937F9"/>
    <w:rsid w:val="006A389E"/>
    <w:rsid w:val="006A7541"/>
    <w:rsid w:val="006B0DB1"/>
    <w:rsid w:val="006C4965"/>
    <w:rsid w:val="00715F28"/>
    <w:rsid w:val="00743156"/>
    <w:rsid w:val="00753367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673EB"/>
    <w:rsid w:val="00872E5D"/>
    <w:rsid w:val="0087478A"/>
    <w:rsid w:val="00882834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6719B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1D8D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D0711"/>
    <w:rsid w:val="00CF3232"/>
    <w:rsid w:val="00CF554C"/>
    <w:rsid w:val="00D0219A"/>
    <w:rsid w:val="00D04F0F"/>
    <w:rsid w:val="00D17DC8"/>
    <w:rsid w:val="00D27DEF"/>
    <w:rsid w:val="00D30F27"/>
    <w:rsid w:val="00D47B44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Czeczott Malgorzata</cp:lastModifiedBy>
  <cp:revision>2</cp:revision>
  <cp:lastPrinted>2021-05-17T08:24:00Z</cp:lastPrinted>
  <dcterms:created xsi:type="dcterms:W3CDTF">2021-05-27T12:11:00Z</dcterms:created>
  <dcterms:modified xsi:type="dcterms:W3CDTF">2021-05-27T12:11:00Z</dcterms:modified>
</cp:coreProperties>
</file>