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A51" w:rsidRDefault="00FD2A51" w:rsidP="00FD2A51">
      <w:pPr>
        <w:jc w:val="right"/>
        <w:rPr>
          <w:b/>
        </w:rPr>
      </w:pPr>
      <w:r>
        <w:rPr>
          <w:b/>
        </w:rPr>
        <w:t>Załącznik nr 3 do Zapytania ofertowego</w:t>
      </w:r>
    </w:p>
    <w:p w:rsidR="009C3127" w:rsidRPr="00FD2A51" w:rsidRDefault="00FD2A51" w:rsidP="00FD2A51">
      <w:pPr>
        <w:jc w:val="center"/>
        <w:rPr>
          <w:b/>
        </w:rPr>
      </w:pPr>
      <w:r w:rsidRPr="00FD2A51">
        <w:rPr>
          <w:b/>
        </w:rPr>
        <w:t>OPIS PRZEDMIOTU ZAMÓWIENIA DLA OPROGRAMOWANIA</w:t>
      </w:r>
    </w:p>
    <w:p w:rsidR="00FD2A51" w:rsidRDefault="00FD2A51"/>
    <w:tbl>
      <w:tblPr>
        <w:tblW w:w="9880" w:type="dxa"/>
        <w:tblCellMar>
          <w:left w:w="70" w:type="dxa"/>
          <w:right w:w="70" w:type="dxa"/>
        </w:tblCellMar>
        <w:tblLook w:val="04A0" w:firstRow="1" w:lastRow="0" w:firstColumn="1" w:lastColumn="0" w:noHBand="0" w:noVBand="1"/>
      </w:tblPr>
      <w:tblGrid>
        <w:gridCol w:w="480"/>
        <w:gridCol w:w="9420"/>
      </w:tblGrid>
      <w:tr w:rsidR="00FD2A51" w:rsidRPr="00646736" w:rsidTr="00FD2A51">
        <w:trPr>
          <w:trHeight w:val="300"/>
        </w:trPr>
        <w:tc>
          <w:tcPr>
            <w:tcW w:w="4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w:t>
            </w:r>
          </w:p>
        </w:tc>
        <w:tc>
          <w:tcPr>
            <w:tcW w:w="9420" w:type="dxa"/>
            <w:tcBorders>
              <w:top w:val="single" w:sz="8" w:space="0" w:color="auto"/>
              <w:left w:val="nil"/>
              <w:bottom w:val="single" w:sz="4" w:space="0" w:color="auto"/>
              <w:right w:val="single" w:sz="8" w:space="0" w:color="auto"/>
            </w:tcBorders>
            <w:shd w:val="clear" w:color="000000" w:fill="DDEBF7"/>
            <w:noWrap/>
            <w:vAlign w:val="center"/>
            <w:hideMark/>
          </w:tcPr>
          <w:p w:rsidR="00FD2A51" w:rsidRPr="00BC3518" w:rsidRDefault="00FD2A51" w:rsidP="00FD2A51">
            <w:pPr>
              <w:spacing w:after="0" w:line="240" w:lineRule="auto"/>
              <w:jc w:val="both"/>
              <w:rPr>
                <w:rFonts w:ascii="Verdana" w:eastAsia="Times New Roman" w:hAnsi="Verdana" w:cs="Calibri"/>
                <w:b/>
                <w:bCs/>
                <w:color w:val="000000"/>
                <w:sz w:val="20"/>
                <w:szCs w:val="20"/>
                <w:lang w:val="en-US" w:eastAsia="pl-PL"/>
              </w:rPr>
            </w:pPr>
            <w:r w:rsidRPr="00BC3518">
              <w:rPr>
                <w:rFonts w:ascii="Verdana" w:eastAsia="Times New Roman" w:hAnsi="Verdana" w:cs="Calibri"/>
                <w:b/>
                <w:bCs/>
                <w:color w:val="000000"/>
                <w:sz w:val="20"/>
                <w:szCs w:val="20"/>
                <w:lang w:val="en-US" w:eastAsia="pl-PL"/>
              </w:rPr>
              <w:t>KODAK Capture Pro Software Government EZD Edition</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FD2A51" w:rsidRPr="00FD2A51" w:rsidRDefault="00FD2A51" w:rsidP="00FD2A51">
            <w:pPr>
              <w:spacing w:after="0" w:line="240" w:lineRule="auto"/>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Lp.</w:t>
            </w:r>
          </w:p>
        </w:tc>
        <w:tc>
          <w:tcPr>
            <w:tcW w:w="9420" w:type="dxa"/>
            <w:tcBorders>
              <w:top w:val="nil"/>
              <w:left w:val="nil"/>
              <w:bottom w:val="single" w:sz="4" w:space="0" w:color="auto"/>
              <w:right w:val="single" w:sz="8" w:space="0" w:color="auto"/>
            </w:tcBorders>
            <w:shd w:val="clear" w:color="auto" w:fill="auto"/>
            <w:noWrap/>
            <w:vAlign w:val="bottom"/>
            <w:hideMark/>
          </w:tcPr>
          <w:p w:rsidR="00FD2A51" w:rsidRPr="00FD2A51" w:rsidRDefault="00FD2A51" w:rsidP="00FD2A51">
            <w:pPr>
              <w:spacing w:after="0" w:line="240" w:lineRule="auto"/>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Wymagane Parametry:</w:t>
            </w:r>
          </w:p>
        </w:tc>
      </w:tr>
      <w:tr w:rsidR="00FD2A51" w:rsidRPr="00FD2A51" w:rsidTr="00FD2A51">
        <w:trPr>
          <w:trHeight w:val="102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1</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zapewnia obsługę wsadów dokumentów, w której dokumenty separowane są kodami kreskowymi (np. drukowanymi na stanowisku przyjmowania dokumentów), kodami typu </w:t>
            </w:r>
            <w:proofErr w:type="spellStart"/>
            <w:r w:rsidRPr="00FD2A51">
              <w:rPr>
                <w:rFonts w:ascii="Verdana" w:eastAsia="Times New Roman" w:hAnsi="Verdana" w:cs="Calibri"/>
                <w:color w:val="000000"/>
                <w:sz w:val="20"/>
                <w:szCs w:val="20"/>
                <w:lang w:eastAsia="pl-PL"/>
              </w:rPr>
              <w:t>patch</w:t>
            </w:r>
            <w:proofErr w:type="spellEnd"/>
            <w:r w:rsidRPr="00FD2A51">
              <w:rPr>
                <w:rFonts w:ascii="Verdana" w:eastAsia="Times New Roman" w:hAnsi="Verdana" w:cs="Calibri"/>
                <w:color w:val="000000"/>
                <w:sz w:val="20"/>
                <w:szCs w:val="20"/>
                <w:lang w:eastAsia="pl-PL"/>
              </w:rPr>
              <w:t xml:space="preserve">, pustą kartką, ilością skanów oraz separacją po zmianie wartości w polu OCR (indeksie).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zapewnia możliwość automatycznego OCR i rozpoznawania znaków OMR skanowanych pism bez limitu skanowanych/procesowanych dokumentów. </w:t>
            </w:r>
          </w:p>
        </w:tc>
      </w:tr>
      <w:tr w:rsidR="00FD2A51" w:rsidRPr="00FD2A51" w:rsidTr="00FD2A51">
        <w:trPr>
          <w:trHeight w:val="76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3</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Przez skanowanie rozumie się możliwość odczytania/import dokumentów z dysku twardego (przetwarzania dokumentów z wybranego folderu) lub skanowania ze skanera dokumentowego. </w:t>
            </w:r>
          </w:p>
        </w:tc>
      </w:tr>
      <w:tr w:rsidR="00FD2A51" w:rsidRPr="00FD2A51" w:rsidTr="00FD2A51">
        <w:trPr>
          <w:trHeight w:val="102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4</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na zeskanowanych dokumentach pozwala na rozpoznawanie i indeksowanie co najmniej 22 typów kodów kreskowych takich typów jak: </w:t>
            </w:r>
            <w:proofErr w:type="spellStart"/>
            <w:r w:rsidRPr="00FD2A51">
              <w:rPr>
                <w:rFonts w:ascii="Verdana" w:eastAsia="Times New Roman" w:hAnsi="Verdana" w:cs="Calibri"/>
                <w:color w:val="000000"/>
                <w:sz w:val="20"/>
                <w:szCs w:val="20"/>
                <w:lang w:eastAsia="pl-PL"/>
              </w:rPr>
              <w:t>Aztec</w:t>
            </w:r>
            <w:proofErr w:type="spellEnd"/>
            <w:r w:rsidRPr="00FD2A51">
              <w:rPr>
                <w:rFonts w:ascii="Verdana" w:eastAsia="Times New Roman" w:hAnsi="Verdana" w:cs="Calibri"/>
                <w:color w:val="000000"/>
                <w:sz w:val="20"/>
                <w:szCs w:val="20"/>
                <w:lang w:eastAsia="pl-PL"/>
              </w:rPr>
              <w:t xml:space="preserve">, </w:t>
            </w:r>
            <w:proofErr w:type="spellStart"/>
            <w:r w:rsidRPr="00FD2A51">
              <w:rPr>
                <w:rFonts w:ascii="Verdana" w:eastAsia="Times New Roman" w:hAnsi="Verdana" w:cs="Calibri"/>
                <w:color w:val="000000"/>
                <w:sz w:val="20"/>
                <w:szCs w:val="20"/>
                <w:lang w:eastAsia="pl-PL"/>
              </w:rPr>
              <w:t>Codebar</w:t>
            </w:r>
            <w:proofErr w:type="spellEnd"/>
            <w:r w:rsidRPr="00FD2A51">
              <w:rPr>
                <w:rFonts w:ascii="Verdana" w:eastAsia="Times New Roman" w:hAnsi="Verdana" w:cs="Calibri"/>
                <w:color w:val="000000"/>
                <w:sz w:val="20"/>
                <w:szCs w:val="20"/>
                <w:lang w:eastAsia="pl-PL"/>
              </w:rPr>
              <w:t xml:space="preserve">, </w:t>
            </w:r>
            <w:proofErr w:type="spellStart"/>
            <w:r w:rsidRPr="00FD2A51">
              <w:rPr>
                <w:rFonts w:ascii="Verdana" w:eastAsia="Times New Roman" w:hAnsi="Verdana" w:cs="Calibri"/>
                <w:color w:val="000000"/>
                <w:sz w:val="20"/>
                <w:szCs w:val="20"/>
                <w:lang w:eastAsia="pl-PL"/>
              </w:rPr>
              <w:t>Code</w:t>
            </w:r>
            <w:proofErr w:type="spellEnd"/>
            <w:r w:rsidRPr="00FD2A51">
              <w:rPr>
                <w:rFonts w:ascii="Verdana" w:eastAsia="Times New Roman" w:hAnsi="Verdana" w:cs="Calibri"/>
                <w:color w:val="000000"/>
                <w:sz w:val="20"/>
                <w:szCs w:val="20"/>
                <w:lang w:eastAsia="pl-PL"/>
              </w:rPr>
              <w:t xml:space="preserve"> 39, </w:t>
            </w:r>
            <w:proofErr w:type="spellStart"/>
            <w:r w:rsidRPr="00FD2A51">
              <w:rPr>
                <w:rFonts w:ascii="Verdana" w:eastAsia="Times New Roman" w:hAnsi="Verdana" w:cs="Calibri"/>
                <w:color w:val="000000"/>
                <w:sz w:val="20"/>
                <w:szCs w:val="20"/>
                <w:lang w:eastAsia="pl-PL"/>
              </w:rPr>
              <w:t>Code</w:t>
            </w:r>
            <w:proofErr w:type="spellEnd"/>
            <w:r w:rsidRPr="00FD2A51">
              <w:rPr>
                <w:rFonts w:ascii="Verdana" w:eastAsia="Times New Roman" w:hAnsi="Verdana" w:cs="Calibri"/>
                <w:color w:val="000000"/>
                <w:sz w:val="20"/>
                <w:szCs w:val="20"/>
                <w:lang w:eastAsia="pl-PL"/>
              </w:rPr>
              <w:t xml:space="preserve"> 93, </w:t>
            </w:r>
            <w:proofErr w:type="spellStart"/>
            <w:r w:rsidRPr="00FD2A51">
              <w:rPr>
                <w:rFonts w:ascii="Verdana" w:eastAsia="Times New Roman" w:hAnsi="Verdana" w:cs="Calibri"/>
                <w:color w:val="000000"/>
                <w:sz w:val="20"/>
                <w:szCs w:val="20"/>
                <w:lang w:eastAsia="pl-PL"/>
              </w:rPr>
              <w:t>Code</w:t>
            </w:r>
            <w:proofErr w:type="spellEnd"/>
            <w:r w:rsidRPr="00FD2A51">
              <w:rPr>
                <w:rFonts w:ascii="Verdana" w:eastAsia="Times New Roman" w:hAnsi="Verdana" w:cs="Calibri"/>
                <w:color w:val="000000"/>
                <w:sz w:val="20"/>
                <w:szCs w:val="20"/>
                <w:lang w:eastAsia="pl-PL"/>
              </w:rPr>
              <w:t xml:space="preserve"> 128, Data Matrix, EAN, </w:t>
            </w:r>
            <w:proofErr w:type="spellStart"/>
            <w:r w:rsidRPr="00FD2A51">
              <w:rPr>
                <w:rFonts w:ascii="Verdana" w:eastAsia="Times New Roman" w:hAnsi="Verdana" w:cs="Calibri"/>
                <w:color w:val="000000"/>
                <w:sz w:val="20"/>
                <w:szCs w:val="20"/>
                <w:lang w:eastAsia="pl-PL"/>
              </w:rPr>
              <w:t>Interleaved</w:t>
            </w:r>
            <w:proofErr w:type="spellEnd"/>
            <w:r w:rsidRPr="00FD2A51">
              <w:rPr>
                <w:rFonts w:ascii="Verdana" w:eastAsia="Times New Roman" w:hAnsi="Verdana" w:cs="Calibri"/>
                <w:color w:val="000000"/>
                <w:sz w:val="20"/>
                <w:szCs w:val="20"/>
                <w:lang w:eastAsia="pl-PL"/>
              </w:rPr>
              <w:t xml:space="preserve"> 2 of 5, PDF 417, Post Net, QR, </w:t>
            </w:r>
            <w:proofErr w:type="spellStart"/>
            <w:r w:rsidRPr="00FD2A51">
              <w:rPr>
                <w:rFonts w:ascii="Verdana" w:eastAsia="Times New Roman" w:hAnsi="Verdana" w:cs="Calibri"/>
                <w:color w:val="000000"/>
                <w:sz w:val="20"/>
                <w:szCs w:val="20"/>
                <w:lang w:eastAsia="pl-PL"/>
              </w:rPr>
              <w:t>Code</w:t>
            </w:r>
            <w:proofErr w:type="spellEnd"/>
            <w:r w:rsidRPr="00FD2A51">
              <w:rPr>
                <w:rFonts w:ascii="Verdana" w:eastAsia="Times New Roman" w:hAnsi="Verdana" w:cs="Calibri"/>
                <w:color w:val="000000"/>
                <w:sz w:val="20"/>
                <w:szCs w:val="20"/>
                <w:lang w:eastAsia="pl-PL"/>
              </w:rPr>
              <w:t xml:space="preserve"> 2 of 5, UPC-A, UPC-E. </w:t>
            </w:r>
          </w:p>
        </w:tc>
      </w:tr>
      <w:tr w:rsidR="00FD2A51" w:rsidRPr="00FD2A51" w:rsidTr="00FD2A51">
        <w:trPr>
          <w:trHeight w:val="12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5</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na zeskanowanych dokumentach daje możliwość filtrowania rozpoznawanych kodów do długości, formatów jakie mają spełniać skanowane kody oraz możliwość kontrolowania sumy kontrolnej kodów dla kodów kreskowych obsługujących sumy kontrolne (typy kodów które obsługują sumy kontrolne zapisywane na ostatnich pozycjach to </w:t>
            </w:r>
            <w:proofErr w:type="spellStart"/>
            <w:r w:rsidRPr="00FD2A51">
              <w:rPr>
                <w:rFonts w:ascii="Verdana" w:eastAsia="Times New Roman" w:hAnsi="Verdana" w:cs="Calibri"/>
                <w:color w:val="000000"/>
                <w:sz w:val="20"/>
                <w:szCs w:val="20"/>
                <w:lang w:eastAsia="pl-PL"/>
              </w:rPr>
              <w:t>Codebar</w:t>
            </w:r>
            <w:proofErr w:type="spellEnd"/>
            <w:r w:rsidRPr="00FD2A51">
              <w:rPr>
                <w:rFonts w:ascii="Verdana" w:eastAsia="Times New Roman" w:hAnsi="Verdana" w:cs="Calibri"/>
                <w:color w:val="000000"/>
                <w:sz w:val="20"/>
                <w:szCs w:val="20"/>
                <w:lang w:eastAsia="pl-PL"/>
              </w:rPr>
              <w:t xml:space="preserve">, </w:t>
            </w:r>
            <w:proofErr w:type="spellStart"/>
            <w:r w:rsidRPr="00FD2A51">
              <w:rPr>
                <w:rFonts w:ascii="Verdana" w:eastAsia="Times New Roman" w:hAnsi="Verdana" w:cs="Calibri"/>
                <w:color w:val="000000"/>
                <w:sz w:val="20"/>
                <w:szCs w:val="20"/>
                <w:lang w:eastAsia="pl-PL"/>
              </w:rPr>
              <w:t>Code</w:t>
            </w:r>
            <w:proofErr w:type="spellEnd"/>
            <w:r w:rsidRPr="00FD2A51">
              <w:rPr>
                <w:rFonts w:ascii="Verdana" w:eastAsia="Times New Roman" w:hAnsi="Verdana" w:cs="Calibri"/>
                <w:color w:val="000000"/>
                <w:sz w:val="20"/>
                <w:szCs w:val="20"/>
                <w:lang w:eastAsia="pl-PL"/>
              </w:rPr>
              <w:t xml:space="preserve"> 39, </w:t>
            </w:r>
            <w:proofErr w:type="spellStart"/>
            <w:r w:rsidRPr="00FD2A51">
              <w:rPr>
                <w:rFonts w:ascii="Verdana" w:eastAsia="Times New Roman" w:hAnsi="Verdana" w:cs="Calibri"/>
                <w:color w:val="000000"/>
                <w:sz w:val="20"/>
                <w:szCs w:val="20"/>
                <w:lang w:eastAsia="pl-PL"/>
              </w:rPr>
              <w:t>Interleaved</w:t>
            </w:r>
            <w:proofErr w:type="spellEnd"/>
            <w:r w:rsidRPr="00FD2A51">
              <w:rPr>
                <w:rFonts w:ascii="Verdana" w:eastAsia="Times New Roman" w:hAnsi="Verdana" w:cs="Calibri"/>
                <w:color w:val="000000"/>
                <w:sz w:val="20"/>
                <w:szCs w:val="20"/>
                <w:lang w:eastAsia="pl-PL"/>
              </w:rPr>
              <w:t xml:space="preserve"> 2 of 5).  </w:t>
            </w:r>
          </w:p>
        </w:tc>
      </w:tr>
      <w:tr w:rsidR="00FD2A51" w:rsidRPr="00FD2A51" w:rsidTr="00FD2A51">
        <w:trPr>
          <w:trHeight w:val="76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6</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zapewnia rozpoznanie kodu kreskowego na pierwszej stronie również na rewersie dokumentu. W momencie braku takowego na pierwszej stronie odczyt z drugiej lub trzeciej strony będzie zapewniony. </w:t>
            </w:r>
          </w:p>
        </w:tc>
      </w:tr>
      <w:tr w:rsidR="00FD2A51" w:rsidRPr="00FD2A51" w:rsidTr="00FD2A51">
        <w:trPr>
          <w:trHeight w:val="102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7</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pozwala na zaprogramowanie odpowiednich pól indeksowych, które muszą być rozpoznane w sposób automatyczny oraz umożliwić wprowadzenie wartości indeksu ręcznie bądź za pomocą metody point &amp; </w:t>
            </w:r>
            <w:proofErr w:type="spellStart"/>
            <w:r w:rsidRPr="00FD2A51">
              <w:rPr>
                <w:rFonts w:ascii="Verdana" w:eastAsia="Times New Roman" w:hAnsi="Verdana" w:cs="Calibri"/>
                <w:color w:val="000000"/>
                <w:sz w:val="20"/>
                <w:szCs w:val="20"/>
                <w:lang w:eastAsia="pl-PL"/>
              </w:rPr>
              <w:t>click</w:t>
            </w:r>
            <w:proofErr w:type="spellEnd"/>
            <w:r w:rsidRPr="00FD2A51">
              <w:rPr>
                <w:rFonts w:ascii="Verdana" w:eastAsia="Times New Roman" w:hAnsi="Verdana" w:cs="Calibri"/>
                <w:color w:val="000000"/>
                <w:sz w:val="20"/>
                <w:szCs w:val="20"/>
                <w:lang w:eastAsia="pl-PL"/>
              </w:rPr>
              <w:t xml:space="preserve"> oraz drag &amp; drop. Każde pole indeksowe musi pozwalać na wybór języka OCR. </w:t>
            </w:r>
          </w:p>
        </w:tc>
      </w:tr>
      <w:tr w:rsidR="00FD2A51" w:rsidRPr="00FD2A51" w:rsidTr="00FD2A51">
        <w:trPr>
          <w:trHeight w:val="102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8</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pozwala na separację zeskanowanych dokumentów na podstawie rozpoznanych i przefiltrowanych kodów obcych zarówno z pierwszej jak i drugiej strony dokumentu wiodącego. W momencie braku takowego na pierwszej stronie odczyt z drugiej lub trzeciej strony będzie zapewniony.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9</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pozwala na separację zeskanowanych dokumentów na podstawie pustych stron z możliwością konfiguracji takiego algorytmu rozpoznawania pustych.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10</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pozwala na separację zeskanowanych dokumentów na podstawie stałej zadeklarowanej ilości stron na dokument. </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11</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zeskanowania jednej strony lub całej ilości dokumentów. </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12</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pozwala na zapis plików na serwerach FTP, SFTP. </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13</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wyboru podajnika skanera (ręczny lub automatyczny). </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14</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wyboru trybu skanowania (jedno-stronny/dwustronny).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15</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wyboru rozmiaru papieru do skanowania oraz wyboru orientacji skanowania (pozioma, pionowa). </w:t>
            </w:r>
          </w:p>
        </w:tc>
      </w:tr>
      <w:tr w:rsidR="00FD2A51" w:rsidRPr="00FD2A51" w:rsidTr="00FD2A51">
        <w:trPr>
          <w:trHeight w:val="76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16</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Oprogramowanie daje możliwość dodatkowej automatycznej rotacji skanowanych dokumentów o podstawowe kąty: 90,180,270 stopni.  Możliwość definiowania obrotu na każdą stronę oddzielnie</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17</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pozwala na </w:t>
            </w:r>
            <w:proofErr w:type="spellStart"/>
            <w:r w:rsidRPr="00FD2A51">
              <w:rPr>
                <w:rFonts w:ascii="Verdana" w:eastAsia="Times New Roman" w:hAnsi="Verdana" w:cs="Calibri"/>
                <w:color w:val="000000"/>
                <w:sz w:val="20"/>
                <w:szCs w:val="20"/>
                <w:lang w:eastAsia="pl-PL"/>
              </w:rPr>
              <w:t>doskanowanie</w:t>
            </w:r>
            <w:proofErr w:type="spellEnd"/>
            <w:r w:rsidRPr="00FD2A51">
              <w:rPr>
                <w:rFonts w:ascii="Verdana" w:eastAsia="Times New Roman" w:hAnsi="Verdana" w:cs="Calibri"/>
                <w:color w:val="000000"/>
                <w:sz w:val="20"/>
                <w:szCs w:val="20"/>
                <w:lang w:eastAsia="pl-PL"/>
              </w:rPr>
              <w:t xml:space="preserve"> dokumentu do całej przetwarzanej grupy. </w:t>
            </w:r>
          </w:p>
        </w:tc>
      </w:tr>
      <w:tr w:rsidR="00FD2A51" w:rsidRPr="00FD2A51" w:rsidTr="00FD2A51">
        <w:trPr>
          <w:trHeight w:val="102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18</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podglądu na listę zeskanowanych i porozdzielanych dokumentów. Podział następuje według wcześniej wspomnianych kryteriów.  Widok podziału rozumie się poprzez możliwość przejrzenia wszystkich zeskanowanych stron pogrupowane w procesie separacji na dokumenty. </w:t>
            </w:r>
          </w:p>
        </w:tc>
      </w:tr>
      <w:tr w:rsidR="00FD2A51" w:rsidRPr="00FD2A51" w:rsidTr="00FD2A51">
        <w:trPr>
          <w:trHeight w:val="76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lastRenderedPageBreak/>
              <w:t>19</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w:t>
            </w:r>
            <w:proofErr w:type="spellStart"/>
            <w:r w:rsidRPr="00FD2A51">
              <w:rPr>
                <w:rFonts w:ascii="Verdana" w:eastAsia="Times New Roman" w:hAnsi="Verdana" w:cs="Calibri"/>
                <w:color w:val="000000"/>
                <w:sz w:val="20"/>
                <w:szCs w:val="20"/>
                <w:lang w:eastAsia="pl-PL"/>
              </w:rPr>
              <w:t>doskanowania</w:t>
            </w:r>
            <w:proofErr w:type="spellEnd"/>
            <w:r w:rsidRPr="00FD2A51">
              <w:rPr>
                <w:rFonts w:ascii="Verdana" w:eastAsia="Times New Roman" w:hAnsi="Verdana" w:cs="Calibri"/>
                <w:color w:val="000000"/>
                <w:sz w:val="20"/>
                <w:szCs w:val="20"/>
                <w:lang w:eastAsia="pl-PL"/>
              </w:rPr>
              <w:t xml:space="preserve"> strony w wybranym miejscu, przykładowo dla wybranego dokumentu z całego widoku można </w:t>
            </w:r>
            <w:proofErr w:type="spellStart"/>
            <w:r w:rsidRPr="00FD2A51">
              <w:rPr>
                <w:rFonts w:ascii="Verdana" w:eastAsia="Times New Roman" w:hAnsi="Verdana" w:cs="Calibri"/>
                <w:color w:val="000000"/>
                <w:sz w:val="20"/>
                <w:szCs w:val="20"/>
                <w:lang w:eastAsia="pl-PL"/>
              </w:rPr>
              <w:t>doskanować</w:t>
            </w:r>
            <w:proofErr w:type="spellEnd"/>
            <w:r w:rsidRPr="00FD2A51">
              <w:rPr>
                <w:rFonts w:ascii="Verdana" w:eastAsia="Times New Roman" w:hAnsi="Verdana" w:cs="Calibri"/>
                <w:color w:val="000000"/>
                <w:sz w:val="20"/>
                <w:szCs w:val="20"/>
                <w:lang w:eastAsia="pl-PL"/>
              </w:rPr>
              <w:t xml:space="preserve"> stronę, ponieważ została pominięta. </w:t>
            </w:r>
          </w:p>
        </w:tc>
      </w:tr>
      <w:tr w:rsidR="00FD2A51" w:rsidRPr="00FD2A51" w:rsidTr="00FD2A51">
        <w:trPr>
          <w:trHeight w:val="76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20</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wymiany jednej strony z całego odseparowanego dokumentu, przykładowo 5 strona z wybranego dokumentu posiada wadę skanowania i należy ją podmienić skanując ją ponownie. </w:t>
            </w:r>
          </w:p>
        </w:tc>
      </w:tr>
      <w:tr w:rsidR="00FD2A51" w:rsidRPr="00FD2A51" w:rsidTr="00FD2A51">
        <w:trPr>
          <w:trHeight w:val="76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21</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przeskanowania całego wybranego dokumentu, tak aby w przypadku stwierdzenia złego zeskanowania konkretnego dokumentu nie wymagałoby to skanowania całej grupy dokumentów a tylko wymiany tego jednego wadliwego.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22</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łatwej modyfikacji dokumentów, a więc przenoszenia stron i dokumentów w obrębie całej grupy zeskanowanych dokumentów.   </w:t>
            </w:r>
          </w:p>
        </w:tc>
      </w:tr>
      <w:tr w:rsidR="00FD2A51" w:rsidRPr="00FD2A51" w:rsidTr="00FD2A51">
        <w:trPr>
          <w:trHeight w:val="76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23</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automatycznego przełączania zaprogramowanych zadań lub ustawień skanera za pomocą kodów typu </w:t>
            </w:r>
            <w:proofErr w:type="spellStart"/>
            <w:r w:rsidRPr="00FD2A51">
              <w:rPr>
                <w:rFonts w:ascii="Verdana" w:eastAsia="Times New Roman" w:hAnsi="Verdana" w:cs="Calibri"/>
                <w:color w:val="000000"/>
                <w:sz w:val="20"/>
                <w:szCs w:val="20"/>
                <w:lang w:eastAsia="pl-PL"/>
              </w:rPr>
              <w:t>patch</w:t>
            </w:r>
            <w:proofErr w:type="spellEnd"/>
            <w:r w:rsidRPr="00FD2A51">
              <w:rPr>
                <w:rFonts w:ascii="Verdana" w:eastAsia="Times New Roman" w:hAnsi="Verdana" w:cs="Calibri"/>
                <w:color w:val="000000"/>
                <w:sz w:val="20"/>
                <w:szCs w:val="20"/>
                <w:lang w:eastAsia="pl-PL"/>
              </w:rPr>
              <w:t xml:space="preserve"> umieszczonego pomiędzy skanowanymi dokumentami. </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24</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Umożliwia cofanie wykonywanych operacji. </w:t>
            </w:r>
          </w:p>
        </w:tc>
      </w:tr>
      <w:tr w:rsidR="00FD2A51" w:rsidRPr="00FD2A51" w:rsidTr="00FD2A51">
        <w:trPr>
          <w:trHeight w:val="102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25</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daje możliwość przywrócenia pracy nad zeskanowaną grupą dokumentów po zaniku napięcia na stacji skanującej. Aplikacja w tle przechowuje dane na dysku twardym, aby możliwe było ewentualne odtworzenie, po zaniku napięcia na stacji roboczej, zeskanowanych dokumentów, tak aby nie powtarzać procesu skanowania. </w:t>
            </w:r>
          </w:p>
        </w:tc>
      </w:tr>
      <w:tr w:rsidR="00FD2A51" w:rsidRPr="00FD2A51" w:rsidTr="00FD2A51">
        <w:trPr>
          <w:trHeight w:val="153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26</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Oprogramowanie daje możliwość exportu przetworzonych dokumentów do wskazanego folderu. Eksportowane dokumenty powinny mieć możliwość konfiguracji nazewnictwa wykorzystując przy tworzeniu dynamicznych nazw  wcześniej rozpoznanych kodów, stałej znakowej, nazwy stacji wykonującej skanowanie, nazwy użytkownika,  daty  i  czasu  wykonania  operacji.  Eksport umożliwiać powinien wyeksportowanie dokumentów w formatach: PDF, PDF-A/1 PDF-A/2 PDF-A/3, PDF-MRC, PDF-</w:t>
            </w:r>
            <w:proofErr w:type="spellStart"/>
            <w:r w:rsidRPr="00FD2A51">
              <w:rPr>
                <w:rFonts w:ascii="Verdana" w:eastAsia="Times New Roman" w:hAnsi="Verdana" w:cs="Calibri"/>
                <w:color w:val="000000"/>
                <w:sz w:val="20"/>
                <w:szCs w:val="20"/>
                <w:lang w:eastAsia="pl-PL"/>
              </w:rPr>
              <w:t>BookMark</w:t>
            </w:r>
            <w:proofErr w:type="spellEnd"/>
            <w:r w:rsidRPr="00FD2A51">
              <w:rPr>
                <w:rFonts w:ascii="Verdana" w:eastAsia="Times New Roman" w:hAnsi="Verdana" w:cs="Calibri"/>
                <w:color w:val="000000"/>
                <w:sz w:val="20"/>
                <w:szCs w:val="20"/>
                <w:lang w:eastAsia="pl-PL"/>
              </w:rPr>
              <w:t xml:space="preserve"> , TIFF,JPG,  </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27</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Dynamiczny podgląd dokumentów podczas skanowania. </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28</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Umożliwia przetwarzanie dokumentów z folderu takich typów jak TIFF, BMP, JPEG, PDF.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29</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Umożliwia dla eksportowanych dokumentów PDF ich przeszukiwanie (wyszukiwanie tekstu w dokumentach PDF) oraz zapewnia zabezpieczenie takiego pliku hasłem.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30</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Umożliwia eksport wytworzonych dokumentów do programu Microsoft </w:t>
            </w:r>
            <w:proofErr w:type="spellStart"/>
            <w:r w:rsidRPr="00FD2A51">
              <w:rPr>
                <w:rFonts w:ascii="Verdana" w:eastAsia="Times New Roman" w:hAnsi="Verdana" w:cs="Calibri"/>
                <w:color w:val="000000"/>
                <w:sz w:val="20"/>
                <w:szCs w:val="20"/>
                <w:lang w:eastAsia="pl-PL"/>
              </w:rPr>
              <w:t>Sharepoint</w:t>
            </w:r>
            <w:proofErr w:type="spellEnd"/>
            <w:r w:rsidRPr="00FD2A51">
              <w:rPr>
                <w:rFonts w:ascii="Verdana" w:eastAsia="Times New Roman" w:hAnsi="Verdana" w:cs="Calibri"/>
                <w:color w:val="000000"/>
                <w:sz w:val="20"/>
                <w:szCs w:val="20"/>
                <w:lang w:eastAsia="pl-PL"/>
              </w:rPr>
              <w:t xml:space="preserve"> z automatycznie rozpoznanymi polami indeksowymi i ich publikacją w bibliotekach.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31</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Umożliwia eksportowanie dokumentów w tle tak aby możliwe było w tym czasie kolejne skanowanie dokumentów.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32</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Umożliwia walidację rozpoznawanych pól przy użyciu sterowników ODBC które wyszukiwałyby w takiej bazie danych sterownika ODBC rozpoznanego tekstu.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33</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Umożliwia tworzenie indywidualnego interfejsu użytkownika dla każdej z zalogowanych osób. </w:t>
            </w:r>
          </w:p>
        </w:tc>
      </w:tr>
      <w:tr w:rsidR="00FD2A51" w:rsidRPr="00FD2A51" w:rsidTr="00FD2A51">
        <w:trPr>
          <w:trHeight w:val="76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34</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jc w:val="both"/>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posiada polski interfejs użytkownika oraz pozwala na wybór języka OCR przy indeksowaniu dla każdego z uprzednio definiowanych pól oraz w trybie pełno tekstowym. </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35</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Uwierzytelnienie dla użytkowników za pomocą loginu domenowego oraz Active Directory. </w:t>
            </w:r>
          </w:p>
        </w:tc>
      </w:tr>
      <w:tr w:rsidR="00FD2A51" w:rsidRPr="00FD2A51" w:rsidTr="00FD2A51">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36</w:t>
            </w:r>
          </w:p>
        </w:tc>
        <w:tc>
          <w:tcPr>
            <w:tcW w:w="9420" w:type="dxa"/>
            <w:tcBorders>
              <w:top w:val="nil"/>
              <w:left w:val="nil"/>
              <w:bottom w:val="single" w:sz="4" w:space="0" w:color="auto"/>
              <w:right w:val="single" w:sz="8" w:space="0" w:color="auto"/>
            </w:tcBorders>
            <w:shd w:val="clear" w:color="auto" w:fill="auto"/>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Oprogramowanie musi w pełni współpracować z zaoferowanym przez Wykonawcę skanerem dokumentowym</w:t>
            </w:r>
          </w:p>
        </w:tc>
      </w:tr>
      <w:tr w:rsidR="00FD2A51" w:rsidRPr="00FD2A51" w:rsidTr="00FD2A51">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37</w:t>
            </w:r>
          </w:p>
        </w:tc>
        <w:tc>
          <w:tcPr>
            <w:tcW w:w="9420" w:type="dxa"/>
            <w:tcBorders>
              <w:top w:val="nil"/>
              <w:left w:val="nil"/>
              <w:bottom w:val="single" w:sz="4" w:space="0" w:color="auto"/>
              <w:right w:val="single" w:sz="8" w:space="0" w:color="auto"/>
            </w:tcBorders>
            <w:shd w:val="clear" w:color="auto" w:fill="auto"/>
            <w:noWrap/>
            <w:vAlign w:val="center"/>
            <w:hideMark/>
          </w:tcPr>
          <w:p w:rsidR="00FD2A51" w:rsidRPr="00FD2A51" w:rsidRDefault="00FD2A51" w:rsidP="00FD2A51">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Oprogramowanie musi posiadać wieczyste prawo do użytkowania</w:t>
            </w:r>
          </w:p>
        </w:tc>
      </w:tr>
      <w:tr w:rsidR="00FD2A51" w:rsidRPr="00FD2A51" w:rsidTr="00FD2A51">
        <w:trPr>
          <w:trHeight w:val="1035"/>
        </w:trPr>
        <w:tc>
          <w:tcPr>
            <w:tcW w:w="460" w:type="dxa"/>
            <w:tcBorders>
              <w:top w:val="nil"/>
              <w:left w:val="single" w:sz="8" w:space="0" w:color="auto"/>
              <w:bottom w:val="single" w:sz="8" w:space="0" w:color="auto"/>
              <w:right w:val="single" w:sz="4" w:space="0" w:color="auto"/>
            </w:tcBorders>
            <w:shd w:val="clear" w:color="auto" w:fill="auto"/>
            <w:noWrap/>
            <w:vAlign w:val="center"/>
            <w:hideMark/>
          </w:tcPr>
          <w:p w:rsidR="00FD2A51" w:rsidRPr="00FD2A51" w:rsidRDefault="00FD2A51" w:rsidP="00FD2A51">
            <w:pPr>
              <w:spacing w:after="0" w:line="240" w:lineRule="auto"/>
              <w:jc w:val="center"/>
              <w:rPr>
                <w:rFonts w:ascii="Verdana" w:eastAsia="Times New Roman" w:hAnsi="Verdana" w:cs="Calibri"/>
                <w:b/>
                <w:bCs/>
                <w:color w:val="000000"/>
                <w:sz w:val="20"/>
                <w:szCs w:val="20"/>
                <w:lang w:eastAsia="pl-PL"/>
              </w:rPr>
            </w:pPr>
            <w:r w:rsidRPr="00FD2A51">
              <w:rPr>
                <w:rFonts w:ascii="Verdana" w:eastAsia="Times New Roman" w:hAnsi="Verdana" w:cs="Calibri"/>
                <w:b/>
                <w:bCs/>
                <w:color w:val="000000"/>
                <w:sz w:val="20"/>
                <w:szCs w:val="20"/>
                <w:lang w:eastAsia="pl-PL"/>
              </w:rPr>
              <w:t>38</w:t>
            </w:r>
          </w:p>
        </w:tc>
        <w:tc>
          <w:tcPr>
            <w:tcW w:w="9420" w:type="dxa"/>
            <w:tcBorders>
              <w:top w:val="nil"/>
              <w:left w:val="nil"/>
              <w:bottom w:val="single" w:sz="8" w:space="0" w:color="auto"/>
              <w:right w:val="single" w:sz="8" w:space="0" w:color="auto"/>
            </w:tcBorders>
            <w:shd w:val="clear" w:color="auto" w:fill="auto"/>
            <w:vAlign w:val="center"/>
            <w:hideMark/>
          </w:tcPr>
          <w:p w:rsidR="00FD2A51" w:rsidRPr="00FD2A51" w:rsidRDefault="00FD2A51" w:rsidP="00646736">
            <w:pPr>
              <w:spacing w:after="0" w:line="240" w:lineRule="auto"/>
              <w:rPr>
                <w:rFonts w:ascii="Verdana" w:eastAsia="Times New Roman" w:hAnsi="Verdana" w:cs="Calibri"/>
                <w:color w:val="000000"/>
                <w:sz w:val="20"/>
                <w:szCs w:val="20"/>
                <w:lang w:eastAsia="pl-PL"/>
              </w:rPr>
            </w:pPr>
            <w:r w:rsidRPr="00FD2A51">
              <w:rPr>
                <w:rFonts w:ascii="Verdana" w:eastAsia="Times New Roman" w:hAnsi="Verdana" w:cs="Calibri"/>
                <w:color w:val="000000"/>
                <w:sz w:val="20"/>
                <w:szCs w:val="20"/>
                <w:lang w:eastAsia="pl-PL"/>
              </w:rPr>
              <w:t xml:space="preserve">Oprogramowanie musi być dostarczone z </w:t>
            </w:r>
            <w:r w:rsidRPr="00FD2A51">
              <w:rPr>
                <w:rFonts w:ascii="Verdana" w:eastAsia="Times New Roman" w:hAnsi="Verdana" w:cs="Calibri"/>
                <w:b/>
                <w:bCs/>
                <w:color w:val="00B050"/>
                <w:sz w:val="20"/>
                <w:szCs w:val="20"/>
                <w:lang w:eastAsia="pl-PL"/>
              </w:rPr>
              <w:t>(60 miesięcznym)</w:t>
            </w:r>
            <w:r w:rsidRPr="00FD2A51">
              <w:rPr>
                <w:rFonts w:ascii="Verdana" w:eastAsia="Times New Roman" w:hAnsi="Verdana" w:cs="Calibri"/>
                <w:color w:val="000000"/>
                <w:sz w:val="20"/>
                <w:szCs w:val="20"/>
                <w:lang w:eastAsia="pl-PL"/>
              </w:rPr>
              <w:t xml:space="preserve"> okresem</w:t>
            </w:r>
            <w:r w:rsidR="00BC3518">
              <w:rPr>
                <w:rFonts w:ascii="Verdana" w:eastAsia="Times New Roman" w:hAnsi="Verdana" w:cs="Calibri"/>
                <w:color w:val="000000"/>
                <w:sz w:val="20"/>
                <w:szCs w:val="20"/>
                <w:lang w:eastAsia="pl-PL"/>
              </w:rPr>
              <w:t xml:space="preserve"> </w:t>
            </w:r>
            <w:bookmarkStart w:id="0" w:name="_GoBack"/>
            <w:bookmarkEnd w:id="0"/>
            <w:r w:rsidRPr="00FD2A51">
              <w:rPr>
                <w:rFonts w:ascii="Verdana" w:eastAsia="Times New Roman" w:hAnsi="Verdana" w:cs="Calibri"/>
                <w:color w:val="000000"/>
                <w:sz w:val="20"/>
                <w:szCs w:val="20"/>
                <w:lang w:eastAsia="pl-PL"/>
              </w:rPr>
              <w:t xml:space="preserve">wsparcia świadczonego przez producenta bądź autoryzowany serwis producenta. Wsparcie musi umożliwiać przeprowadzenie aktualizacji </w:t>
            </w:r>
            <w:r w:rsidR="00C46ECC" w:rsidRPr="00FD2A51">
              <w:rPr>
                <w:rFonts w:ascii="Verdana" w:eastAsia="Times New Roman" w:hAnsi="Verdana" w:cs="Calibri"/>
                <w:color w:val="000000"/>
                <w:sz w:val="20"/>
                <w:szCs w:val="20"/>
                <w:lang w:eastAsia="pl-PL"/>
              </w:rPr>
              <w:t>oprogramowania</w:t>
            </w:r>
            <w:r w:rsidRPr="00FD2A51">
              <w:rPr>
                <w:rFonts w:ascii="Verdana" w:eastAsia="Times New Roman" w:hAnsi="Verdana" w:cs="Calibri"/>
                <w:color w:val="000000"/>
                <w:sz w:val="20"/>
                <w:szCs w:val="20"/>
                <w:lang w:eastAsia="pl-PL"/>
              </w:rPr>
              <w:t xml:space="preserve"> w czasie jego trwania i musi być świadczone w języku polskim.</w:t>
            </w:r>
          </w:p>
        </w:tc>
      </w:tr>
    </w:tbl>
    <w:p w:rsidR="00FD2A51" w:rsidRDefault="00FD2A51"/>
    <w:sectPr w:rsidR="00FD2A51" w:rsidSect="00FD2A5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8B"/>
    <w:rsid w:val="00646736"/>
    <w:rsid w:val="0086306D"/>
    <w:rsid w:val="009C3127"/>
    <w:rsid w:val="00BB7C8B"/>
    <w:rsid w:val="00BC3518"/>
    <w:rsid w:val="00C46ECC"/>
    <w:rsid w:val="00FD2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CAC72-F36F-4299-921C-D904BEB0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628956">
      <w:bodyDiv w:val="1"/>
      <w:marLeft w:val="0"/>
      <w:marRight w:val="0"/>
      <w:marTop w:val="0"/>
      <w:marBottom w:val="0"/>
      <w:divBdr>
        <w:top w:val="none" w:sz="0" w:space="0" w:color="auto"/>
        <w:left w:val="none" w:sz="0" w:space="0" w:color="auto"/>
        <w:bottom w:val="none" w:sz="0" w:space="0" w:color="auto"/>
        <w:right w:val="none" w:sz="0" w:space="0" w:color="auto"/>
      </w:divBdr>
    </w:div>
    <w:div w:id="65418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980</Words>
  <Characters>5881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Lenart</dc:creator>
  <cp:keywords/>
  <dc:description/>
  <cp:lastModifiedBy>Jacek Sagan</cp:lastModifiedBy>
  <cp:revision>7</cp:revision>
  <dcterms:created xsi:type="dcterms:W3CDTF">2022-04-14T13:05:00Z</dcterms:created>
  <dcterms:modified xsi:type="dcterms:W3CDTF">2022-05-05T13:47:00Z</dcterms:modified>
</cp:coreProperties>
</file>