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EC73" w14:textId="77777777" w:rsidR="00E2486E" w:rsidRDefault="00000000">
      <w:pPr>
        <w:shd w:val="clear" w:color="auto" w:fill="1E6B2E"/>
        <w:jc w:val="center"/>
      </w:pPr>
      <w:r>
        <w:rPr>
          <w:b/>
          <w:bCs/>
          <w:color w:val="FFFFFF"/>
          <w:sz w:val="44"/>
          <w:szCs w:val="44"/>
        </w:rPr>
        <w:t>ZAWARTOŚĆ DOKUMENTACJI NORMATYWNEJ</w:t>
      </w:r>
    </w:p>
    <w:p w14:paraId="05E7BBBE" w14:textId="77777777" w:rsidR="00E2486E" w:rsidRDefault="00000000">
      <w:pPr>
        <w:shd w:val="clear" w:color="auto" w:fill="2E8B3D"/>
        <w:spacing w:after="240"/>
        <w:jc w:val="center"/>
      </w:pPr>
      <w:r>
        <w:rPr>
          <w:i/>
          <w:iCs/>
          <w:color w:val="FFFFFF"/>
          <w:sz w:val="22"/>
          <w:szCs w:val="22"/>
        </w:rPr>
        <w:t>na podstawie art. 10 ustawy z dnia 5 lipca 2018 r. o krajowym systemie cyberbezpieczeństwa</w:t>
      </w:r>
    </w:p>
    <w:tbl>
      <w:tblPr>
        <w:tblStyle w:val="a"/>
        <w:tblW w:w="94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80"/>
      </w:tblGrid>
      <w:tr w:rsidR="00E2486E" w14:paraId="79A6487A" w14:textId="77777777">
        <w:tc>
          <w:tcPr>
            <w:tcW w:w="948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1A11D6" w14:textId="77777777" w:rsidR="00E2486E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Cel dokumentu</w:t>
            </w:r>
          </w:p>
          <w:p w14:paraId="512AFFDB" w14:textId="77777777" w:rsidR="00E2486E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>Dokument opisuje konkretne treści i działania, które muszą zostać opisane i udokumentowane w poszczególnych częściach dokumentacji normatywnej wymaganej przez art. 10 KSC. Wskazuje co należy zawrzeć w każdym typie dokumentu tworzącym dokumentację normatywną. Nie jest wzorem polityki ani szablonem — jest przewodnikiem po wymaganej zawartości.</w:t>
            </w:r>
          </w:p>
        </w:tc>
      </w:tr>
    </w:tbl>
    <w:p w14:paraId="7B375AF1" w14:textId="77777777" w:rsidR="00E2486E" w:rsidRDefault="00E2486E">
      <w:pPr>
        <w:spacing w:before="200"/>
      </w:pPr>
    </w:p>
    <w:p w14:paraId="15A8BBAD" w14:textId="77777777" w:rsidR="00E2486E" w:rsidRDefault="00000000">
      <w:pPr>
        <w:pStyle w:val="Nagwek1"/>
        <w:shd w:val="clear" w:color="auto" w:fill="1F3864"/>
      </w:pPr>
      <w:r>
        <w:t>CZĘŚĆ I — STRUKTURA DOKUMENTACJI BEZPIECZEŃSTWA SI (art. 10 ust. 1–5)</w:t>
      </w:r>
    </w:p>
    <w:p w14:paraId="05349386" w14:textId="77777777" w:rsidR="00E2486E" w:rsidRDefault="00000000">
      <w:pPr>
        <w:spacing w:before="60" w:after="60"/>
        <w:jc w:val="both"/>
      </w:pPr>
      <w:r>
        <w:t>Podmiot kluczowy i podmiot ważny opracowuje, stosuje i aktualizuje dokumentację bezpieczeństwa systemu informacyjnego (SI) wykorzystywanego w procesie świadczenia usługi. Dokumentacja dzieli się na dwa filary:</w:t>
      </w:r>
    </w:p>
    <w:p w14:paraId="4D0C2D95" w14:textId="77777777" w:rsidR="00E2486E" w:rsidRDefault="00E2486E">
      <w:pPr>
        <w:spacing w:before="80"/>
      </w:pPr>
    </w:p>
    <w:tbl>
      <w:tblPr>
        <w:tblStyle w:val="a0"/>
        <w:tblW w:w="94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15"/>
        <w:gridCol w:w="4965"/>
      </w:tblGrid>
      <w:tr w:rsidR="00E2486E" w14:paraId="54F6D31F" w14:textId="77777777">
        <w:tc>
          <w:tcPr>
            <w:tcW w:w="4515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73D85EB" w14:textId="77777777" w:rsidR="00E2486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DOKUMENTACJA NORMATYWNA</w:t>
            </w:r>
          </w:p>
        </w:tc>
        <w:tc>
          <w:tcPr>
            <w:tcW w:w="496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5B6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3E476B94" w14:textId="77777777" w:rsidR="00E2486E" w:rsidRDefault="00000000">
            <w:pPr>
              <w:jc w:val="center"/>
            </w:pPr>
            <w:r>
              <w:rPr>
                <w:b/>
                <w:bCs/>
                <w:color w:val="FFFFFF"/>
              </w:rPr>
              <w:t>DOKUMENTACJA OPERACYJNA</w:t>
            </w:r>
          </w:p>
        </w:tc>
      </w:tr>
      <w:tr w:rsidR="00E2486E" w14:paraId="67C752D3" w14:textId="77777777">
        <w:tc>
          <w:tcPr>
            <w:tcW w:w="45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1C0E3B9C" w14:textId="77777777" w:rsidR="00E2486E" w:rsidRDefault="00000000">
            <w:pPr>
              <w:spacing w:after="60"/>
              <w:jc w:val="both"/>
            </w:pPr>
            <w:r>
              <w:rPr>
                <w:sz w:val="18"/>
                <w:szCs w:val="18"/>
              </w:rPr>
              <w:t>Dokumenty o charakterze polityk, procedur, planów i opisów — mówiące JAK coś powinno być robione. Wymagają zatwierdzenia, wersjonowania i nadzoru.</w:t>
            </w:r>
          </w:p>
          <w:p w14:paraId="69118000" w14:textId="77777777" w:rsidR="00E2486E" w:rsidRDefault="00000000">
            <w:pPr>
              <w:jc w:val="both"/>
            </w:pPr>
            <w:r>
              <w:rPr>
                <w:i/>
                <w:iCs/>
                <w:color w:val="555555"/>
                <w:sz w:val="18"/>
                <w:szCs w:val="18"/>
              </w:rPr>
              <w:t>Obejmuje: dokumentację SZBI, ochrony infrastruktury, ciągłości działania, dokumentację techniczną SI i dokumentację sektorową.</w:t>
            </w:r>
          </w:p>
        </w:tc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5F685FE8" w14:textId="77777777" w:rsidR="00E2486E" w:rsidRDefault="00000000">
            <w:pPr>
              <w:spacing w:after="60"/>
              <w:jc w:val="both"/>
            </w:pPr>
            <w:r>
              <w:rPr>
                <w:sz w:val="18"/>
                <w:szCs w:val="18"/>
              </w:rPr>
              <w:t xml:space="preserve">Przykładowe zapisy poświadczające faktyczne WYKONANIE czynności wymaganych przez dokumentację normatywną. Mogą być generowane automatycznie (logi). Należy w przypadku zapisów stosować zasadę proporcjonalności w stosunku do rozpoznanych </w:t>
            </w:r>
            <w:proofErr w:type="spellStart"/>
            <w:r>
              <w:rPr>
                <w:sz w:val="18"/>
                <w:szCs w:val="18"/>
              </w:rPr>
              <w:t>ryzyk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4234344D" w14:textId="77777777" w:rsidR="00E2486E" w:rsidRDefault="00000000">
            <w:pPr>
              <w:jc w:val="both"/>
            </w:pPr>
            <w:r>
              <w:rPr>
                <w:i/>
                <w:iCs/>
                <w:color w:val="555555"/>
                <w:sz w:val="18"/>
                <w:szCs w:val="18"/>
              </w:rPr>
              <w:t xml:space="preserve">Przykłady: logi systemowe, protokoły, rejestry czynności, raporty z przeglądów, formularze zgłoszeń, maile, rejestry połączeń,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SMSy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>, zrzuty z komunikatorów.</w:t>
            </w:r>
          </w:p>
        </w:tc>
      </w:tr>
    </w:tbl>
    <w:p w14:paraId="64C15539" w14:textId="77777777" w:rsidR="00E2486E" w:rsidRDefault="00E2486E">
      <w:pPr>
        <w:spacing w:before="240"/>
      </w:pPr>
    </w:p>
    <w:p w14:paraId="67EF4D1D" w14:textId="77777777" w:rsidR="00E2486E" w:rsidRDefault="00000000">
      <w:pPr>
        <w:pStyle w:val="Nagwek1"/>
        <w:shd w:val="clear" w:color="auto" w:fill="1F3864"/>
      </w:pPr>
      <w:r>
        <w:t>CZĘŚĆ II — WYMAGANA ZAWARTOŚĆ DOKUMENTACJI NORMATYWNEJ</w:t>
      </w:r>
    </w:p>
    <w:p w14:paraId="626E3078" w14:textId="77777777" w:rsidR="00E2486E" w:rsidRDefault="00000000">
      <w:pPr>
        <w:pBdr>
          <w:left w:val="single" w:sz="12" w:space="4" w:color="2E75B6"/>
        </w:pBdr>
        <w:spacing w:before="40" w:after="80"/>
        <w:ind w:left="360"/>
      </w:pPr>
      <w:r>
        <w:rPr>
          <w:i/>
          <w:iCs/>
          <w:color w:val="2E75B6"/>
          <w:sz w:val="18"/>
          <w:szCs w:val="18"/>
        </w:rPr>
        <w:t>Art. 10 ust. 3 KSC: dokumentację normatywną stanowią dokumenty opisane w pkt 1–5 poniżej.</w:t>
      </w:r>
    </w:p>
    <w:p w14:paraId="38464AC1" w14:textId="77777777" w:rsidR="00E2486E" w:rsidRDefault="00E2486E">
      <w:pPr>
        <w:spacing w:before="120"/>
      </w:pPr>
    </w:p>
    <w:p w14:paraId="7BAE9BD0" w14:textId="77777777" w:rsidR="00E2486E" w:rsidRDefault="00000000">
      <w:pPr>
        <w:shd w:val="clear" w:color="auto" w:fill="1E6B2E"/>
        <w:spacing w:before="240"/>
      </w:pPr>
      <w:r>
        <w:rPr>
          <w:b/>
          <w:bCs/>
          <w:color w:val="FFFFFF"/>
          <w:sz w:val="22"/>
          <w:szCs w:val="22"/>
        </w:rPr>
        <w:t>1. Dokumentacja Systemu Zarządzania Bezpieczeństwem Informacji (SZBI)</w:t>
      </w:r>
    </w:p>
    <w:p w14:paraId="749C6243" w14:textId="77777777" w:rsidR="00E2486E" w:rsidRDefault="00000000">
      <w:pPr>
        <w:shd w:val="clear" w:color="auto" w:fill="1E6B2E"/>
        <w:spacing w:after="160"/>
      </w:pPr>
      <w:r>
        <w:rPr>
          <w:i/>
          <w:iCs/>
          <w:color w:val="FFFFFF"/>
          <w:sz w:val="17"/>
          <w:szCs w:val="17"/>
        </w:rPr>
        <w:t>Podstawa prawna: art. 10 ust. 3 pkt 1 KSC w związku z art. 8 ust. 1</w:t>
      </w:r>
    </w:p>
    <w:p w14:paraId="2E728D2A" w14:textId="77777777" w:rsidR="00E2486E" w:rsidRDefault="00000000">
      <w:pPr>
        <w:spacing w:before="60" w:after="60"/>
      </w:pPr>
      <w:r>
        <w:t>Dokumentacja SZBI tworzy fundament całego systemu bezpieczeństwa. Musi opisywać, jak podmiot zarządza bezpieczeństwem informacji, obejmując co najmniej następujące elementy:</w:t>
      </w:r>
    </w:p>
    <w:p w14:paraId="7B9E6297" w14:textId="77777777" w:rsidR="00E2486E" w:rsidRDefault="00000000">
      <w:pPr>
        <w:spacing w:before="120" w:after="40"/>
        <w:jc w:val="both"/>
      </w:pPr>
      <w:r>
        <w:rPr>
          <w:b/>
          <w:bCs/>
          <w:color w:val="1F3864"/>
        </w:rPr>
        <w:t>1.1. Polityka bezpieczeństwa informacji (polityka nadrzędna)</w:t>
      </w:r>
    </w:p>
    <w:p w14:paraId="06392F00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Zakres i cele SZBI — zdefiniowanie obszaru objętego systemem</w:t>
      </w:r>
    </w:p>
    <w:p w14:paraId="5ACCB517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Zobowiązanie kierownika podmiotu do zapewnienia bezpieczeństwa informacji</w:t>
      </w:r>
    </w:p>
    <w:p w14:paraId="7A4C25FE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Powiązanie z przepisami prawa, w tym z KSC i aktami wykonawczymi</w:t>
      </w:r>
    </w:p>
    <w:p w14:paraId="565A7E07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 xml:space="preserve">Role i odpowiedzialności w zakresie cyberbezpieczeństwa ale </w:t>
      </w:r>
      <w:r>
        <w:rPr>
          <w:sz w:val="19"/>
          <w:szCs w:val="19"/>
        </w:rPr>
        <w:t>również</w:t>
      </w:r>
      <w:r>
        <w:rPr>
          <w:color w:val="000000"/>
          <w:sz w:val="19"/>
          <w:szCs w:val="19"/>
        </w:rPr>
        <w:t xml:space="preserve"> w całej organizacji</w:t>
      </w:r>
    </w:p>
    <w:p w14:paraId="68A1BD0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Zasady i ramy zarządzania ryzykiem</w:t>
      </w:r>
    </w:p>
    <w:p w14:paraId="1FDD2091" w14:textId="77777777" w:rsidR="00E2486E" w:rsidRDefault="00000000">
      <w:pPr>
        <w:spacing w:before="120" w:after="40"/>
        <w:jc w:val="both"/>
      </w:pPr>
      <w:r>
        <w:rPr>
          <w:b/>
          <w:bCs/>
          <w:color w:val="1F3864"/>
        </w:rPr>
        <w:t>1.2. Polityki tematyczne (szczegółowe)</w:t>
      </w:r>
    </w:p>
    <w:p w14:paraId="0137138D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kontroli dostępu — zasady nadawania, modyfikacji i cofania uprawnień, zasada minimalnych uprawnień</w:t>
      </w:r>
    </w:p>
    <w:p w14:paraId="38F5B687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kryptograficzna — algorytmy, zarządzanie kluczami, zastosowania szyfrowania</w:t>
      </w:r>
    </w:p>
    <w:p w14:paraId="45683CA0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bezpieczeństwa zasobów ludzkich — weryfikacja, szkolenia, zakończenie zatrudnienia</w:t>
      </w:r>
    </w:p>
    <w:p w14:paraId="4AEA946D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lastRenderedPageBreak/>
        <w:t>Polityka zarządzania aktywami — klasyfikacja, postępowanie, inwentaryzacja</w:t>
      </w:r>
    </w:p>
    <w:p w14:paraId="244CEC52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bezpieczeństwa fizycznego i środowiskowego — strefy, kontrole dostępu fizycznego</w:t>
      </w:r>
    </w:p>
    <w:p w14:paraId="3612CDA5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zarządzania zmianami — procedura zatwierdzania, testowania i wdrażania zmian w SI</w:t>
      </w:r>
    </w:p>
    <w:p w14:paraId="0A68143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bezpiecznego cyklu życia oprogramowania — wymagania bezpieczeństwa w SDLC</w:t>
      </w:r>
    </w:p>
    <w:p w14:paraId="55DBB98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zarządzania incydentami — klasyfikacja, obsługa, raportowanie, przeglądy post-incydentalne</w:t>
      </w:r>
    </w:p>
    <w:p w14:paraId="6969311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zarządzania podatnościami i aktualizacjami (</w:t>
      </w:r>
      <w:proofErr w:type="spellStart"/>
      <w:r>
        <w:rPr>
          <w:color w:val="000000"/>
          <w:sz w:val="19"/>
          <w:szCs w:val="19"/>
        </w:rPr>
        <w:t>patch</w:t>
      </w:r>
      <w:proofErr w:type="spellEnd"/>
      <w:r>
        <w:rPr>
          <w:color w:val="000000"/>
          <w:sz w:val="19"/>
          <w:szCs w:val="19"/>
        </w:rPr>
        <w:t xml:space="preserve"> management)</w:t>
      </w:r>
    </w:p>
    <w:p w14:paraId="038CBF9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 xml:space="preserve">Polityka </w:t>
      </w:r>
      <w:proofErr w:type="spellStart"/>
      <w:r>
        <w:rPr>
          <w:color w:val="000000"/>
          <w:sz w:val="19"/>
          <w:szCs w:val="19"/>
        </w:rPr>
        <w:t>cyberhigieny</w:t>
      </w:r>
      <w:proofErr w:type="spellEnd"/>
      <w:r>
        <w:rPr>
          <w:color w:val="000000"/>
          <w:sz w:val="19"/>
          <w:szCs w:val="19"/>
        </w:rPr>
        <w:t xml:space="preserve"> — wymagania wobec pracowników</w:t>
      </w:r>
    </w:p>
    <w:p w14:paraId="499E7F82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bezpiecznej komunikacji i  komunikacji elektronicznej i MFA</w:t>
      </w:r>
    </w:p>
    <w:p w14:paraId="608E89E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Polityka bezpieczeństwa łańcucha dostaw ICT — ocena dostawców, klauzule w umowach</w:t>
      </w:r>
    </w:p>
    <w:p w14:paraId="574D1711" w14:textId="77777777" w:rsidR="00E2486E" w:rsidRDefault="00E2486E">
      <w:pPr>
        <w:pBdr>
          <w:top w:val="nil"/>
          <w:left w:val="nil"/>
          <w:bottom w:val="nil"/>
          <w:right w:val="nil"/>
          <w:between w:val="nil"/>
        </w:pBdr>
        <w:spacing w:before="30" w:after="30"/>
        <w:ind w:left="900"/>
        <w:jc w:val="both"/>
        <w:rPr>
          <w:sz w:val="19"/>
          <w:szCs w:val="19"/>
        </w:rPr>
      </w:pPr>
    </w:p>
    <w:p w14:paraId="437AD133" w14:textId="77777777" w:rsidR="00E2486E" w:rsidRDefault="00000000">
      <w:pPr>
        <w:spacing w:before="120" w:after="40"/>
      </w:pPr>
      <w:r>
        <w:rPr>
          <w:b/>
          <w:bCs/>
          <w:color w:val="1F3864"/>
        </w:rPr>
        <w:t>1.3. Dokumentacja zarządzania ryzykiem</w:t>
      </w:r>
    </w:p>
    <w:p w14:paraId="59B86C30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Metodyka szacowania ryzyka (podejście, kryteria, skale ocen)</w:t>
      </w:r>
    </w:p>
    <w:p w14:paraId="131B6567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Rejestr </w:t>
      </w:r>
      <w:proofErr w:type="spellStart"/>
      <w:r>
        <w:rPr>
          <w:color w:val="000000"/>
          <w:sz w:val="19"/>
          <w:szCs w:val="19"/>
        </w:rPr>
        <w:t>ryzyk</w:t>
      </w:r>
      <w:proofErr w:type="spellEnd"/>
      <w:r>
        <w:rPr>
          <w:color w:val="000000"/>
          <w:sz w:val="19"/>
          <w:szCs w:val="19"/>
        </w:rPr>
        <w:t xml:space="preserve"> z przypisanymi właścicielami </w:t>
      </w:r>
      <w:proofErr w:type="spellStart"/>
      <w:r>
        <w:rPr>
          <w:color w:val="000000"/>
          <w:sz w:val="19"/>
          <w:szCs w:val="19"/>
        </w:rPr>
        <w:t>ryzyk</w:t>
      </w:r>
      <w:proofErr w:type="spellEnd"/>
    </w:p>
    <w:p w14:paraId="1D0DCC7A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Plan postępowania z ryzykiem (decyzje: ograniczenie, transfer, akceptacja, unikanie) z harmonogramem</w:t>
      </w:r>
    </w:p>
    <w:p w14:paraId="356A36AB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Dokumentacja akceptacji </w:t>
      </w:r>
      <w:proofErr w:type="spellStart"/>
      <w:r>
        <w:rPr>
          <w:color w:val="000000"/>
          <w:sz w:val="19"/>
          <w:szCs w:val="19"/>
        </w:rPr>
        <w:t>ryzyk</w:t>
      </w:r>
      <w:proofErr w:type="spellEnd"/>
      <w:r>
        <w:rPr>
          <w:color w:val="000000"/>
          <w:sz w:val="19"/>
          <w:szCs w:val="19"/>
        </w:rPr>
        <w:t xml:space="preserve"> rezydualnych przez kierownika</w:t>
      </w:r>
    </w:p>
    <w:p w14:paraId="46C00980" w14:textId="77777777" w:rsidR="00E2486E" w:rsidRDefault="00000000">
      <w:pPr>
        <w:spacing w:before="120" w:after="40"/>
      </w:pPr>
      <w:r>
        <w:rPr>
          <w:b/>
          <w:bCs/>
          <w:color w:val="1F3864"/>
        </w:rPr>
        <w:t>1.4. Procedury operacyjne SZBI</w:t>
      </w:r>
    </w:p>
    <w:p w14:paraId="50394300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Procedura przeglądu zarządzania SZBI (częstotliwość, skład, dane wejściowe i wyjściowe)</w:t>
      </w:r>
    </w:p>
    <w:p w14:paraId="3FCC2620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Procedura audytu wewnętrznego i zarządzania niezgodnościami</w:t>
      </w:r>
    </w:p>
    <w:p w14:paraId="15DF6C4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Procedura doskonalenia SZBI — działania korekcyjne i zapobiegawcze</w:t>
      </w:r>
    </w:p>
    <w:p w14:paraId="37497A52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Procedura nadzoru nad dokumentacją (wersjonowanie, dostęp, archiwizacja, brakowanie)</w:t>
      </w:r>
    </w:p>
    <w:p w14:paraId="18E65ACE" w14:textId="77777777" w:rsidR="00E2486E" w:rsidRDefault="00E2486E">
      <w:pPr>
        <w:spacing w:before="80"/>
      </w:pPr>
    </w:p>
    <w:tbl>
      <w:tblPr>
        <w:tblStyle w:val="a1"/>
        <w:tblW w:w="94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80"/>
      </w:tblGrid>
      <w:tr w:rsidR="00E2486E" w14:paraId="418E2728" w14:textId="77777777">
        <w:tc>
          <w:tcPr>
            <w:tcW w:w="948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EAD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366175" w14:textId="77777777" w:rsidR="00E2486E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Wskazówka praktyczna</w:t>
            </w:r>
          </w:p>
          <w:p w14:paraId="3945B06D" w14:textId="77777777" w:rsidR="00E2486E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 xml:space="preserve">Dokumentacja SZBI musi być zatwierdzona przez kierownika podmiotu. Każdy dokument powinien zawierać numer wersji, datę zatwierdzenia, imię/stanowisko osoby zatwierdzającej. Dokumenty muszą być dostępne wyłącznie dla osób upoważnionych (art. 10 ust. 6 pkt 1). Zabezpieczeniu podlega również dokumentacja operacyjna co najmniej na tym samym poziomie co dokumentacja normatywna w konkretnym odniesieniu procedura/polityka -&gt; dowód </w:t>
            </w:r>
          </w:p>
        </w:tc>
      </w:tr>
    </w:tbl>
    <w:p w14:paraId="0580F00B" w14:textId="77777777" w:rsidR="00E2486E" w:rsidRDefault="00E2486E">
      <w:pPr>
        <w:spacing w:before="160"/>
      </w:pPr>
    </w:p>
    <w:p w14:paraId="3E85868D" w14:textId="77777777" w:rsidR="00E2486E" w:rsidRDefault="00000000">
      <w:pPr>
        <w:shd w:val="clear" w:color="auto" w:fill="1E6B2E"/>
        <w:spacing w:before="240"/>
      </w:pPr>
      <w:r>
        <w:rPr>
          <w:b/>
          <w:bCs/>
          <w:color w:val="FFFFFF"/>
          <w:sz w:val="22"/>
          <w:szCs w:val="22"/>
        </w:rPr>
        <w:t>2. Dokumentacja ochrony infrastruktury</w:t>
      </w:r>
    </w:p>
    <w:p w14:paraId="23879DAD" w14:textId="77777777" w:rsidR="00E2486E" w:rsidRDefault="00000000">
      <w:pPr>
        <w:shd w:val="clear" w:color="auto" w:fill="1E6B2E"/>
        <w:spacing w:after="160"/>
      </w:pPr>
      <w:r>
        <w:rPr>
          <w:i/>
          <w:iCs/>
          <w:color w:val="FFFFFF"/>
          <w:sz w:val="17"/>
          <w:szCs w:val="17"/>
        </w:rPr>
        <w:t>Podstawa prawna: art. 10 ust. 3 pkt 2 KSC (lit. a–g)</w:t>
      </w:r>
    </w:p>
    <w:p w14:paraId="24B8B025" w14:textId="77777777" w:rsidR="00E2486E" w:rsidRDefault="00000000">
      <w:pPr>
        <w:spacing w:before="60" w:after="60"/>
        <w:jc w:val="both"/>
      </w:pPr>
      <w:r>
        <w:t>Dokumentacja opisuje infrastrukturę, z której świadczona jest usługa, i sposoby jej ochrony. Musi zawierać wszystkie elementy wymienione w art. 10 ust. 3 pkt 2 lit. a–g:</w:t>
      </w:r>
    </w:p>
    <w:p w14:paraId="5C4A3B0E" w14:textId="77777777" w:rsidR="00E2486E" w:rsidRDefault="00000000">
      <w:pPr>
        <w:spacing w:before="120" w:after="40"/>
      </w:pPr>
      <w:r>
        <w:rPr>
          <w:b/>
          <w:bCs/>
          <w:color w:val="1F3864"/>
        </w:rPr>
        <w:t>2a. Charakterystyka usługi i infrastruktury (art. 10 ust. 3 pkt 2 lit. a)</w:t>
      </w:r>
    </w:p>
    <w:p w14:paraId="26C86A18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świadczonej usługi — charakter, użytkownicy, procesy</w:t>
      </w:r>
    </w:p>
    <w:p w14:paraId="719AE4AC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Diagram/opis architektury infrastruktury IT (serwery, sieci, usługi chmurowe, urządzenia końcowe)</w:t>
      </w:r>
    </w:p>
    <w:p w14:paraId="5E437F09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Topologia sieci z wyróżnieniem stref bezpieczeństwa</w:t>
      </w:r>
    </w:p>
    <w:p w14:paraId="5E6D737B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Identyfikacja zasobów krytycznych dla świadczenia usługi</w:t>
      </w:r>
    </w:p>
    <w:p w14:paraId="27F40F2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Powiązania z zewnętrznymi systemami i dostawcami</w:t>
      </w:r>
    </w:p>
    <w:p w14:paraId="58F5F9FF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rPr>
          <w:sz w:val="19"/>
          <w:szCs w:val="19"/>
        </w:rPr>
      </w:pPr>
      <w:r>
        <w:rPr>
          <w:sz w:val="19"/>
          <w:szCs w:val="19"/>
        </w:rPr>
        <w:t>Analiza wpływu środowiska na organizację (analiza interesariuszy, analiza czynników wewnętrznych i zewnętrznych)</w:t>
      </w:r>
    </w:p>
    <w:p w14:paraId="6F8499A1" w14:textId="77777777" w:rsidR="00E2486E" w:rsidRDefault="00000000">
      <w:pPr>
        <w:spacing w:before="120" w:after="40"/>
      </w:pPr>
      <w:r>
        <w:rPr>
          <w:b/>
          <w:bCs/>
          <w:color w:val="1F3864"/>
        </w:rPr>
        <w:t>2b. Ocena aktualnego stanu ochrony infrastruktury (art. 10 ust. 3 pkt 2 lit. b)</w:t>
      </w:r>
    </w:p>
    <w:p w14:paraId="4D06A83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Wyniki przeglądu/audytu stanu wdrożonych zabezpieczeń</w:t>
      </w:r>
    </w:p>
    <w:p w14:paraId="136FB05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Identyfikacja luk bezpieczeństwa w stosunku do wymagań</w:t>
      </w:r>
    </w:p>
    <w:p w14:paraId="3ECC4D6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Metodyka i kryteria oceny stanu ochrony</w:t>
      </w:r>
    </w:p>
    <w:p w14:paraId="3EC21573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Data oceny i osoba/podmiot przeprowadzający ocenę</w:t>
      </w:r>
    </w:p>
    <w:p w14:paraId="36BDBCFC" w14:textId="77777777" w:rsidR="00E2486E" w:rsidRDefault="00000000">
      <w:pPr>
        <w:spacing w:before="120" w:after="40"/>
      </w:pPr>
      <w:r>
        <w:rPr>
          <w:b/>
          <w:bCs/>
          <w:color w:val="1F3864"/>
        </w:rPr>
        <w:t>2c. Szacowanie ryzyka dla obiektów infrastruktury (art. 10 ust. 3 pkt 2 lit. c)</w:t>
      </w:r>
    </w:p>
    <w:p w14:paraId="2807F21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Wykaz obiektów infrastruktury poddanych szacowaniu ryzyka </w:t>
      </w:r>
    </w:p>
    <w:p w14:paraId="53DEBDA2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Zidentyfikowane zagrożenia dla każdego obiektu (fizyczne, środowiskowe, cybernetyczne)</w:t>
      </w:r>
    </w:p>
    <w:p w14:paraId="231DDDEC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Analiza podatności obiektów </w:t>
      </w:r>
    </w:p>
    <w:p w14:paraId="4BD77A0E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Ocena prawdopodobieństwa i skutków incydentów dla każdego obiektu z </w:t>
      </w:r>
      <w:r>
        <w:rPr>
          <w:sz w:val="19"/>
          <w:szCs w:val="19"/>
        </w:rPr>
        <w:t xml:space="preserve">uwzględnieniem wpływu środowiska oraz przypisanie właścicieli </w:t>
      </w:r>
      <w:proofErr w:type="spellStart"/>
      <w:r>
        <w:rPr>
          <w:sz w:val="19"/>
          <w:szCs w:val="19"/>
        </w:rPr>
        <w:t>ryzyk</w:t>
      </w:r>
      <w:proofErr w:type="spellEnd"/>
    </w:p>
    <w:p w14:paraId="2472445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lastRenderedPageBreak/>
        <w:t xml:space="preserve">Ustalony poziom ryzyka rezydualnego/akceptowalnego </w:t>
      </w:r>
    </w:p>
    <w:p w14:paraId="4EB40ACE" w14:textId="77777777" w:rsidR="00E2486E" w:rsidRDefault="00000000">
      <w:pPr>
        <w:spacing w:before="120" w:after="40"/>
      </w:pPr>
      <w:r>
        <w:rPr>
          <w:b/>
          <w:bCs/>
          <w:color w:val="1F3864"/>
        </w:rPr>
        <w:t>2d. Plan postępowania z ryzykiem (art. 10 ust. 3 pkt 2 lit. d)</w:t>
      </w:r>
    </w:p>
    <w:p w14:paraId="6C0F54D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Wybrane strategie postępowania z ryzykiem dla każdego zidentyfikowanego ryzyka</w:t>
      </w:r>
    </w:p>
    <w:p w14:paraId="23363A9C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Konkretne środki zaradcze planowane do wdrożenia</w:t>
      </w:r>
    </w:p>
    <w:p w14:paraId="7273343B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Harmonogram wdrożenia środków z przypisaną odpowiedzialnością</w:t>
      </w:r>
    </w:p>
    <w:p w14:paraId="48A7B92A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Budżet wymagany do realizacji planu</w:t>
      </w:r>
    </w:p>
    <w:p w14:paraId="6577524D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Akceptacja </w:t>
      </w:r>
      <w:proofErr w:type="spellStart"/>
      <w:r>
        <w:rPr>
          <w:color w:val="000000"/>
          <w:sz w:val="19"/>
          <w:szCs w:val="19"/>
        </w:rPr>
        <w:t>ryzyk</w:t>
      </w:r>
      <w:proofErr w:type="spellEnd"/>
      <w:r>
        <w:rPr>
          <w:color w:val="000000"/>
          <w:sz w:val="19"/>
          <w:szCs w:val="19"/>
        </w:rPr>
        <w:t xml:space="preserve"> rezydualnych przez kierownika jednostki</w:t>
      </w:r>
    </w:p>
    <w:p w14:paraId="2D9D5035" w14:textId="77777777" w:rsidR="00E2486E" w:rsidRDefault="00000000">
      <w:pPr>
        <w:spacing w:before="120" w:after="40"/>
      </w:pPr>
      <w:r>
        <w:rPr>
          <w:b/>
          <w:bCs/>
          <w:color w:val="1F3864"/>
        </w:rPr>
        <w:t>2e. Opis zabezpieczeń technicznych obiektów (art. 10 ust. 3 pkt 2 lit. e)</w:t>
      </w:r>
    </w:p>
    <w:p w14:paraId="071ABAE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wdrożonych zabezpieczeń sieciowych (firewalle, IDS/IPS, segmentacja sieci, VPN, lub inny)</w:t>
      </w:r>
    </w:p>
    <w:p w14:paraId="277FF10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zabezpieczeń punktów końcowych (AV/EDR, szyfrowanie dysków, MDM, lub inny)</w:t>
      </w:r>
    </w:p>
    <w:p w14:paraId="724D6DBB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mechanizmów uwierzytelniania i kontroli dostępu (IAM, MFA, PAM lub inny)</w:t>
      </w:r>
    </w:p>
    <w:p w14:paraId="1F778BE2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mechanizmów monitorowania i wykrywania zagrożeń (SIEM, SOC lub inny)</w:t>
      </w:r>
    </w:p>
    <w:p w14:paraId="483E14C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systemów backupu i replikacji danych</w:t>
      </w:r>
    </w:p>
    <w:p w14:paraId="10AFC833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ochrony przed złośliwym oprogramowaniem</w:t>
      </w:r>
    </w:p>
    <w:p w14:paraId="429FFEF4" w14:textId="77777777" w:rsidR="00E2486E" w:rsidRDefault="00000000">
      <w:pPr>
        <w:spacing w:before="120" w:after="40"/>
      </w:pPr>
      <w:r>
        <w:rPr>
          <w:b/>
          <w:bCs/>
          <w:color w:val="1F3864"/>
        </w:rPr>
        <w:t>2f. Zasady organizacji i wykonywania ochrony fizycznej (art. 10 ust. 3 pkt 2 lit. f)</w:t>
      </w:r>
    </w:p>
    <w:p w14:paraId="0F04B9D9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Definicja stref bezpieczeństwa fizycznego i warunków dostępu do każdej strefy</w:t>
      </w:r>
    </w:p>
    <w:p w14:paraId="435A803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wejścia/wyjścia do stref chronionych (karty dostępu, biometryka, rejestr gości)</w:t>
      </w:r>
    </w:p>
    <w:p w14:paraId="01F4A0C9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Zasady ochrony przed zagrożeniami fizycznymi (pożar, powódź, kradzież)</w:t>
      </w:r>
    </w:p>
    <w:p w14:paraId="20C8EF5A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reagowania na fizyczne naruszenia bezpieczeństwa</w:t>
      </w:r>
    </w:p>
    <w:p w14:paraId="5793093E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Instrukcja obsługi systemów kontroli dostępu fizycznego o ile istnieją</w:t>
      </w:r>
    </w:p>
    <w:p w14:paraId="3ED66D2F" w14:textId="77777777" w:rsidR="00E2486E" w:rsidRDefault="00000000">
      <w:pPr>
        <w:spacing w:before="120" w:after="40"/>
      </w:pPr>
      <w:r>
        <w:rPr>
          <w:b/>
          <w:bCs/>
          <w:color w:val="1F3864"/>
        </w:rPr>
        <w:t>2g. Dane o specjalistycznej uzbrojonej formacji ochronnej (art. 10 ust. 3 pkt 2 lit. g)</w:t>
      </w:r>
    </w:p>
    <w:p w14:paraId="43277FDD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Dane formacji ochronnej chroniącej infrastrukturę — o ile podmiot z takiej korzysta</w:t>
      </w:r>
    </w:p>
    <w:p w14:paraId="5D61085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Umowa z firmą ochroniarską z zakresem ochrony fizycznej - o ile istnieje</w:t>
      </w:r>
    </w:p>
    <w:p w14:paraId="6E88ECC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Dane kontaktowe i procedury kontaktu z formacją ochronną w sytuacji kryzysowe - o ile </w:t>
      </w:r>
      <w:proofErr w:type="spellStart"/>
      <w:r>
        <w:rPr>
          <w:color w:val="000000"/>
          <w:sz w:val="19"/>
          <w:szCs w:val="19"/>
        </w:rPr>
        <w:t>istniejej</w:t>
      </w:r>
      <w:proofErr w:type="spellEnd"/>
    </w:p>
    <w:p w14:paraId="15EFA672" w14:textId="77777777" w:rsidR="00E2486E" w:rsidRDefault="00E2486E">
      <w:pPr>
        <w:spacing w:before="80"/>
      </w:pPr>
    </w:p>
    <w:tbl>
      <w:tblPr>
        <w:tblStyle w:val="a2"/>
        <w:tblW w:w="9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70"/>
      </w:tblGrid>
      <w:tr w:rsidR="00E2486E" w14:paraId="1036CBE6" w14:textId="77777777">
        <w:tc>
          <w:tcPr>
            <w:tcW w:w="947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EAD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D1207C" w14:textId="77777777" w:rsidR="00E2486E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Wskazówka praktyczna</w:t>
            </w:r>
          </w:p>
          <w:p w14:paraId="62D7E9F2" w14:textId="77777777" w:rsidR="00E2486E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>Dokumentacja ochrony infrastruktury powinna być aktualizowana po każdej istotnej zmianie infrastruktury, po każdym incydencie poważnym oraz przynajmniej raz w roku w ramach przeglądu SZBI.</w:t>
            </w:r>
          </w:p>
        </w:tc>
      </w:tr>
    </w:tbl>
    <w:p w14:paraId="2138E802" w14:textId="77777777" w:rsidR="00E2486E" w:rsidRDefault="00E2486E">
      <w:pPr>
        <w:spacing w:before="160"/>
      </w:pPr>
    </w:p>
    <w:p w14:paraId="1F296A12" w14:textId="77777777" w:rsidR="00E2486E" w:rsidRDefault="00000000">
      <w:pPr>
        <w:shd w:val="clear" w:color="auto" w:fill="1E6B2E"/>
        <w:spacing w:before="240"/>
      </w:pPr>
      <w:r>
        <w:rPr>
          <w:b/>
          <w:bCs/>
          <w:color w:val="FFFFFF"/>
          <w:sz w:val="22"/>
          <w:szCs w:val="22"/>
        </w:rPr>
        <w:t>3. Dokumentacja Systemu Zarządzania Ciągłością Działania (BCMS)</w:t>
      </w:r>
    </w:p>
    <w:p w14:paraId="12D70A1C" w14:textId="77777777" w:rsidR="00E2486E" w:rsidRDefault="00000000">
      <w:pPr>
        <w:shd w:val="clear" w:color="auto" w:fill="1E6B2E"/>
        <w:spacing w:after="160"/>
      </w:pPr>
      <w:r>
        <w:rPr>
          <w:i/>
          <w:iCs/>
          <w:color w:val="FFFFFF"/>
          <w:sz w:val="17"/>
          <w:szCs w:val="17"/>
        </w:rPr>
        <w:t>Podstawa prawna: art. 10 ust. 3 pkt 3 KSC w związku z art. 8 ust. 1 pkt 2 lit. f</w:t>
      </w:r>
    </w:p>
    <w:p w14:paraId="5EAB9848" w14:textId="77777777" w:rsidR="00E2486E" w:rsidRDefault="00000000">
      <w:pPr>
        <w:spacing w:before="60" w:after="60"/>
        <w:jc w:val="both"/>
      </w:pPr>
      <w:r>
        <w:t>Dokumentacja BCMS opisuje podejście podmiotu do zapewnienia ciągłości świadczenia usługi i odtworzenia działalności po zakłóceniu. Musi zawierać:</w:t>
      </w:r>
    </w:p>
    <w:p w14:paraId="77FDE043" w14:textId="77777777" w:rsidR="00E2486E" w:rsidRDefault="00000000">
      <w:pPr>
        <w:spacing w:before="120" w:after="40"/>
      </w:pPr>
      <w:r>
        <w:rPr>
          <w:b/>
          <w:bCs/>
          <w:color w:val="1F3864"/>
        </w:rPr>
        <w:t xml:space="preserve">3.1. Analiza wpływu na działalność (Business </w:t>
      </w:r>
      <w:proofErr w:type="spellStart"/>
      <w:r>
        <w:rPr>
          <w:b/>
          <w:bCs/>
          <w:color w:val="1F3864"/>
        </w:rPr>
        <w:t>Impact</w:t>
      </w:r>
      <w:proofErr w:type="spellEnd"/>
      <w:r>
        <w:rPr>
          <w:b/>
          <w:bCs/>
          <w:color w:val="1F3864"/>
        </w:rPr>
        <w:t xml:space="preserve"> Analysis — BIA)</w:t>
      </w:r>
    </w:p>
    <w:p w14:paraId="61916FEF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Zidentyfikowane krytyczne procesy biznesowe i ich priorytety</w:t>
      </w:r>
    </w:p>
    <w:p w14:paraId="23801EEF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Wymagany czas odtworzenia (RTO — </w:t>
      </w:r>
      <w:proofErr w:type="spellStart"/>
      <w:r>
        <w:rPr>
          <w:color w:val="000000"/>
          <w:sz w:val="19"/>
          <w:szCs w:val="19"/>
        </w:rPr>
        <w:t>Recovery</w:t>
      </w:r>
      <w:proofErr w:type="spellEnd"/>
      <w:r>
        <w:rPr>
          <w:color w:val="000000"/>
          <w:sz w:val="19"/>
          <w:szCs w:val="19"/>
        </w:rPr>
        <w:t xml:space="preserve"> Time </w:t>
      </w:r>
      <w:proofErr w:type="spellStart"/>
      <w:r>
        <w:rPr>
          <w:color w:val="000000"/>
          <w:sz w:val="19"/>
          <w:szCs w:val="19"/>
        </w:rPr>
        <w:t>Objective</w:t>
      </w:r>
      <w:proofErr w:type="spellEnd"/>
      <w:r>
        <w:rPr>
          <w:color w:val="000000"/>
          <w:sz w:val="19"/>
          <w:szCs w:val="19"/>
        </w:rPr>
        <w:t>) dla każdego procesu</w:t>
      </w:r>
    </w:p>
    <w:p w14:paraId="052F7B03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Dopuszczalny punkt odtworzenia danych (RPO — </w:t>
      </w:r>
      <w:proofErr w:type="spellStart"/>
      <w:r>
        <w:rPr>
          <w:color w:val="000000"/>
          <w:sz w:val="19"/>
          <w:szCs w:val="19"/>
        </w:rPr>
        <w:t>Recovery</w:t>
      </w:r>
      <w:proofErr w:type="spellEnd"/>
      <w:r>
        <w:rPr>
          <w:color w:val="000000"/>
          <w:sz w:val="19"/>
          <w:szCs w:val="19"/>
        </w:rPr>
        <w:t xml:space="preserve"> Point </w:t>
      </w:r>
      <w:proofErr w:type="spellStart"/>
      <w:r>
        <w:rPr>
          <w:color w:val="000000"/>
          <w:sz w:val="19"/>
          <w:szCs w:val="19"/>
        </w:rPr>
        <w:t>Objective</w:t>
      </w:r>
      <w:proofErr w:type="spellEnd"/>
      <w:r>
        <w:rPr>
          <w:color w:val="000000"/>
          <w:sz w:val="19"/>
          <w:szCs w:val="19"/>
        </w:rPr>
        <w:t>)</w:t>
      </w:r>
    </w:p>
    <w:p w14:paraId="098EE0CF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Zależności pomiędzy procesami i systemami informatycznymi</w:t>
      </w:r>
    </w:p>
    <w:p w14:paraId="495319F3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Skutki finansowe, operacyjne i wizerunkowe zakłóceń</w:t>
      </w:r>
    </w:p>
    <w:p w14:paraId="14175453" w14:textId="77777777" w:rsidR="00E2486E" w:rsidRDefault="00000000">
      <w:pPr>
        <w:spacing w:before="120" w:after="40"/>
      </w:pPr>
      <w:r>
        <w:rPr>
          <w:b/>
          <w:bCs/>
          <w:color w:val="1F3864"/>
        </w:rPr>
        <w:t xml:space="preserve">3.2. Plan ciągłości działania (Business </w:t>
      </w:r>
      <w:proofErr w:type="spellStart"/>
      <w:r>
        <w:rPr>
          <w:b/>
          <w:bCs/>
          <w:color w:val="1F3864"/>
        </w:rPr>
        <w:t>Continuity</w:t>
      </w:r>
      <w:proofErr w:type="spellEnd"/>
      <w:r>
        <w:rPr>
          <w:b/>
          <w:bCs/>
          <w:color w:val="1F3864"/>
        </w:rPr>
        <w:t xml:space="preserve"> Plan — BCP)</w:t>
      </w:r>
    </w:p>
    <w:p w14:paraId="5E0AADD8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Scenariusze zakłóceń objęte planem (awaria systemu, incydent, katastrofa)</w:t>
      </w:r>
    </w:p>
    <w:p w14:paraId="5ABC326D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aktywacji planu ciągłości (kto, kiedy, w jaki sposób)</w:t>
      </w:r>
    </w:p>
    <w:p w14:paraId="00E75C37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Role i odpowiedzialności w sytuacji kryzysowej (Zespół Zarządzania Kryzysowego)</w:t>
      </w:r>
    </w:p>
    <w:p w14:paraId="46C94A93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komunikacji wewnętrznej i zewnętrznej w sytuacji kryzysowej</w:t>
      </w:r>
    </w:p>
    <w:p w14:paraId="333EC3C5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 xml:space="preserve">Procedury utrzymania usług w trybie awaryjnym (service </w:t>
      </w:r>
      <w:proofErr w:type="spellStart"/>
      <w:r>
        <w:rPr>
          <w:color w:val="000000"/>
          <w:sz w:val="19"/>
          <w:szCs w:val="19"/>
        </w:rPr>
        <w:t>degradation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procedures</w:t>
      </w:r>
      <w:proofErr w:type="spellEnd"/>
      <w:r>
        <w:rPr>
          <w:color w:val="000000"/>
          <w:sz w:val="19"/>
          <w:szCs w:val="19"/>
        </w:rPr>
        <w:t>)</w:t>
      </w:r>
    </w:p>
    <w:p w14:paraId="09E91DC2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przywrócenia normalnego działania (normalizacja)</w:t>
      </w:r>
    </w:p>
    <w:p w14:paraId="4F275000" w14:textId="77777777" w:rsidR="00E2486E" w:rsidRDefault="00000000">
      <w:pPr>
        <w:spacing w:before="120" w:after="40"/>
      </w:pPr>
      <w:r>
        <w:rPr>
          <w:b/>
          <w:bCs/>
          <w:color w:val="1F3864"/>
        </w:rPr>
        <w:t>3.3. Plan odtworzenia po awarii (</w:t>
      </w:r>
      <w:proofErr w:type="spellStart"/>
      <w:r>
        <w:rPr>
          <w:b/>
          <w:bCs/>
          <w:color w:val="1F3864"/>
        </w:rPr>
        <w:t>Disaster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Recovery</w:t>
      </w:r>
      <w:proofErr w:type="spellEnd"/>
      <w:r>
        <w:rPr>
          <w:b/>
          <w:bCs/>
          <w:color w:val="1F3864"/>
        </w:rPr>
        <w:t xml:space="preserve"> Plan — DRP)</w:t>
      </w:r>
    </w:p>
    <w:p w14:paraId="3234F68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odtworzenia systemów IT po awarii technicznej lub incydencie</w:t>
      </w:r>
    </w:p>
    <w:p w14:paraId="34E178EC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Instrukcje przywrócenia danych z kopii zapasowych</w:t>
      </w:r>
    </w:p>
    <w:p w14:paraId="48E8C93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Priorytety odtworzenia systemów (zgodnie z BIA)</w:t>
      </w:r>
    </w:p>
    <w:p w14:paraId="257BB712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lastRenderedPageBreak/>
        <w:t>Procedury testowania i weryfikacji odtworzonego środowiska</w:t>
      </w:r>
    </w:p>
    <w:p w14:paraId="162AE597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Lokalizacje zapasowe i wymogi techniczne dla środowiska odtworzeniowego</w:t>
      </w:r>
    </w:p>
    <w:p w14:paraId="06B6803D" w14:textId="77777777" w:rsidR="00E2486E" w:rsidRDefault="00000000">
      <w:pPr>
        <w:spacing w:before="120" w:after="40"/>
      </w:pPr>
      <w:r>
        <w:rPr>
          <w:b/>
          <w:bCs/>
          <w:color w:val="1F3864"/>
        </w:rPr>
        <w:t>3.4. Dokumentacja testów i ćwiczeń</w:t>
      </w:r>
    </w:p>
    <w:p w14:paraId="22626859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Harmonogram testów planów ciągłości działania</w:t>
      </w:r>
    </w:p>
    <w:p w14:paraId="3449DD0C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Protokoły z przeprowadzonych testów (</w:t>
      </w:r>
      <w:proofErr w:type="spellStart"/>
      <w:r>
        <w:rPr>
          <w:color w:val="000000"/>
          <w:sz w:val="19"/>
          <w:szCs w:val="19"/>
        </w:rPr>
        <w:t>tabletop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exercises</w:t>
      </w:r>
      <w:proofErr w:type="spellEnd"/>
      <w:r>
        <w:rPr>
          <w:color w:val="000000"/>
          <w:sz w:val="19"/>
          <w:szCs w:val="19"/>
        </w:rPr>
        <w:t>, testy rzeczywiste)</w:t>
      </w:r>
    </w:p>
    <w:p w14:paraId="10B1F07A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Wyniki testów z identyfikacją słabości i działaniami naprawczymi</w:t>
      </w:r>
    </w:p>
    <w:p w14:paraId="1563270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Potwierdzenia aktualizacji planów po przeprowadzonych testach</w:t>
      </w:r>
    </w:p>
    <w:p w14:paraId="17DC0B10" w14:textId="77777777" w:rsidR="00E2486E" w:rsidRDefault="00E2486E">
      <w:pPr>
        <w:spacing w:before="80"/>
      </w:pPr>
    </w:p>
    <w:tbl>
      <w:tblPr>
        <w:tblStyle w:val="a3"/>
        <w:tblW w:w="9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70"/>
      </w:tblGrid>
      <w:tr w:rsidR="00E2486E" w14:paraId="54344CA1" w14:textId="77777777">
        <w:tc>
          <w:tcPr>
            <w:tcW w:w="947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EAD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A1130A" w14:textId="77777777" w:rsidR="00E2486E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Wskazówka praktyczna</w:t>
            </w:r>
          </w:p>
          <w:p w14:paraId="1164699C" w14:textId="77777777" w:rsidR="00E2486E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>Plany ciągłości działania muszą być przetestowane przed ich przyjęciem, a następnie testowane regularnie (co najmniej raz na rok lub po istotnych zmianach infrastruktury). Wyniki testów stanowią dokumentację operacyjną.</w:t>
            </w:r>
          </w:p>
        </w:tc>
      </w:tr>
    </w:tbl>
    <w:p w14:paraId="756C96D9" w14:textId="77777777" w:rsidR="00E2486E" w:rsidRDefault="00E2486E">
      <w:pPr>
        <w:spacing w:before="160"/>
      </w:pPr>
    </w:p>
    <w:p w14:paraId="61E40548" w14:textId="77777777" w:rsidR="00E2486E" w:rsidRDefault="00000000">
      <w:pPr>
        <w:shd w:val="clear" w:color="auto" w:fill="1E6B2E"/>
        <w:spacing w:before="240"/>
      </w:pPr>
      <w:r>
        <w:rPr>
          <w:b/>
          <w:bCs/>
          <w:color w:val="FFFFFF"/>
          <w:sz w:val="22"/>
          <w:szCs w:val="22"/>
        </w:rPr>
        <w:t>4. Dokumentacja techniczna systemu informacyjnego</w:t>
      </w:r>
    </w:p>
    <w:p w14:paraId="03AB7E24" w14:textId="77777777" w:rsidR="00E2486E" w:rsidRDefault="00000000">
      <w:pPr>
        <w:shd w:val="clear" w:color="auto" w:fill="1E6B2E"/>
        <w:spacing w:after="160"/>
      </w:pPr>
      <w:r>
        <w:rPr>
          <w:i/>
          <w:iCs/>
          <w:color w:val="FFFFFF"/>
          <w:sz w:val="17"/>
          <w:szCs w:val="17"/>
        </w:rPr>
        <w:t>Podstawa prawna: art. 10 ust. 3 pkt 4 KSC</w:t>
      </w:r>
    </w:p>
    <w:p w14:paraId="6512DC87" w14:textId="77777777" w:rsidR="00E2486E" w:rsidRDefault="00000000">
      <w:pPr>
        <w:spacing w:before="60" w:after="60"/>
      </w:pPr>
      <w:r>
        <w:t>Dokumentacja techniczna opisuje system informacyjny od strony technologicznej. Obejmuje:</w:t>
      </w:r>
    </w:p>
    <w:p w14:paraId="1FA322C0" w14:textId="77777777" w:rsidR="00E2486E" w:rsidRDefault="00000000">
      <w:pPr>
        <w:spacing w:before="120" w:after="40"/>
      </w:pPr>
      <w:r>
        <w:rPr>
          <w:b/>
          <w:bCs/>
          <w:color w:val="1F3864"/>
        </w:rPr>
        <w:t>4.1. Architektura i konfiguracja systemów</w:t>
      </w:r>
    </w:p>
    <w:p w14:paraId="5078F551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Diagramy architektury systemu informacyjnego z wykazem komponentów</w:t>
      </w:r>
    </w:p>
    <w:p w14:paraId="4B680EE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Dokumentacja konfiguracji serwerów, urządzeń sieciowych i systemów bezpieczeństwa (</w:t>
      </w:r>
      <w:proofErr w:type="spellStart"/>
      <w:r>
        <w:rPr>
          <w:color w:val="000000"/>
          <w:sz w:val="19"/>
          <w:szCs w:val="19"/>
        </w:rPr>
        <w:t>baseline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configurations</w:t>
      </w:r>
      <w:proofErr w:type="spellEnd"/>
      <w:r>
        <w:rPr>
          <w:color w:val="000000"/>
          <w:sz w:val="19"/>
          <w:szCs w:val="19"/>
        </w:rPr>
        <w:t>)</w:t>
      </w:r>
    </w:p>
    <w:p w14:paraId="72106BA9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Schematy sieci z adresacją i segmentacją</w:t>
      </w:r>
    </w:p>
    <w:p w14:paraId="7AFF37FD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Opis integracji z systemami zewnętrznymi i API</w:t>
      </w:r>
    </w:p>
    <w:p w14:paraId="2C13E005" w14:textId="77777777" w:rsidR="00E2486E" w:rsidRDefault="00000000">
      <w:pPr>
        <w:spacing w:before="120" w:after="40"/>
      </w:pPr>
      <w:r>
        <w:rPr>
          <w:b/>
          <w:bCs/>
          <w:color w:val="1F3864"/>
        </w:rPr>
        <w:t>4.2. Inwentaryzacja aktywów ICT</w:t>
      </w:r>
    </w:p>
    <w:p w14:paraId="1185E41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Rejestr aktywów IT (sprzęt, oprogramowanie, licencje, dane)</w:t>
      </w:r>
    </w:p>
    <w:p w14:paraId="588B98F3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Klasyfikacja aktywów wg krytyczności dla świadczenia usługi</w:t>
      </w:r>
    </w:p>
    <w:p w14:paraId="7E777944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Wersje oprogramowania i daty wygaśnięcia wsparcia (</w:t>
      </w:r>
      <w:proofErr w:type="spellStart"/>
      <w:r>
        <w:rPr>
          <w:color w:val="000000"/>
          <w:sz w:val="19"/>
          <w:szCs w:val="19"/>
        </w:rPr>
        <w:t>EoL</w:t>
      </w:r>
      <w:proofErr w:type="spellEnd"/>
      <w:r>
        <w:rPr>
          <w:color w:val="000000"/>
          <w:sz w:val="19"/>
          <w:szCs w:val="19"/>
        </w:rPr>
        <w:t>/</w:t>
      </w:r>
      <w:proofErr w:type="spellStart"/>
      <w:r>
        <w:rPr>
          <w:color w:val="000000"/>
          <w:sz w:val="19"/>
          <w:szCs w:val="19"/>
        </w:rPr>
        <w:t>EoS</w:t>
      </w:r>
      <w:proofErr w:type="spellEnd"/>
      <w:r>
        <w:rPr>
          <w:color w:val="000000"/>
          <w:sz w:val="19"/>
          <w:szCs w:val="19"/>
        </w:rPr>
        <w:t>)</w:t>
      </w:r>
    </w:p>
    <w:p w14:paraId="4874217C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Właściciele aktywów</w:t>
      </w:r>
    </w:p>
    <w:p w14:paraId="2A356E96" w14:textId="77777777" w:rsidR="00E2486E" w:rsidRDefault="00000000">
      <w:pPr>
        <w:spacing w:before="120" w:after="40"/>
      </w:pPr>
      <w:r>
        <w:rPr>
          <w:b/>
          <w:bCs/>
          <w:color w:val="1F3864"/>
        </w:rPr>
        <w:t>4.3. Dokumentacja zarządzania zmianami i incydentami IT</w:t>
      </w:r>
    </w:p>
    <w:p w14:paraId="5EE0307B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zarządzania zmianami w systemie (</w:t>
      </w:r>
      <w:proofErr w:type="spellStart"/>
      <w:r>
        <w:rPr>
          <w:color w:val="000000"/>
          <w:sz w:val="19"/>
          <w:szCs w:val="19"/>
        </w:rPr>
        <w:t>change</w:t>
      </w:r>
      <w:proofErr w:type="spellEnd"/>
      <w:r>
        <w:rPr>
          <w:color w:val="000000"/>
          <w:sz w:val="19"/>
          <w:szCs w:val="19"/>
        </w:rPr>
        <w:t xml:space="preserve"> management)</w:t>
      </w:r>
    </w:p>
    <w:p w14:paraId="59B0BD2B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Dzienniki zmian z historią modyfikacji konfiguracji</w:t>
      </w:r>
    </w:p>
    <w:p w14:paraId="6C55F655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Procedury obsługi problemów technicznych</w:t>
      </w:r>
    </w:p>
    <w:p w14:paraId="38D8014F" w14:textId="77777777" w:rsidR="00E2486E" w:rsidRDefault="00000000">
      <w:pPr>
        <w:spacing w:before="120" w:after="40"/>
      </w:pPr>
      <w:r>
        <w:rPr>
          <w:b/>
          <w:bCs/>
          <w:color w:val="1F3864"/>
        </w:rPr>
        <w:t>4.4. Umowy i dokumentacja z dostawcami</w:t>
      </w:r>
    </w:p>
    <w:p w14:paraId="51B6F2DD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Umowy serwisowe i SLA z dostawcami systemów i usług IT</w:t>
      </w:r>
    </w:p>
    <w:p w14:paraId="728FE6D8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Dokumentacja techniczna dostarczona przez producenta/dostawcę</w:t>
      </w:r>
    </w:p>
    <w:p w14:paraId="1597CF27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</w:pPr>
      <w:r>
        <w:rPr>
          <w:color w:val="000000"/>
          <w:sz w:val="19"/>
          <w:szCs w:val="19"/>
        </w:rPr>
        <w:t>Kontrakty licencyjne na oprogramowanie</w:t>
      </w:r>
    </w:p>
    <w:p w14:paraId="7BF2C72F" w14:textId="77777777" w:rsidR="00E2486E" w:rsidRDefault="00E2486E">
      <w:pPr>
        <w:spacing w:before="80"/>
      </w:pPr>
    </w:p>
    <w:tbl>
      <w:tblPr>
        <w:tblStyle w:val="a4"/>
        <w:tblW w:w="9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0"/>
      </w:tblGrid>
      <w:tr w:rsidR="00E2486E" w14:paraId="3CD693F0" w14:textId="77777777">
        <w:tc>
          <w:tcPr>
            <w:tcW w:w="949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EAD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D042DF" w14:textId="77777777" w:rsidR="00E2486E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Wskazówka praktyczna</w:t>
            </w:r>
          </w:p>
          <w:p w14:paraId="6FA234F5" w14:textId="77777777" w:rsidR="00E2486E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>Dokumentacja techniczna powinna być aktualizowana po każdej zmianie w infrastrukturze lub oprogramowaniu. Stare wersje należy archiwizować zgodnie z art. 10 ust. 7.</w:t>
            </w:r>
          </w:p>
        </w:tc>
      </w:tr>
    </w:tbl>
    <w:p w14:paraId="0EF63EA0" w14:textId="77777777" w:rsidR="00E2486E" w:rsidRDefault="00E2486E">
      <w:pPr>
        <w:spacing w:before="160"/>
      </w:pPr>
    </w:p>
    <w:p w14:paraId="17CD2AD6" w14:textId="77777777" w:rsidR="00E2486E" w:rsidRDefault="00000000">
      <w:pPr>
        <w:shd w:val="clear" w:color="auto" w:fill="1E6B2E"/>
        <w:spacing w:before="240"/>
      </w:pPr>
      <w:r>
        <w:rPr>
          <w:b/>
          <w:bCs/>
          <w:color w:val="FFFFFF"/>
          <w:sz w:val="22"/>
          <w:szCs w:val="22"/>
        </w:rPr>
        <w:t>5. Dokumentacja wynikająca ze specyfiki sektora</w:t>
      </w:r>
    </w:p>
    <w:p w14:paraId="34F11BC0" w14:textId="77777777" w:rsidR="00E2486E" w:rsidRDefault="00000000">
      <w:pPr>
        <w:shd w:val="clear" w:color="auto" w:fill="1E6B2E"/>
        <w:spacing w:after="160"/>
      </w:pPr>
      <w:r>
        <w:rPr>
          <w:i/>
          <w:iCs/>
          <w:color w:val="FFFFFF"/>
          <w:sz w:val="17"/>
          <w:szCs w:val="17"/>
        </w:rPr>
        <w:t>Podstawa prawna: art. 10 ust. 3 pkt 5 KSC</w:t>
      </w:r>
    </w:p>
    <w:p w14:paraId="20C25D95" w14:textId="77777777" w:rsidR="00E2486E" w:rsidRDefault="00000000">
      <w:pPr>
        <w:spacing w:before="60" w:after="60"/>
        <w:jc w:val="both"/>
      </w:pPr>
      <w:r>
        <w:t>Oprócz dokumentacji opisanej w pkt 1–4, podmiot zobowiązany jest do prowadzenia dokumentacji wynikającej ze specyfiki sektora lub podsektora, w którym działa. Obejmuje m.in.:</w:t>
      </w:r>
    </w:p>
    <w:p w14:paraId="5B8CE5E2" w14:textId="77777777" w:rsidR="00E2486E" w:rsidRDefault="00000000">
      <w:pPr>
        <w:spacing w:before="120" w:after="40"/>
      </w:pPr>
      <w:r>
        <w:rPr>
          <w:b/>
          <w:bCs/>
          <w:color w:val="1F3864"/>
        </w:rPr>
        <w:t>Przykłady dokumentacji sektorowej</w:t>
      </w:r>
    </w:p>
    <w:p w14:paraId="475BF740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Dokumentacja wymagana przepisami sektorowymi (np. prawo energetyczne, wodne, bankowe, telekomunikacyjne)</w:t>
      </w:r>
    </w:p>
    <w:p w14:paraId="2E293E8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Plany ochrony infrastruktury krytycznej (jeśli podmiot jest jednocześnie operatorem infrastruktury krytycznej)</w:t>
      </w:r>
    </w:p>
    <w:p w14:paraId="7F506036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lastRenderedPageBreak/>
        <w:t>Procedury i raporty wymagane przez sektorowe organy nadzorcze</w:t>
      </w:r>
    </w:p>
    <w:p w14:paraId="4987E709" w14:textId="77777777" w:rsidR="00E248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after="30"/>
        <w:jc w:val="both"/>
      </w:pPr>
      <w:r>
        <w:rPr>
          <w:color w:val="000000"/>
          <w:sz w:val="19"/>
          <w:szCs w:val="19"/>
        </w:rPr>
        <w:t>Dokumentacja wymagana aktami wykonawczymi wydanymi na podstawie art. 8a KSC (o ile zostały wydane dla danego sektora)</w:t>
      </w:r>
    </w:p>
    <w:p w14:paraId="7DB72200" w14:textId="77777777" w:rsidR="00E2486E" w:rsidRDefault="00E2486E">
      <w:pPr>
        <w:spacing w:before="160"/>
      </w:pPr>
    </w:p>
    <w:p w14:paraId="75A0631E" w14:textId="77777777" w:rsidR="00E2486E" w:rsidRDefault="00E2486E">
      <w:pPr>
        <w:spacing w:before="200"/>
      </w:pPr>
    </w:p>
    <w:p w14:paraId="25075F53" w14:textId="77777777" w:rsidR="00E2486E" w:rsidRDefault="00000000">
      <w:pPr>
        <w:pStyle w:val="Nagwek1"/>
        <w:shd w:val="clear" w:color="auto" w:fill="1F3864"/>
      </w:pPr>
      <w:r>
        <w:t>CZĘŚĆ III — NADZÓR NAD DOKUMENTACJĄ (art. 10 ust. 6–8)</w:t>
      </w:r>
    </w:p>
    <w:p w14:paraId="26E0BC82" w14:textId="77777777" w:rsidR="00E2486E" w:rsidRDefault="00000000">
      <w:pPr>
        <w:spacing w:before="60" w:after="60"/>
      </w:pPr>
      <w:r>
        <w:t>Każdy podmiot jest obowiązany do ustanowienia nadzoru nad dokumentacją, który zapewnia:</w:t>
      </w:r>
    </w:p>
    <w:p w14:paraId="16AC9A66" w14:textId="77777777" w:rsidR="00E2486E" w:rsidRDefault="00E2486E">
      <w:pPr>
        <w:spacing w:before="80"/>
      </w:pPr>
    </w:p>
    <w:tbl>
      <w:tblPr>
        <w:tblStyle w:val="a5"/>
        <w:tblW w:w="9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470"/>
      </w:tblGrid>
      <w:tr w:rsidR="00E2486E" w14:paraId="0CDCC6E4" w14:textId="77777777">
        <w:trPr>
          <w:tblHeader/>
        </w:trPr>
        <w:tc>
          <w:tcPr>
            <w:tcW w:w="3000" w:type="dxa"/>
            <w:tcBorders>
              <w:top w:val="single" w:sz="4" w:space="0" w:color="1E6B2E"/>
              <w:left w:val="single" w:sz="4" w:space="0" w:color="1E6B2E"/>
              <w:bottom w:val="single" w:sz="4" w:space="0" w:color="1E6B2E"/>
              <w:right w:val="single" w:sz="4" w:space="0" w:color="1E6B2E"/>
            </w:tcBorders>
            <w:shd w:val="clear" w:color="auto" w:fill="1E6B2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C065B" w14:textId="77777777" w:rsidR="00E2486E" w:rsidRDefault="00000000">
            <w:r>
              <w:rPr>
                <w:b/>
                <w:bCs/>
                <w:color w:val="FFFFFF"/>
                <w:sz w:val="18"/>
                <w:szCs w:val="18"/>
              </w:rPr>
              <w:t>WYMÓG (art. 10 ust. 6)</w:t>
            </w:r>
          </w:p>
        </w:tc>
        <w:tc>
          <w:tcPr>
            <w:tcW w:w="6470" w:type="dxa"/>
            <w:tcBorders>
              <w:top w:val="single" w:sz="4" w:space="0" w:color="1E6B2E"/>
              <w:left w:val="single" w:sz="4" w:space="0" w:color="1E6B2E"/>
              <w:bottom w:val="single" w:sz="4" w:space="0" w:color="1E6B2E"/>
              <w:right w:val="single" w:sz="4" w:space="0" w:color="1E6B2E"/>
            </w:tcBorders>
            <w:shd w:val="clear" w:color="auto" w:fill="1E6B2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CBFF4" w14:textId="77777777" w:rsidR="00E2486E" w:rsidRDefault="00000000">
            <w:r>
              <w:rPr>
                <w:b/>
                <w:bCs/>
                <w:color w:val="FFFFFF"/>
                <w:sz w:val="18"/>
                <w:szCs w:val="18"/>
              </w:rPr>
              <w:t>CO NALEŻY OPISAĆ / WDROŻYĆ W DOKUMENTACJI</w:t>
            </w:r>
          </w:p>
        </w:tc>
      </w:tr>
      <w:tr w:rsidR="00E2486E" w14:paraId="152AC529" w14:textId="77777777"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C6C4BD" w14:textId="77777777" w:rsidR="00E2486E" w:rsidRDefault="00000000">
            <w:r>
              <w:rPr>
                <w:b/>
                <w:bCs/>
                <w:color w:val="1F3864"/>
                <w:sz w:val="18"/>
                <w:szCs w:val="18"/>
              </w:rPr>
              <w:t>Dostępność wyłącznie dla upoważnionych (pkt 1)</w:t>
            </w:r>
          </w:p>
        </w:tc>
        <w:tc>
          <w:tcPr>
            <w:tcW w:w="64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64B12" w14:textId="77777777" w:rsidR="00E2486E" w:rsidRDefault="00000000">
            <w:pPr>
              <w:jc w:val="both"/>
            </w:pPr>
            <w:r>
              <w:rPr>
                <w:sz w:val="18"/>
                <w:szCs w:val="18"/>
              </w:rPr>
              <w:t>Polityka nadzoru nad dokumentacją określa: kto ma dostęp do jakich dokumentów, w jaki sposób dostęp jest nadawany i cofany, jak są przechowywane dokumenty elektroniczne (uprawnienia do folderów, system DMS) i papierowe.</w:t>
            </w:r>
          </w:p>
        </w:tc>
      </w:tr>
      <w:tr w:rsidR="00E2486E" w14:paraId="4A1BFBAA" w14:textId="77777777"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A84A5" w14:textId="77777777" w:rsidR="00E2486E" w:rsidRDefault="00000000">
            <w:r>
              <w:rPr>
                <w:b/>
                <w:bCs/>
                <w:color w:val="1F3864"/>
                <w:sz w:val="18"/>
                <w:szCs w:val="18"/>
              </w:rPr>
              <w:t>Ochrona przed uszkodzeniem, zniszczeniem, utratą (pkt 2)</w:t>
            </w:r>
          </w:p>
        </w:tc>
        <w:tc>
          <w:tcPr>
            <w:tcW w:w="64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F841B" w14:textId="77777777" w:rsidR="00E2486E" w:rsidRDefault="00000000">
            <w:pPr>
              <w:jc w:val="both"/>
            </w:pPr>
            <w:r>
              <w:rPr>
                <w:sz w:val="18"/>
                <w:szCs w:val="18"/>
              </w:rPr>
              <w:t>Opisać: sposób archiwizacji i backupu dokumentacji elektronicznej, warunki przechowywania dokumentów papierowych (sejfy, szafy zamykane), środki ochrony przed nieuprawnionym dostępem.</w:t>
            </w:r>
          </w:p>
        </w:tc>
      </w:tr>
      <w:tr w:rsidR="00E2486E" w14:paraId="7E30D1C9" w14:textId="77777777"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28C57" w14:textId="77777777" w:rsidR="00E2486E" w:rsidRDefault="00000000">
            <w:r>
              <w:rPr>
                <w:b/>
                <w:bCs/>
                <w:color w:val="1F3864"/>
                <w:sz w:val="18"/>
                <w:szCs w:val="18"/>
              </w:rPr>
              <w:t>Oznaczanie wersji dokumentów (pkt 3)</w:t>
            </w:r>
          </w:p>
        </w:tc>
        <w:tc>
          <w:tcPr>
            <w:tcW w:w="64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EA871" w14:textId="77777777" w:rsidR="00E2486E" w:rsidRDefault="00000000">
            <w:pPr>
              <w:jc w:val="both"/>
            </w:pPr>
            <w:r>
              <w:rPr>
                <w:sz w:val="18"/>
                <w:szCs w:val="18"/>
              </w:rPr>
              <w:t>Opisać system wersjonowania: sposób numeracji wersji (np. v1.0, v1.1), obowiązek opisu zmian w historii dokumentu (</w:t>
            </w:r>
            <w:proofErr w:type="spellStart"/>
            <w:r>
              <w:rPr>
                <w:sz w:val="18"/>
                <w:szCs w:val="18"/>
              </w:rPr>
              <w:t>change</w:t>
            </w:r>
            <w:proofErr w:type="spellEnd"/>
            <w:r>
              <w:rPr>
                <w:sz w:val="18"/>
                <w:szCs w:val="18"/>
              </w:rPr>
              <w:t xml:space="preserve"> log), wymagania co do pól metadanych (wersja, data, zatwierdzający).Dopuszcza się systemy automatycznie </w:t>
            </w:r>
            <w:proofErr w:type="spellStart"/>
            <w:r>
              <w:rPr>
                <w:sz w:val="18"/>
                <w:szCs w:val="18"/>
              </w:rPr>
              <w:t>wersjonujace</w:t>
            </w:r>
            <w:proofErr w:type="spellEnd"/>
            <w:r>
              <w:rPr>
                <w:sz w:val="18"/>
                <w:szCs w:val="18"/>
              </w:rPr>
              <w:t xml:space="preserve"> dokumenty</w:t>
            </w:r>
          </w:p>
        </w:tc>
      </w:tr>
      <w:tr w:rsidR="00E2486E" w14:paraId="73D8F23A" w14:textId="77777777"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D0AF3" w14:textId="77777777" w:rsidR="00E2486E" w:rsidRDefault="00000000">
            <w:r>
              <w:rPr>
                <w:b/>
                <w:bCs/>
                <w:color w:val="1F3864"/>
                <w:sz w:val="18"/>
                <w:szCs w:val="18"/>
              </w:rPr>
              <w:t>Przechowywanie przez min. 2 lata po wycofaniu (ust. 7)</w:t>
            </w:r>
          </w:p>
        </w:tc>
        <w:tc>
          <w:tcPr>
            <w:tcW w:w="64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9DABA" w14:textId="77777777" w:rsidR="00E2486E" w:rsidRDefault="00000000">
            <w:pPr>
              <w:jc w:val="both"/>
            </w:pPr>
            <w:r>
              <w:rPr>
                <w:sz w:val="18"/>
                <w:szCs w:val="18"/>
              </w:rPr>
              <w:t>Określić procedurę archiwizacji dokumentów wycofanych z użycia, z minimalnym terminem przechowywania 2 lat liczonym od 1 stycznia roku następnego po roku wycofania.</w:t>
            </w:r>
          </w:p>
        </w:tc>
      </w:tr>
      <w:tr w:rsidR="00E2486E" w14:paraId="0D8F12C2" w14:textId="77777777">
        <w:tc>
          <w:tcPr>
            <w:tcW w:w="3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D18132" w14:textId="77777777" w:rsidR="00E2486E" w:rsidRDefault="00000000">
            <w:r>
              <w:rPr>
                <w:b/>
                <w:bCs/>
                <w:color w:val="1F3864"/>
                <w:sz w:val="18"/>
                <w:szCs w:val="18"/>
              </w:rPr>
              <w:t>Protokół brakowania (ust. 8)</w:t>
            </w:r>
          </w:p>
        </w:tc>
        <w:tc>
          <w:tcPr>
            <w:tcW w:w="64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64B2E" w14:textId="77777777" w:rsidR="00E2486E" w:rsidRDefault="00000000">
            <w:pPr>
              <w:jc w:val="both"/>
            </w:pPr>
            <w:r>
              <w:rPr>
                <w:sz w:val="18"/>
                <w:szCs w:val="18"/>
              </w:rPr>
              <w:t>Opisać procedurę niszczenia dokumentów zawierającą: formularz protokołu brakowania (data, oznaczenie, sposób niszczenia, podpis zatwierdzającego), wymóg trwałego przechowywania protokołów brakowania.</w:t>
            </w:r>
          </w:p>
        </w:tc>
      </w:tr>
    </w:tbl>
    <w:p w14:paraId="44CF574C" w14:textId="77777777" w:rsidR="00E2486E" w:rsidRDefault="00E2486E">
      <w:pPr>
        <w:spacing w:before="200"/>
      </w:pPr>
    </w:p>
    <w:tbl>
      <w:tblPr>
        <w:tblStyle w:val="a6"/>
        <w:tblW w:w="94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39"/>
      </w:tblGrid>
      <w:tr w:rsidR="00E2486E" w14:paraId="3E031F3D" w14:textId="77777777">
        <w:tc>
          <w:tcPr>
            <w:tcW w:w="94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54C8A3" w14:textId="77777777" w:rsidR="00E2486E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Uwaga prawna</w:t>
            </w:r>
          </w:p>
          <w:p w14:paraId="0CA200BE" w14:textId="77777777" w:rsidR="00E2486E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>Niniejszy dokument ma charakter pomocniczy i nie zastępuje stosowania przepisów prawa. Podmioty objęte regulacją powinny weryfikować aktualne brzmienie ustawy i stosować się do wytycznych właściwych organów nadzorczych.</w:t>
            </w:r>
          </w:p>
        </w:tc>
      </w:tr>
    </w:tbl>
    <w:p w14:paraId="18D23311" w14:textId="77777777" w:rsidR="00E2486E" w:rsidRDefault="00E248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E2486E">
      <w:headerReference w:type="default" r:id="rId7"/>
      <w:footerReference w:type="default" r:id="rId8"/>
      <w:pgSz w:w="11906" w:h="16838"/>
      <w:pgMar w:top="1200" w:right="1200" w:bottom="1200" w:left="12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E254" w14:textId="77777777" w:rsidR="00B3213A" w:rsidRDefault="00B3213A">
      <w:r>
        <w:separator/>
      </w:r>
    </w:p>
  </w:endnote>
  <w:endnote w:type="continuationSeparator" w:id="0">
    <w:p w14:paraId="39B7A51A" w14:textId="77777777" w:rsidR="00B3213A" w:rsidRDefault="00B3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C7973CF-0851-444B-83A0-AB8DF272943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2B2CD2B-E979-49F7-B5DC-E032833C2B3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46807A8-F169-4012-9B78-EAE83CA59E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DB67" w14:textId="77777777" w:rsidR="00E2486E" w:rsidRDefault="00000000">
    <w:pPr>
      <w:pBdr>
        <w:top w:val="single" w:sz="4" w:space="1" w:color="1E6B2E"/>
      </w:pBdr>
      <w:jc w:val="center"/>
    </w:pPr>
    <w:r>
      <w:rPr>
        <w:color w:val="888888"/>
        <w:sz w:val="16"/>
        <w:szCs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376FD2">
      <w:rPr>
        <w:noProof/>
      </w:rPr>
      <w:t>1</w:t>
    </w:r>
    <w:r>
      <w:fldChar w:fldCharType="end"/>
    </w:r>
    <w:r>
      <w:rPr>
        <w:color w:val="888888"/>
        <w:sz w:val="16"/>
        <w:szCs w:val="16"/>
      </w:rPr>
      <w:t xml:space="preserve"> | Dokument pomocniczy — nie zastępuje stosowania przepisów prawa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D76E5" w14:textId="77777777" w:rsidR="00B3213A" w:rsidRDefault="00B3213A">
      <w:r>
        <w:separator/>
      </w:r>
    </w:p>
  </w:footnote>
  <w:footnote w:type="continuationSeparator" w:id="0">
    <w:p w14:paraId="2B1F8F11" w14:textId="77777777" w:rsidR="00B3213A" w:rsidRDefault="00B32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C901" w14:textId="77777777" w:rsidR="00E2486E" w:rsidRDefault="00000000">
    <w:pPr>
      <w:pBdr>
        <w:bottom w:val="single" w:sz="4" w:space="1" w:color="1E6B2E"/>
      </w:pBdr>
      <w:spacing w:after="80"/>
    </w:pPr>
    <w:r>
      <w:rPr>
        <w:color w:val="888888"/>
        <w:sz w:val="16"/>
        <w:szCs w:val="16"/>
      </w:rPr>
      <w:t>DOKUMENTACJA NORMATYWNA KSC | Art. 10 | Ustawa o krajowym systemie cyberbezpieczeństwa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9557C"/>
    <w:multiLevelType w:val="multilevel"/>
    <w:tmpl w:val="0AE0965C"/>
    <w:lvl w:ilvl="0">
      <w:start w:val="1"/>
      <w:numFmt w:val="bullet"/>
      <w:lvlText w:val="○"/>
      <w:lvlJc w:val="left"/>
      <w:pPr>
        <w:ind w:left="90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90683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86E"/>
    <w:rsid w:val="00376FD2"/>
    <w:rsid w:val="00B3213A"/>
    <w:rsid w:val="00BA0890"/>
    <w:rsid w:val="00E2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DF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80"/>
      <w:outlineLvl w:val="0"/>
    </w:pPr>
    <w:rPr>
      <w:b/>
      <w:bCs/>
      <w:color w:val="FFFFFF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20"/>
      <w:outlineLvl w:val="1"/>
    </w:pPr>
    <w:rPr>
      <w:b/>
      <w:bCs/>
      <w:color w:val="1F3864"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b/>
      <w:bCs/>
      <w:color w:val="2E75B6"/>
      <w:sz w:val="22"/>
      <w:szCs w:val="22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76F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6FD2"/>
  </w:style>
  <w:style w:type="paragraph" w:styleId="Stopka">
    <w:name w:val="footer"/>
    <w:basedOn w:val="Normalny"/>
    <w:link w:val="StopkaZnak"/>
    <w:uiPriority w:val="99"/>
    <w:unhideWhenUsed/>
    <w:rsid w:val="00376F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6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1936</Words>
  <Characters>11620</Characters>
  <Application>Microsoft Office Word</Application>
  <DocSecurity>0</DocSecurity>
  <Lines>96</Lines>
  <Paragraphs>27</Paragraphs>
  <ScaleCrop>false</ScaleCrop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2026-07-23T13:30:00Z</dcterms:created>
  <dcterms:modified xsi:type="dcterms:W3CDTF">2026-07-23T13:30:00Z</dcterms:modified>
</cp:coreProperties>
</file>