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4688" w14:textId="6A62E1A2" w:rsidR="00D33902" w:rsidRDefault="003B1A30" w:rsidP="00D33902">
      <w:pPr>
        <w:pStyle w:val="Objanieniapodatkowe"/>
        <w:jc w:val="both"/>
      </w:pPr>
      <w:r w:rsidRPr="003718B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2ED980F" wp14:editId="360CB3C4">
            <wp:simplePos x="0" y="0"/>
            <wp:positionH relativeFrom="column">
              <wp:posOffset>-1270</wp:posOffset>
            </wp:positionH>
            <wp:positionV relativeFrom="paragraph">
              <wp:posOffset>422910</wp:posOffset>
            </wp:positionV>
            <wp:extent cx="2667000" cy="2335947"/>
            <wp:effectExtent l="0" t="0" r="0" b="127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3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5C951" w14:textId="6FBABFF4" w:rsidR="00D33902" w:rsidRDefault="00D33902" w:rsidP="00D33902">
      <w:pPr>
        <w:pStyle w:val="Objanieniapodatkowe"/>
        <w:jc w:val="both"/>
      </w:pPr>
    </w:p>
    <w:p w14:paraId="6F68F034" w14:textId="563CA418" w:rsidR="00D33902" w:rsidRDefault="00D33902" w:rsidP="00D33902">
      <w:pPr>
        <w:pStyle w:val="Objanieniapodatkowe"/>
        <w:jc w:val="both"/>
      </w:pPr>
    </w:p>
    <w:p w14:paraId="27D3FB8B" w14:textId="77777777" w:rsidR="00D33902" w:rsidRDefault="00D33902" w:rsidP="00D33902">
      <w:pPr>
        <w:pStyle w:val="Objanieniapodatkowe"/>
        <w:jc w:val="both"/>
      </w:pPr>
    </w:p>
    <w:p w14:paraId="0A65D8B1" w14:textId="3F8170B6" w:rsidR="00D33902" w:rsidRDefault="00D33902" w:rsidP="00D33902">
      <w:pPr>
        <w:pStyle w:val="Objanieniapodatkowe"/>
        <w:jc w:val="both"/>
      </w:pPr>
    </w:p>
    <w:p w14:paraId="50542E2D" w14:textId="14C6E503" w:rsidR="003718B3" w:rsidRDefault="003B1A30" w:rsidP="00D33902">
      <w:pPr>
        <w:pStyle w:val="Objanieniapodatkowe"/>
        <w:jc w:val="both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EDE719" wp14:editId="69C4F821">
                <wp:extent cx="5759450" cy="2370455"/>
                <wp:effectExtent l="0" t="0" r="0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37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E378" w14:textId="77777777" w:rsidR="003B1A30" w:rsidRPr="006B69DB" w:rsidRDefault="003B1A30" w:rsidP="003B1A30">
                            <w:pPr>
                              <w:pStyle w:val="Objanieniapodatkowe"/>
                            </w:pPr>
                            <w:r w:rsidRPr="006B69DB">
                              <w:t>Objaśnienia podatkowe</w:t>
                            </w:r>
                          </w:p>
                          <w:p w14:paraId="7D356083" w14:textId="6271B7D1" w:rsidR="003B1A30" w:rsidRDefault="003B1A30" w:rsidP="003B1A30">
                            <w:pPr>
                              <w:pStyle w:val="dataobjanienia"/>
                              <w:jc w:val="both"/>
                            </w:pPr>
                            <w:r w:rsidRPr="008C1D4B">
                              <w:t xml:space="preserve">z </w:t>
                            </w:r>
                            <w:r w:rsidR="003857BC">
                              <w:t xml:space="preserve">  </w:t>
                            </w:r>
                            <w:r w:rsidR="00026EA2">
                              <w:t>xx</w:t>
                            </w:r>
                            <w:r w:rsidR="003857BC">
                              <w:t xml:space="preserve">  lutego</w:t>
                            </w:r>
                            <w:r w:rsidR="005A0AF5" w:rsidRPr="008C1D4B">
                              <w:t xml:space="preserve"> </w:t>
                            </w:r>
                            <w:r w:rsidRPr="008C1D4B">
                              <w:t>202</w:t>
                            </w:r>
                            <w:r w:rsidR="005A0AF5" w:rsidRPr="008C1D4B">
                              <w:t>6</w:t>
                            </w:r>
                            <w:r w:rsidRPr="008C1D4B">
                              <w:t xml:space="preserve"> r.</w:t>
                            </w:r>
                          </w:p>
                          <w:p w14:paraId="03C46D57" w14:textId="77777777" w:rsidR="003B1A30" w:rsidRDefault="003B1A30" w:rsidP="003B1A30">
                            <w:pPr>
                              <w:pStyle w:val="Objanianezagadnienie"/>
                              <w:jc w:val="both"/>
                            </w:pPr>
                          </w:p>
                          <w:p w14:paraId="21A35DE0" w14:textId="4908949B" w:rsidR="003B1A30" w:rsidRDefault="00D00DF3" w:rsidP="00D00DF3">
                            <w:pPr>
                              <w:pStyle w:val="Objanianezagadnienie"/>
                              <w:jc w:val="both"/>
                            </w:pPr>
                            <w:r w:rsidRPr="00D00DF3">
                              <w:t xml:space="preserve">dotyczące  </w:t>
                            </w:r>
                            <w:r w:rsidR="003857BC">
                              <w:t>stosowania zwolnienia od podatku od towarów i usług dostaw</w:t>
                            </w:r>
                            <w:r w:rsidR="006A58B3">
                              <w:t xml:space="preserve"> </w:t>
                            </w:r>
                            <w:r w:rsidR="003857BC">
                              <w:t>towarów</w:t>
                            </w:r>
                            <w:r w:rsidRPr="00D00DF3">
                              <w:t xml:space="preserve"> </w:t>
                            </w:r>
                            <w:r w:rsidR="00D94E67" w:rsidRPr="00D94E67">
                              <w:t>związanych z obronnością</w:t>
                            </w:r>
                            <w:r w:rsidR="00FE473F">
                              <w:t>,</w:t>
                            </w:r>
                            <w:r w:rsidR="00D94E67" w:rsidRPr="00D94E67">
                              <w:t xml:space="preserve"> dokonywan</w:t>
                            </w:r>
                            <w:r w:rsidR="00D94E67">
                              <w:t>ych</w:t>
                            </w:r>
                            <w:r w:rsidR="00D94E67" w:rsidRPr="00D94E67">
                              <w:t xml:space="preserve"> w ramach zamówień wspieranych ze środków instrumentu SAFE</w:t>
                            </w:r>
                          </w:p>
                          <w:p w14:paraId="135527DB" w14:textId="77777777" w:rsidR="003B1A30" w:rsidRDefault="003B1A30" w:rsidP="003B1A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EDE7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5pt;height:18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" filled="f" stroked="f">
                <v:textbox style="mso-fit-shape-to-text:t">
                  <w:txbxContent>
                    <w:p w14:paraId="5B3AE378" w14:textId="77777777" w:rsidR="003B1A30" w:rsidRPr="006B69DB" w:rsidRDefault="003B1A30" w:rsidP="003B1A30">
                      <w:pPr>
                        <w:pStyle w:val="Objanieniapodatkowe"/>
                      </w:pPr>
                      <w:r w:rsidRPr="006B69DB">
                        <w:t>Objaśnienia podatkowe</w:t>
                      </w:r>
                    </w:p>
                    <w:p w14:paraId="7D356083" w14:textId="6271B7D1" w:rsidR="003B1A30" w:rsidRDefault="003B1A30" w:rsidP="003B1A30">
                      <w:pPr>
                        <w:pStyle w:val="dataobjanienia"/>
                        <w:jc w:val="both"/>
                      </w:pPr>
                      <w:r w:rsidRPr="008C1D4B">
                        <w:t xml:space="preserve">z </w:t>
                      </w:r>
                      <w:r w:rsidR="003857BC">
                        <w:t xml:space="preserve">  </w:t>
                      </w:r>
                      <w:r w:rsidR="00026EA2">
                        <w:t>xx</w:t>
                      </w:r>
                      <w:r w:rsidR="003857BC">
                        <w:t xml:space="preserve">  lutego</w:t>
                      </w:r>
                      <w:r w:rsidR="005A0AF5" w:rsidRPr="008C1D4B">
                        <w:t xml:space="preserve"> </w:t>
                      </w:r>
                      <w:r w:rsidRPr="008C1D4B">
                        <w:t>202</w:t>
                      </w:r>
                      <w:r w:rsidR="005A0AF5" w:rsidRPr="008C1D4B">
                        <w:t>6</w:t>
                      </w:r>
                      <w:r w:rsidRPr="008C1D4B">
                        <w:t xml:space="preserve"> r.</w:t>
                      </w:r>
                    </w:p>
                    <w:p w14:paraId="03C46D57" w14:textId="77777777" w:rsidR="003B1A30" w:rsidRDefault="003B1A30" w:rsidP="003B1A30">
                      <w:pPr>
                        <w:pStyle w:val="Objanianezagadnienie"/>
                        <w:jc w:val="both"/>
                      </w:pPr>
                    </w:p>
                    <w:p w14:paraId="21A35DE0" w14:textId="4908949B" w:rsidR="003B1A30" w:rsidRDefault="00D00DF3" w:rsidP="00D00DF3">
                      <w:pPr>
                        <w:pStyle w:val="Objanianezagadnienie"/>
                        <w:jc w:val="both"/>
                      </w:pPr>
                      <w:r w:rsidRPr="00D00DF3">
                        <w:t xml:space="preserve">dotyczące  </w:t>
                      </w:r>
                      <w:r w:rsidR="003857BC">
                        <w:t>stosowania zwolnienia od podatku od towarów i usług dostaw</w:t>
                      </w:r>
                      <w:r w:rsidR="006A58B3">
                        <w:t xml:space="preserve"> </w:t>
                      </w:r>
                      <w:r w:rsidR="003857BC">
                        <w:t>towarów</w:t>
                      </w:r>
                      <w:r w:rsidRPr="00D00DF3">
                        <w:t xml:space="preserve"> </w:t>
                      </w:r>
                      <w:r w:rsidR="00D94E67" w:rsidRPr="00D94E67">
                        <w:t>związanych z obronnością</w:t>
                      </w:r>
                      <w:r w:rsidR="00FE473F">
                        <w:t>,</w:t>
                      </w:r>
                      <w:r w:rsidR="00D94E67" w:rsidRPr="00D94E67">
                        <w:t xml:space="preserve"> dokonywan</w:t>
                      </w:r>
                      <w:r w:rsidR="00D94E67">
                        <w:t>ych</w:t>
                      </w:r>
                      <w:r w:rsidR="00D94E67" w:rsidRPr="00D94E67">
                        <w:t xml:space="preserve"> w ramach zamówień wspieranych ze środków instrumentu SAFE</w:t>
                      </w:r>
                    </w:p>
                    <w:p w14:paraId="135527DB" w14:textId="77777777" w:rsidR="003B1A30" w:rsidRDefault="003B1A30" w:rsidP="003B1A30"/>
                  </w:txbxContent>
                </v:textbox>
                <w10:anchorlock/>
              </v:shape>
            </w:pict>
          </mc:Fallback>
        </mc:AlternateContent>
      </w:r>
    </w:p>
    <w:p w14:paraId="487C51B6" w14:textId="0D366522" w:rsidR="007843A9" w:rsidRDefault="007843A9" w:rsidP="006B69DB">
      <w:pPr>
        <w:pStyle w:val="Objanieniapodatkowe"/>
        <w:jc w:val="both"/>
      </w:pPr>
    </w:p>
    <w:p w14:paraId="4AA4E821" w14:textId="77777777" w:rsidR="00AA5B75" w:rsidRDefault="00AA5B75" w:rsidP="009C0B1C">
      <w:pPr>
        <w:tabs>
          <w:tab w:val="left" w:pos="3780"/>
        </w:tabs>
      </w:pPr>
    </w:p>
    <w:p w14:paraId="081FD6D6" w14:textId="77777777" w:rsidR="00AA5B75" w:rsidRDefault="00AA5B75" w:rsidP="009C0B1C">
      <w:pPr>
        <w:tabs>
          <w:tab w:val="left" w:pos="3780"/>
        </w:tabs>
      </w:pPr>
    </w:p>
    <w:p w14:paraId="2D45D97D" w14:textId="77777777" w:rsidR="00AA5B75" w:rsidRDefault="00AA5B75" w:rsidP="009C0B1C">
      <w:pPr>
        <w:tabs>
          <w:tab w:val="left" w:pos="3780"/>
        </w:tabs>
      </w:pPr>
    </w:p>
    <w:sdt>
      <w:sdtPr>
        <w:rPr>
          <w:rFonts w:asciiTheme="minorHAnsi" w:eastAsiaTheme="minorHAnsi" w:hAnsiTheme="minorHAnsi" w:cstheme="minorBidi"/>
          <w:color w:val="B5121B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5F126713" w14:textId="6DCCF19C" w:rsidR="004A0A8C" w:rsidRPr="004A0A8C" w:rsidRDefault="004A0A8C">
          <w:pPr>
            <w:pStyle w:val="Nagwekspisutreci"/>
            <w:rPr>
              <w:color w:val="B5121B"/>
            </w:rPr>
          </w:pPr>
          <w:r w:rsidRPr="004A0A8C">
            <w:rPr>
              <w:color w:val="B5121B"/>
            </w:rPr>
            <w:t>Spis treści</w:t>
          </w:r>
        </w:p>
        <w:p w14:paraId="355909C5" w14:textId="77777777" w:rsidR="00C35C26" w:rsidRDefault="00DD5A53" w:rsidP="00073A1D">
          <w:pPr>
            <w:pStyle w:val="Spistreci1"/>
          </w:pPr>
          <w:r>
            <w:t xml:space="preserve"> </w:t>
          </w:r>
          <w:r w:rsidR="004A0A8C">
            <w:fldChar w:fldCharType="begin"/>
          </w:r>
          <w:r w:rsidR="004A0A8C">
            <w:instrText xml:space="preserve"> TOC \o "1-3" \h \z \u </w:instrText>
          </w:r>
          <w:r w:rsidR="004A0A8C">
            <w:fldChar w:fldCharType="separate"/>
          </w:r>
        </w:p>
        <w:p w14:paraId="33D89DD0" w14:textId="6CFA6FB9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2" w:history="1">
            <w:r w:rsidR="00C35C26" w:rsidRPr="00073A1D">
              <w:rPr>
                <w:rStyle w:val="Hipercze"/>
                <w:b w:val="0"/>
                <w:bCs w:val="0"/>
              </w:rPr>
              <w:t>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Czego dotyczą objaśnienia?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_Toc221111812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3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82B06D6" w14:textId="23041B9F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3" w:history="1">
            <w:r w:rsidR="00C35C26" w:rsidRPr="00073A1D">
              <w:rPr>
                <w:rStyle w:val="Hipercze"/>
                <w:b w:val="0"/>
                <w:bCs w:val="0"/>
              </w:rPr>
              <w:t>II.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Instrument SAFE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_Toc221111813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3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45B20427" w14:textId="7FB573BD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4" w:history="1">
            <w:r w:rsidR="00C35C26" w:rsidRPr="00073A1D">
              <w:rPr>
                <w:rStyle w:val="Hipercze"/>
                <w:b w:val="0"/>
                <w:bCs w:val="0"/>
              </w:rPr>
              <w:t>III.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Przepisy podatkowe objęte zakresem objaśnień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_Toc221111814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3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59561FC9" w14:textId="1C21E5E8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5" w:history="1">
            <w:r w:rsidR="00C35C26" w:rsidRPr="00073A1D">
              <w:rPr>
                <w:rStyle w:val="Hipercze"/>
                <w:b w:val="0"/>
                <w:bCs w:val="0"/>
              </w:rPr>
              <w:t>IV.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Zwolnienie od VAT transakcji, których przedmiotem są produkty związane z obronnością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_Toc221111815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4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580E5722" w14:textId="74924441" w:rsidR="00C35C26" w:rsidRPr="00073A1D" w:rsidRDefault="00367BD3">
          <w:pPr>
            <w:pStyle w:val="Spistreci2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21111816" w:history="1">
            <w:r w:rsidR="00C35C26" w:rsidRPr="00073A1D">
              <w:rPr>
                <w:rStyle w:val="Hipercze"/>
                <w:noProof/>
              </w:rPr>
              <w:t>1.</w:t>
            </w:r>
            <w:r w:rsidR="00C35C26" w:rsidRPr="00073A1D">
              <w:rPr>
                <w:rFonts w:eastAsiaTheme="minorEastAsia"/>
                <w:noProof/>
                <w:lang w:eastAsia="pl-PL"/>
              </w:rPr>
              <w:tab/>
            </w:r>
            <w:r w:rsidR="00C35C26" w:rsidRPr="00073A1D">
              <w:rPr>
                <w:rStyle w:val="Hipercze"/>
                <w:noProof/>
              </w:rPr>
              <w:t>Warunki stosowania zwolnienia od VAT</w:t>
            </w:r>
            <w:r w:rsidR="00C35C26" w:rsidRPr="00073A1D">
              <w:rPr>
                <w:noProof/>
                <w:webHidden/>
              </w:rPr>
              <w:tab/>
            </w:r>
            <w:r w:rsidR="00C35C26" w:rsidRPr="00073A1D">
              <w:rPr>
                <w:noProof/>
                <w:webHidden/>
              </w:rPr>
              <w:fldChar w:fldCharType="begin"/>
            </w:r>
            <w:r w:rsidR="00C35C26" w:rsidRPr="00073A1D">
              <w:rPr>
                <w:noProof/>
                <w:webHidden/>
              </w:rPr>
              <w:instrText xml:space="preserve"> PAGEREF _Toc221111816 \h </w:instrText>
            </w:r>
            <w:r w:rsidR="00C35C26" w:rsidRPr="00073A1D">
              <w:rPr>
                <w:noProof/>
                <w:webHidden/>
              </w:rPr>
            </w:r>
            <w:r w:rsidR="00C35C26" w:rsidRPr="00073A1D">
              <w:rPr>
                <w:noProof/>
                <w:webHidden/>
              </w:rPr>
              <w:fldChar w:fldCharType="separate"/>
            </w:r>
            <w:r w:rsidR="00C35C26" w:rsidRPr="00073A1D">
              <w:rPr>
                <w:noProof/>
                <w:webHidden/>
              </w:rPr>
              <w:t>4</w:t>
            </w:r>
            <w:r w:rsidR="00C35C26" w:rsidRPr="00073A1D">
              <w:rPr>
                <w:noProof/>
                <w:webHidden/>
              </w:rPr>
              <w:fldChar w:fldCharType="end"/>
            </w:r>
          </w:hyperlink>
        </w:p>
        <w:p w14:paraId="39318985" w14:textId="63AEC5AD" w:rsidR="00C35C26" w:rsidRPr="00073A1D" w:rsidRDefault="00367BD3">
          <w:pPr>
            <w:pStyle w:val="Spistreci2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21111817" w:history="1">
            <w:r w:rsidR="00C35C26" w:rsidRPr="00073A1D">
              <w:rPr>
                <w:rStyle w:val="Hipercze"/>
                <w:noProof/>
              </w:rPr>
              <w:t>2.</w:t>
            </w:r>
            <w:r w:rsidR="00C35C26" w:rsidRPr="00073A1D">
              <w:rPr>
                <w:rFonts w:eastAsiaTheme="minorEastAsia"/>
                <w:noProof/>
                <w:lang w:eastAsia="pl-PL"/>
              </w:rPr>
              <w:tab/>
            </w:r>
            <w:r w:rsidR="00C35C26" w:rsidRPr="00073A1D">
              <w:rPr>
                <w:rStyle w:val="Hipercze"/>
                <w:noProof/>
              </w:rPr>
              <w:t>Okres stosowania zwolnienia od VAT</w:t>
            </w:r>
            <w:r w:rsidR="00C35C26" w:rsidRPr="00073A1D">
              <w:rPr>
                <w:noProof/>
                <w:webHidden/>
              </w:rPr>
              <w:tab/>
            </w:r>
            <w:r w:rsidR="00C35C26" w:rsidRPr="00073A1D">
              <w:rPr>
                <w:noProof/>
                <w:webHidden/>
              </w:rPr>
              <w:fldChar w:fldCharType="begin"/>
            </w:r>
            <w:r w:rsidR="00C35C26" w:rsidRPr="00073A1D">
              <w:rPr>
                <w:noProof/>
                <w:webHidden/>
              </w:rPr>
              <w:instrText xml:space="preserve"> PAGEREF _Toc221111817 \h </w:instrText>
            </w:r>
            <w:r w:rsidR="00C35C26" w:rsidRPr="00073A1D">
              <w:rPr>
                <w:noProof/>
                <w:webHidden/>
              </w:rPr>
            </w:r>
            <w:r w:rsidR="00C35C26" w:rsidRPr="00073A1D">
              <w:rPr>
                <w:noProof/>
                <w:webHidden/>
              </w:rPr>
              <w:fldChar w:fldCharType="separate"/>
            </w:r>
            <w:r w:rsidR="00C35C26" w:rsidRPr="00073A1D">
              <w:rPr>
                <w:noProof/>
                <w:webHidden/>
              </w:rPr>
              <w:t>6</w:t>
            </w:r>
            <w:r w:rsidR="00C35C26" w:rsidRPr="00073A1D">
              <w:rPr>
                <w:noProof/>
                <w:webHidden/>
              </w:rPr>
              <w:fldChar w:fldCharType="end"/>
            </w:r>
          </w:hyperlink>
        </w:p>
        <w:p w14:paraId="3C7588CF" w14:textId="74D4A22D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8" w:history="1">
            <w:r w:rsidR="00C35C26" w:rsidRPr="00073A1D">
              <w:rPr>
                <w:rStyle w:val="Hipercze"/>
                <w:b w:val="0"/>
                <w:bCs w:val="0"/>
              </w:rPr>
              <w:t>V.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Zwolnienie od VAT zaliczek na poczet dostawy produktów związanych z obronnością finansowanych w ramach instrumentu SAFE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_Toc221111818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7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040E50B5" w14:textId="4B773341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19" w:history="1">
            <w:r w:rsidR="00C35C26" w:rsidRPr="00073A1D">
              <w:rPr>
                <w:rStyle w:val="Hipercze"/>
                <w:b w:val="0"/>
                <w:bCs w:val="0"/>
              </w:rPr>
              <w:t>VI.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Świadectwo zwolnienia</w:t>
            </w:r>
            <w:r w:rsidR="003C0363">
              <w:rPr>
                <w:rStyle w:val="Hipercze"/>
                <w:b w:val="0"/>
                <w:bCs w:val="0"/>
              </w:rPr>
              <w:t xml:space="preserve"> z VAT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_Toc221111819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8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343AEB9F" w14:textId="120E1E58" w:rsidR="00C35C26" w:rsidRPr="00073A1D" w:rsidRDefault="00367BD3">
          <w:pPr>
            <w:pStyle w:val="Spistreci2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21111820" w:history="1">
            <w:r w:rsidR="00C35C26" w:rsidRPr="00073A1D">
              <w:rPr>
                <w:rStyle w:val="Hipercze"/>
                <w:noProof/>
              </w:rPr>
              <w:t>1.</w:t>
            </w:r>
            <w:r w:rsidR="00C35C26" w:rsidRPr="00073A1D">
              <w:rPr>
                <w:rFonts w:eastAsiaTheme="minorEastAsia"/>
                <w:noProof/>
                <w:lang w:eastAsia="pl-PL"/>
              </w:rPr>
              <w:tab/>
            </w:r>
            <w:r w:rsidR="00C35C26" w:rsidRPr="00073A1D">
              <w:rPr>
                <w:rStyle w:val="Hipercze"/>
                <w:noProof/>
              </w:rPr>
              <w:t>Wypełnianie świadectwa zwolnienia</w:t>
            </w:r>
            <w:r w:rsidR="00C35C26" w:rsidRPr="00073A1D">
              <w:rPr>
                <w:noProof/>
                <w:webHidden/>
              </w:rPr>
              <w:tab/>
            </w:r>
            <w:r w:rsidR="00C35C26" w:rsidRPr="00073A1D">
              <w:rPr>
                <w:noProof/>
                <w:webHidden/>
              </w:rPr>
              <w:fldChar w:fldCharType="begin"/>
            </w:r>
            <w:r w:rsidR="00C35C26" w:rsidRPr="00073A1D">
              <w:rPr>
                <w:noProof/>
                <w:webHidden/>
              </w:rPr>
              <w:instrText xml:space="preserve"> PAGEREF _Toc221111820 \h </w:instrText>
            </w:r>
            <w:r w:rsidR="00C35C26" w:rsidRPr="00073A1D">
              <w:rPr>
                <w:noProof/>
                <w:webHidden/>
              </w:rPr>
            </w:r>
            <w:r w:rsidR="00C35C26" w:rsidRPr="00073A1D">
              <w:rPr>
                <w:noProof/>
                <w:webHidden/>
              </w:rPr>
              <w:fldChar w:fldCharType="separate"/>
            </w:r>
            <w:r w:rsidR="00C35C26" w:rsidRPr="00073A1D">
              <w:rPr>
                <w:noProof/>
                <w:webHidden/>
              </w:rPr>
              <w:t>9</w:t>
            </w:r>
            <w:r w:rsidR="00C35C26" w:rsidRPr="00073A1D">
              <w:rPr>
                <w:noProof/>
                <w:webHidden/>
              </w:rPr>
              <w:fldChar w:fldCharType="end"/>
            </w:r>
          </w:hyperlink>
        </w:p>
        <w:p w14:paraId="536E119F" w14:textId="67244647" w:rsidR="00C35C26" w:rsidRPr="00073A1D" w:rsidRDefault="00367BD3">
          <w:pPr>
            <w:pStyle w:val="Spistreci2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21111821" w:history="1">
            <w:r w:rsidR="00C35C26" w:rsidRPr="00073A1D">
              <w:rPr>
                <w:rStyle w:val="Hipercze"/>
                <w:noProof/>
              </w:rPr>
              <w:t>2.</w:t>
            </w:r>
            <w:r w:rsidR="00C35C26" w:rsidRPr="00073A1D">
              <w:rPr>
                <w:rFonts w:eastAsiaTheme="minorEastAsia"/>
                <w:noProof/>
                <w:lang w:eastAsia="pl-PL"/>
              </w:rPr>
              <w:tab/>
            </w:r>
            <w:r w:rsidR="00C35C26" w:rsidRPr="00073A1D">
              <w:rPr>
                <w:rStyle w:val="Hipercze"/>
                <w:noProof/>
              </w:rPr>
              <w:t>Opieczętowanie świadectwa zwolnienia</w:t>
            </w:r>
            <w:r w:rsidR="00C35C26" w:rsidRPr="00073A1D">
              <w:rPr>
                <w:noProof/>
                <w:webHidden/>
              </w:rPr>
              <w:tab/>
            </w:r>
            <w:r w:rsidR="00C35C26" w:rsidRPr="00073A1D">
              <w:rPr>
                <w:noProof/>
                <w:webHidden/>
              </w:rPr>
              <w:fldChar w:fldCharType="begin"/>
            </w:r>
            <w:r w:rsidR="00C35C26" w:rsidRPr="00073A1D">
              <w:rPr>
                <w:noProof/>
                <w:webHidden/>
              </w:rPr>
              <w:instrText xml:space="preserve"> PAGEREF _Toc221111821 \h </w:instrText>
            </w:r>
            <w:r w:rsidR="00C35C26" w:rsidRPr="00073A1D">
              <w:rPr>
                <w:noProof/>
                <w:webHidden/>
              </w:rPr>
            </w:r>
            <w:r w:rsidR="00C35C26" w:rsidRPr="00073A1D">
              <w:rPr>
                <w:noProof/>
                <w:webHidden/>
              </w:rPr>
              <w:fldChar w:fldCharType="separate"/>
            </w:r>
            <w:r w:rsidR="00C35C26" w:rsidRPr="00073A1D">
              <w:rPr>
                <w:noProof/>
                <w:webHidden/>
              </w:rPr>
              <w:t>9</w:t>
            </w:r>
            <w:r w:rsidR="00C35C26" w:rsidRPr="00073A1D">
              <w:rPr>
                <w:noProof/>
                <w:webHidden/>
              </w:rPr>
              <w:fldChar w:fldCharType="end"/>
            </w:r>
          </w:hyperlink>
        </w:p>
        <w:p w14:paraId="40A6D8F4" w14:textId="4FAFC114" w:rsidR="00C35C26" w:rsidRPr="00073A1D" w:rsidRDefault="00367BD3">
          <w:pPr>
            <w:pStyle w:val="Spistreci2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21111822" w:history="1">
            <w:r w:rsidR="00C35C26" w:rsidRPr="00073A1D">
              <w:rPr>
                <w:rStyle w:val="Hipercze"/>
                <w:noProof/>
              </w:rPr>
              <w:t>3.</w:t>
            </w:r>
            <w:r w:rsidR="00C35C26" w:rsidRPr="00073A1D">
              <w:rPr>
                <w:rFonts w:eastAsiaTheme="minorEastAsia"/>
                <w:noProof/>
                <w:lang w:eastAsia="pl-PL"/>
              </w:rPr>
              <w:tab/>
            </w:r>
            <w:r w:rsidR="00C35C26" w:rsidRPr="00073A1D">
              <w:rPr>
                <w:rStyle w:val="Hipercze"/>
                <w:noProof/>
              </w:rPr>
              <w:t>Termin, w jakim dostawca powinien posiadać świadectwo zwolnienia</w:t>
            </w:r>
            <w:r w:rsidR="00C35C26" w:rsidRPr="00073A1D">
              <w:rPr>
                <w:noProof/>
                <w:webHidden/>
              </w:rPr>
              <w:tab/>
            </w:r>
            <w:r w:rsidR="00C35C26" w:rsidRPr="00073A1D">
              <w:rPr>
                <w:noProof/>
                <w:webHidden/>
              </w:rPr>
              <w:fldChar w:fldCharType="begin"/>
            </w:r>
            <w:r w:rsidR="00C35C26" w:rsidRPr="00073A1D">
              <w:rPr>
                <w:noProof/>
                <w:webHidden/>
              </w:rPr>
              <w:instrText xml:space="preserve"> PAGEREF _Toc221111822 \h </w:instrText>
            </w:r>
            <w:r w:rsidR="00C35C26" w:rsidRPr="00073A1D">
              <w:rPr>
                <w:noProof/>
                <w:webHidden/>
              </w:rPr>
            </w:r>
            <w:r w:rsidR="00C35C26" w:rsidRPr="00073A1D">
              <w:rPr>
                <w:noProof/>
                <w:webHidden/>
              </w:rPr>
              <w:fldChar w:fldCharType="separate"/>
            </w:r>
            <w:r w:rsidR="00C35C26" w:rsidRPr="00073A1D">
              <w:rPr>
                <w:noProof/>
                <w:webHidden/>
              </w:rPr>
              <w:t>10</w:t>
            </w:r>
            <w:r w:rsidR="00C35C26" w:rsidRPr="00073A1D">
              <w:rPr>
                <w:noProof/>
                <w:webHidden/>
              </w:rPr>
              <w:fldChar w:fldCharType="end"/>
            </w:r>
          </w:hyperlink>
        </w:p>
        <w:p w14:paraId="5BDDDA76" w14:textId="23F960C8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23" w:history="1">
            <w:r w:rsidR="00C35C26" w:rsidRPr="00073A1D">
              <w:rPr>
                <w:rStyle w:val="Hipercze"/>
                <w:rFonts w:cstheme="minorHAnsi"/>
                <w:b w:val="0"/>
                <w:bCs w:val="0"/>
              </w:rPr>
              <w:t>VII.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rFonts w:cstheme="minorHAnsi"/>
                <w:b w:val="0"/>
                <w:bCs w:val="0"/>
              </w:rPr>
              <w:t>Dokumentowanie (fakturowanie) transakcji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_Toc221111823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11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6912C831" w14:textId="068A7E3D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24" w:history="1">
            <w:r w:rsidR="00C35C26" w:rsidRPr="00073A1D">
              <w:rPr>
                <w:rStyle w:val="Hipercze"/>
                <w:b w:val="0"/>
                <w:bCs w:val="0"/>
              </w:rPr>
              <w:t>VIII.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Prawo do odliczenia podatku naliczonego na poprzednim etapie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_Toc221111824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12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096EC26" w14:textId="5703FABB" w:rsidR="00C35C26" w:rsidRPr="00073A1D" w:rsidRDefault="00367BD3" w:rsidP="00073A1D">
          <w:pPr>
            <w:pStyle w:val="Spistreci1"/>
            <w:rPr>
              <w:rFonts w:eastAsiaTheme="minorEastAsia"/>
              <w:b w:val="0"/>
              <w:bCs w:val="0"/>
              <w:lang w:eastAsia="pl-PL"/>
            </w:rPr>
          </w:pPr>
          <w:hyperlink w:anchor="_Toc221111825" w:history="1">
            <w:r w:rsidR="00C35C26" w:rsidRPr="00073A1D">
              <w:rPr>
                <w:rStyle w:val="Hipercze"/>
                <w:b w:val="0"/>
                <w:bCs w:val="0"/>
              </w:rPr>
              <w:t>IX.</w:t>
            </w:r>
            <w:r w:rsidR="00C35C26" w:rsidRPr="00073A1D">
              <w:rPr>
                <w:rFonts w:eastAsiaTheme="minorEastAsia"/>
                <w:b w:val="0"/>
                <w:bCs w:val="0"/>
                <w:lang w:eastAsia="pl-PL"/>
              </w:rPr>
              <w:tab/>
            </w:r>
            <w:r w:rsidR="00C35C26" w:rsidRPr="00073A1D">
              <w:rPr>
                <w:rStyle w:val="Hipercze"/>
                <w:b w:val="0"/>
                <w:bCs w:val="0"/>
              </w:rPr>
              <w:t>Pouczenie o ochronie wynikającej z zastosowania się do objaśnień podatkowych</w:t>
            </w:r>
            <w:r w:rsidR="00C35C26" w:rsidRPr="00073A1D">
              <w:rPr>
                <w:b w:val="0"/>
                <w:bCs w:val="0"/>
                <w:webHidden/>
              </w:rPr>
              <w:tab/>
            </w:r>
            <w:r w:rsidR="00C35C26" w:rsidRPr="00073A1D">
              <w:rPr>
                <w:b w:val="0"/>
                <w:bCs w:val="0"/>
                <w:webHidden/>
              </w:rPr>
              <w:fldChar w:fldCharType="begin"/>
            </w:r>
            <w:r w:rsidR="00C35C26" w:rsidRPr="00073A1D">
              <w:rPr>
                <w:b w:val="0"/>
                <w:bCs w:val="0"/>
                <w:webHidden/>
              </w:rPr>
              <w:instrText xml:space="preserve"> PAGEREF _Toc221111825 \h </w:instrText>
            </w:r>
            <w:r w:rsidR="00C35C26" w:rsidRPr="00073A1D">
              <w:rPr>
                <w:b w:val="0"/>
                <w:bCs w:val="0"/>
                <w:webHidden/>
              </w:rPr>
            </w:r>
            <w:r w:rsidR="00C35C26" w:rsidRPr="00073A1D">
              <w:rPr>
                <w:b w:val="0"/>
                <w:bCs w:val="0"/>
                <w:webHidden/>
              </w:rPr>
              <w:fldChar w:fldCharType="separate"/>
            </w:r>
            <w:r w:rsidR="00C35C26" w:rsidRPr="00073A1D">
              <w:rPr>
                <w:b w:val="0"/>
                <w:bCs w:val="0"/>
                <w:webHidden/>
              </w:rPr>
              <w:t>12</w:t>
            </w:r>
            <w:r w:rsidR="00C35C26" w:rsidRPr="00073A1D">
              <w:rPr>
                <w:b w:val="0"/>
                <w:bCs w:val="0"/>
                <w:webHidden/>
              </w:rPr>
              <w:fldChar w:fldCharType="end"/>
            </w:r>
          </w:hyperlink>
        </w:p>
        <w:p w14:paraId="07B44464" w14:textId="0211C287" w:rsidR="004A0A8C" w:rsidRDefault="004A0A8C">
          <w:r>
            <w:rPr>
              <w:b/>
              <w:bCs/>
            </w:rPr>
            <w:fldChar w:fldCharType="end"/>
          </w:r>
        </w:p>
      </w:sdtContent>
    </w:sdt>
    <w:p w14:paraId="2BD28629" w14:textId="0628BC68" w:rsidR="00C83409" w:rsidRPr="00F3311C" w:rsidRDefault="004A0A8C" w:rsidP="00F3311C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76AAA175" w14:textId="25074ABB" w:rsidR="00A1047B" w:rsidRPr="00801C27" w:rsidRDefault="00A1047B" w:rsidP="00C35C26">
      <w:pPr>
        <w:pStyle w:val="Objanienia-nagwek1"/>
        <w:numPr>
          <w:ilvl w:val="0"/>
          <w:numId w:val="36"/>
        </w:numPr>
        <w:jc w:val="left"/>
      </w:pPr>
      <w:bookmarkStart w:id="0" w:name="_Toc221111812"/>
      <w:r w:rsidRPr="00801C27">
        <w:lastRenderedPageBreak/>
        <w:t>Czego dotyczą objaśnienia?</w:t>
      </w:r>
      <w:bookmarkEnd w:id="0"/>
    </w:p>
    <w:p w14:paraId="5E4288C6" w14:textId="757E91F5" w:rsidR="0035052B" w:rsidRDefault="00A1047B" w:rsidP="00537603">
      <w:r w:rsidRPr="00801C27">
        <w:t xml:space="preserve">Objaśnienia dotyczą </w:t>
      </w:r>
      <w:r w:rsidR="0035052B" w:rsidRPr="0035052B">
        <w:t>zasad stosowania zwolnienia od podatku od towarów i usług</w:t>
      </w:r>
      <w:r w:rsidR="0035052B">
        <w:t xml:space="preserve"> (VAT)</w:t>
      </w:r>
      <w:r w:rsidR="0035052B" w:rsidRPr="0035052B">
        <w:t xml:space="preserve"> dostaw</w:t>
      </w:r>
      <w:r w:rsidR="00EA2C81">
        <w:t xml:space="preserve"> </w:t>
      </w:r>
      <w:r w:rsidR="0035052B" w:rsidRPr="0035052B">
        <w:t>towarów związanych z obronnością lub innych produktów do celów obronnych dokonywan</w:t>
      </w:r>
      <w:r w:rsidR="0035052B">
        <w:t>ych</w:t>
      </w:r>
      <w:r w:rsidR="0035052B" w:rsidRPr="0035052B">
        <w:t xml:space="preserve"> w</w:t>
      </w:r>
      <w:r w:rsidR="00252A27">
        <w:t> </w:t>
      </w:r>
      <w:r w:rsidR="0035052B" w:rsidRPr="0035052B">
        <w:t>ramach zamówień wspieranych ze środków Instrument</w:t>
      </w:r>
      <w:r w:rsidR="0035052B">
        <w:t>u</w:t>
      </w:r>
      <w:r w:rsidR="0035052B" w:rsidRPr="0035052B">
        <w:t xml:space="preserve"> na rzecz Zwiększenia Bezpieczeństwa Europy</w:t>
      </w:r>
      <w:r w:rsidR="0035052B">
        <w:t xml:space="preserve"> (</w:t>
      </w:r>
      <w:r w:rsidR="00073A1D">
        <w:t>dalej: „</w:t>
      </w:r>
      <w:r w:rsidR="0035052B" w:rsidRPr="0035052B">
        <w:t>instrument SAFE</w:t>
      </w:r>
      <w:r w:rsidR="00073A1D">
        <w:t>”</w:t>
      </w:r>
      <w:r w:rsidR="0035052B">
        <w:t>).</w:t>
      </w:r>
    </w:p>
    <w:p w14:paraId="57864364" w14:textId="2E1B7A41" w:rsidR="00DC2EEB" w:rsidRPr="00E93C44" w:rsidRDefault="00DC2EEB" w:rsidP="00C35C26">
      <w:pPr>
        <w:pStyle w:val="Akapitzlist"/>
        <w:numPr>
          <w:ilvl w:val="0"/>
          <w:numId w:val="36"/>
        </w:numPr>
        <w:outlineLvl w:val="0"/>
        <w:rPr>
          <w:b/>
          <w:bCs/>
          <w:sz w:val="32"/>
          <w:szCs w:val="32"/>
        </w:rPr>
      </w:pPr>
      <w:bookmarkStart w:id="1" w:name="_Toc221111813"/>
      <w:r w:rsidRPr="00E93C44">
        <w:rPr>
          <w:b/>
          <w:bCs/>
          <w:sz w:val="32"/>
          <w:szCs w:val="32"/>
        </w:rPr>
        <w:t>Instrument SAFE</w:t>
      </w:r>
      <w:bookmarkEnd w:id="1"/>
    </w:p>
    <w:p w14:paraId="0CF2487B" w14:textId="5478777D" w:rsidR="00A30D5C" w:rsidRDefault="00A30D5C" w:rsidP="00537603">
      <w:r>
        <w:t>W odpowiedzi na wyzwania dotyczące bezpieczeństwa Europy i całego świata wobec rosyjskiej agresji przeciwko Ukrainie oraz wobec obecnej</w:t>
      </w:r>
      <w:r w:rsidRPr="00A30D5C">
        <w:t xml:space="preserve"> sytuacji geopolitycznej, w której Unia </w:t>
      </w:r>
      <w:r>
        <w:t>Europejska powinna</w:t>
      </w:r>
      <w:r w:rsidRPr="00A30D5C">
        <w:t xml:space="preserve"> znacznie zwiększyć wysiłki na rzecz samodzielnego zapewnienia obrony</w:t>
      </w:r>
      <w:r>
        <w:t xml:space="preserve">, Rada UE w dniu </w:t>
      </w:r>
      <w:r w:rsidR="00AF4536">
        <w:br/>
      </w:r>
      <w:r>
        <w:t xml:space="preserve">27 maja 2025 r. wydała rozporządzenie </w:t>
      </w:r>
      <w:r w:rsidRPr="00D91C77">
        <w:t>2025/1106</w:t>
      </w:r>
      <w:r w:rsidRPr="00A30D5C">
        <w:t xml:space="preserve"> </w:t>
      </w:r>
      <w:r w:rsidRPr="00D91C77">
        <w:t>ustanawiające Instrument na rzecz Zwiększenia Bezpieczeństwa Europy („instrument SAFE”) poprzez Wzmocnienie Europejskiego Przemysłu Obronnego</w:t>
      </w:r>
      <w:r>
        <w:rPr>
          <w:rStyle w:val="Odwoanieprzypisudolnego"/>
        </w:rPr>
        <w:footnoteReference w:id="1"/>
      </w:r>
      <w:r w:rsidRPr="00D91C77">
        <w:t xml:space="preserve"> (dalej</w:t>
      </w:r>
      <w:r w:rsidR="00CB14FF">
        <w:t>:</w:t>
      </w:r>
      <w:r w:rsidRPr="00D91C77">
        <w:t xml:space="preserve"> </w:t>
      </w:r>
      <w:r>
        <w:t>„</w:t>
      </w:r>
      <w:r w:rsidRPr="00D91C77">
        <w:t>rozporządzenie SAFE</w:t>
      </w:r>
      <w:r>
        <w:t>”</w:t>
      </w:r>
      <w:r w:rsidRPr="00D91C77">
        <w:t>)</w:t>
      </w:r>
      <w:r>
        <w:t xml:space="preserve">. </w:t>
      </w:r>
      <w:r w:rsidR="00DC2EEB">
        <w:t>C</w:t>
      </w:r>
      <w:r>
        <w:t xml:space="preserve">elem </w:t>
      </w:r>
      <w:r w:rsidR="00DC2EEB">
        <w:t xml:space="preserve">instrumentu SAFE </w:t>
      </w:r>
      <w:r>
        <w:t xml:space="preserve">jest zapewnienie </w:t>
      </w:r>
      <w:r w:rsidRPr="00A30D5C">
        <w:t>pomocy finansowej</w:t>
      </w:r>
      <w:r>
        <w:t xml:space="preserve"> w formie pożyczek </w:t>
      </w:r>
      <w:r w:rsidR="00C12BB9">
        <w:t xml:space="preserve">udzielanych przez Unię </w:t>
      </w:r>
      <w:r w:rsidRPr="00A30D5C">
        <w:t>tym państwom członkowskim, które chcą inwestować w produkcję przemysłową w dziedzinie obronności.</w:t>
      </w:r>
    </w:p>
    <w:p w14:paraId="1EABF639" w14:textId="2C8CE0CF" w:rsidR="00F24586" w:rsidRDefault="00F24586" w:rsidP="00537603">
      <w:r>
        <w:t xml:space="preserve">Rozporządzenie ustanawia warunki </w:t>
      </w:r>
      <w:r w:rsidRPr="00F24586">
        <w:t>kwalifikowalności do korzystania z pomocy finansowej przez państwa członkowskie</w:t>
      </w:r>
      <w:r>
        <w:t xml:space="preserve">, wskazując m.in. rodzaje towarów, które mogą być objęte zamówieniami </w:t>
      </w:r>
      <w:r w:rsidR="00AF4536">
        <w:br/>
      </w:r>
      <w:r>
        <w:t>w ramach instrumentu SAFE, warunki dotyczące wykonawców i podwykonawców umów, czy też sposób ubiegania się przez państwa członkowskie o wsparcie w ramach instrumentu SAFE.</w:t>
      </w:r>
    </w:p>
    <w:p w14:paraId="58B59F91" w14:textId="4F18AE40" w:rsidR="00FE6CC0" w:rsidRDefault="00DC2EEB" w:rsidP="00537603">
      <w:r>
        <w:t xml:space="preserve">Jednocześnie, w celu uniknięcia </w:t>
      </w:r>
      <w:r w:rsidRPr="00DC2EEB">
        <w:t>konieczności finansowania podatków od wydatków</w:t>
      </w:r>
      <w:r>
        <w:t xml:space="preserve"> na produkty związane z obronnością </w:t>
      </w:r>
      <w:r w:rsidRPr="00F24586">
        <w:t>nabywane w ramach zamówień wspieranych ze środków instrument SAFE</w:t>
      </w:r>
      <w:r w:rsidR="00CB14FF">
        <w:t>, rozporządzenie SAFE ustanowiło zwolnienie transakcji, których  przedmiotem</w:t>
      </w:r>
      <w:r w:rsidR="00471188">
        <w:t xml:space="preserve"> są te produkty</w:t>
      </w:r>
      <w:r w:rsidR="00CB14FF">
        <w:t>, od</w:t>
      </w:r>
      <w:r w:rsidR="00252A27">
        <w:t> </w:t>
      </w:r>
      <w:r w:rsidR="00CB14FF">
        <w:t xml:space="preserve">podatku od wartości dodanej funkcjonującego w państwach członkowskich w oparciu o przepisy dyrektywy </w:t>
      </w:r>
      <w:r w:rsidR="00CB14FF" w:rsidRPr="00CB14FF">
        <w:t>2006/112/WE Rady z dnia 28 listopada 2006 r. w sprawie wspólnego systemu podatku od</w:t>
      </w:r>
      <w:r w:rsidR="00252A27">
        <w:t> </w:t>
      </w:r>
      <w:r w:rsidR="00CB14FF" w:rsidRPr="00CB14FF">
        <w:t>wartości dodanej</w:t>
      </w:r>
      <w:r w:rsidR="00CB14FF">
        <w:rPr>
          <w:rStyle w:val="Odwoanieprzypisudolnego"/>
        </w:rPr>
        <w:footnoteReference w:id="2"/>
      </w:r>
      <w:r w:rsidR="00CB14FF" w:rsidRPr="00CB14FF">
        <w:t xml:space="preserve"> (dalej: </w:t>
      </w:r>
      <w:r w:rsidR="00CB14FF">
        <w:t>„</w:t>
      </w:r>
      <w:r w:rsidR="00CB14FF" w:rsidRPr="00CB14FF">
        <w:t>dyrektywa VAT</w:t>
      </w:r>
      <w:r w:rsidR="00CB14FF">
        <w:t>”</w:t>
      </w:r>
      <w:r w:rsidR="00CB14FF" w:rsidRPr="00CB14FF">
        <w:t>).</w:t>
      </w:r>
    </w:p>
    <w:p w14:paraId="4C9CDF7B" w14:textId="5942557C" w:rsidR="00A1047B" w:rsidRPr="00801C27" w:rsidRDefault="00A1047B" w:rsidP="00C35C26">
      <w:pPr>
        <w:pStyle w:val="Objanienia-nagwek1"/>
        <w:numPr>
          <w:ilvl w:val="0"/>
          <w:numId w:val="36"/>
        </w:numPr>
        <w:jc w:val="left"/>
      </w:pPr>
      <w:bookmarkStart w:id="2" w:name="_Toc221111814"/>
      <w:bookmarkStart w:id="3" w:name="_Hlk221029342"/>
      <w:r w:rsidRPr="00801C27">
        <w:t>Przepisy podatkowe objęte zakresem objaśnień</w:t>
      </w:r>
      <w:bookmarkEnd w:id="2"/>
      <w:r w:rsidRPr="00801C27">
        <w:t xml:space="preserve"> </w:t>
      </w:r>
    </w:p>
    <w:p w14:paraId="6736DAB4" w14:textId="6ACE5ACB" w:rsidR="001C1575" w:rsidRDefault="001C1575" w:rsidP="00C12ABA">
      <w:bookmarkStart w:id="4" w:name="_Hlk219807726"/>
      <w:bookmarkEnd w:id="3"/>
      <w:r>
        <w:t xml:space="preserve">Zgodnie z art. 20 </w:t>
      </w:r>
      <w:r w:rsidR="00572DA4">
        <w:t xml:space="preserve">ust. 1 </w:t>
      </w:r>
      <w:r>
        <w:t xml:space="preserve">rozporządzenia </w:t>
      </w:r>
      <w:bookmarkStart w:id="5" w:name="_Hlk221026705"/>
      <w:r>
        <w:t xml:space="preserve">SAFE </w:t>
      </w:r>
      <w:r w:rsidRPr="001C1575">
        <w:t xml:space="preserve">dostawy, wewnątrzwspólnotowe nabycia i przywóz produktów związanych z obronnością lub innych produktów do celów obronnych dokonywane </w:t>
      </w:r>
      <w:r w:rsidR="00AF4536">
        <w:br/>
      </w:r>
      <w:r w:rsidRPr="001C1575">
        <w:t xml:space="preserve">w ramach zamówień wspieranych ze środków instrumentu SAFE </w:t>
      </w:r>
      <w:bookmarkEnd w:id="5"/>
      <w:r w:rsidRPr="001C1575">
        <w:t xml:space="preserve">są zwolnione </w:t>
      </w:r>
      <w:r>
        <w:t>od</w:t>
      </w:r>
      <w:r w:rsidRPr="001C1575">
        <w:t xml:space="preserve"> podatku od</w:t>
      </w:r>
      <w:r w:rsidR="00252A27">
        <w:t> </w:t>
      </w:r>
      <w:r w:rsidRPr="001C1575">
        <w:t xml:space="preserve">wartości dodanej (VAT) mającego zastosowanie na mocy dyrektywy 2006/112/WE. </w:t>
      </w:r>
      <w:r w:rsidR="00AF4536">
        <w:t>Jest to z</w:t>
      </w:r>
      <w:r w:rsidRPr="001C1575">
        <w:t xml:space="preserve">wolnienie z </w:t>
      </w:r>
      <w:r w:rsidR="007C4F0E">
        <w:t xml:space="preserve">prawem do </w:t>
      </w:r>
      <w:r w:rsidRPr="001C1575">
        <w:t>odliczeni</w:t>
      </w:r>
      <w:r w:rsidR="007C4F0E">
        <w:t>a</w:t>
      </w:r>
      <w:r w:rsidRPr="001C1575">
        <w:t xml:space="preserve"> VAT zapłaconego na poprzednim etapie.</w:t>
      </w:r>
    </w:p>
    <w:p w14:paraId="607D6168" w14:textId="34BA99BF" w:rsidR="00DE37E2" w:rsidRDefault="00DE37E2" w:rsidP="00C12ABA">
      <w:r>
        <w:t xml:space="preserve">W świetle art. 20 ust. 2 rozporządzenia SAFE, warunkiem stosowania zwolnienia jest posiadanie przez dostawcę produktów związanych z obronnością świadectwa zwolnienia z VAT, które jest </w:t>
      </w:r>
      <w:r w:rsidRPr="00572DA4">
        <w:t xml:space="preserve">opieczętowane przez właściwe organy państwa członkowskiego podmiotu nabywającego </w:t>
      </w:r>
      <w:r>
        <w:t xml:space="preserve">te </w:t>
      </w:r>
      <w:r w:rsidRPr="00572DA4">
        <w:t xml:space="preserve">produkty w ramach zamówień wspieranych w </w:t>
      </w:r>
      <w:r>
        <w:t>zakresie</w:t>
      </w:r>
      <w:r w:rsidRPr="00572DA4">
        <w:t xml:space="preserve"> instrumentu SAFE</w:t>
      </w:r>
      <w:r>
        <w:t>.</w:t>
      </w:r>
    </w:p>
    <w:p w14:paraId="75A9151E" w14:textId="44F40023" w:rsidR="00DE37E2" w:rsidRDefault="00DE37E2" w:rsidP="00C12ABA">
      <w:r>
        <w:t xml:space="preserve">Świadectwo zwolnienia jest dowodem potwierdzającym, że dana transakcja </w:t>
      </w:r>
      <w:r w:rsidRPr="00572DA4">
        <w:t>kwalifikuje się do</w:t>
      </w:r>
      <w:r w:rsidR="00252A27">
        <w:t> </w:t>
      </w:r>
      <w:r w:rsidRPr="00572DA4">
        <w:t xml:space="preserve">zwolnienia </w:t>
      </w:r>
      <w:r>
        <w:t>od</w:t>
      </w:r>
      <w:r w:rsidRPr="00572DA4">
        <w:t xml:space="preserve"> VAT na mocy rozporządzenia</w:t>
      </w:r>
      <w:r>
        <w:t xml:space="preserve"> SAFE.</w:t>
      </w:r>
    </w:p>
    <w:p w14:paraId="0BF90A28" w14:textId="7472512D" w:rsidR="007B1A80" w:rsidRDefault="007B1A80" w:rsidP="00C12ABA">
      <w:r>
        <w:t>Wzór świadectwa zwolnienia z VAT został określony w załączniku do rozporządzenia SAFE.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1A80" w:rsidRPr="007B1A80" w14:paraId="50831B9B" w14:textId="77777777" w:rsidTr="007676FE">
        <w:tc>
          <w:tcPr>
            <w:tcW w:w="9060" w:type="dxa"/>
          </w:tcPr>
          <w:p w14:paraId="282120B9" w14:textId="77777777" w:rsidR="007B1A80" w:rsidRPr="007B1A80" w:rsidRDefault="007B1A80" w:rsidP="007B1A80">
            <w:pPr>
              <w:spacing w:after="160" w:line="259" w:lineRule="auto"/>
            </w:pPr>
            <w:r w:rsidRPr="007B1A80">
              <w:rPr>
                <w:b/>
              </w:rPr>
              <w:lastRenderedPageBreak/>
              <w:t>Uwaga</w:t>
            </w:r>
            <w:r w:rsidRPr="007B1A80">
              <w:t xml:space="preserve">: </w:t>
            </w:r>
          </w:p>
          <w:p w14:paraId="19F1136E" w14:textId="6D42492A" w:rsidR="007B1A80" w:rsidRPr="007B1A80" w:rsidRDefault="007B1A80" w:rsidP="003E7141">
            <w:r>
              <w:t xml:space="preserve">Zgodnie z </w:t>
            </w:r>
            <w:r w:rsidR="0037506D">
              <w:t xml:space="preserve">określonym </w:t>
            </w:r>
            <w:r w:rsidR="006C032B">
              <w:t xml:space="preserve">w </w:t>
            </w:r>
            <w:r w:rsidR="0037506D">
              <w:t>rozporządzeni</w:t>
            </w:r>
            <w:r w:rsidR="006C032B">
              <w:t>u</w:t>
            </w:r>
            <w:r w:rsidR="0037506D">
              <w:t xml:space="preserve"> SAFE wzorem świadectwa zwolnienia z VAT </w:t>
            </w:r>
            <w:r w:rsidRPr="007B1A80">
              <w:t xml:space="preserve">nabywca potwierdza zobowiązanie do zapłaty </w:t>
            </w:r>
            <w:r w:rsidR="006C032B">
              <w:t xml:space="preserve">podatku </w:t>
            </w:r>
            <w:r w:rsidR="0037506D">
              <w:t xml:space="preserve">VAT </w:t>
            </w:r>
            <w:r w:rsidRPr="007B1A80">
              <w:t>na rzecz państwa członkowskiego, w którym znajduje się miejsce dostawy nabytych produktów związanych z obronnością lub innych produktów do celów obronnych, który byłby należny, gdyby produkty te nie spełniały warunków zwolnienia.</w:t>
            </w:r>
          </w:p>
        </w:tc>
      </w:tr>
    </w:tbl>
    <w:p w14:paraId="60A1179E" w14:textId="77777777" w:rsidR="007B1A80" w:rsidRDefault="007B1A80" w:rsidP="00C12ABA"/>
    <w:p w14:paraId="030FDE2F" w14:textId="6A192492" w:rsidR="008825FF" w:rsidRDefault="00C12BB9" w:rsidP="008825FF">
      <w:r>
        <w:t xml:space="preserve">Rozporządzenie SAFE weszło w życie 29 maja 2025 r. </w:t>
      </w:r>
    </w:p>
    <w:p w14:paraId="619CD3E6" w14:textId="77777777" w:rsidR="00DD5A53" w:rsidRDefault="00DD5A53" w:rsidP="008825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25FF" w:rsidRPr="008B4598" w14:paraId="7316FB32" w14:textId="77777777" w:rsidTr="00A6202E">
        <w:tc>
          <w:tcPr>
            <w:tcW w:w="9060" w:type="dxa"/>
          </w:tcPr>
          <w:p w14:paraId="12CB6BAC" w14:textId="77777777" w:rsidR="008825FF" w:rsidRDefault="008825FF" w:rsidP="00A6202E">
            <w:bookmarkStart w:id="6" w:name="_Hlk221462842"/>
            <w:r w:rsidRPr="008B4598">
              <w:rPr>
                <w:b/>
              </w:rPr>
              <w:t>Uwaga</w:t>
            </w:r>
            <w:r w:rsidRPr="008B4598">
              <w:t xml:space="preserve">: </w:t>
            </w:r>
          </w:p>
          <w:p w14:paraId="20EE5A9D" w14:textId="4AD57BF3" w:rsidR="008825FF" w:rsidRPr="008B4598" w:rsidRDefault="008825FF" w:rsidP="00A6202E">
            <w:r>
              <w:t>Rozporządzenie SAFE</w:t>
            </w:r>
            <w:r w:rsidR="004053AD">
              <w:t>,</w:t>
            </w:r>
            <w:r>
              <w:t xml:space="preserve"> jako </w:t>
            </w:r>
            <w:r w:rsidRPr="008825FF">
              <w:t>akt prawa wtórnego Unii Europejskiej</w:t>
            </w:r>
            <w:r w:rsidR="004053AD">
              <w:t xml:space="preserve">, ma charakter wiążący </w:t>
            </w:r>
            <w:r w:rsidR="004053AD" w:rsidRPr="004053AD">
              <w:t xml:space="preserve">i </w:t>
            </w:r>
            <w:r w:rsidR="004053AD">
              <w:t>jest</w:t>
            </w:r>
            <w:r w:rsidR="004053AD" w:rsidRPr="004053AD">
              <w:t xml:space="preserve"> stosowane bezpośrednio</w:t>
            </w:r>
            <w:r w:rsidR="004053AD">
              <w:t>, bez potrzeby transpozycji do prawa krajowego</w:t>
            </w:r>
            <w:r w:rsidR="004053AD" w:rsidRPr="004053AD">
              <w:t>.</w:t>
            </w:r>
          </w:p>
        </w:tc>
      </w:tr>
    </w:tbl>
    <w:p w14:paraId="28904AE1" w14:textId="4295571B" w:rsidR="00CB76B8" w:rsidRDefault="00CB76B8" w:rsidP="00C12ABA"/>
    <w:bookmarkEnd w:id="4"/>
    <w:bookmarkEnd w:id="6"/>
    <w:p w14:paraId="56CB7604" w14:textId="67B2B0CA" w:rsidR="0086561F" w:rsidRPr="0086561F" w:rsidRDefault="0086561F" w:rsidP="0086561F">
      <w:r w:rsidRPr="0086561F">
        <w:t xml:space="preserve">Celem objaśnień jest przedstawienie praktycznego </w:t>
      </w:r>
      <w:r w:rsidR="00A5285D">
        <w:t>zastosowania</w:t>
      </w:r>
      <w:r w:rsidRPr="0086561F">
        <w:t xml:space="preserve"> przepisów w zakresie VAT dotyczących </w:t>
      </w:r>
      <w:r w:rsidR="00685E6C">
        <w:t xml:space="preserve">zwolnienia od VAT </w:t>
      </w:r>
      <w:r w:rsidR="00685E6C" w:rsidRPr="00685E6C">
        <w:t>dostaw, wewnątrzwspólnotowych nabyć oraz importu towarów związanych z obronnością lub innych produktów do celów obronnych dokonywanych w ramach zamówień wspieranych ze środków</w:t>
      </w:r>
      <w:r w:rsidR="00685E6C">
        <w:t xml:space="preserve"> instrumentu SAFE</w:t>
      </w:r>
      <w:r w:rsidRPr="0086561F">
        <w:t>.</w:t>
      </w:r>
    </w:p>
    <w:p w14:paraId="33191084" w14:textId="77777777" w:rsidR="00CB76B8" w:rsidRDefault="00CB76B8" w:rsidP="0086561F"/>
    <w:p w14:paraId="0D613A8F" w14:textId="77777777" w:rsidR="00CB76B8" w:rsidRPr="00E93C44" w:rsidRDefault="00CB76B8" w:rsidP="00C35C26">
      <w:pPr>
        <w:pStyle w:val="Akapitzlist"/>
        <w:numPr>
          <w:ilvl w:val="0"/>
          <w:numId w:val="36"/>
        </w:numPr>
        <w:outlineLvl w:val="0"/>
        <w:rPr>
          <w:b/>
          <w:bCs/>
          <w:sz w:val="32"/>
          <w:szCs w:val="32"/>
        </w:rPr>
      </w:pPr>
      <w:bookmarkStart w:id="7" w:name="_Toc221111815"/>
      <w:bookmarkStart w:id="8" w:name="_Hlk220939044"/>
      <w:r w:rsidRPr="00E93C44">
        <w:rPr>
          <w:b/>
          <w:bCs/>
          <w:sz w:val="32"/>
          <w:szCs w:val="32"/>
        </w:rPr>
        <w:t>Zwolnienie od VAT transakcji, których przedmiotem są produkty związane z obronnością</w:t>
      </w:r>
      <w:bookmarkEnd w:id="7"/>
    </w:p>
    <w:bookmarkEnd w:id="8"/>
    <w:p w14:paraId="0C726011" w14:textId="266D6331" w:rsidR="00B17441" w:rsidRDefault="00B17441" w:rsidP="008256B0">
      <w:r>
        <w:t xml:space="preserve">Zwolnienia od VAT są odstępstwem od zasady powszechności opodatkowania tym podatkiem, powinny być zatem stosowane ściśle i wyłącznie w zakresie ustanowionym przepisami. Stosowanie zwolnienia dla określonych transakcji dotyczących produktów związanych z obronnością jest możliwe na podstawie przepisów rozporządzenia SAFE, ale wyłącznie przy spełnieniu określonych w tym </w:t>
      </w:r>
      <w:bookmarkStart w:id="9" w:name="_Hlk220773872"/>
      <w:r>
        <w:t>rozporządzeniu warunków.</w:t>
      </w:r>
      <w:r w:rsidR="008256B0">
        <w:t xml:space="preserve"> </w:t>
      </w:r>
    </w:p>
    <w:p w14:paraId="4DFD6390" w14:textId="7CD284E5" w:rsidR="000018A4" w:rsidRPr="00E93C44" w:rsidRDefault="000018A4" w:rsidP="00C35C26">
      <w:pPr>
        <w:pStyle w:val="Akapitzlist"/>
        <w:numPr>
          <w:ilvl w:val="0"/>
          <w:numId w:val="37"/>
        </w:numPr>
        <w:outlineLvl w:val="1"/>
        <w:rPr>
          <w:b/>
          <w:bCs/>
          <w:sz w:val="24"/>
          <w:szCs w:val="24"/>
        </w:rPr>
      </w:pPr>
      <w:bookmarkStart w:id="10" w:name="_Toc221111816"/>
      <w:r w:rsidRPr="00E93C44">
        <w:rPr>
          <w:b/>
          <w:bCs/>
          <w:sz w:val="24"/>
          <w:szCs w:val="24"/>
        </w:rPr>
        <w:t>Warunki stosowania zwolnienia od VAT</w:t>
      </w:r>
      <w:bookmarkEnd w:id="10"/>
    </w:p>
    <w:p w14:paraId="48F50D54" w14:textId="6CCBA87F" w:rsidR="00C12BB9" w:rsidRDefault="00C12BB9" w:rsidP="0086561F">
      <w:r>
        <w:t xml:space="preserve">Zwolnienie od VAT </w:t>
      </w:r>
      <w:r w:rsidRPr="00C12BB9">
        <w:t>dostaw, wewnątrzwspólnotowych nabyć oraz importu produktów związanych z</w:t>
      </w:r>
      <w:r w:rsidR="00073A1D">
        <w:t> </w:t>
      </w:r>
      <w:r w:rsidRPr="00C12BB9">
        <w:t>obronnością</w:t>
      </w:r>
      <w:r>
        <w:t xml:space="preserve"> będzie miało zastosowanie, gdy:</w:t>
      </w:r>
    </w:p>
    <w:p w14:paraId="1A2CF851" w14:textId="3397A90C" w:rsidR="00C12BB9" w:rsidRPr="008256B0" w:rsidRDefault="00C12BB9" w:rsidP="001100F6">
      <w:pPr>
        <w:pStyle w:val="Akapitzlist"/>
        <w:numPr>
          <w:ilvl w:val="0"/>
          <w:numId w:val="29"/>
        </w:numPr>
        <w:ind w:left="709"/>
        <w:rPr>
          <w:b/>
          <w:bCs/>
        </w:rPr>
      </w:pPr>
      <w:r w:rsidRPr="008256B0">
        <w:rPr>
          <w:b/>
          <w:bCs/>
        </w:rPr>
        <w:t xml:space="preserve">ich przedmiotem </w:t>
      </w:r>
      <w:r w:rsidR="00EA5B7A">
        <w:rPr>
          <w:b/>
          <w:bCs/>
        </w:rPr>
        <w:t>są</w:t>
      </w:r>
      <w:r w:rsidRPr="008256B0">
        <w:rPr>
          <w:b/>
          <w:bCs/>
        </w:rPr>
        <w:t xml:space="preserve"> </w:t>
      </w:r>
      <w:r w:rsidR="001100F6" w:rsidRPr="008256B0">
        <w:rPr>
          <w:b/>
          <w:bCs/>
        </w:rPr>
        <w:t>produkty związane z obronnością lub inne produkty do celów obronnych</w:t>
      </w:r>
    </w:p>
    <w:p w14:paraId="3AC2E710" w14:textId="554ED1C3" w:rsidR="00467D2A" w:rsidRDefault="00467D2A" w:rsidP="001100F6">
      <w:r>
        <w:t>W świetle przepisów r</w:t>
      </w:r>
      <w:r w:rsidR="001100F6">
        <w:t>ozporządzeni</w:t>
      </w:r>
      <w:r>
        <w:t>a</w:t>
      </w:r>
      <w:r w:rsidR="001100F6">
        <w:t xml:space="preserve"> SAFE, </w:t>
      </w:r>
      <w:r>
        <w:t>produktami związanymi z obronnością są towary, usługi i</w:t>
      </w:r>
      <w:r w:rsidR="00073A1D">
        <w:t> </w:t>
      </w:r>
      <w:r>
        <w:t>roboty budowlane objęte zakresem art. 2 dyrektywy 2009/81/WE</w:t>
      </w:r>
      <w:r>
        <w:rPr>
          <w:rStyle w:val="Odwoanieprzypisudolnego"/>
        </w:rPr>
        <w:footnoteReference w:id="3"/>
      </w:r>
      <w:r>
        <w:t>, tj.:</w:t>
      </w:r>
    </w:p>
    <w:p w14:paraId="697423AE" w14:textId="55D3FF25" w:rsidR="00467D2A" w:rsidRDefault="00467D2A" w:rsidP="00073A1D">
      <w:pPr>
        <w:pStyle w:val="Akapitzlist"/>
        <w:numPr>
          <w:ilvl w:val="0"/>
          <w:numId w:val="40"/>
        </w:numPr>
      </w:pPr>
      <w:r>
        <w:t>wyposażenie wojskowe, w tym wszelkie jego części, komponenty lub podzespoły,</w:t>
      </w:r>
    </w:p>
    <w:p w14:paraId="63B1B5BA" w14:textId="41772978" w:rsidR="00467D2A" w:rsidRDefault="00467D2A" w:rsidP="00073A1D">
      <w:pPr>
        <w:pStyle w:val="Akapitzlist"/>
        <w:numPr>
          <w:ilvl w:val="0"/>
          <w:numId w:val="40"/>
        </w:numPr>
      </w:pPr>
      <w:r>
        <w:t>newralgiczne wyposażenie</w:t>
      </w:r>
      <w:r>
        <w:rPr>
          <w:rStyle w:val="Odwoanieprzypisudolnego"/>
        </w:rPr>
        <w:footnoteReference w:id="4"/>
      </w:r>
      <w:r>
        <w:t xml:space="preserve">, w tym </w:t>
      </w:r>
      <w:r w:rsidRPr="00467D2A">
        <w:t>wszelkie jego części, komponenty lub podzespoły</w:t>
      </w:r>
      <w:r>
        <w:t>,</w:t>
      </w:r>
    </w:p>
    <w:p w14:paraId="782CD056" w14:textId="7AC56BCB" w:rsidR="00467D2A" w:rsidRDefault="00467D2A" w:rsidP="00073A1D">
      <w:pPr>
        <w:pStyle w:val="Akapitzlist"/>
        <w:numPr>
          <w:ilvl w:val="0"/>
          <w:numId w:val="40"/>
        </w:numPr>
      </w:pPr>
      <w:r>
        <w:lastRenderedPageBreak/>
        <w:t xml:space="preserve">roboty budowlane, dostawy i usługi bezpośrednio związane z wyposażeniem, o którym mowa w ww. </w:t>
      </w:r>
      <w:proofErr w:type="spellStart"/>
      <w:r w:rsidR="00354A71">
        <w:t>tiret</w:t>
      </w:r>
      <w:proofErr w:type="spellEnd"/>
      <w:r w:rsidR="00951A76">
        <w:t>,</w:t>
      </w:r>
      <w:r>
        <w:t xml:space="preserve"> w przypadku wszelkich elementów związanych z jego okresem funkcjonowania,</w:t>
      </w:r>
    </w:p>
    <w:p w14:paraId="5CC36E1F" w14:textId="53006701" w:rsidR="00467D2A" w:rsidRDefault="00467D2A" w:rsidP="00073A1D">
      <w:pPr>
        <w:pStyle w:val="Akapitzlist"/>
        <w:numPr>
          <w:ilvl w:val="0"/>
          <w:numId w:val="40"/>
        </w:numPr>
      </w:pPr>
      <w:r>
        <w:t>roboty budowlane i usługi do szczególnych celów wojskowych lub newralgiczne roboty budowlane lub usługi</w:t>
      </w:r>
      <w:r w:rsidR="00354A71">
        <w:t>.</w:t>
      </w:r>
    </w:p>
    <w:bookmarkEnd w:id="9"/>
    <w:p w14:paraId="08397D24" w14:textId="186A5A02" w:rsidR="00CB76B8" w:rsidRDefault="008256B0" w:rsidP="001100F6">
      <w:r>
        <w:t xml:space="preserve">Natomiast innymi produktami do celów obronnych są wszelkie </w:t>
      </w:r>
      <w:r w:rsidR="001100F6">
        <w:t>towary, usługi i roboty budowlane inne niż te objęte zakresem stosowania dyrektywy 2009/81/WE, które są niezbędne lub przeznaczone do celów obronnych</w:t>
      </w:r>
      <w:r>
        <w:t>.</w:t>
      </w:r>
    </w:p>
    <w:p w14:paraId="48E4DF71" w14:textId="5BBD5102" w:rsidR="00CB76B8" w:rsidRPr="008256B0" w:rsidRDefault="008256B0" w:rsidP="008256B0">
      <w:pPr>
        <w:pStyle w:val="Akapitzlist"/>
        <w:numPr>
          <w:ilvl w:val="0"/>
          <w:numId w:val="29"/>
        </w:numPr>
        <w:ind w:left="851"/>
        <w:rPr>
          <w:b/>
          <w:bCs/>
        </w:rPr>
      </w:pPr>
      <w:r w:rsidRPr="008256B0">
        <w:rPr>
          <w:b/>
          <w:bCs/>
        </w:rPr>
        <w:t>są dokonywane w ramach zamówień wspieranych ze środków instrumentu SAFE</w:t>
      </w:r>
    </w:p>
    <w:p w14:paraId="36974BB0" w14:textId="301AA595" w:rsidR="008256B0" w:rsidRDefault="004B60FD" w:rsidP="008256B0">
      <w:r>
        <w:t xml:space="preserve">Pomoc finansowa w ramach instrumentu SAFE </w:t>
      </w:r>
      <w:r w:rsidRPr="004B60FD">
        <w:t xml:space="preserve">ma formę pożyczki udzielanej państwu członkowskiemu </w:t>
      </w:r>
      <w:bookmarkStart w:id="11" w:name="_Hlk220777186"/>
      <w:r w:rsidRPr="004B60FD">
        <w:t>przez Unię.</w:t>
      </w:r>
      <w:r w:rsidR="00F261B7">
        <w:t xml:space="preserve"> </w:t>
      </w:r>
    </w:p>
    <w:p w14:paraId="094F086B" w14:textId="77777777" w:rsidR="00EB6139" w:rsidRDefault="00EB6139" w:rsidP="008256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56B0" w:rsidRPr="008B4598" w14:paraId="3BF5DEB8" w14:textId="77777777" w:rsidTr="00A6202E">
        <w:tc>
          <w:tcPr>
            <w:tcW w:w="9060" w:type="dxa"/>
          </w:tcPr>
          <w:p w14:paraId="653F7F38" w14:textId="77777777" w:rsidR="008256B0" w:rsidRDefault="008256B0" w:rsidP="00951A76">
            <w:r w:rsidRPr="008B4598">
              <w:rPr>
                <w:b/>
              </w:rPr>
              <w:t>Uwaga</w:t>
            </w:r>
            <w:r w:rsidRPr="008B4598">
              <w:t xml:space="preserve">: </w:t>
            </w:r>
          </w:p>
          <w:p w14:paraId="500070D8" w14:textId="5469AD93" w:rsidR="008256B0" w:rsidRPr="008B4598" w:rsidRDefault="008256B0" w:rsidP="00951A76">
            <w:r>
              <w:t xml:space="preserve">Zwolnienie od VAT dostaw, </w:t>
            </w:r>
            <w:r w:rsidRPr="00B17441">
              <w:t>wewnątrzwspólnotow</w:t>
            </w:r>
            <w:r>
              <w:t>ych</w:t>
            </w:r>
            <w:r w:rsidRPr="00B17441">
              <w:t xml:space="preserve"> naby</w:t>
            </w:r>
            <w:r>
              <w:t xml:space="preserve">ć oraz importu produktów związanych </w:t>
            </w:r>
            <w:r w:rsidR="00CF1904">
              <w:br/>
            </w:r>
            <w:r>
              <w:t>z obronnością dotyczy wyłącznie transakcji dokonywanych w ramach zamówień wspieranych ze środków instrumentu SAFE, tj. transakcji finansowanych (opłacanych) środkami finansowymi otrzymanymi w ramach udzielonej państwu członkowskiemu pożyczki.</w:t>
            </w:r>
          </w:p>
        </w:tc>
      </w:tr>
      <w:bookmarkEnd w:id="11"/>
    </w:tbl>
    <w:p w14:paraId="626E00EC" w14:textId="35043FBD" w:rsidR="008256B0" w:rsidRDefault="008256B0" w:rsidP="00951A76">
      <w:pPr>
        <w:spacing w:after="0"/>
      </w:pPr>
    </w:p>
    <w:p w14:paraId="33E3E375" w14:textId="599D870C" w:rsidR="00EA5B7A" w:rsidRDefault="00F261B7" w:rsidP="00951A76">
      <w:pPr>
        <w:spacing w:after="0"/>
      </w:pPr>
      <w:r>
        <w:t xml:space="preserve">Zwolnienie nie obejmuje transakcji finansowanych środkami innymi niż pochodzące z </w:t>
      </w:r>
      <w:bookmarkStart w:id="12" w:name="_Hlk220942813"/>
      <w:r>
        <w:t>udzielonej pożyczki, np. środkami krajowymi.</w:t>
      </w:r>
      <w:bookmarkStart w:id="13" w:name="_Hlk220777516"/>
    </w:p>
    <w:p w14:paraId="0B52CE33" w14:textId="77777777" w:rsidR="00951A76" w:rsidRPr="00EA5B7A" w:rsidRDefault="00951A76" w:rsidP="00951A7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5B7A" w:rsidRPr="00EA5B7A" w14:paraId="3AE577C1" w14:textId="77777777" w:rsidTr="00A6202E">
        <w:tc>
          <w:tcPr>
            <w:tcW w:w="9060" w:type="dxa"/>
          </w:tcPr>
          <w:p w14:paraId="323C236E" w14:textId="444E71A0" w:rsidR="00951A76" w:rsidRDefault="00EA5B7A" w:rsidP="00951A76">
            <w:pPr>
              <w:spacing w:after="160" w:line="259" w:lineRule="auto"/>
            </w:pPr>
            <w:bookmarkStart w:id="14" w:name="_Hlk221010613"/>
            <w:r>
              <w:rPr>
                <w:b/>
              </w:rPr>
              <w:t>Przykład 1</w:t>
            </w:r>
            <w:r w:rsidRPr="00EA5B7A">
              <w:t xml:space="preserve">: </w:t>
            </w:r>
          </w:p>
          <w:p w14:paraId="25FB5C0B" w14:textId="4D5DCA5B" w:rsidR="0031592D" w:rsidRDefault="00417FBC" w:rsidP="00951A76">
            <w:pPr>
              <w:spacing w:after="160" w:line="259" w:lineRule="auto"/>
            </w:pPr>
            <w:r>
              <w:t xml:space="preserve">Podmiot A dokonuje </w:t>
            </w:r>
            <w:r w:rsidR="004B0EE3">
              <w:t xml:space="preserve">zakupu </w:t>
            </w:r>
            <w:r w:rsidR="0031592D">
              <w:t xml:space="preserve">3 wozów bojowych oraz 1 terenowego samochodu ciężarowego. Wartość 3 wozów bojowych stanowi 75% wartości całego zamówienia. Wsparciem </w:t>
            </w:r>
            <w:r w:rsidR="0031592D" w:rsidRPr="0031592D">
              <w:t>ze środków instrumentu SAFE</w:t>
            </w:r>
            <w:r w:rsidR="0031592D">
              <w:t xml:space="preserve"> objęte jest nabycie wyłącznie wozów bojowych – należność za nie zostanie uregulowana przez nabywcę środkami z pożyczki SAFE, należność za terenowy samochód ciężarowy (25% wartości całego zamówienia) zostanie opłacona ze środków krajowych.</w:t>
            </w:r>
          </w:p>
          <w:p w14:paraId="67E4A796" w14:textId="3A5E9311" w:rsidR="00417FBC" w:rsidRDefault="00417FBC" w:rsidP="00951A76">
            <w:pPr>
              <w:spacing w:line="259" w:lineRule="auto"/>
            </w:pPr>
            <w:r>
              <w:t xml:space="preserve">Zwolnieniem od VAT zostanie objęta wyłącznie dostawa </w:t>
            </w:r>
            <w:r w:rsidR="0031592D">
              <w:t>3 wozów bojowych</w:t>
            </w:r>
            <w:r>
              <w:t xml:space="preserve">. </w:t>
            </w:r>
            <w:r w:rsidR="0031592D">
              <w:t>Dostawa terenowego samochodu ciężarowego powinna być opodatkowania VAT zgodnie z zasadami ogólnymi.</w:t>
            </w:r>
            <w:r>
              <w:t xml:space="preserve"> </w:t>
            </w:r>
          </w:p>
          <w:p w14:paraId="51F18E1B" w14:textId="67FA0A77" w:rsidR="00EA5B7A" w:rsidRPr="00EA5B7A" w:rsidRDefault="00EA5B7A" w:rsidP="00951A76"/>
        </w:tc>
      </w:tr>
      <w:bookmarkEnd w:id="12"/>
      <w:bookmarkEnd w:id="13"/>
      <w:bookmarkEnd w:id="14"/>
    </w:tbl>
    <w:p w14:paraId="609E67A5" w14:textId="77F86095" w:rsidR="00EA5B7A" w:rsidRDefault="00EA5B7A" w:rsidP="008256B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4204" w:rsidRPr="00C34204" w14:paraId="5A5B93F2" w14:textId="77777777" w:rsidTr="00377A89">
        <w:tc>
          <w:tcPr>
            <w:tcW w:w="9060" w:type="dxa"/>
          </w:tcPr>
          <w:p w14:paraId="4DD6FD14" w14:textId="15E150E5" w:rsidR="00C34204" w:rsidRPr="00C34204" w:rsidRDefault="00C34204" w:rsidP="00C34204">
            <w:pPr>
              <w:spacing w:after="160" w:line="259" w:lineRule="auto"/>
            </w:pPr>
            <w:bookmarkStart w:id="15" w:name="_Hlk221020438"/>
            <w:r w:rsidRPr="00C34204">
              <w:rPr>
                <w:b/>
              </w:rPr>
              <w:t xml:space="preserve">Przykład </w:t>
            </w:r>
            <w:r>
              <w:rPr>
                <w:b/>
              </w:rPr>
              <w:t>2</w:t>
            </w:r>
            <w:r w:rsidRPr="00C34204">
              <w:t xml:space="preserve">: </w:t>
            </w:r>
          </w:p>
          <w:p w14:paraId="63875883" w14:textId="00450931" w:rsidR="00C34204" w:rsidRPr="00C34204" w:rsidRDefault="00C34204" w:rsidP="008300B5">
            <w:pPr>
              <w:spacing w:after="160" w:line="259" w:lineRule="auto"/>
            </w:pPr>
            <w:r>
              <w:t>Podmiot A dokonuje zakupu 6 dronów. Zakup 4 dronów jest opłacany ze środków finansowych pochodzących z pożyczki SAFE</w:t>
            </w:r>
            <w:r w:rsidR="008E0C02">
              <w:t>,</w:t>
            </w:r>
            <w:r>
              <w:t xml:space="preserve"> natomiast zakup 2 dronów finansowany jest ze środków krajowych. </w:t>
            </w:r>
            <w:r w:rsidRPr="00C34204">
              <w:t xml:space="preserve">W takiej sytuacji zwolnienie </w:t>
            </w:r>
            <w:r>
              <w:t xml:space="preserve">od </w:t>
            </w:r>
            <w:r w:rsidRPr="00C34204">
              <w:t>VAT będzie m</w:t>
            </w:r>
            <w:r>
              <w:t>ogło mieć zastosowanie do dostawy 4 dronów</w:t>
            </w:r>
            <w:r w:rsidR="008300B5">
              <w:t xml:space="preserve"> finansowanych z pożyczki SAFE. Dostawa 2</w:t>
            </w:r>
            <w:r w:rsidRPr="00C34204">
              <w:t xml:space="preserve"> </w:t>
            </w:r>
            <w:r w:rsidR="005B24BF">
              <w:t xml:space="preserve">dronów </w:t>
            </w:r>
            <w:r w:rsidR="008300B5">
              <w:t>opłaconych ze środków krajowych podlegać będzie opodatkowaniu VAT na ogólnych zasadach</w:t>
            </w:r>
            <w:r w:rsidR="00951A76">
              <w:t xml:space="preserve"> (z zastosowaniem właściwej stawki VAT)</w:t>
            </w:r>
            <w:r w:rsidR="008300B5">
              <w:t xml:space="preserve">. </w:t>
            </w:r>
          </w:p>
        </w:tc>
      </w:tr>
      <w:bookmarkEnd w:id="15"/>
    </w:tbl>
    <w:p w14:paraId="0E9E2EF1" w14:textId="124E0A4E" w:rsidR="00C34204" w:rsidRDefault="00C34204" w:rsidP="008256B0"/>
    <w:p w14:paraId="3076F7D9" w14:textId="57917B9F" w:rsidR="008256B0" w:rsidRPr="00EA5B7A" w:rsidRDefault="00EA5B7A" w:rsidP="00EA5B7A">
      <w:pPr>
        <w:pStyle w:val="Akapitzlist"/>
        <w:numPr>
          <w:ilvl w:val="0"/>
          <w:numId w:val="29"/>
        </w:numPr>
        <w:ind w:left="851"/>
        <w:rPr>
          <w:b/>
          <w:bCs/>
        </w:rPr>
      </w:pPr>
      <w:r w:rsidRPr="00EA5B7A">
        <w:rPr>
          <w:b/>
          <w:bCs/>
        </w:rPr>
        <w:t>są odpowiednio udokumentowane</w:t>
      </w:r>
    </w:p>
    <w:p w14:paraId="555FF4B0" w14:textId="256DD1F5" w:rsidR="00796192" w:rsidRDefault="00EA5B7A" w:rsidP="00796192">
      <w:r>
        <w:t>Dokumentem potwierdzającym prawo do zastosowania zwolnienia</w:t>
      </w:r>
      <w:r w:rsidR="00796192">
        <w:t xml:space="preserve"> od VAT na mocy rozporządzenia SAFE</w:t>
      </w:r>
      <w:r>
        <w:t xml:space="preserve"> konkretnej transakcji jest </w:t>
      </w:r>
      <w:r w:rsidR="005F3AE5">
        <w:t>świadectwo zwolnienia z VAT</w:t>
      </w:r>
      <w:r w:rsidR="00252A27">
        <w:t>,</w:t>
      </w:r>
      <w:r w:rsidR="005F3AE5">
        <w:t xml:space="preserve"> </w:t>
      </w:r>
      <w:r>
        <w:t xml:space="preserve">odpowiednio wypełnione </w:t>
      </w:r>
      <w:r>
        <w:lastRenderedPageBreak/>
        <w:t>i</w:t>
      </w:r>
      <w:r w:rsidR="00252A27">
        <w:t> </w:t>
      </w:r>
      <w:r>
        <w:t>opieczętowane przez właściwy organ państwa członkowskiego nabywcy produktów związanych z</w:t>
      </w:r>
      <w:r w:rsidR="00252A27">
        <w:t> </w:t>
      </w:r>
      <w:r>
        <w:t>obronnością.</w:t>
      </w:r>
      <w:r w:rsidR="00796192">
        <w:t xml:space="preserve"> </w:t>
      </w:r>
      <w:bookmarkStart w:id="16" w:name="_Hlk220777827"/>
    </w:p>
    <w:p w14:paraId="7AAD15C2" w14:textId="77777777" w:rsidR="00EB6139" w:rsidRDefault="00EB6139" w:rsidP="007961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6192" w:rsidRPr="00796192" w14:paraId="14915D74" w14:textId="77777777" w:rsidTr="00A6202E">
        <w:tc>
          <w:tcPr>
            <w:tcW w:w="9060" w:type="dxa"/>
          </w:tcPr>
          <w:p w14:paraId="5D3AD499" w14:textId="6A2EBB92" w:rsidR="00796192" w:rsidRDefault="00796192" w:rsidP="00796192">
            <w:pPr>
              <w:spacing w:after="160" w:line="259" w:lineRule="auto"/>
            </w:pPr>
            <w:bookmarkStart w:id="17" w:name="_Hlk220780698"/>
            <w:r>
              <w:rPr>
                <w:b/>
              </w:rPr>
              <w:t>Uwaga</w:t>
            </w:r>
            <w:r w:rsidRPr="00796192">
              <w:t xml:space="preserve">: </w:t>
            </w:r>
          </w:p>
          <w:p w14:paraId="7339E7E1" w14:textId="7534B6B8" w:rsidR="00796192" w:rsidRDefault="00796192" w:rsidP="00796192">
            <w:r>
              <w:t>Zwolnienie od VAT</w:t>
            </w:r>
            <w:r w:rsidR="00431A45">
              <w:t xml:space="preserve"> na podstawie art. 20 rozporządzenia SAFE </w:t>
            </w:r>
            <w:r>
              <w:t xml:space="preserve">dotyczy ostatniej transakcji </w:t>
            </w:r>
            <w:r w:rsidR="00CF1904">
              <w:br/>
            </w:r>
            <w:r>
              <w:t>w łańcuchu pomiędzy podmiotem nabywającym a dostawcą produktów związanych z obronnością.</w:t>
            </w:r>
          </w:p>
          <w:p w14:paraId="34FACCD8" w14:textId="451C8C29" w:rsidR="00796192" w:rsidRPr="00796192" w:rsidRDefault="00796192" w:rsidP="00796192"/>
        </w:tc>
      </w:tr>
    </w:tbl>
    <w:p w14:paraId="36B90655" w14:textId="77777777" w:rsidR="00796192" w:rsidRPr="00796192" w:rsidRDefault="00796192" w:rsidP="00796192">
      <w:bookmarkStart w:id="18" w:name="_Hlk221089336"/>
      <w:bookmarkEnd w:id="16"/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6192" w:rsidRPr="00796192" w14:paraId="2C118CF7" w14:textId="77777777" w:rsidTr="00A6202E">
        <w:tc>
          <w:tcPr>
            <w:tcW w:w="9060" w:type="dxa"/>
          </w:tcPr>
          <w:p w14:paraId="7334BC8C" w14:textId="378B5D83" w:rsidR="00796192" w:rsidRDefault="00796192" w:rsidP="00A6202E">
            <w:pPr>
              <w:spacing w:after="160" w:line="259" w:lineRule="auto"/>
            </w:pPr>
            <w:r>
              <w:rPr>
                <w:b/>
              </w:rPr>
              <w:t xml:space="preserve">Przykład </w:t>
            </w:r>
            <w:r w:rsidR="008300B5">
              <w:rPr>
                <w:b/>
              </w:rPr>
              <w:t>3</w:t>
            </w:r>
            <w:r w:rsidRPr="00796192">
              <w:t xml:space="preserve">: </w:t>
            </w:r>
          </w:p>
          <w:p w14:paraId="28CBC356" w14:textId="37E774C3" w:rsidR="00796192" w:rsidRPr="00796192" w:rsidRDefault="00951A76" w:rsidP="00951A76">
            <w:pPr>
              <w:spacing w:after="160" w:line="259" w:lineRule="auto"/>
            </w:pPr>
            <w:r>
              <w:t xml:space="preserve">Podmiot A </w:t>
            </w:r>
            <w:r w:rsidR="00E96BF5">
              <w:t xml:space="preserve">zamierza </w:t>
            </w:r>
            <w:r w:rsidR="007733CA">
              <w:t>kupić okręt podwodn</w:t>
            </w:r>
            <w:r w:rsidR="009B4197">
              <w:t>y</w:t>
            </w:r>
            <w:r w:rsidR="007733CA">
              <w:t xml:space="preserve"> </w:t>
            </w:r>
            <w:r w:rsidR="00130802">
              <w:t xml:space="preserve">korzystając z pożyczki SAFE. Umowę na zakup tego </w:t>
            </w:r>
            <w:r w:rsidR="009B4197">
              <w:t xml:space="preserve">okrętu </w:t>
            </w:r>
            <w:r>
              <w:t>P</w:t>
            </w:r>
            <w:r w:rsidR="00130802">
              <w:t xml:space="preserve">odmiot </w:t>
            </w:r>
            <w:r>
              <w:t xml:space="preserve">A </w:t>
            </w:r>
            <w:r w:rsidR="00130802">
              <w:t xml:space="preserve">podpisuje ze Spółką </w:t>
            </w:r>
            <w:r>
              <w:t>X</w:t>
            </w:r>
            <w:r w:rsidR="00130802">
              <w:t xml:space="preserve"> (dostawcą </w:t>
            </w:r>
            <w:r w:rsidR="009B4197">
              <w:t>okrętu</w:t>
            </w:r>
            <w:r w:rsidR="00130802">
              <w:t>)</w:t>
            </w:r>
            <w:r w:rsidR="009B4197">
              <w:t>. Spółka X dokonuje zakupu elementów niezbędnych do budowy okrętu</w:t>
            </w:r>
            <w:r w:rsidR="00130802">
              <w:t xml:space="preserve">, </w:t>
            </w:r>
            <w:r w:rsidR="009B4197">
              <w:t>m. in.</w:t>
            </w:r>
            <w:r w:rsidR="00130802">
              <w:t xml:space="preserve"> podpisała umowę ze Spółką </w:t>
            </w:r>
            <w:r>
              <w:t>Y</w:t>
            </w:r>
            <w:r w:rsidR="00130802">
              <w:t xml:space="preserve"> na </w:t>
            </w:r>
            <w:r w:rsidR="0055369C">
              <w:t xml:space="preserve">dostarczenie </w:t>
            </w:r>
            <w:r w:rsidR="00130802">
              <w:t>silnika</w:t>
            </w:r>
            <w:r w:rsidR="009B4197">
              <w:t xml:space="preserve"> okrętowego</w:t>
            </w:r>
            <w:r w:rsidR="00130802">
              <w:t xml:space="preserve">. W takiej sytuacji </w:t>
            </w:r>
            <w:r w:rsidR="00C554C1">
              <w:t xml:space="preserve">zwolnienie </w:t>
            </w:r>
            <w:r w:rsidR="008E0C02">
              <w:t>od</w:t>
            </w:r>
            <w:r w:rsidR="00C554C1">
              <w:t xml:space="preserve"> VAT </w:t>
            </w:r>
            <w:r w:rsidR="00C554C1" w:rsidRPr="00C554C1">
              <w:t>na podstawie art. 20 rozporządzenia SAFE</w:t>
            </w:r>
            <w:r w:rsidR="00C554C1">
              <w:t xml:space="preserve"> może być zastosowane tylko przez Spółkę </w:t>
            </w:r>
            <w:r>
              <w:t>X</w:t>
            </w:r>
            <w:r w:rsidR="00C554C1">
              <w:t xml:space="preserve"> w odniesieniu do dostawy </w:t>
            </w:r>
            <w:r w:rsidR="009B4197">
              <w:t xml:space="preserve">okrętu podwodnego </w:t>
            </w:r>
            <w:r w:rsidR="00C554C1">
              <w:t xml:space="preserve">pod warunkiem, że </w:t>
            </w:r>
            <w:r>
              <w:t>Podmiot A</w:t>
            </w:r>
            <w:r w:rsidR="00130802">
              <w:t xml:space="preserve">, który </w:t>
            </w:r>
            <w:r w:rsidR="00E96BF5">
              <w:t>zamierza</w:t>
            </w:r>
            <w:r w:rsidR="00130802">
              <w:t xml:space="preserve"> kupić </w:t>
            </w:r>
            <w:r w:rsidR="009B4197">
              <w:t>okręt</w:t>
            </w:r>
            <w:r w:rsidR="00130802">
              <w:t>, przeka</w:t>
            </w:r>
            <w:r w:rsidR="00C554C1">
              <w:t>że</w:t>
            </w:r>
            <w:r w:rsidR="008300B5">
              <w:t xml:space="preserve"> </w:t>
            </w:r>
            <w:r w:rsidR="00130802">
              <w:t xml:space="preserve">Spółce </w:t>
            </w:r>
            <w:r>
              <w:t>X</w:t>
            </w:r>
            <w:r w:rsidR="00C554C1">
              <w:t xml:space="preserve"> </w:t>
            </w:r>
            <w:r w:rsidR="00130802">
              <w:t>świadectwo zwolnienia</w:t>
            </w:r>
            <w:r w:rsidR="0055369C">
              <w:t xml:space="preserve"> z</w:t>
            </w:r>
            <w:r w:rsidR="00252A27">
              <w:t> </w:t>
            </w:r>
            <w:r w:rsidR="0055369C">
              <w:t>VAT</w:t>
            </w:r>
            <w:r w:rsidR="008300B5">
              <w:t>.</w:t>
            </w:r>
            <w:r w:rsidR="00130802">
              <w:t xml:space="preserve"> </w:t>
            </w:r>
            <w:r w:rsidR="008300B5">
              <w:t>T</w:t>
            </w:r>
            <w:r w:rsidR="0055369C">
              <w:t xml:space="preserve">ransakcja pomiędzy Spółką </w:t>
            </w:r>
            <w:r>
              <w:t>X</w:t>
            </w:r>
            <w:r w:rsidR="0055369C">
              <w:t xml:space="preserve"> a Spółką </w:t>
            </w:r>
            <w:r>
              <w:t>Y</w:t>
            </w:r>
            <w:r w:rsidR="0055369C">
              <w:t xml:space="preserve"> </w:t>
            </w:r>
            <w:r w:rsidR="008E0C02">
              <w:t xml:space="preserve">– dostawa silnika </w:t>
            </w:r>
            <w:r w:rsidR="009B4197">
              <w:t xml:space="preserve">okrętowego </w:t>
            </w:r>
            <w:r w:rsidR="008E0C02">
              <w:t xml:space="preserve">– </w:t>
            </w:r>
            <w:r w:rsidR="005D3833">
              <w:t>będzie opodatkowana na zasadach ogólnych według stawki</w:t>
            </w:r>
            <w:r w:rsidR="00FD09F8">
              <w:t xml:space="preserve"> właściwej dla danego towaru</w:t>
            </w:r>
            <w:r w:rsidR="0055369C">
              <w:t>.</w:t>
            </w:r>
            <w:r w:rsidR="002D2C9A">
              <w:t xml:space="preserve"> </w:t>
            </w:r>
            <w:r w:rsidR="00FD09F8">
              <w:t xml:space="preserve">Poddostawcy nie mogą </w:t>
            </w:r>
            <w:r>
              <w:t xml:space="preserve">bowiem </w:t>
            </w:r>
            <w:r w:rsidR="00FD09F8">
              <w:t xml:space="preserve">korzystać ze zwolnienia </w:t>
            </w:r>
            <w:r w:rsidR="005B24BF">
              <w:t>od</w:t>
            </w:r>
            <w:r w:rsidR="00FD09F8">
              <w:t xml:space="preserve"> VAT na podstawie art. 20 rozporządzenia SAFE.</w:t>
            </w:r>
          </w:p>
        </w:tc>
      </w:tr>
      <w:bookmarkEnd w:id="18"/>
    </w:tbl>
    <w:p w14:paraId="7C491E3A" w14:textId="0BDFBF29" w:rsidR="00796192" w:rsidRDefault="00796192" w:rsidP="008656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A47D0" w:rsidRPr="00796192" w14:paraId="16BD7562" w14:textId="77777777" w:rsidTr="00A6202E">
        <w:tc>
          <w:tcPr>
            <w:tcW w:w="9060" w:type="dxa"/>
          </w:tcPr>
          <w:p w14:paraId="340542AF" w14:textId="77777777" w:rsidR="00DA47D0" w:rsidRDefault="00DA47D0" w:rsidP="00A6202E">
            <w:pPr>
              <w:spacing w:after="160" w:line="259" w:lineRule="auto"/>
            </w:pPr>
            <w:r>
              <w:rPr>
                <w:b/>
              </w:rPr>
              <w:t>Uwaga</w:t>
            </w:r>
            <w:r w:rsidRPr="00796192">
              <w:t xml:space="preserve">: </w:t>
            </w:r>
          </w:p>
          <w:p w14:paraId="7F1ABB69" w14:textId="77777777" w:rsidR="00DA47D0" w:rsidRDefault="00DA47D0" w:rsidP="00951A76">
            <w:pPr>
              <w:spacing w:line="259" w:lineRule="auto"/>
            </w:pPr>
            <w:r>
              <w:t>W przypadku niespełnienia warunków do zastosowania zwolnienia dla konkretnej transakcji, powinna ona być opodatkowana VAT na zasadach ogólnych.</w:t>
            </w:r>
          </w:p>
          <w:p w14:paraId="48DC065F" w14:textId="09384805" w:rsidR="00DA47D0" w:rsidRDefault="00DA47D0" w:rsidP="00951A76">
            <w:pPr>
              <w:spacing w:line="259" w:lineRule="auto"/>
            </w:pPr>
            <w:r>
              <w:t xml:space="preserve">W przypadku stwierdzenia po dokonanej dostawie, że dana transakcja w sposób nieuprawniony została objęta zwolnieniem, do zapłaty </w:t>
            </w:r>
            <w:r w:rsidR="00252A27">
              <w:t xml:space="preserve">podatku </w:t>
            </w:r>
            <w:r>
              <w:t xml:space="preserve">VAT </w:t>
            </w:r>
            <w:r w:rsidRPr="00DA47D0">
              <w:t>na rzecz państwa członkowskiego, w którym znajduje się miejsce dostawy nabytych produktów związanych z obronnością</w:t>
            </w:r>
            <w:r>
              <w:t>, zobowiązany będzie ich nabywca.</w:t>
            </w:r>
          </w:p>
          <w:p w14:paraId="3BED3956" w14:textId="77777777" w:rsidR="00DA47D0" w:rsidRPr="00796192" w:rsidRDefault="00DA47D0" w:rsidP="00A6202E"/>
        </w:tc>
      </w:tr>
    </w:tbl>
    <w:p w14:paraId="7889F251" w14:textId="77777777" w:rsidR="008E0C02" w:rsidRPr="00796192" w:rsidRDefault="008E0C02" w:rsidP="008E0C0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C02" w:rsidRPr="00796192" w14:paraId="735434E7" w14:textId="77777777" w:rsidTr="003A6A79">
        <w:tc>
          <w:tcPr>
            <w:tcW w:w="9060" w:type="dxa"/>
          </w:tcPr>
          <w:p w14:paraId="5F21F606" w14:textId="0F55BC64" w:rsidR="008E0C02" w:rsidRDefault="008E0C02" w:rsidP="003A6A79">
            <w:pPr>
              <w:spacing w:after="160" w:line="259" w:lineRule="auto"/>
            </w:pPr>
            <w:r>
              <w:rPr>
                <w:b/>
              </w:rPr>
              <w:t>Przykład 4</w:t>
            </w:r>
            <w:r w:rsidRPr="00796192">
              <w:t xml:space="preserve">: </w:t>
            </w:r>
          </w:p>
          <w:p w14:paraId="42CCBABE" w14:textId="7395B930" w:rsidR="00EA70FB" w:rsidRDefault="008E0C02" w:rsidP="003A6A79">
            <w:pPr>
              <w:spacing w:after="160" w:line="259" w:lineRule="auto"/>
            </w:pPr>
            <w:r>
              <w:t>Podmiot A nabywa 10 generatorów prądu oraz 10 akumulatorów. Przedkłada dostaw</w:t>
            </w:r>
            <w:r w:rsidR="008E5448">
              <w:t>c</w:t>
            </w:r>
            <w:r>
              <w:t xml:space="preserve">y towarów </w:t>
            </w:r>
            <w:r w:rsidR="00EA70FB">
              <w:t>opieczętowane przez odpowiedni organ świadectwo zwolnienia</w:t>
            </w:r>
            <w:r w:rsidR="00F02FC9">
              <w:t xml:space="preserve"> z VAT</w:t>
            </w:r>
            <w:r w:rsidR="00EA70FB">
              <w:t>, z którego wynika, że</w:t>
            </w:r>
            <w:r w:rsidR="00252A27">
              <w:t> </w:t>
            </w:r>
            <w:r w:rsidR="00EA70FB">
              <w:t>wszystkie ww. towary objęte są finansowaniem w ramach instrumentu SAFE. Sprzedawca, przy dostawie tych towarów, stosuje zwolnienie od VAT.</w:t>
            </w:r>
          </w:p>
          <w:p w14:paraId="054997E1" w14:textId="3EE7D5BA" w:rsidR="008E0C02" w:rsidRPr="00796192" w:rsidRDefault="00EA70FB" w:rsidP="00E93C44">
            <w:pPr>
              <w:spacing w:after="160" w:line="259" w:lineRule="auto"/>
            </w:pPr>
            <w:r>
              <w:t xml:space="preserve">W wyniku weryfikacji </w:t>
            </w:r>
            <w:r w:rsidR="00047DA0">
              <w:t xml:space="preserve">dokumentacji przeprowadzonej w </w:t>
            </w:r>
            <w:r w:rsidR="005D706A">
              <w:t>P</w:t>
            </w:r>
            <w:r w:rsidR="00047DA0">
              <w:t>odmiocie A stwierdzono, że świadectwo zwolnienia było błędnie wypełnione – finansowaniem ze środków SAFE objęta jest wyłącznie dostawa 10 generatorów. Dostawa 10 akumulatorów powinna zatem być opodatkowana VAT na</w:t>
            </w:r>
            <w:r w:rsidR="00252A27">
              <w:t> </w:t>
            </w:r>
            <w:r w:rsidR="00047DA0">
              <w:t>zasadach ogólnych (według właściwej stawki VAT). Podatek, który jest należ</w:t>
            </w:r>
            <w:r w:rsidR="00EB795D">
              <w:t>n</w:t>
            </w:r>
            <w:r w:rsidR="00047DA0">
              <w:t xml:space="preserve">y od dostawy 10 akumulatorów powinien być zatem </w:t>
            </w:r>
            <w:r w:rsidR="0037506D">
              <w:t xml:space="preserve">zapłacony </w:t>
            </w:r>
            <w:r w:rsidR="00047DA0">
              <w:t>przez Podmiot A.</w:t>
            </w:r>
          </w:p>
        </w:tc>
      </w:tr>
    </w:tbl>
    <w:p w14:paraId="300140B5" w14:textId="49C02C7A" w:rsidR="008E0C02" w:rsidRDefault="008E0C02" w:rsidP="0086561F">
      <w:pPr>
        <w:rPr>
          <w:b/>
          <w:bCs/>
          <w:sz w:val="24"/>
          <w:szCs w:val="24"/>
        </w:rPr>
      </w:pPr>
    </w:p>
    <w:p w14:paraId="6C772C05" w14:textId="77777777" w:rsidR="00EB6139" w:rsidRDefault="00EB6139" w:rsidP="0086561F">
      <w:pPr>
        <w:rPr>
          <w:b/>
          <w:bCs/>
          <w:sz w:val="24"/>
          <w:szCs w:val="24"/>
        </w:rPr>
      </w:pPr>
    </w:p>
    <w:p w14:paraId="2839D13A" w14:textId="0F2AE39B" w:rsidR="000018A4" w:rsidRPr="00E93C44" w:rsidRDefault="000018A4" w:rsidP="00C35C26">
      <w:pPr>
        <w:pStyle w:val="Akapitzlist"/>
        <w:numPr>
          <w:ilvl w:val="0"/>
          <w:numId w:val="37"/>
        </w:numPr>
        <w:outlineLvl w:val="1"/>
        <w:rPr>
          <w:b/>
          <w:bCs/>
          <w:sz w:val="24"/>
          <w:szCs w:val="24"/>
        </w:rPr>
      </w:pPr>
      <w:bookmarkStart w:id="19" w:name="_Toc221111817"/>
      <w:r w:rsidRPr="00E93C44">
        <w:rPr>
          <w:b/>
          <w:bCs/>
          <w:sz w:val="24"/>
          <w:szCs w:val="24"/>
        </w:rPr>
        <w:lastRenderedPageBreak/>
        <w:t>Okres stosowania zwolnienia od VAT</w:t>
      </w:r>
      <w:bookmarkEnd w:id="19"/>
    </w:p>
    <w:p w14:paraId="4AF67376" w14:textId="0DA90786" w:rsidR="000018A4" w:rsidRDefault="000018A4" w:rsidP="0086561F">
      <w:r w:rsidRPr="006834A4">
        <w:t>Zwolnienie od VAT wprowadzone rozporządzeniem SAFE</w:t>
      </w:r>
      <w:r w:rsidR="006D53F3" w:rsidRPr="006834A4">
        <w:t xml:space="preserve"> ma zastosowanie wyłącznie do dostaw realizowanych w celu wykonania umów wynikających z zamówień w ramach instrumentu SAFE.</w:t>
      </w:r>
      <w:r w:rsidR="0037506D">
        <w:t xml:space="preserve"> Zwolnieniem tym objęte są </w:t>
      </w:r>
      <w:r w:rsidR="0037506D" w:rsidRPr="0037506D">
        <w:t>dostaw</w:t>
      </w:r>
      <w:r w:rsidR="0037506D">
        <w:t>y</w:t>
      </w:r>
      <w:r w:rsidR="0037506D" w:rsidRPr="0037506D">
        <w:t>, wewnątrzwspólnotow</w:t>
      </w:r>
      <w:r w:rsidR="0037506D">
        <w:t>e</w:t>
      </w:r>
      <w:r w:rsidR="0037506D" w:rsidRPr="0037506D">
        <w:t xml:space="preserve"> naby</w:t>
      </w:r>
      <w:r w:rsidR="0037506D">
        <w:t>cia</w:t>
      </w:r>
      <w:r w:rsidR="0037506D" w:rsidRPr="0037506D">
        <w:t xml:space="preserve"> oraz import produktów związanych z obronnością sfinansowanych środkami otrzymanymi w ramach instrumentu SAFE</w:t>
      </w:r>
      <w:r w:rsidR="0037506D">
        <w:t>, czyli środkami</w:t>
      </w:r>
      <w:r w:rsidR="00C614FD">
        <w:t xml:space="preserve"> z pożyczek</w:t>
      </w:r>
      <w:r w:rsidR="0037506D">
        <w:t xml:space="preserve">, których okres dostępności </w:t>
      </w:r>
      <w:r w:rsidR="00C614FD">
        <w:t>upłynie 31 grudnia 2030 r.</w:t>
      </w:r>
    </w:p>
    <w:p w14:paraId="65F8E91C" w14:textId="3535BE7A" w:rsidR="00C614FD" w:rsidRDefault="00C614FD" w:rsidP="0086561F">
      <w:r>
        <w:t>Zwolnienie to może mieć zastosowanie wyłącznie do czynności, które miały miejsce o</w:t>
      </w:r>
      <w:r w:rsidR="00591BD1">
        <w:t>d</w:t>
      </w:r>
      <w:r>
        <w:t xml:space="preserve"> dni</w:t>
      </w:r>
      <w:r w:rsidR="00591BD1">
        <w:t>a</w:t>
      </w:r>
      <w:r>
        <w:t xml:space="preserve"> wejścia w życie rozporządzenia SAFE.</w:t>
      </w:r>
    </w:p>
    <w:p w14:paraId="3D23B392" w14:textId="77777777" w:rsidR="00EB6139" w:rsidRPr="006834A4" w:rsidRDefault="00EB6139" w:rsidP="008656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3F3" w:rsidRPr="006D53F3" w14:paraId="393588C5" w14:textId="77777777" w:rsidTr="00A6202E">
        <w:tc>
          <w:tcPr>
            <w:tcW w:w="9060" w:type="dxa"/>
          </w:tcPr>
          <w:p w14:paraId="655686B3" w14:textId="77777777" w:rsidR="006D53F3" w:rsidRPr="00ED69BD" w:rsidRDefault="006D53F3" w:rsidP="006D53F3">
            <w:pPr>
              <w:spacing w:after="160" w:line="259" w:lineRule="auto"/>
            </w:pPr>
            <w:bookmarkStart w:id="20" w:name="_Hlk221465484"/>
            <w:bookmarkStart w:id="21" w:name="_Hlk221465508"/>
            <w:r w:rsidRPr="00ED69BD">
              <w:rPr>
                <w:b/>
              </w:rPr>
              <w:t>Uwaga</w:t>
            </w:r>
            <w:r w:rsidRPr="00ED69BD">
              <w:t xml:space="preserve">: </w:t>
            </w:r>
          </w:p>
          <w:p w14:paraId="4BB9FD41" w14:textId="399150E0" w:rsidR="006D53F3" w:rsidRPr="00ED69BD" w:rsidRDefault="006D53F3" w:rsidP="00036B36">
            <w:pPr>
              <w:spacing w:after="160" w:line="259" w:lineRule="auto"/>
            </w:pPr>
            <w:r w:rsidRPr="00ED69BD">
              <w:t xml:space="preserve">Zwolnienie od VAT dotyczy </w:t>
            </w:r>
            <w:r w:rsidR="00C614FD">
              <w:t>dostaw, wewnątrzwspólnotowych nabyć oraz importu produktów związanych z obronnością,</w:t>
            </w:r>
            <w:r w:rsidR="00983660" w:rsidRPr="00ED69BD">
              <w:t xml:space="preserve"> które </w:t>
            </w:r>
            <w:r w:rsidR="00C614FD">
              <w:t xml:space="preserve">to czynności </w:t>
            </w:r>
            <w:r w:rsidR="00983660" w:rsidRPr="00ED69BD">
              <w:t xml:space="preserve">miały miejsce najwcześniej w dniu wejścia </w:t>
            </w:r>
            <w:bookmarkEnd w:id="20"/>
            <w:r w:rsidR="00983660" w:rsidRPr="00ED69BD">
              <w:t>w życie rozporządzenia SAFE, tj. od 29 maja 2025 r.</w:t>
            </w:r>
          </w:p>
        </w:tc>
      </w:tr>
    </w:tbl>
    <w:p w14:paraId="3B9A989A" w14:textId="77777777" w:rsidR="00EA0E5E" w:rsidRPr="00796192" w:rsidRDefault="00EA0E5E" w:rsidP="00EA0E5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0E5E" w:rsidRPr="00796192" w14:paraId="56E6A0D9" w14:textId="77777777" w:rsidTr="003A6A79">
        <w:tc>
          <w:tcPr>
            <w:tcW w:w="9060" w:type="dxa"/>
          </w:tcPr>
          <w:bookmarkEnd w:id="21"/>
          <w:p w14:paraId="34DD1EE4" w14:textId="1616FAAB" w:rsidR="00EA0E5E" w:rsidRDefault="00EA0E5E" w:rsidP="003A6A79">
            <w:pPr>
              <w:spacing w:after="160" w:line="259" w:lineRule="auto"/>
            </w:pPr>
            <w:r>
              <w:rPr>
                <w:b/>
              </w:rPr>
              <w:t>Przykład 5</w:t>
            </w:r>
            <w:r w:rsidRPr="00796192">
              <w:t xml:space="preserve">: </w:t>
            </w:r>
          </w:p>
          <w:p w14:paraId="5A5E1164" w14:textId="4803BFCE" w:rsidR="0021152F" w:rsidRDefault="00F16CF8" w:rsidP="003A6A79">
            <w:pPr>
              <w:spacing w:after="160" w:line="259" w:lineRule="auto"/>
            </w:pPr>
            <w:r>
              <w:t>P</w:t>
            </w:r>
            <w:r w:rsidR="00EA0E5E">
              <w:t xml:space="preserve">odmiot A podpisał z dostawcą z innego państwa członkowskiego umowę na dostawę określonej liczby pocisków rakietowych. Umowa zawarta w styczniu 2024 r. przewiduje dostawy pocisków w 4 partiach – dwie z tych dostaw zrealizowane zostały w 2024 r., trzecia – w kwietniu 2025 r., ostatnia natomiast ma być zrealizowana w kwietniu 2026 r. </w:t>
            </w:r>
            <w:r w:rsidR="0021152F">
              <w:t>Ostatnia z dostaw jest objęta wsparciem z</w:t>
            </w:r>
            <w:r w:rsidR="00252A27">
              <w:t> </w:t>
            </w:r>
            <w:r w:rsidR="0021152F">
              <w:t xml:space="preserve">instrumentu SAFE – ma być sfinansowana ze środków </w:t>
            </w:r>
            <w:r w:rsidR="00372482" w:rsidRPr="00372482">
              <w:t>pożyczki</w:t>
            </w:r>
            <w:r w:rsidR="00372482" w:rsidRPr="00372482">
              <w:t xml:space="preserve"> </w:t>
            </w:r>
            <w:r w:rsidR="0021152F">
              <w:t xml:space="preserve">otrzymanej przez państwo członkowskie </w:t>
            </w:r>
            <w:r w:rsidR="00372482">
              <w:t>nabywcy</w:t>
            </w:r>
            <w:r w:rsidR="0021152F">
              <w:t>.</w:t>
            </w:r>
          </w:p>
          <w:p w14:paraId="05422DE0" w14:textId="7E48BD3C" w:rsidR="00EA0E5E" w:rsidRPr="00796192" w:rsidRDefault="0021152F" w:rsidP="00F16CF8">
            <w:pPr>
              <w:spacing w:after="160" w:line="259" w:lineRule="auto"/>
            </w:pPr>
            <w:r>
              <w:t>Zwolnieniem od VAT może być zatem objęta wyłącznie dostawa pocisków, która zostanie dokonana w kwietniu 2026 r. – pod warunkiem posiadania odpowiednio wypełnionego i</w:t>
            </w:r>
            <w:r w:rsidR="00252A27">
              <w:t> </w:t>
            </w:r>
            <w:r>
              <w:t>opieczętowanego świadectwa zwolnienia</w:t>
            </w:r>
            <w:r w:rsidR="009D7D3D">
              <w:t xml:space="preserve"> z VAT</w:t>
            </w:r>
            <w:r>
              <w:t>.</w:t>
            </w:r>
            <w:r w:rsidR="00EA0E5E">
              <w:t xml:space="preserve">  </w:t>
            </w:r>
          </w:p>
        </w:tc>
      </w:tr>
    </w:tbl>
    <w:p w14:paraId="4E378C21" w14:textId="171564C4" w:rsidR="00EA0E5E" w:rsidRDefault="00EA0E5E" w:rsidP="0086561F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4F0E" w:rsidRPr="007C4F0E" w14:paraId="22701A44" w14:textId="77777777" w:rsidTr="007C4F0E">
        <w:tc>
          <w:tcPr>
            <w:tcW w:w="9060" w:type="dxa"/>
          </w:tcPr>
          <w:p w14:paraId="4C15BFCA" w14:textId="54661CBF" w:rsidR="007C4F0E" w:rsidRPr="00DB1041" w:rsidRDefault="007C4F0E" w:rsidP="00084D41">
            <w:pPr>
              <w:rPr>
                <w:rFonts w:cstheme="minorHAnsi"/>
              </w:rPr>
            </w:pPr>
            <w:r w:rsidRPr="00D60839">
              <w:rPr>
                <w:rFonts w:cstheme="minorHAnsi"/>
                <w:b/>
              </w:rPr>
              <w:t>Przykład</w:t>
            </w:r>
            <w:r w:rsidR="00742192">
              <w:rPr>
                <w:rFonts w:cstheme="minorHAnsi"/>
                <w:b/>
              </w:rPr>
              <w:t xml:space="preserve"> 6</w:t>
            </w:r>
            <w:r w:rsidRPr="005F779F">
              <w:rPr>
                <w:rFonts w:cstheme="minorHAnsi"/>
              </w:rPr>
              <w:t xml:space="preserve">: </w:t>
            </w:r>
          </w:p>
          <w:p w14:paraId="48954B21" w14:textId="0EF79B84" w:rsidR="007C4F0E" w:rsidRPr="00D60839" w:rsidRDefault="007C4F0E" w:rsidP="00084D41">
            <w:pPr>
              <w:rPr>
                <w:rFonts w:cstheme="minorHAnsi"/>
              </w:rPr>
            </w:pPr>
          </w:p>
        </w:tc>
      </w:tr>
      <w:tr w:rsidR="007C4F0E" w:rsidRPr="007C4F0E" w14:paraId="0CA0C6CF" w14:textId="77777777" w:rsidTr="007C4F0E">
        <w:tc>
          <w:tcPr>
            <w:tcW w:w="9060" w:type="dxa"/>
          </w:tcPr>
          <w:p w14:paraId="6F95E476" w14:textId="13831B67" w:rsidR="00FE2DFC" w:rsidRPr="00D60839" w:rsidRDefault="00FE2DFC" w:rsidP="00FE2DFC">
            <w:pPr>
              <w:spacing w:after="160" w:line="259" w:lineRule="auto"/>
            </w:pPr>
            <w:r w:rsidRPr="00D60839">
              <w:rPr>
                <w:rFonts w:eastAsia="Times New Roman" w:cstheme="minorHAnsi"/>
                <w:lang w:eastAsia="pl-PL"/>
              </w:rPr>
              <w:t>Podmiot A podpisał z dostawcą</w:t>
            </w:r>
            <w:r w:rsidR="00D11BA0">
              <w:rPr>
                <w:rFonts w:eastAsia="Times New Roman" w:cstheme="minorHAnsi"/>
                <w:lang w:eastAsia="pl-PL"/>
              </w:rPr>
              <w:t xml:space="preserve"> </w:t>
            </w:r>
            <w:r w:rsidRPr="00D60839">
              <w:rPr>
                <w:rFonts w:eastAsia="Times New Roman" w:cstheme="minorHAnsi"/>
                <w:lang w:eastAsia="pl-PL"/>
              </w:rPr>
              <w:t xml:space="preserve">umowę na dostawę </w:t>
            </w:r>
            <w:r w:rsidR="00C614FD">
              <w:rPr>
                <w:rFonts w:eastAsia="Times New Roman" w:cstheme="minorHAnsi"/>
                <w:lang w:eastAsia="pl-PL"/>
              </w:rPr>
              <w:t>wyrzutni rakietowych</w:t>
            </w:r>
            <w:r w:rsidRPr="00D60839">
              <w:rPr>
                <w:rFonts w:eastAsia="Times New Roman" w:cstheme="minorHAnsi"/>
                <w:lang w:eastAsia="pl-PL"/>
              </w:rPr>
              <w:t>. Umowa zawarta w</w:t>
            </w:r>
            <w:r w:rsidR="00252A27">
              <w:rPr>
                <w:rFonts w:eastAsia="Times New Roman" w:cstheme="minorHAnsi"/>
                <w:lang w:eastAsia="pl-PL"/>
              </w:rPr>
              <w:t> </w:t>
            </w:r>
            <w:r w:rsidRPr="00D60839">
              <w:rPr>
                <w:rFonts w:eastAsia="Times New Roman" w:cstheme="minorHAnsi"/>
                <w:lang w:eastAsia="pl-PL"/>
              </w:rPr>
              <w:t xml:space="preserve">styczniu 2026 r. przewiduje dostawy </w:t>
            </w:r>
            <w:r w:rsidR="00C614FD">
              <w:rPr>
                <w:rFonts w:eastAsia="Times New Roman" w:cstheme="minorHAnsi"/>
                <w:lang w:eastAsia="pl-PL"/>
              </w:rPr>
              <w:t>tych wyrzutni</w:t>
            </w:r>
            <w:r w:rsidRPr="00D60839">
              <w:rPr>
                <w:rFonts w:eastAsia="Times New Roman" w:cstheme="minorHAnsi"/>
                <w:lang w:eastAsia="pl-PL"/>
              </w:rPr>
              <w:t xml:space="preserve"> w 3 partiach – pierwsza dostawa zrealizowana zostanie w styczniu 2027 r., druga – w styczniu 2029 r., ostatnia natomiast ma być realizowana w styczniu 2031 r. Wszystkie </w:t>
            </w:r>
            <w:r w:rsidRPr="00D60839">
              <w:t>dostawy będą objęte wsparciem z instrumentu SAFE – ma</w:t>
            </w:r>
            <w:r w:rsidR="003244D8">
              <w:t>ją</w:t>
            </w:r>
            <w:r w:rsidRPr="00D60839">
              <w:t xml:space="preserve"> być sfinansowan</w:t>
            </w:r>
            <w:r w:rsidR="003244D8">
              <w:t>e</w:t>
            </w:r>
            <w:r w:rsidRPr="00D60839">
              <w:t xml:space="preserve"> ze środków otrzymanej przez państwo członkowskie nabywcy pożyczki.</w:t>
            </w:r>
          </w:p>
          <w:p w14:paraId="41AC5E0C" w14:textId="5569B7FA" w:rsidR="007C4F0E" w:rsidRPr="00D60839" w:rsidRDefault="00FE2DFC" w:rsidP="00084D41">
            <w:pPr>
              <w:pStyle w:val="Tekstkomentarza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60839">
              <w:rPr>
                <w:sz w:val="22"/>
                <w:szCs w:val="22"/>
              </w:rPr>
              <w:t>Zwolnieniem od VAT mo</w:t>
            </w:r>
            <w:r w:rsidR="005F779F">
              <w:rPr>
                <w:sz w:val="22"/>
                <w:szCs w:val="22"/>
              </w:rPr>
              <w:t>gą</w:t>
            </w:r>
            <w:r w:rsidRPr="00D60839">
              <w:rPr>
                <w:sz w:val="22"/>
                <w:szCs w:val="22"/>
              </w:rPr>
              <w:t xml:space="preserve"> być objęt</w:t>
            </w:r>
            <w:r w:rsidR="005F779F">
              <w:rPr>
                <w:sz w:val="22"/>
                <w:szCs w:val="22"/>
              </w:rPr>
              <w:t>e</w:t>
            </w:r>
            <w:r w:rsidRPr="00D60839">
              <w:rPr>
                <w:sz w:val="22"/>
                <w:szCs w:val="22"/>
              </w:rPr>
              <w:t xml:space="preserve"> w</w:t>
            </w:r>
            <w:r w:rsidR="005F779F">
              <w:rPr>
                <w:sz w:val="22"/>
                <w:szCs w:val="22"/>
              </w:rPr>
              <w:t xml:space="preserve">szystkie dostawy </w:t>
            </w:r>
            <w:r w:rsidR="003244D8">
              <w:rPr>
                <w:sz w:val="22"/>
                <w:szCs w:val="22"/>
              </w:rPr>
              <w:t>wyrzutni rakietowych</w:t>
            </w:r>
            <w:r w:rsidRPr="00D60839">
              <w:rPr>
                <w:sz w:val="22"/>
                <w:szCs w:val="22"/>
              </w:rPr>
              <w:t xml:space="preserve"> – pod warunkiem posiadania odpowiednio wypełnionego i opieczętowanego świadectwa zwolnienia z VAT.</w:t>
            </w:r>
            <w:r w:rsidR="005F779F">
              <w:rPr>
                <w:sz w:val="22"/>
                <w:szCs w:val="22"/>
              </w:rPr>
              <w:t xml:space="preserve"> </w:t>
            </w:r>
          </w:p>
        </w:tc>
      </w:tr>
    </w:tbl>
    <w:p w14:paraId="04D87A7B" w14:textId="77777777" w:rsidR="00EB6139" w:rsidRDefault="00EB6139" w:rsidP="0086561F">
      <w:pPr>
        <w:rPr>
          <w:sz w:val="24"/>
          <w:szCs w:val="24"/>
        </w:rPr>
      </w:pPr>
    </w:p>
    <w:p w14:paraId="33722D2C" w14:textId="2AE89765" w:rsidR="00F439F3" w:rsidRPr="00E93C44" w:rsidRDefault="00F439F3" w:rsidP="00C35C26">
      <w:pPr>
        <w:pStyle w:val="Akapitzlist"/>
        <w:numPr>
          <w:ilvl w:val="0"/>
          <w:numId w:val="36"/>
        </w:numPr>
        <w:outlineLvl w:val="0"/>
        <w:rPr>
          <w:b/>
          <w:bCs/>
          <w:sz w:val="32"/>
          <w:szCs w:val="32"/>
        </w:rPr>
      </w:pPr>
      <w:bookmarkStart w:id="22" w:name="_Toc221111818"/>
      <w:r w:rsidRPr="00E93C44">
        <w:rPr>
          <w:b/>
          <w:bCs/>
          <w:sz w:val="32"/>
          <w:szCs w:val="32"/>
        </w:rPr>
        <w:t>Zwolnienie od VAT zaliczek na poczet dostawy produktów związanych z obronnością finansowanych w ramach instrumentu SAFE</w:t>
      </w:r>
      <w:bookmarkEnd w:id="22"/>
    </w:p>
    <w:p w14:paraId="3E3BB026" w14:textId="12D9E1F8" w:rsidR="00F439F3" w:rsidRPr="00FB2A1B" w:rsidRDefault="00F439F3" w:rsidP="00F439F3">
      <w:r w:rsidRPr="00FB2A1B">
        <w:lastRenderedPageBreak/>
        <w:t>Zgodnie z przepisami art. 19a ust. 8 ustawy z dnia 11 marca 2004</w:t>
      </w:r>
      <w:r w:rsidR="00AB6689">
        <w:t xml:space="preserve"> r.</w:t>
      </w:r>
      <w:r w:rsidRPr="00FB2A1B">
        <w:t xml:space="preserve"> o podatku od towarów i usług</w:t>
      </w:r>
      <w:r w:rsidRPr="00FB2A1B">
        <w:rPr>
          <w:vertAlign w:val="superscript"/>
        </w:rPr>
        <w:footnoteReference w:id="5"/>
      </w:r>
      <w:r w:rsidRPr="00FB2A1B">
        <w:t xml:space="preserve"> (dalej: „ustawa o VAT”)</w:t>
      </w:r>
      <w:r w:rsidR="00740E37">
        <w:t>,</w:t>
      </w:r>
      <w:r w:rsidRPr="00FB2A1B">
        <w:t xml:space="preserve"> jeżeli przed dokonaniem dostawy towaru lub wykonaniem usługi otrzymano całość lub część zapłaty, w szczególności przedpłatę, zaliczkę, zadatek, ratę, wkład budowlany lub mieszkaniowy przed ustanowieniem spółdzielczego prawa do lokalu mieszkalnego lub lokalu o innym przeznaczeniu, obowiązek podatkowy powstaje z chwilą jej otrzymania w odniesieniu do otrzymanej kwoty. </w:t>
      </w:r>
      <w:r w:rsidR="00740E37">
        <w:t>O</w:t>
      </w:r>
      <w:r w:rsidRPr="00FB2A1B">
        <w:t xml:space="preserve">trzymanie zaliczki powoduje </w:t>
      </w:r>
      <w:r w:rsidR="00740E37">
        <w:t>z</w:t>
      </w:r>
      <w:r w:rsidR="00740E37" w:rsidRPr="00FB2A1B">
        <w:t xml:space="preserve">atem </w:t>
      </w:r>
      <w:r w:rsidRPr="00FB2A1B">
        <w:t>powstanie obowiązku podatkowego</w:t>
      </w:r>
      <w:r w:rsidR="009D7D3D">
        <w:t xml:space="preserve"> w VAT</w:t>
      </w:r>
      <w:r w:rsidRPr="00FB2A1B">
        <w:t>. W</w:t>
      </w:r>
      <w:r w:rsidR="009D7D3D">
        <w:t> </w:t>
      </w:r>
      <w:r w:rsidRPr="00FB2A1B">
        <w:t xml:space="preserve">konsekwencji </w:t>
      </w:r>
      <w:r w:rsidR="009D7D3D">
        <w:t xml:space="preserve">otrzymana, np. na poczet przyszłej dostawy towarów, </w:t>
      </w:r>
      <w:r w:rsidRPr="00FB2A1B">
        <w:t>zaliczka podlega opodatkowaniu VAT. Co do zasady zaliczka podlega opodatkowaniu VAT według stawki właściwej dla danej dostawy lub usługi. W przypadku</w:t>
      </w:r>
      <w:r w:rsidR="009D7D3D">
        <w:t>,</w:t>
      </w:r>
      <w:r w:rsidRPr="00FB2A1B">
        <w:t xml:space="preserve"> gdy dostawa towarów podlega zwolnieniu od VAT</w:t>
      </w:r>
      <w:r w:rsidR="00740E37">
        <w:t>,</w:t>
      </w:r>
      <w:r w:rsidRPr="00FB2A1B">
        <w:t xml:space="preserve"> również zaliczka otrzymana przed dokonaniem takiej dostawy jest zwolniona od VAT.</w:t>
      </w:r>
    </w:p>
    <w:p w14:paraId="12E1805E" w14:textId="4DF5A223" w:rsidR="00F439F3" w:rsidRPr="00FB2A1B" w:rsidRDefault="00F439F3" w:rsidP="00F439F3">
      <w:r w:rsidRPr="00FB2A1B">
        <w:t>W przypadku zaliczek otrzymanych przed dokonaniem dostawy produktów związanych z</w:t>
      </w:r>
      <w:r w:rsidR="009D7D3D">
        <w:t> </w:t>
      </w:r>
      <w:r w:rsidRPr="00FB2A1B">
        <w:t>obronnością finansowanych w ramach instrumentu SAFE możliwe jest zastosowanie zwolnienia od VAT na</w:t>
      </w:r>
      <w:r w:rsidR="0068178A">
        <w:t> </w:t>
      </w:r>
      <w:r w:rsidRPr="00FB2A1B">
        <w:t>podstawie art. 20 rozporządzenia SAFE, o ile spełnione będą warunki określone w tym przepisie.</w:t>
      </w:r>
    </w:p>
    <w:p w14:paraId="70065277" w14:textId="0B4B13D1" w:rsidR="00F439F3" w:rsidRPr="00FB2A1B" w:rsidRDefault="00F439F3" w:rsidP="00F439F3">
      <w:r w:rsidRPr="00FB2A1B">
        <w:t>Jeżeli zatem otrzymane zaliczki są powiązane z przyszłą dostawą kwalifikującą się do zwolnienia od</w:t>
      </w:r>
      <w:r w:rsidR="0068178A">
        <w:t> </w:t>
      </w:r>
      <w:r w:rsidRPr="00FB2A1B">
        <w:t xml:space="preserve">VAT, mogą być zwolnione od VAT. </w:t>
      </w:r>
      <w:r>
        <w:t xml:space="preserve">Warunkiem zwolnienia od VAT otrzymanych zaliczek jest posiadanie przez dostawcę </w:t>
      </w:r>
      <w:r w:rsidRPr="00FB2A1B">
        <w:t>świadectwa zwolnienia</w:t>
      </w:r>
      <w:r w:rsidR="009D7D3D">
        <w:t xml:space="preserve"> z VAT</w:t>
      </w:r>
      <w:r w:rsidRPr="00FB2A1B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0E37" w:rsidRPr="00796192" w14:paraId="33E17D62" w14:textId="77777777" w:rsidTr="003A6A79">
        <w:tc>
          <w:tcPr>
            <w:tcW w:w="9060" w:type="dxa"/>
          </w:tcPr>
          <w:p w14:paraId="3145B4C0" w14:textId="31C8A7EF" w:rsidR="00740E37" w:rsidRDefault="00740E37" w:rsidP="003A6A79">
            <w:pPr>
              <w:spacing w:after="160" w:line="259" w:lineRule="auto"/>
            </w:pPr>
            <w:bookmarkStart w:id="23" w:name="_Hlk221465705"/>
            <w:r>
              <w:rPr>
                <w:b/>
              </w:rPr>
              <w:t xml:space="preserve">Przykład </w:t>
            </w:r>
            <w:r w:rsidR="00742192">
              <w:rPr>
                <w:b/>
              </w:rPr>
              <w:t>7</w:t>
            </w:r>
            <w:r w:rsidRPr="00796192">
              <w:t xml:space="preserve">: </w:t>
            </w:r>
          </w:p>
          <w:p w14:paraId="1E311FF9" w14:textId="794FCE6B" w:rsidR="00740E37" w:rsidRDefault="00740E37" w:rsidP="003A6A79">
            <w:pPr>
              <w:spacing w:after="160" w:line="259" w:lineRule="auto"/>
            </w:pPr>
            <w:r>
              <w:t xml:space="preserve">Podmiot A </w:t>
            </w:r>
            <w:r w:rsidR="006C032B">
              <w:t xml:space="preserve">w dniu 15 grudnia 2025 r. </w:t>
            </w:r>
            <w:r>
              <w:t>podpisał z dostawc</w:t>
            </w:r>
            <w:r w:rsidR="009D7D3D">
              <w:t>ą</w:t>
            </w:r>
            <w:r>
              <w:t xml:space="preserve"> umowę na dostawę systemu </w:t>
            </w:r>
            <w:proofErr w:type="spellStart"/>
            <w:r>
              <w:t>antydronowego</w:t>
            </w:r>
            <w:proofErr w:type="spellEnd"/>
            <w:r>
              <w:t xml:space="preserve">. Umowa przewiduje zapłatę przez nabywcę zaliczki w wysokości 40% wartości zamówienia w terminie 2 miesięcy od </w:t>
            </w:r>
            <w:r w:rsidR="009D7D3D">
              <w:t xml:space="preserve">dnia </w:t>
            </w:r>
            <w:r>
              <w:t xml:space="preserve">podpisania umowy, pozostała część należności zostanie zapłacona po dostarczeniu systemu przez sprzedawcę. W momencie </w:t>
            </w:r>
            <w:r w:rsidR="00562233">
              <w:t>zapłaty zaliczki</w:t>
            </w:r>
            <w:r>
              <w:t xml:space="preserve"> </w:t>
            </w:r>
            <w:r w:rsidR="009D7D3D">
              <w:t>P</w:t>
            </w:r>
            <w:r>
              <w:t>odmiot A dostarczył sprzedawcy wypełnione i odpowiednio opieczętowane świadectwo zwolnienia</w:t>
            </w:r>
            <w:r w:rsidR="009D7D3D">
              <w:t xml:space="preserve"> z VAT</w:t>
            </w:r>
            <w:r>
              <w:t>, z</w:t>
            </w:r>
            <w:r w:rsidR="0068178A">
              <w:t> </w:t>
            </w:r>
            <w:r>
              <w:t xml:space="preserve">którego wynika, że zamawiany system </w:t>
            </w:r>
            <w:proofErr w:type="spellStart"/>
            <w:r>
              <w:t>antydronowy</w:t>
            </w:r>
            <w:proofErr w:type="spellEnd"/>
            <w:r>
              <w:t xml:space="preserve"> objęty jest finansowaniem w ramach instrumentu SAFE.</w:t>
            </w:r>
          </w:p>
          <w:p w14:paraId="5DCA45B8" w14:textId="67981415" w:rsidR="00740E37" w:rsidRPr="00796192" w:rsidRDefault="00740E37" w:rsidP="009D7D3D">
            <w:pPr>
              <w:spacing w:after="160" w:line="259" w:lineRule="auto"/>
            </w:pPr>
            <w:r>
              <w:t xml:space="preserve">Otrzymana zatem przez sprzedawcę zaliczka może być objęta zwolnieniem od VAT.   </w:t>
            </w:r>
          </w:p>
        </w:tc>
      </w:tr>
      <w:bookmarkEnd w:id="23"/>
    </w:tbl>
    <w:p w14:paraId="2D68D942" w14:textId="77777777" w:rsidR="00562233" w:rsidRPr="00796192" w:rsidRDefault="00562233" w:rsidP="0056223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33" w:rsidRPr="006D53F3" w14:paraId="664BC1C9" w14:textId="77777777" w:rsidTr="007676FE">
        <w:tc>
          <w:tcPr>
            <w:tcW w:w="9060" w:type="dxa"/>
          </w:tcPr>
          <w:p w14:paraId="2A637D03" w14:textId="77777777" w:rsidR="00562233" w:rsidRPr="00ED69BD" w:rsidRDefault="00562233" w:rsidP="007676FE">
            <w:pPr>
              <w:spacing w:after="160" w:line="259" w:lineRule="auto"/>
            </w:pPr>
            <w:r w:rsidRPr="00ED69BD">
              <w:rPr>
                <w:b/>
              </w:rPr>
              <w:t>Uwaga</w:t>
            </w:r>
            <w:r w:rsidRPr="00ED69BD">
              <w:t xml:space="preserve">: </w:t>
            </w:r>
          </w:p>
          <w:p w14:paraId="45BFB33B" w14:textId="6BA61508" w:rsidR="00562233" w:rsidRPr="00ED69BD" w:rsidRDefault="00562233" w:rsidP="007676FE">
            <w:pPr>
              <w:spacing w:after="160" w:line="259" w:lineRule="auto"/>
            </w:pPr>
            <w:r w:rsidRPr="00ED69BD">
              <w:t xml:space="preserve">Zwolnienie od VAT dotyczy </w:t>
            </w:r>
            <w:r>
              <w:t>zaliczek na poczet dostaw produktów związanych z obronnością,</w:t>
            </w:r>
            <w:r w:rsidRPr="00ED69BD">
              <w:t xml:space="preserve"> </w:t>
            </w:r>
            <w:r w:rsidRPr="00562233">
              <w:t>objęty</w:t>
            </w:r>
            <w:r>
              <w:t>ch</w:t>
            </w:r>
            <w:r w:rsidRPr="00562233">
              <w:t xml:space="preserve"> finansowaniem w ramach instrumentu SAFE</w:t>
            </w:r>
            <w:r>
              <w:t xml:space="preserve">, </w:t>
            </w:r>
            <w:r w:rsidRPr="00ED69BD">
              <w:t xml:space="preserve">które </w:t>
            </w:r>
            <w:r>
              <w:t xml:space="preserve">to zaliczki zostały wpłacone </w:t>
            </w:r>
            <w:r w:rsidRPr="00ED69BD">
              <w:t>najwcześniej w dniu wejścia w życie rozporządzenia SAFE, tj. od 29 maja 2025 r.</w:t>
            </w:r>
          </w:p>
        </w:tc>
      </w:tr>
    </w:tbl>
    <w:p w14:paraId="09D0B781" w14:textId="77777777" w:rsidR="00562233" w:rsidRPr="00796192" w:rsidRDefault="00562233" w:rsidP="005622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33" w:rsidRPr="00796192" w14:paraId="49E72561" w14:textId="77777777" w:rsidTr="007676FE">
        <w:tc>
          <w:tcPr>
            <w:tcW w:w="9060" w:type="dxa"/>
          </w:tcPr>
          <w:p w14:paraId="271C8B6F" w14:textId="4CF1EFE5" w:rsidR="00562233" w:rsidRDefault="00562233" w:rsidP="007676FE">
            <w:pPr>
              <w:spacing w:after="160" w:line="259" w:lineRule="auto"/>
            </w:pPr>
            <w:r>
              <w:rPr>
                <w:b/>
              </w:rPr>
              <w:t>Przykład 8</w:t>
            </w:r>
            <w:r w:rsidRPr="00796192">
              <w:t xml:space="preserve">: </w:t>
            </w:r>
          </w:p>
          <w:p w14:paraId="7B1B6DA8" w14:textId="66E57522" w:rsidR="003E30AF" w:rsidRDefault="00562233" w:rsidP="007676FE">
            <w:pPr>
              <w:spacing w:after="160" w:line="259" w:lineRule="auto"/>
            </w:pPr>
            <w:r>
              <w:t>Podmiot A podpisał z dostawcą umowę na dostawę partii samolotów szkolno-bojowych. Umowa została podpisana w październiku 2024 r., dostawa ma być zrealizowana w grudniu 2026 r. Zgodnie z zawartą umową w terminie miesiąca od jej podpisania została wpłacona zaliczka na poczet przyszłej dostawy w wysokości 10</w:t>
            </w:r>
            <w:r w:rsidR="003E30AF">
              <w:t xml:space="preserve">% wartości zamówienia. Kolejna zaliczka – w wysokości 30% wartości zamówienia – została uiszczona przez nabywcę w czerwcu 2025 r. Pozostała część należności za zamówione samoloty będzie zapłacona w terminie 30 dni od dnia dokonania dostawy. </w:t>
            </w:r>
            <w:r w:rsidR="003E30AF" w:rsidRPr="00E144F8">
              <w:t xml:space="preserve">Dostawa samolotów jest </w:t>
            </w:r>
            <w:r w:rsidR="00372482" w:rsidRPr="00E144F8">
              <w:t xml:space="preserve">w części </w:t>
            </w:r>
            <w:r w:rsidR="003E30AF" w:rsidRPr="00E144F8">
              <w:t>objęta finansowaniem w ramach instrumentu SAFE.</w:t>
            </w:r>
          </w:p>
          <w:p w14:paraId="523EAFB2" w14:textId="52F63CE4" w:rsidR="00562233" w:rsidRPr="00796192" w:rsidRDefault="003E30AF" w:rsidP="007676FE">
            <w:pPr>
              <w:spacing w:after="160" w:line="259" w:lineRule="auto"/>
            </w:pPr>
            <w:r>
              <w:lastRenderedPageBreak/>
              <w:t xml:space="preserve">Zwolnieniem od VAT może być </w:t>
            </w:r>
            <w:r w:rsidR="00372482">
              <w:t xml:space="preserve">zatem </w:t>
            </w:r>
            <w:r>
              <w:t xml:space="preserve">objęta wyłącznie zaliczka uiszczona po dniu wejścia w </w:t>
            </w:r>
            <w:r w:rsidR="00D11BA0">
              <w:t>ż</w:t>
            </w:r>
            <w:r>
              <w:t xml:space="preserve">ycie rozporządzenia SAFE, czyli zapłacona w czerwcu 2025 r. </w:t>
            </w:r>
            <w:r w:rsidR="00562233">
              <w:t xml:space="preserve"> </w:t>
            </w:r>
          </w:p>
        </w:tc>
      </w:tr>
    </w:tbl>
    <w:p w14:paraId="306CCD71" w14:textId="77777777" w:rsidR="00562233" w:rsidRDefault="00562233" w:rsidP="0086561F">
      <w:pPr>
        <w:rPr>
          <w:sz w:val="24"/>
          <w:szCs w:val="24"/>
        </w:rPr>
      </w:pPr>
    </w:p>
    <w:p w14:paraId="4687627B" w14:textId="47B8E0A5" w:rsidR="00036B36" w:rsidRPr="00E93C44" w:rsidRDefault="00036B36" w:rsidP="00C35C26">
      <w:pPr>
        <w:pStyle w:val="Akapitzlist"/>
        <w:numPr>
          <w:ilvl w:val="0"/>
          <w:numId w:val="36"/>
        </w:numPr>
        <w:outlineLvl w:val="0"/>
        <w:rPr>
          <w:b/>
          <w:bCs/>
          <w:sz w:val="32"/>
          <w:szCs w:val="32"/>
        </w:rPr>
      </w:pPr>
      <w:bookmarkStart w:id="24" w:name="_Toc221111819"/>
      <w:r w:rsidRPr="00E93C44">
        <w:rPr>
          <w:b/>
          <w:bCs/>
          <w:sz w:val="32"/>
          <w:szCs w:val="32"/>
        </w:rPr>
        <w:t>Świadectwo zwolnienia</w:t>
      </w:r>
      <w:bookmarkEnd w:id="24"/>
      <w:r w:rsidR="00AE5C59">
        <w:rPr>
          <w:b/>
          <w:bCs/>
          <w:sz w:val="32"/>
          <w:szCs w:val="32"/>
        </w:rPr>
        <w:t xml:space="preserve"> z VAT</w:t>
      </w:r>
    </w:p>
    <w:p w14:paraId="7BFE40B5" w14:textId="26090FFF" w:rsidR="00036B36" w:rsidRDefault="00036B36" w:rsidP="00036B36">
      <w:r>
        <w:t xml:space="preserve">Wzór świadectwa zwolnienia </w:t>
      </w:r>
      <w:r w:rsidR="003C0363">
        <w:t xml:space="preserve">z VAT </w:t>
      </w:r>
      <w:r>
        <w:t>został określony w załączniku do rozporządzenia SAFE. W</w:t>
      </w:r>
      <w:r w:rsidR="003C0363">
        <w:t> </w:t>
      </w:r>
      <w:r>
        <w:t>świadectwie zwolnienia</w:t>
      </w:r>
      <w:r w:rsidR="003C0363">
        <w:t xml:space="preserve"> z VAT</w:t>
      </w:r>
      <w:r>
        <w:t>, w poszczególnych pozycjach, powinny zostać wskazane następujące informacje:</w:t>
      </w:r>
    </w:p>
    <w:p w14:paraId="6405516B" w14:textId="49CE0952" w:rsidR="00036B36" w:rsidRDefault="00036B36" w:rsidP="00036B36">
      <w:pPr>
        <w:pStyle w:val="Akapitzlist"/>
        <w:numPr>
          <w:ilvl w:val="0"/>
          <w:numId w:val="27"/>
        </w:numPr>
      </w:pPr>
      <w:r>
        <w:t>dane dotyczące nabywcy produktów związanych z obronnością (kwalifikujący się podmiot)</w:t>
      </w:r>
      <w:r w:rsidR="00D03EFD">
        <w:t xml:space="preserve"> –</w:t>
      </w:r>
      <w:r w:rsidR="00DA3483">
        <w:t>rubryka</w:t>
      </w:r>
      <w:r w:rsidR="00D03EFD">
        <w:t xml:space="preserve"> 1</w:t>
      </w:r>
      <w:r w:rsidR="00CF5A40">
        <w:t>;</w:t>
      </w:r>
    </w:p>
    <w:p w14:paraId="1BB932CF" w14:textId="3804B896" w:rsidR="00DA47D0" w:rsidRDefault="00036B36" w:rsidP="00036B36">
      <w:pPr>
        <w:pStyle w:val="Akapitzlist"/>
        <w:numPr>
          <w:ilvl w:val="0"/>
          <w:numId w:val="27"/>
        </w:numPr>
      </w:pPr>
      <w:r>
        <w:t>wskazanie organu właściwego do opieczętowania świadectwa (organ państwa członkowskiego</w:t>
      </w:r>
      <w:r w:rsidR="00DA47D0">
        <w:t xml:space="preserve"> nabywcy produktów związanych z obronnością</w:t>
      </w:r>
      <w:r w:rsidR="005B24BF">
        <w:t>)</w:t>
      </w:r>
      <w:r w:rsidR="00DA47D0">
        <w:t xml:space="preserve"> –</w:t>
      </w:r>
      <w:r w:rsidR="00DA3483">
        <w:t xml:space="preserve"> rubryka</w:t>
      </w:r>
      <w:r w:rsidR="00DA47D0">
        <w:t xml:space="preserve"> 2</w:t>
      </w:r>
      <w:r w:rsidR="005B24BF">
        <w:t>;</w:t>
      </w:r>
    </w:p>
    <w:p w14:paraId="3B1164D7" w14:textId="6CE8B54E" w:rsidR="00036B36" w:rsidRDefault="00DA47D0" w:rsidP="00036B36">
      <w:pPr>
        <w:pStyle w:val="Akapitzlist"/>
        <w:numPr>
          <w:ilvl w:val="0"/>
          <w:numId w:val="27"/>
        </w:numPr>
      </w:pPr>
      <w:r>
        <w:t xml:space="preserve">oświadczenie nabywcy produktów związanych z obronnością, że </w:t>
      </w:r>
      <w:r w:rsidRPr="00DA47D0">
        <w:t>produkty wymienione w</w:t>
      </w:r>
      <w:r w:rsidR="00AE5C59">
        <w:t> </w:t>
      </w:r>
      <w:r w:rsidRPr="00DA47D0">
        <w:t>rubryce 4 są finansowane w ramach instrumentu SAFE</w:t>
      </w:r>
      <w:r>
        <w:t xml:space="preserve"> –</w:t>
      </w:r>
      <w:r w:rsidR="00DA3483">
        <w:t xml:space="preserve"> rubryka</w:t>
      </w:r>
      <w:r>
        <w:t xml:space="preserve"> 3</w:t>
      </w:r>
      <w:r w:rsidR="00CF5A40">
        <w:t>;</w:t>
      </w:r>
    </w:p>
    <w:p w14:paraId="471BE3BD" w14:textId="32563860" w:rsidR="00CF5A40" w:rsidRDefault="00CF5A40" w:rsidP="00CF5A40">
      <w:pPr>
        <w:ind w:left="708"/>
      </w:pPr>
      <w:r w:rsidRPr="00CF5A40">
        <w:t>W poz. 3 nabywca potwierdza zobowiązanie do zapłaty na rzecz państwa członkowskiego, w</w:t>
      </w:r>
      <w:r w:rsidR="00AE5C59">
        <w:t> </w:t>
      </w:r>
      <w:r w:rsidRPr="00CF5A40">
        <w:t xml:space="preserve">którym znajduje się miejsce dostawy nabytych produktów związanych z obronnością lub innych produktów do celów obronnych, </w:t>
      </w:r>
      <w:r w:rsidR="006C032B">
        <w:t xml:space="preserve">podatku </w:t>
      </w:r>
      <w:r w:rsidRPr="00CF5A40">
        <w:t>VAT, który byłby należny, gdyby produkty te nie spełniały warunków zwolnienia</w:t>
      </w:r>
      <w:r w:rsidR="005B24BF">
        <w:t>;</w:t>
      </w:r>
    </w:p>
    <w:p w14:paraId="36167221" w14:textId="69A24D83" w:rsidR="00CF5A40" w:rsidRDefault="005B24BF" w:rsidP="00AB6689">
      <w:pPr>
        <w:pStyle w:val="Akapitzlist"/>
        <w:numPr>
          <w:ilvl w:val="0"/>
          <w:numId w:val="27"/>
        </w:numPr>
        <w:ind w:left="714" w:hanging="357"/>
      </w:pPr>
      <w:r>
        <w:t>d</w:t>
      </w:r>
      <w:r w:rsidR="008961CE">
        <w:t xml:space="preserve">ane dotyczące dostawcy produktów związanych z obronnością oraz </w:t>
      </w:r>
      <w:r w:rsidR="00DA3483">
        <w:t>s</w:t>
      </w:r>
      <w:r w:rsidR="00CF5A40">
        <w:t xml:space="preserve">zczegółowe dane dotyczące </w:t>
      </w:r>
      <w:r w:rsidR="008961CE">
        <w:t>tych</w:t>
      </w:r>
      <w:r w:rsidR="00CF5A40">
        <w:t xml:space="preserve"> produktów</w:t>
      </w:r>
      <w:r w:rsidR="008961CE">
        <w:t xml:space="preserve"> </w:t>
      </w:r>
      <w:r w:rsidR="00CF5A40">
        <w:t>– ich opis, liczba lub ilość, wartość (jednostkowa i całkowita), waluta, w której wypłacona zostanie należność –</w:t>
      </w:r>
      <w:r w:rsidR="00DA3483">
        <w:t xml:space="preserve"> rubryka</w:t>
      </w:r>
      <w:r w:rsidR="00CF5A40">
        <w:t xml:space="preserve"> 4;</w:t>
      </w:r>
    </w:p>
    <w:p w14:paraId="2CC27247" w14:textId="02C0DF86" w:rsidR="00CF5A40" w:rsidRDefault="00DA3483" w:rsidP="00036B36">
      <w:pPr>
        <w:pStyle w:val="Akapitzlist"/>
        <w:numPr>
          <w:ilvl w:val="0"/>
          <w:numId w:val="27"/>
        </w:numPr>
      </w:pPr>
      <w:r>
        <w:t>p</w:t>
      </w:r>
      <w:r w:rsidR="00CF5A40">
        <w:t xml:space="preserve">oświadczenie przez </w:t>
      </w:r>
      <w:r>
        <w:t xml:space="preserve">właściwy organ państwa członkowskiego nabycia, że </w:t>
      </w:r>
      <w:r w:rsidRPr="00DA3483">
        <w:t xml:space="preserve">dostawa produktów opisanych w rubryce 4 spełnia warunki zwolnienia </w:t>
      </w:r>
      <w:r w:rsidR="006834A4">
        <w:t>od</w:t>
      </w:r>
      <w:r w:rsidRPr="00DA3483">
        <w:t xml:space="preserve"> VAT</w:t>
      </w:r>
      <w:r>
        <w:t>; w tej rubryce powinna być umieszczona pieczęć właściwego organu oraz nazwisko i funkcja osoby podpisującej poświadczenie.</w:t>
      </w:r>
    </w:p>
    <w:p w14:paraId="023DC01F" w14:textId="5CECE03F" w:rsidR="00C2333B" w:rsidRDefault="00C2333B" w:rsidP="008961CE">
      <w:r>
        <w:t>Przepisy rozporządzenia SAFE nie określają szczegółowych zasad postępowania z wydawaniem i</w:t>
      </w:r>
      <w:r w:rsidR="00AE5C59">
        <w:t> </w:t>
      </w:r>
      <w:r>
        <w:t>opieczętowywaniem świadectw zwolnienia</w:t>
      </w:r>
      <w:r w:rsidR="003C0363">
        <w:t xml:space="preserve"> z VAT</w:t>
      </w:r>
      <w:r>
        <w:t>, pozostawiając te kwestie w gestii państw członkowskich i ich wewnętrznych regulacji czy procedur.</w:t>
      </w:r>
    </w:p>
    <w:p w14:paraId="52BC0A8A" w14:textId="79C7B0A1" w:rsidR="00DD365B" w:rsidRPr="00E93C44" w:rsidRDefault="00DD365B" w:rsidP="00C35C26">
      <w:pPr>
        <w:pStyle w:val="Akapitzlist"/>
        <w:numPr>
          <w:ilvl w:val="0"/>
          <w:numId w:val="38"/>
        </w:numPr>
        <w:outlineLvl w:val="1"/>
        <w:rPr>
          <w:b/>
          <w:bCs/>
          <w:sz w:val="24"/>
          <w:szCs w:val="24"/>
        </w:rPr>
      </w:pPr>
      <w:bookmarkStart w:id="25" w:name="_Toc221111820"/>
      <w:r w:rsidRPr="00E93C44">
        <w:rPr>
          <w:b/>
          <w:bCs/>
          <w:sz w:val="24"/>
          <w:szCs w:val="24"/>
        </w:rPr>
        <w:t>Wypełnianie świadectwa zwolnienia</w:t>
      </w:r>
      <w:bookmarkEnd w:id="25"/>
      <w:r w:rsidR="00AE5C59">
        <w:rPr>
          <w:b/>
          <w:bCs/>
          <w:sz w:val="24"/>
          <w:szCs w:val="24"/>
        </w:rPr>
        <w:t xml:space="preserve"> z VAT</w:t>
      </w:r>
    </w:p>
    <w:p w14:paraId="5D860537" w14:textId="337BDB05" w:rsidR="008961CE" w:rsidRDefault="008961CE" w:rsidP="008961CE">
      <w:r>
        <w:t>Świadectwo zwolnienia powinno być wypełnione przez nabywcę produktów związanych z</w:t>
      </w:r>
      <w:r w:rsidR="00AE5C59">
        <w:t> </w:t>
      </w:r>
      <w:r>
        <w:t>obronnością, który następnie powinien zwrócić się do właściwego organu o opieczętowanie świadectwa i poświadczenie, że określona dostawa spełnia warunki do objęcia zwolnieniem od VAT.</w:t>
      </w:r>
    </w:p>
    <w:p w14:paraId="0CB9F602" w14:textId="45313619" w:rsidR="00036B36" w:rsidRPr="00E93C44" w:rsidRDefault="00DD365B" w:rsidP="00C35C26">
      <w:pPr>
        <w:pStyle w:val="Akapitzlist"/>
        <w:numPr>
          <w:ilvl w:val="0"/>
          <w:numId w:val="38"/>
        </w:numPr>
        <w:outlineLvl w:val="1"/>
        <w:rPr>
          <w:b/>
          <w:bCs/>
          <w:sz w:val="24"/>
          <w:szCs w:val="24"/>
        </w:rPr>
      </w:pPr>
      <w:bookmarkStart w:id="26" w:name="_Toc221111821"/>
      <w:r w:rsidRPr="00E93C44">
        <w:rPr>
          <w:b/>
          <w:bCs/>
          <w:sz w:val="24"/>
          <w:szCs w:val="24"/>
        </w:rPr>
        <w:t>Opieczętowanie świadectwa zwolnienia</w:t>
      </w:r>
      <w:bookmarkEnd w:id="26"/>
    </w:p>
    <w:p w14:paraId="522A423D" w14:textId="4D0091C2" w:rsidR="00676C98" w:rsidRDefault="00676C98" w:rsidP="00676C98">
      <w:r w:rsidRPr="00676C98">
        <w:t xml:space="preserve">Art. 20 ust. 2 rozporządzenia SAFE nie wskazuje wprost, które organy państwa członkowskiego powinny być uznane za właściwe do opieczętowania świadectwa zwolnienia z VAT. Tym samym pozostawia on państwom członkowskim nabycia pewną swobodę w zakresie </w:t>
      </w:r>
      <w:r w:rsidR="00190DA9">
        <w:t xml:space="preserve">wskazania </w:t>
      </w:r>
      <w:r w:rsidRPr="00676C98">
        <w:t>organów właściwych do realizacji tego zadania.</w:t>
      </w:r>
    </w:p>
    <w:p w14:paraId="03E8F9D3" w14:textId="33EE6157" w:rsidR="00E3242F" w:rsidRDefault="003C0363" w:rsidP="0086561F">
      <w:r>
        <w:t>W</w:t>
      </w:r>
      <w:r w:rsidR="00676C98" w:rsidRPr="00676C98">
        <w:t xml:space="preserve"> przypadku</w:t>
      </w:r>
      <w:r w:rsidRPr="003C0363">
        <w:t xml:space="preserve"> </w:t>
      </w:r>
      <w:r>
        <w:t>zatem,</w:t>
      </w:r>
      <w:r w:rsidR="00676C98">
        <w:t xml:space="preserve"> </w:t>
      </w:r>
      <w:r w:rsidR="00676C98" w:rsidRPr="00676C98">
        <w:t xml:space="preserve">gdy </w:t>
      </w:r>
      <w:r>
        <w:t>nabywcą (</w:t>
      </w:r>
      <w:r w:rsidR="00676C98" w:rsidRPr="00676C98">
        <w:t>uprawnionym podmiotem</w:t>
      </w:r>
      <w:r>
        <w:t xml:space="preserve"> do nabywania produktów związanych </w:t>
      </w:r>
      <w:r w:rsidR="008D5A36">
        <w:br/>
      </w:r>
      <w:r>
        <w:t>z obronnością finansowanych w ramach instrumentu SAFE)</w:t>
      </w:r>
      <w:r w:rsidR="00676C98" w:rsidRPr="00676C98">
        <w:t xml:space="preserve"> jest podmiot z innego niż Rzeczpospolita Polska państwa członkowskiego</w:t>
      </w:r>
      <w:r>
        <w:t>,</w:t>
      </w:r>
      <w:r w:rsidR="00676C98" w:rsidRPr="00676C98">
        <w:t xml:space="preserve"> do opieczętowania świadectwa zwolnienia</w:t>
      </w:r>
      <w:r>
        <w:t xml:space="preserve"> z VAT</w:t>
      </w:r>
      <w:r w:rsidR="00676C98" w:rsidRPr="00676C98">
        <w:t xml:space="preserve"> i poświadczenia, </w:t>
      </w:r>
      <w:r w:rsidR="008D5A36">
        <w:br/>
      </w:r>
      <w:r w:rsidR="00676C98" w:rsidRPr="00676C98">
        <w:t>że dana dostawa produktów związanych z obronnością spełnia warunki zwolnienia od VAT</w:t>
      </w:r>
      <w:r>
        <w:t>,</w:t>
      </w:r>
      <w:r w:rsidR="006F5E5E">
        <w:t xml:space="preserve"> właściwy</w:t>
      </w:r>
      <w:r w:rsidR="00676C98" w:rsidRPr="00676C98">
        <w:t xml:space="preserve"> </w:t>
      </w:r>
      <w:r w:rsidR="00676C98" w:rsidRPr="00676C98">
        <w:lastRenderedPageBreak/>
        <w:t>jest organ państwa członkowskiego</w:t>
      </w:r>
      <w:r w:rsidR="00DD4368">
        <w:t xml:space="preserve">, </w:t>
      </w:r>
      <w:r w:rsidR="00372482">
        <w:t>w którym lub do którego</w:t>
      </w:r>
      <w:r w:rsidR="00DD4368">
        <w:t xml:space="preserve"> nabywany jest produkt,</w:t>
      </w:r>
      <w:r w:rsidR="00E3242F">
        <w:t xml:space="preserve"> wyznaczony do realizacji tego zadania w </w:t>
      </w:r>
      <w:r>
        <w:t>tym</w:t>
      </w:r>
      <w:r w:rsidR="00E3242F">
        <w:t xml:space="preserve"> państwie członkowski</w:t>
      </w:r>
      <w:r w:rsidR="005B24BF">
        <w:t>m</w:t>
      </w:r>
      <w:r w:rsidR="00E3242F">
        <w:t xml:space="preserve">. </w:t>
      </w:r>
    </w:p>
    <w:p w14:paraId="39D7B685" w14:textId="209C9868" w:rsidR="00AE7495" w:rsidRDefault="006834A4" w:rsidP="0086561F">
      <w:r>
        <w:t>Określeni</w:t>
      </w:r>
      <w:r w:rsidR="003C0363">
        <w:t>e</w:t>
      </w:r>
      <w:r>
        <w:t xml:space="preserve"> właściwych organów </w:t>
      </w:r>
      <w:r w:rsidR="00190DA9">
        <w:t>do opieczętowania świadectwa zwolnienia</w:t>
      </w:r>
      <w:r w:rsidR="003C0363">
        <w:t xml:space="preserve"> z VAT</w:t>
      </w:r>
      <w:r w:rsidR="00190DA9">
        <w:t xml:space="preserve"> i poświadcz</w:t>
      </w:r>
      <w:r w:rsidR="003C0363">
        <w:t>a</w:t>
      </w:r>
      <w:r w:rsidR="00190DA9">
        <w:t xml:space="preserve">nia, </w:t>
      </w:r>
      <w:r w:rsidR="008D5A36">
        <w:br/>
      </w:r>
      <w:r w:rsidR="00190DA9">
        <w:t>że</w:t>
      </w:r>
      <w:r w:rsidR="00190DA9" w:rsidRPr="006834A4">
        <w:t xml:space="preserve"> </w:t>
      </w:r>
      <w:r w:rsidR="00190DA9">
        <w:t xml:space="preserve">dana </w:t>
      </w:r>
      <w:r w:rsidR="00190DA9" w:rsidRPr="006834A4">
        <w:t xml:space="preserve">dostawa produktów </w:t>
      </w:r>
      <w:r w:rsidR="00190DA9">
        <w:t>związanych z obronnością</w:t>
      </w:r>
      <w:r w:rsidR="00190DA9" w:rsidRPr="006834A4">
        <w:t xml:space="preserve"> spełnia warunki zwolnienia </w:t>
      </w:r>
      <w:r w:rsidR="00190DA9">
        <w:t>od</w:t>
      </w:r>
      <w:r w:rsidR="00190DA9" w:rsidRPr="006834A4">
        <w:t xml:space="preserve"> VAT</w:t>
      </w:r>
      <w:r w:rsidR="003C0363">
        <w:t>,</w:t>
      </w:r>
      <w:r w:rsidR="00190DA9">
        <w:t xml:space="preserve"> powinno </w:t>
      </w:r>
      <w:r w:rsidR="003C0363">
        <w:t xml:space="preserve">być </w:t>
      </w:r>
      <w:r>
        <w:t>dokona</w:t>
      </w:r>
      <w:r w:rsidR="003C0363">
        <w:t>ne</w:t>
      </w:r>
      <w:r>
        <w:t xml:space="preserve"> z uwzględnieniem</w:t>
      </w:r>
      <w:r w:rsidR="00AE7495">
        <w:t xml:space="preserve"> zakresu kompetencji i zadań z zakresu obronności państwa wykonywanych przez organy administracji w Polsce. </w:t>
      </w:r>
    </w:p>
    <w:p w14:paraId="443BDE01" w14:textId="01A0B52B" w:rsidR="006834A4" w:rsidRDefault="00AE7495" w:rsidP="0086561F">
      <w:r>
        <w:t xml:space="preserve">W tym kontekście należy wskazać na </w:t>
      </w:r>
      <w:r w:rsidR="00434FDB">
        <w:t>regulacj</w:t>
      </w:r>
      <w:r>
        <w:t>e</w:t>
      </w:r>
      <w:r w:rsidR="00434FDB">
        <w:t xml:space="preserve"> </w:t>
      </w:r>
      <w:r w:rsidR="007542A2">
        <w:t>określając</w:t>
      </w:r>
      <w:r>
        <w:t>e</w:t>
      </w:r>
      <w:r w:rsidR="007542A2">
        <w:t xml:space="preserve"> organy właściwe w sprawach obrony państwa. Takie regulacje zawarte są w ustawie</w:t>
      </w:r>
      <w:r w:rsidR="00434FDB">
        <w:t xml:space="preserve"> </w:t>
      </w:r>
      <w:r w:rsidR="007542A2" w:rsidRPr="007542A2">
        <w:t>z dnia 11 marca 2022 r.</w:t>
      </w:r>
      <w:r w:rsidR="007542A2">
        <w:t xml:space="preserve"> o obronie ojczyzny</w:t>
      </w:r>
      <w:r w:rsidR="007542A2">
        <w:rPr>
          <w:rStyle w:val="Odwoanieprzypisudolnego"/>
        </w:rPr>
        <w:footnoteReference w:id="6"/>
      </w:r>
      <w:r w:rsidR="00682537">
        <w:t xml:space="preserve">, której dział IV Organy obrony narodowej, wśród organów właściwych do obrony państwa, wymienia również ministrów.  </w:t>
      </w:r>
    </w:p>
    <w:p w14:paraId="71223112" w14:textId="6DBAD27D" w:rsidR="007542A2" w:rsidRDefault="007542A2" w:rsidP="0086561F">
      <w:r>
        <w:t>Zgodnie z art. 27</w:t>
      </w:r>
      <w:r w:rsidR="00AE7495">
        <w:t>a tej ustawy m</w:t>
      </w:r>
      <w:r w:rsidR="00AE7495" w:rsidRPr="00AE7495">
        <w:t>inistrowie organizują wykonywanie zadań w zakresie obronności przy wykorzystaniu obsługujących ich urzędów oraz podległych im i przez nich nadzorowanych jednostek organizacyjnych.</w:t>
      </w:r>
      <w:r w:rsidR="00682537">
        <w:t xml:space="preserve"> Zgodnie natomiast z art. 28 ust. 2 tej ustawy </w:t>
      </w:r>
      <w:r w:rsidR="00F76372">
        <w:t xml:space="preserve">obronnością kraju kieruje </w:t>
      </w:r>
      <w:r w:rsidR="00F76372" w:rsidRPr="00F76372">
        <w:t>Minister Obrony Narodowej</w:t>
      </w:r>
      <w:r w:rsidR="00F76372">
        <w:t xml:space="preserve">, </w:t>
      </w:r>
      <w:r w:rsidR="00F76372" w:rsidRPr="00F76372">
        <w:t xml:space="preserve">realizując </w:t>
      </w:r>
      <w:r w:rsidR="00F76372">
        <w:t xml:space="preserve">tym samym </w:t>
      </w:r>
      <w:r w:rsidR="00F76372" w:rsidRPr="00F76372">
        <w:t>politykę Rady Ministrów w zakresie ogólnego kierownictwa w dziedzinie obronności kraju i zapewnienia bezpieczeństwa zewnętrznego państwa</w:t>
      </w:r>
      <w:r w:rsidR="00F76372">
        <w:t>.</w:t>
      </w:r>
      <w:r w:rsidR="00F76372" w:rsidRPr="00F76372">
        <w:t xml:space="preserve"> </w:t>
      </w:r>
    </w:p>
    <w:p w14:paraId="6C5725FE" w14:textId="54DBF426" w:rsidR="00BD528B" w:rsidRDefault="00F76372" w:rsidP="00514DC3">
      <w:pPr>
        <w:spacing w:after="0"/>
      </w:pPr>
      <w:r>
        <w:t xml:space="preserve">W związku z tym, że nabycia produktów związanych z obronnością będą wykonywane w ramach realizacji zadań wykonywanych w tym zakresie przez poszczególne resorty wskazać należy ministrów kierujących </w:t>
      </w:r>
      <w:r w:rsidR="00306FC4">
        <w:t xml:space="preserve">poszczególnymi działami administracji rządowej. Takie organy bowiem posiadają </w:t>
      </w:r>
      <w:r w:rsidR="00BD528B">
        <w:t>kompetencje nadzorcze wobec jednostek podległych i nadzorowanych, które będą nabywać produkty związane z obronnością na potrzeby realizacji zadań w omawianym obszarze, pozwalające weryfikować asortyment i ilości nabywanych produktów.</w:t>
      </w:r>
    </w:p>
    <w:p w14:paraId="75204EAA" w14:textId="77777777" w:rsidR="00514DC3" w:rsidRPr="00796192" w:rsidRDefault="00514DC3" w:rsidP="00514DC3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528B" w:rsidRPr="00796192" w14:paraId="28ECC5C3" w14:textId="77777777" w:rsidTr="00631AC2">
        <w:tc>
          <w:tcPr>
            <w:tcW w:w="9060" w:type="dxa"/>
          </w:tcPr>
          <w:p w14:paraId="665978EF" w14:textId="098C3D8E" w:rsidR="00BD528B" w:rsidRDefault="00BD528B" w:rsidP="00514DC3">
            <w:pPr>
              <w:spacing w:line="259" w:lineRule="auto"/>
            </w:pPr>
            <w:r>
              <w:rPr>
                <w:b/>
              </w:rPr>
              <w:t>Uwaga</w:t>
            </w:r>
            <w:r w:rsidRPr="00796192">
              <w:t xml:space="preserve">: </w:t>
            </w:r>
          </w:p>
          <w:p w14:paraId="64222077" w14:textId="77777777" w:rsidR="00A6746E" w:rsidRDefault="00A6746E" w:rsidP="00514DC3">
            <w:pPr>
              <w:spacing w:line="259" w:lineRule="auto"/>
            </w:pPr>
          </w:p>
          <w:p w14:paraId="1211D769" w14:textId="48CB76B7" w:rsidR="00BD528B" w:rsidRDefault="00BD528B" w:rsidP="0068178A">
            <w:pPr>
              <w:spacing w:after="160" w:line="259" w:lineRule="auto"/>
            </w:pPr>
            <w:bookmarkStart w:id="27" w:name="_Hlk220939859"/>
            <w:r>
              <w:t xml:space="preserve">Świadectwo zwolnienia </w:t>
            </w:r>
            <w:r w:rsidR="003C0363">
              <w:t xml:space="preserve">z VAT </w:t>
            </w:r>
            <w:r>
              <w:t xml:space="preserve">potwierdzające, </w:t>
            </w:r>
            <w:r w:rsidRPr="00BD528B">
              <w:t xml:space="preserve">że dana dostawa produktów związanych </w:t>
            </w:r>
            <w:r w:rsidR="008D5A36">
              <w:br/>
            </w:r>
            <w:r w:rsidRPr="00BD528B">
              <w:t>z obronnością spełnia warunki zwolnienia od VAT</w:t>
            </w:r>
            <w:bookmarkEnd w:id="27"/>
            <w:r>
              <w:t xml:space="preserve">, powinno być opieczętowane przez ministra kierującego określonym działem administracji rządowej lub jego upoważnionego przedstawiciela </w:t>
            </w:r>
            <w:r w:rsidR="008D5A36">
              <w:br/>
            </w:r>
            <w:r>
              <w:t>w zakresie transakcji dokonywanych przez jednostkę organizacyjną podległą temu ministrowi lub przez niego nadzorowaną lub jednostkę organizacyjną obsługującą organ podległy ministrowi kierującemu określonym działem administracji rządowej lub przez niego nadzorowany.</w:t>
            </w:r>
          </w:p>
          <w:p w14:paraId="27600000" w14:textId="77777777" w:rsidR="00BD528B" w:rsidRPr="00796192" w:rsidRDefault="00BD528B" w:rsidP="00514DC3"/>
        </w:tc>
      </w:tr>
    </w:tbl>
    <w:p w14:paraId="093C9DDF" w14:textId="77777777" w:rsidR="00BB57A0" w:rsidRDefault="00BB57A0" w:rsidP="00BB57A0"/>
    <w:p w14:paraId="2C657C39" w14:textId="7DB25AC4" w:rsidR="0000335E" w:rsidRDefault="00BB57A0" w:rsidP="00BB57A0">
      <w:r>
        <w:t>W</w:t>
      </w:r>
      <w:r w:rsidRPr="00BB57A0">
        <w:t xml:space="preserve"> </w:t>
      </w:r>
      <w:r>
        <w:t>przypadku</w:t>
      </w:r>
      <w:r w:rsidRPr="00BB57A0">
        <w:t xml:space="preserve"> nabyć dokonywanych przez jednostki podległe</w:t>
      </w:r>
      <w:r>
        <w:t xml:space="preserve"> </w:t>
      </w:r>
      <w:r w:rsidRPr="00BB57A0">
        <w:t>Ministrowi Obrony Narodowej lub jednostki nadzorowane przez Ministra Obrony</w:t>
      </w:r>
      <w:r>
        <w:t xml:space="preserve"> </w:t>
      </w:r>
      <w:r w:rsidRPr="00BB57A0">
        <w:t xml:space="preserve">Narodowej </w:t>
      </w:r>
      <w:r w:rsidR="00676C98">
        <w:t>organem</w:t>
      </w:r>
      <w:r w:rsidRPr="00BB57A0">
        <w:t xml:space="preserve"> właściwym do potwierdzania/opieczętowania</w:t>
      </w:r>
      <w:r>
        <w:t xml:space="preserve"> </w:t>
      </w:r>
      <w:r w:rsidRPr="00BB57A0">
        <w:t>przedmiotowego świadectwa zwolnienia z VAT będzie Minister Obrony Narodowej</w:t>
      </w:r>
      <w:r>
        <w:t xml:space="preserve"> </w:t>
      </w:r>
      <w:r w:rsidRPr="00BB57A0">
        <w:t>lub jego upoważniony przedstawiciel.</w:t>
      </w:r>
    </w:p>
    <w:p w14:paraId="00134628" w14:textId="4842350D" w:rsidR="004A5A44" w:rsidRDefault="004A5A44" w:rsidP="00157FD8">
      <w:r>
        <w:t xml:space="preserve">Zakupy związane z obronnością realizowane w ramach finansowania SAFE mają być również dokonywane przez jednostki nie tylko podległe </w:t>
      </w:r>
      <w:r w:rsidRPr="004A5A44">
        <w:t>Ministrowi Obrony Narodowej lub jednostki nadzorowane przez Ministra Obrony Narodowej</w:t>
      </w:r>
      <w:r>
        <w:t>. W takiej sytuacji:</w:t>
      </w:r>
    </w:p>
    <w:p w14:paraId="75D8DE0F" w14:textId="5B191401" w:rsidR="00157FD8" w:rsidRDefault="004A5A44" w:rsidP="00157FD8">
      <w:r>
        <w:t>1) w</w:t>
      </w:r>
      <w:r w:rsidR="00157FD8" w:rsidRPr="00BB57A0">
        <w:t xml:space="preserve"> </w:t>
      </w:r>
      <w:r w:rsidR="00157FD8">
        <w:t>przypadku</w:t>
      </w:r>
      <w:r w:rsidR="00157FD8" w:rsidRPr="00BB57A0">
        <w:t xml:space="preserve"> nabyć dokonywanych przez jednostki podległe</w:t>
      </w:r>
      <w:r w:rsidR="00157FD8">
        <w:t xml:space="preserve"> </w:t>
      </w:r>
      <w:r w:rsidR="00157FD8" w:rsidRPr="00BB57A0">
        <w:t xml:space="preserve">Ministrowi </w:t>
      </w:r>
      <w:r w:rsidR="00157FD8">
        <w:t xml:space="preserve">Infrastruktury </w:t>
      </w:r>
      <w:r w:rsidR="00157FD8" w:rsidRPr="00BB57A0">
        <w:t xml:space="preserve">lub jednostki nadzorowane przez Ministra </w:t>
      </w:r>
      <w:r w:rsidR="00157FD8">
        <w:t>Infrastruktury organem</w:t>
      </w:r>
      <w:r w:rsidR="00157FD8" w:rsidRPr="00BB57A0">
        <w:t xml:space="preserve"> właściwym do potwierdzania/opieczętowania</w:t>
      </w:r>
      <w:r w:rsidR="00157FD8">
        <w:t xml:space="preserve"> </w:t>
      </w:r>
      <w:r w:rsidR="00157FD8" w:rsidRPr="00BB57A0">
        <w:lastRenderedPageBreak/>
        <w:t xml:space="preserve">przedmiotowego świadectwa zwolnienia z VAT będzie Minister </w:t>
      </w:r>
      <w:r w:rsidR="00157FD8">
        <w:t xml:space="preserve">Infrastruktury </w:t>
      </w:r>
      <w:r w:rsidR="00157FD8" w:rsidRPr="00BB57A0">
        <w:t>lub jego upoważniony przedstawiciel.</w:t>
      </w:r>
    </w:p>
    <w:p w14:paraId="1BCBD326" w14:textId="6C215C8D" w:rsidR="00157FD8" w:rsidRDefault="004A5A44" w:rsidP="00157FD8">
      <w:r>
        <w:t>2) w</w:t>
      </w:r>
      <w:r w:rsidR="00157FD8" w:rsidRPr="00BB57A0">
        <w:t xml:space="preserve"> </w:t>
      </w:r>
      <w:r w:rsidR="00157FD8">
        <w:t>przypadku</w:t>
      </w:r>
      <w:r w:rsidR="00157FD8" w:rsidRPr="00BB57A0">
        <w:t xml:space="preserve"> nabyć dokonywanych przez jednostki podległe</w:t>
      </w:r>
      <w:r w:rsidR="00157FD8">
        <w:t xml:space="preserve"> </w:t>
      </w:r>
      <w:r w:rsidR="00157FD8" w:rsidRPr="00BB57A0">
        <w:t>Ministrowi</w:t>
      </w:r>
      <w:r w:rsidR="00157FD8">
        <w:t xml:space="preserve"> Spraw Wewnętrznych </w:t>
      </w:r>
      <w:r w:rsidR="008D5A36">
        <w:br/>
      </w:r>
      <w:r w:rsidR="00157FD8">
        <w:t>i Administracji</w:t>
      </w:r>
      <w:r w:rsidR="00157FD8" w:rsidRPr="00BB57A0">
        <w:t xml:space="preserve"> lub jednostki nadzorowane przez Ministra </w:t>
      </w:r>
      <w:r w:rsidR="00157FD8">
        <w:t>Spraw Wewnętrznych i Administracji</w:t>
      </w:r>
      <w:r w:rsidR="00157FD8" w:rsidRPr="00BB57A0">
        <w:t xml:space="preserve"> </w:t>
      </w:r>
      <w:r w:rsidR="00157FD8">
        <w:t>organem</w:t>
      </w:r>
      <w:r w:rsidR="00157FD8" w:rsidRPr="00BB57A0">
        <w:t xml:space="preserve"> właściwym do potwierdzania/opieczętowania</w:t>
      </w:r>
      <w:r w:rsidR="00157FD8">
        <w:t xml:space="preserve"> </w:t>
      </w:r>
      <w:r w:rsidR="00157FD8" w:rsidRPr="00BB57A0">
        <w:t xml:space="preserve">przedmiotowego świadectwa zwolnienia </w:t>
      </w:r>
      <w:r w:rsidR="008D5A36">
        <w:br/>
      </w:r>
      <w:r w:rsidR="00157FD8" w:rsidRPr="00BB57A0">
        <w:t xml:space="preserve">z VAT będzie Minister </w:t>
      </w:r>
      <w:r w:rsidR="00157FD8">
        <w:t>Spraw Wewnętrznych i Administracji</w:t>
      </w:r>
      <w:r w:rsidR="00157FD8" w:rsidRPr="00BB57A0">
        <w:t xml:space="preserve"> lub jego upoważniony przedstawiciel.</w:t>
      </w:r>
    </w:p>
    <w:p w14:paraId="18D22155" w14:textId="62098698" w:rsidR="00C554C1" w:rsidRPr="00E93C44" w:rsidRDefault="00C554C1" w:rsidP="00C35C26">
      <w:pPr>
        <w:pStyle w:val="Akapitzlist"/>
        <w:numPr>
          <w:ilvl w:val="0"/>
          <w:numId w:val="38"/>
        </w:numPr>
        <w:outlineLvl w:val="1"/>
        <w:rPr>
          <w:b/>
          <w:bCs/>
          <w:sz w:val="24"/>
          <w:szCs w:val="24"/>
        </w:rPr>
      </w:pPr>
      <w:bookmarkStart w:id="28" w:name="_Toc221111822"/>
      <w:r w:rsidRPr="00E93C44">
        <w:rPr>
          <w:b/>
          <w:bCs/>
          <w:sz w:val="24"/>
          <w:szCs w:val="24"/>
        </w:rPr>
        <w:t>Termin</w:t>
      </w:r>
      <w:r w:rsidR="001E110D" w:rsidRPr="00E93C44">
        <w:rPr>
          <w:b/>
          <w:bCs/>
          <w:sz w:val="24"/>
          <w:szCs w:val="24"/>
        </w:rPr>
        <w:t>,</w:t>
      </w:r>
      <w:r w:rsidRPr="00E93C44">
        <w:rPr>
          <w:b/>
          <w:bCs/>
          <w:sz w:val="24"/>
          <w:szCs w:val="24"/>
        </w:rPr>
        <w:t xml:space="preserve"> w jakim dostawca powinien posiadać świadectwo</w:t>
      </w:r>
      <w:r w:rsidR="00CE34E7" w:rsidRPr="00E93C44">
        <w:rPr>
          <w:b/>
          <w:bCs/>
          <w:sz w:val="24"/>
          <w:szCs w:val="24"/>
        </w:rPr>
        <w:t xml:space="preserve"> zwolnienia</w:t>
      </w:r>
      <w:bookmarkEnd w:id="28"/>
      <w:r w:rsidR="00CE34E7" w:rsidRPr="00E93C44">
        <w:rPr>
          <w:b/>
          <w:bCs/>
          <w:sz w:val="24"/>
          <w:szCs w:val="24"/>
        </w:rPr>
        <w:t xml:space="preserve"> </w:t>
      </w:r>
      <w:r w:rsidR="00912373">
        <w:rPr>
          <w:b/>
          <w:bCs/>
          <w:sz w:val="24"/>
          <w:szCs w:val="24"/>
        </w:rPr>
        <w:t>z VAT</w:t>
      </w:r>
    </w:p>
    <w:p w14:paraId="1F6D985D" w14:textId="35741B49" w:rsidR="00CE34E7" w:rsidRDefault="001362A1" w:rsidP="001362A1">
      <w:pPr>
        <w:rPr>
          <w:b/>
          <w:bCs/>
        </w:rPr>
      </w:pPr>
      <w:r>
        <w:t xml:space="preserve">Warunkiem zastosowania zwolnienia </w:t>
      </w:r>
      <w:r w:rsidR="00C93CE8">
        <w:t>od</w:t>
      </w:r>
      <w:r>
        <w:t xml:space="preserve"> VAT do </w:t>
      </w:r>
      <w:r w:rsidRPr="001362A1">
        <w:t>dostaw</w:t>
      </w:r>
      <w:r>
        <w:t>y</w:t>
      </w:r>
      <w:r w:rsidRPr="001362A1">
        <w:t xml:space="preserve"> produktów związanych z obronnością </w:t>
      </w:r>
      <w:r>
        <w:t xml:space="preserve">finansowanych w ramach instrumentu SAFE jest posiadanie odpowiednio wypełnionego </w:t>
      </w:r>
      <w:r w:rsidR="008D5A36">
        <w:br/>
      </w:r>
      <w:r>
        <w:t xml:space="preserve">i opieczętowanego świadectwa zwolnienia. </w:t>
      </w:r>
    </w:p>
    <w:p w14:paraId="5BF62CE2" w14:textId="5A1C72B1" w:rsidR="00C730E6" w:rsidRDefault="00D63E0F" w:rsidP="001362A1">
      <w:r w:rsidRPr="00C93CE8">
        <w:t xml:space="preserve">Rozporządzenie SAFE </w:t>
      </w:r>
      <w:r>
        <w:t>nie reguluje</w:t>
      </w:r>
      <w:r w:rsidR="00E3242F">
        <w:t>,</w:t>
      </w:r>
      <w:r>
        <w:t xml:space="preserve"> w jakim terminie dostawca powinien </w:t>
      </w:r>
      <w:r w:rsidR="00C730E6">
        <w:t>otrzymać świadectwo zwolnienia</w:t>
      </w:r>
      <w:r w:rsidR="00912373">
        <w:t xml:space="preserve"> z VAT, z</w:t>
      </w:r>
      <w:r w:rsidR="00C730E6">
        <w:t>atem zastosowanie powinny mieć ogólne zasady VAT.</w:t>
      </w:r>
    </w:p>
    <w:p w14:paraId="75CEF59A" w14:textId="53FC6320" w:rsidR="00C730E6" w:rsidRDefault="00C730E6" w:rsidP="00C730E6">
      <w:r>
        <w:t xml:space="preserve">Z konstrukcji podatku od towarów i usług wynika, że podatnik, który wykonuje czynności podlegające opodatkowaniu podatkiem VAT, zobowiązany jest opodatkować daną czynność w momencie powstania obowiązku podatkowego. Przepis art. 19a ust. 1 ustawy o VAT formułuje zasadę ogólną, zgodnie z którą obowiązek podatkowy powstaje z chwilą dokonania dostawy towaru bądź wykonania usługi. Oznacza to, że podatek staje się wymagalny w rozliczeniu za okres, w którym dokonana została dostawa towarów bądź świadczenie usług i powinien być </w:t>
      </w:r>
      <w:r w:rsidR="00C53C2A">
        <w:t xml:space="preserve">rozliczony za ten okres. </w:t>
      </w:r>
      <w:r w:rsidR="00912373">
        <w:t xml:space="preserve">Przepisy art. 19a ustawy o VAT wskazują również szczególne przypadki momentu powstania obowiązku podatkowego, innego niż wynikający z ust. 1. </w:t>
      </w:r>
    </w:p>
    <w:p w14:paraId="0C0BF622" w14:textId="147395E0" w:rsidR="00C53C2A" w:rsidRDefault="00C730E6" w:rsidP="00C730E6">
      <w:r w:rsidRPr="00C730E6">
        <w:t>Zatem</w:t>
      </w:r>
      <w:r w:rsidR="006F5E5E">
        <w:t>,</w:t>
      </w:r>
      <w:r w:rsidRPr="00C730E6">
        <w:t xml:space="preserve"> aby </w:t>
      </w:r>
      <w:r w:rsidR="00E3242F">
        <w:t xml:space="preserve">dostawca mógł </w:t>
      </w:r>
      <w:r w:rsidRPr="00C730E6">
        <w:t xml:space="preserve">zastosować zwolnienie </w:t>
      </w:r>
      <w:r w:rsidR="00C93CE8">
        <w:t>od</w:t>
      </w:r>
      <w:r w:rsidRPr="00C730E6">
        <w:t xml:space="preserve"> VAT</w:t>
      </w:r>
      <w:r w:rsidR="006F5E5E">
        <w:t>,</w:t>
      </w:r>
      <w:r w:rsidRPr="00C730E6">
        <w:t xml:space="preserve"> powinien posiadać świadectwo zwolnienia</w:t>
      </w:r>
      <w:r w:rsidR="00C53C2A">
        <w:t>, co do zasady,</w:t>
      </w:r>
      <w:r w:rsidRPr="00C730E6">
        <w:t xml:space="preserve"> w momencie dokonania dostawy</w:t>
      </w:r>
      <w:r w:rsidR="00912373">
        <w:t>,</w:t>
      </w:r>
      <w:r w:rsidR="00C53C2A">
        <w:t xml:space="preserve"> nie później jednak niż przed upływem terminu do rozliczenia podat</w:t>
      </w:r>
      <w:r w:rsidR="0071172C">
        <w:t>ku</w:t>
      </w:r>
      <w:r w:rsidR="00C53C2A">
        <w:t xml:space="preserve"> od tej dostawy</w:t>
      </w:r>
      <w:r w:rsidR="006F5E5E">
        <w:t>,</w:t>
      </w:r>
      <w:r w:rsidR="00C53C2A">
        <w:t xml:space="preserve"> tj. przed upływem </w:t>
      </w:r>
      <w:r w:rsidR="0071172C">
        <w:t xml:space="preserve">terminu </w:t>
      </w:r>
      <w:r w:rsidR="00C53C2A">
        <w:t xml:space="preserve">do złożenia deklaracji podatkowej za dany okres rozliczeniowy.  </w:t>
      </w:r>
    </w:p>
    <w:p w14:paraId="1E3AF3DE" w14:textId="114842D9" w:rsidR="00C730E6" w:rsidRDefault="00C730E6" w:rsidP="00C730E6">
      <w:r w:rsidRPr="00C730E6">
        <w:t>Brak świadectwa zwolnienia w tym terminie powoduje konieczność opodatkowania dostawy na</w:t>
      </w:r>
      <w:r w:rsidR="0068178A">
        <w:t> </w:t>
      </w:r>
      <w:r w:rsidRPr="00C730E6">
        <w:t>zasadach</w:t>
      </w:r>
      <w:r w:rsidR="00912373" w:rsidRPr="00912373">
        <w:t xml:space="preserve"> </w:t>
      </w:r>
      <w:r w:rsidR="00912373" w:rsidRPr="00C730E6">
        <w:t>ogólnych</w:t>
      </w:r>
      <w:r w:rsidRPr="00C730E6">
        <w:t>.</w:t>
      </w:r>
      <w:r w:rsidRPr="00C730E6">
        <w:rPr>
          <w:b/>
          <w:bCs/>
        </w:rPr>
        <w:t xml:space="preserve"> </w:t>
      </w:r>
      <w:r w:rsidR="00C53C2A">
        <w:t xml:space="preserve">Nie oznacza to jednak </w:t>
      </w:r>
      <w:r w:rsidR="00417803">
        <w:t>całkowit</w:t>
      </w:r>
      <w:r w:rsidR="0071172C">
        <w:t>ej</w:t>
      </w:r>
      <w:r w:rsidR="00417803">
        <w:t xml:space="preserve"> utrat</w:t>
      </w:r>
      <w:r w:rsidR="0071172C">
        <w:t>y</w:t>
      </w:r>
      <w:r w:rsidR="00417803">
        <w:t xml:space="preserve"> prawa do zastosowania zwolnienia </w:t>
      </w:r>
      <w:r w:rsidR="00C93CE8">
        <w:t>od</w:t>
      </w:r>
      <w:r w:rsidR="0068178A">
        <w:t> </w:t>
      </w:r>
      <w:r w:rsidR="00417803">
        <w:t>VAT.</w:t>
      </w:r>
    </w:p>
    <w:p w14:paraId="76CE210B" w14:textId="5CC6EA47" w:rsidR="002D2C9A" w:rsidRDefault="00267A32" w:rsidP="00C730E6">
      <w:r>
        <w:t xml:space="preserve">Rozporządzenie SAFE nie warunkuje możliwości zwolnienia </w:t>
      </w:r>
      <w:r w:rsidR="00C93CE8">
        <w:t>od</w:t>
      </w:r>
      <w:r>
        <w:t xml:space="preserve"> VAT określonych dostaw od</w:t>
      </w:r>
      <w:r w:rsidR="0068178A">
        <w:t> </w:t>
      </w:r>
      <w:r>
        <w:t xml:space="preserve">posiadania świadectwa zwolnienia </w:t>
      </w:r>
      <w:r w:rsidR="00912373">
        <w:t xml:space="preserve">z VAT </w:t>
      </w:r>
      <w:r w:rsidRPr="00267A32">
        <w:t xml:space="preserve">w ściśle określonym </w:t>
      </w:r>
      <w:r>
        <w:t>nieprzekraczalnym t</w:t>
      </w:r>
      <w:r w:rsidRPr="00267A32">
        <w:t>erminie</w:t>
      </w:r>
      <w:r>
        <w:t>. W</w:t>
      </w:r>
      <w:r w:rsidR="00417803">
        <w:t xml:space="preserve">arunkiem zwolnienia </w:t>
      </w:r>
      <w:r w:rsidR="0071172C">
        <w:t>od</w:t>
      </w:r>
      <w:r w:rsidR="00417803">
        <w:t xml:space="preserve"> VAT, o którym mowa w art. 20 rozporządzenia SAFE, jest </w:t>
      </w:r>
      <w:r w:rsidR="006F5E5E">
        <w:t xml:space="preserve">posiadanie </w:t>
      </w:r>
      <w:r w:rsidR="00417803">
        <w:t>świadectw</w:t>
      </w:r>
      <w:r w:rsidR="006F5E5E">
        <w:t>a</w:t>
      </w:r>
      <w:r w:rsidR="00417803">
        <w:t xml:space="preserve"> zwolnienia, które dostawca </w:t>
      </w:r>
      <w:r>
        <w:t xml:space="preserve">obowiązany jest </w:t>
      </w:r>
      <w:r w:rsidR="00417803">
        <w:t>przechow</w:t>
      </w:r>
      <w:r>
        <w:t>ywać</w:t>
      </w:r>
      <w:r w:rsidR="00417803">
        <w:t xml:space="preserve"> w </w:t>
      </w:r>
      <w:r w:rsidR="00912373">
        <w:t>swojej dokumentacji</w:t>
      </w:r>
      <w:r w:rsidR="006F5E5E">
        <w:t>,</w:t>
      </w:r>
      <w:r w:rsidR="00417803">
        <w:t xml:space="preserve"> aby udowodnić, że m</w:t>
      </w:r>
      <w:r>
        <w:t xml:space="preserve">ógł </w:t>
      </w:r>
      <w:r w:rsidR="00417803">
        <w:t xml:space="preserve">zastosować zwolnienie </w:t>
      </w:r>
      <w:r w:rsidR="00C93CE8">
        <w:t>od</w:t>
      </w:r>
      <w:r w:rsidR="00417803">
        <w:t xml:space="preserve"> VAT. </w:t>
      </w:r>
      <w:r>
        <w:t>Istotny jest sam fakt posiadania świadectwa zwolnienia przez dostawcę</w:t>
      </w:r>
      <w:r w:rsidR="0071172C">
        <w:t>,</w:t>
      </w:r>
      <w:r>
        <w:t xml:space="preserve"> aby mó</w:t>
      </w:r>
      <w:r w:rsidR="004212A5">
        <w:t xml:space="preserve">c </w:t>
      </w:r>
      <w:r>
        <w:t xml:space="preserve">zastosować </w:t>
      </w:r>
      <w:r w:rsidR="004212A5">
        <w:t>przedmiotowe zwolnienie.</w:t>
      </w:r>
    </w:p>
    <w:p w14:paraId="40BBACE1" w14:textId="37AABD97" w:rsidR="004212A5" w:rsidRDefault="004212A5" w:rsidP="00A467ED">
      <w:r>
        <w:t>Zatem</w:t>
      </w:r>
      <w:r w:rsidR="006F5E5E">
        <w:t>,</w:t>
      </w:r>
      <w:r>
        <w:t xml:space="preserve"> jeżeli dostawca u</w:t>
      </w:r>
      <w:r w:rsidR="00267A32">
        <w:t>zyska świadectw</w:t>
      </w:r>
      <w:r>
        <w:t>o</w:t>
      </w:r>
      <w:r w:rsidR="00267A32">
        <w:t xml:space="preserve"> zwolnienia </w:t>
      </w:r>
      <w:r>
        <w:t xml:space="preserve">już </w:t>
      </w:r>
      <w:r w:rsidR="00267A32">
        <w:t>po dokonaniu dostawy i po rozliczeniu podatku</w:t>
      </w:r>
      <w:r>
        <w:t xml:space="preserve"> </w:t>
      </w:r>
      <w:r w:rsidR="00F620A2">
        <w:t>na ogólnych zasadach</w:t>
      </w:r>
      <w:r w:rsidR="0068178A">
        <w:t xml:space="preserve"> (przy zastosowaniu właściwej stawki VAT)</w:t>
      </w:r>
      <w:r w:rsidR="00912373">
        <w:t>,</w:t>
      </w:r>
      <w:r w:rsidR="00F620A2">
        <w:t xml:space="preserve"> </w:t>
      </w:r>
      <w:r>
        <w:t xml:space="preserve">wówczas na podstawie tego świadectwa możliwe jest dokonanie stosownej korekty </w:t>
      </w:r>
      <w:r w:rsidR="0071172C">
        <w:t>według</w:t>
      </w:r>
      <w:r>
        <w:t xml:space="preserve"> obowiązujących przepisów</w:t>
      </w:r>
      <w:r w:rsidR="00912373">
        <w:t xml:space="preserve"> w</w:t>
      </w:r>
      <w:r w:rsidR="0068178A">
        <w:t> </w:t>
      </w:r>
      <w:r w:rsidR="00912373">
        <w:t>zakresie VAT</w:t>
      </w:r>
      <w:r>
        <w:t xml:space="preserve">. </w:t>
      </w:r>
    </w:p>
    <w:p w14:paraId="6EC0BC01" w14:textId="5655AC1C" w:rsidR="00A467ED" w:rsidRPr="00FB2A1B" w:rsidRDefault="00A467ED">
      <w:r>
        <w:t xml:space="preserve">Stosownie bowiem do art. 106j ust. 1 </w:t>
      </w:r>
      <w:r w:rsidR="00F620A2">
        <w:t xml:space="preserve">pkt 1 </w:t>
      </w:r>
      <w:r>
        <w:t>ustawy o VAT</w:t>
      </w:r>
      <w:r w:rsidR="0071172C">
        <w:t>,</w:t>
      </w:r>
      <w:r>
        <w:t xml:space="preserve"> w</w:t>
      </w:r>
      <w:r w:rsidRPr="00A467ED">
        <w:t> przypadku gdy po wystawieniu faktury</w:t>
      </w:r>
      <w:r w:rsidR="00F620A2">
        <w:t xml:space="preserve"> </w:t>
      </w:r>
      <w:r w:rsidRPr="00A467ED">
        <w:t>podstawa opodatkowania lub kwota podatku wskazana w fakturze uległa zmianie</w:t>
      </w:r>
      <w:r w:rsidR="00912373">
        <w:t>,</w:t>
      </w:r>
      <w:r w:rsidRPr="00FB2A1B">
        <w:rPr>
          <w:rFonts w:cstheme="minorHAnsi"/>
        </w:rPr>
        <w:t xml:space="preserve"> podatnik wystawia fakturę korygującą.</w:t>
      </w:r>
    </w:p>
    <w:p w14:paraId="5556D227" w14:textId="064B655C" w:rsidR="00F620A2" w:rsidRPr="00F620A2" w:rsidRDefault="00F620A2" w:rsidP="00F620A2">
      <w:pPr>
        <w:rPr>
          <w:rFonts w:cstheme="minorHAnsi"/>
        </w:rPr>
      </w:pPr>
      <w:r>
        <w:rPr>
          <w:rFonts w:cstheme="minorHAnsi"/>
        </w:rPr>
        <w:t xml:space="preserve">Ponieważ art. 20 ust. 2 </w:t>
      </w:r>
      <w:r w:rsidRPr="00F620A2">
        <w:rPr>
          <w:rFonts w:cstheme="minorHAnsi"/>
        </w:rPr>
        <w:t>rozporządzenia SAFE</w:t>
      </w:r>
      <w:r>
        <w:rPr>
          <w:rFonts w:cstheme="minorHAnsi"/>
        </w:rPr>
        <w:t xml:space="preserve"> uzależnia </w:t>
      </w:r>
      <w:r w:rsidRPr="00F620A2">
        <w:rPr>
          <w:rFonts w:cstheme="minorHAnsi"/>
        </w:rPr>
        <w:t xml:space="preserve">możliwość zastosowania </w:t>
      </w:r>
      <w:r>
        <w:rPr>
          <w:rFonts w:cstheme="minorHAnsi"/>
        </w:rPr>
        <w:t xml:space="preserve">zwolnienia od VAT </w:t>
      </w:r>
      <w:r w:rsidRPr="00F620A2">
        <w:rPr>
          <w:rFonts w:cstheme="minorHAnsi"/>
        </w:rPr>
        <w:t>od</w:t>
      </w:r>
      <w:r w:rsidR="0068178A">
        <w:rPr>
          <w:rFonts w:cstheme="minorHAnsi"/>
        </w:rPr>
        <w:t> </w:t>
      </w:r>
      <w:r w:rsidRPr="00F620A2">
        <w:rPr>
          <w:rFonts w:cstheme="minorHAnsi"/>
        </w:rPr>
        <w:t>posiadania świadectwa</w:t>
      </w:r>
      <w:r>
        <w:rPr>
          <w:rFonts w:cstheme="minorHAnsi"/>
        </w:rPr>
        <w:t xml:space="preserve"> </w:t>
      </w:r>
      <w:r w:rsidRPr="00F620A2">
        <w:rPr>
          <w:rFonts w:cstheme="minorHAnsi"/>
        </w:rPr>
        <w:t>zwolnienia z VAT</w:t>
      </w:r>
      <w:r w:rsidR="0071172C">
        <w:rPr>
          <w:rFonts w:cstheme="minorHAnsi"/>
        </w:rPr>
        <w:t>,</w:t>
      </w:r>
      <w:r>
        <w:rPr>
          <w:rFonts w:cstheme="minorHAnsi"/>
        </w:rPr>
        <w:t xml:space="preserve"> o</w:t>
      </w:r>
      <w:r w:rsidRPr="00F620A2">
        <w:rPr>
          <w:rFonts w:cstheme="minorHAnsi"/>
        </w:rPr>
        <w:t xml:space="preserve">trzymanie tego świadectwa </w:t>
      </w:r>
      <w:r w:rsidR="00B11647" w:rsidRPr="00B11647">
        <w:rPr>
          <w:rFonts w:cstheme="minorHAnsi"/>
        </w:rPr>
        <w:t xml:space="preserve">po dokonaniu dostawy i po </w:t>
      </w:r>
      <w:r w:rsidR="00B11647" w:rsidRPr="00B11647">
        <w:rPr>
          <w:rFonts w:cstheme="minorHAnsi"/>
        </w:rPr>
        <w:lastRenderedPageBreak/>
        <w:t>rozliczeniu podatku na ogólnych zasadach</w:t>
      </w:r>
      <w:r w:rsidR="00B11647" w:rsidRPr="00B11647">
        <w:rPr>
          <w:rFonts w:cstheme="minorHAnsi"/>
        </w:rPr>
        <w:t xml:space="preserve"> </w:t>
      </w:r>
      <w:r w:rsidRPr="00F620A2">
        <w:rPr>
          <w:rFonts w:cstheme="minorHAnsi"/>
        </w:rPr>
        <w:t>powoduje, że podatnik jest uprawniony</w:t>
      </w:r>
      <w:r>
        <w:rPr>
          <w:rFonts w:cstheme="minorHAnsi"/>
        </w:rPr>
        <w:t xml:space="preserve"> </w:t>
      </w:r>
      <w:r w:rsidRPr="00F620A2">
        <w:rPr>
          <w:rFonts w:cstheme="minorHAnsi"/>
        </w:rPr>
        <w:t xml:space="preserve">do zastosowania zwolnienia </w:t>
      </w:r>
      <w:r w:rsidR="00EB795D">
        <w:rPr>
          <w:rFonts w:cstheme="minorHAnsi"/>
        </w:rPr>
        <w:t>o</w:t>
      </w:r>
      <w:r w:rsidR="0071172C">
        <w:rPr>
          <w:rFonts w:cstheme="minorHAnsi"/>
        </w:rPr>
        <w:t>d</w:t>
      </w:r>
      <w:r w:rsidRPr="00F620A2">
        <w:rPr>
          <w:rFonts w:cstheme="minorHAnsi"/>
        </w:rPr>
        <w:t xml:space="preserve"> VAT zamiast </w:t>
      </w:r>
      <w:r w:rsidR="0071172C">
        <w:rPr>
          <w:rFonts w:cstheme="minorHAnsi"/>
        </w:rPr>
        <w:t xml:space="preserve">opodatkowania według </w:t>
      </w:r>
      <w:r w:rsidRPr="00F620A2">
        <w:rPr>
          <w:rFonts w:cstheme="minorHAnsi"/>
        </w:rPr>
        <w:t xml:space="preserve">stawki podatku </w:t>
      </w:r>
      <w:r>
        <w:rPr>
          <w:rFonts w:cstheme="minorHAnsi"/>
        </w:rPr>
        <w:t>właściwej dla danego towar</w:t>
      </w:r>
      <w:r w:rsidR="009A50B2">
        <w:rPr>
          <w:rFonts w:cstheme="minorHAnsi"/>
        </w:rPr>
        <w:t>u</w:t>
      </w:r>
      <w:r w:rsidRPr="00F620A2">
        <w:rPr>
          <w:rFonts w:cstheme="minorHAnsi"/>
        </w:rPr>
        <w:t xml:space="preserve">, a w konsekwencji </w:t>
      </w:r>
      <w:r w:rsidR="009A50B2">
        <w:rPr>
          <w:rFonts w:cstheme="minorHAnsi"/>
        </w:rPr>
        <w:t xml:space="preserve">jest on uprawniony </w:t>
      </w:r>
      <w:r w:rsidR="006F5E5E">
        <w:rPr>
          <w:rFonts w:cstheme="minorHAnsi"/>
        </w:rPr>
        <w:t xml:space="preserve">do </w:t>
      </w:r>
      <w:r w:rsidRPr="00F620A2">
        <w:rPr>
          <w:rFonts w:cstheme="minorHAnsi"/>
        </w:rPr>
        <w:t>dokona</w:t>
      </w:r>
      <w:r w:rsidR="006F5E5E">
        <w:rPr>
          <w:rFonts w:cstheme="minorHAnsi"/>
        </w:rPr>
        <w:t>nia</w:t>
      </w:r>
      <w:r w:rsidRPr="00F620A2">
        <w:rPr>
          <w:rFonts w:cstheme="minorHAnsi"/>
        </w:rPr>
        <w:t xml:space="preserve"> korekty faktury</w:t>
      </w:r>
      <w:r>
        <w:rPr>
          <w:rFonts w:cstheme="minorHAnsi"/>
        </w:rPr>
        <w:t>.</w:t>
      </w:r>
    </w:p>
    <w:p w14:paraId="2163B07E" w14:textId="3DA68753" w:rsidR="00A467ED" w:rsidRPr="00FB2A1B" w:rsidRDefault="00A467ED" w:rsidP="00C93CE8">
      <w:pPr>
        <w:autoSpaceDE w:val="0"/>
        <w:autoSpaceDN w:val="0"/>
        <w:adjustRightInd w:val="0"/>
        <w:rPr>
          <w:rFonts w:cstheme="minorHAnsi"/>
        </w:rPr>
      </w:pPr>
      <w:r w:rsidRPr="00FB2A1B">
        <w:rPr>
          <w:rFonts w:cstheme="minorHAnsi"/>
        </w:rPr>
        <w:t>Natomiast z art</w:t>
      </w:r>
      <w:r w:rsidR="00EB795D">
        <w:rPr>
          <w:rFonts w:cstheme="minorHAnsi"/>
        </w:rPr>
        <w:t>.</w:t>
      </w:r>
      <w:r w:rsidRPr="00FB2A1B">
        <w:rPr>
          <w:rFonts w:cstheme="minorHAnsi"/>
        </w:rPr>
        <w:t xml:space="preserve"> 29a ust. 13 ustawy o VAT wynika, że </w:t>
      </w:r>
      <w:r w:rsidR="006F5E5E">
        <w:rPr>
          <w:rFonts w:cstheme="minorHAnsi"/>
        </w:rPr>
        <w:t>w</w:t>
      </w:r>
      <w:r w:rsidR="006F5E5E" w:rsidRPr="008E7E7C">
        <w:rPr>
          <w:rFonts w:cstheme="minorHAnsi"/>
        </w:rPr>
        <w:t xml:space="preserve"> przypadkach, o których mowa w ust. 10 pkt 1-3, obniżenia podstawy opodatkowania, w stosunku do podstawy określonej na wystawionej fakturze z wykazanym podatkiem, dokonuje się za okres rozliczeniowy, w którym podatnik wystawił fakturę korygującą w postaci faktury ustrukturyzowanej</w:t>
      </w:r>
      <w:r w:rsidR="006F5E5E">
        <w:rPr>
          <w:rFonts w:cstheme="minorHAnsi"/>
        </w:rPr>
        <w:t xml:space="preserve">. W przypadku faktur innych niż ustrukturyzowane, wystawianych w szczególnych przypadkach, odpowiednie zastosowanie znajdą przepisy art. 29a </w:t>
      </w:r>
      <w:r w:rsidR="006F5E5E" w:rsidRPr="008E7E7C">
        <w:rPr>
          <w:rFonts w:cstheme="minorHAnsi"/>
        </w:rPr>
        <w:t>ust. 13a–13c</w:t>
      </w:r>
      <w:r w:rsidR="00032913">
        <w:rPr>
          <w:rFonts w:cstheme="minorHAnsi"/>
        </w:rPr>
        <w:t xml:space="preserve"> ustawy o VAT</w:t>
      </w:r>
      <w:r w:rsidR="006F5E5E" w:rsidRPr="008E7E7C">
        <w:rPr>
          <w:rFonts w:cstheme="minorHAnsi"/>
        </w:rPr>
        <w:t>.</w:t>
      </w:r>
      <w:r w:rsidR="006F5E5E">
        <w:rPr>
          <w:rFonts w:cstheme="minorHAnsi"/>
        </w:rPr>
        <w:t xml:space="preserve"> </w:t>
      </w:r>
    </w:p>
    <w:p w14:paraId="65EC9785" w14:textId="42478AE6" w:rsidR="00A467ED" w:rsidRPr="00FB2A1B" w:rsidRDefault="00A467ED" w:rsidP="00C93CE8">
      <w:pPr>
        <w:autoSpaceDE w:val="0"/>
        <w:autoSpaceDN w:val="0"/>
        <w:adjustRightInd w:val="0"/>
        <w:rPr>
          <w:rFonts w:cstheme="minorHAnsi"/>
        </w:rPr>
      </w:pPr>
      <w:r w:rsidRPr="00FB2A1B">
        <w:rPr>
          <w:rFonts w:cstheme="minorHAnsi"/>
        </w:rPr>
        <w:t>Stosownie do art. 29a ust. 14 ustawy o VAT</w:t>
      </w:r>
      <w:r w:rsidR="00912373">
        <w:rPr>
          <w:rFonts w:cstheme="minorHAnsi"/>
        </w:rPr>
        <w:t>,</w:t>
      </w:r>
      <w:r w:rsidRPr="00FB2A1B">
        <w:rPr>
          <w:rFonts w:cstheme="minorHAnsi"/>
        </w:rPr>
        <w:t xml:space="preserve"> przepis ust. 13</w:t>
      </w:r>
      <w:r w:rsidR="006F5E5E">
        <w:rPr>
          <w:rFonts w:cstheme="minorHAnsi"/>
        </w:rPr>
        <w:t xml:space="preserve">-13c </w:t>
      </w:r>
      <w:r w:rsidRPr="00FB2A1B">
        <w:rPr>
          <w:rFonts w:cstheme="minorHAnsi"/>
        </w:rPr>
        <w:t xml:space="preserve">stosuje się odpowiednio w przypadku stwierdzenia pomyłki w kwocie podatku na fakturze i wystawienia faktury korygującej do faktury, </w:t>
      </w:r>
      <w:r w:rsidR="008D5A36">
        <w:rPr>
          <w:rFonts w:cstheme="minorHAnsi"/>
        </w:rPr>
        <w:br/>
      </w:r>
      <w:r w:rsidRPr="00FB2A1B">
        <w:rPr>
          <w:rFonts w:cstheme="minorHAnsi"/>
        </w:rPr>
        <w:t>w której wykazano kwotę podatku wyższą niż należna.</w:t>
      </w:r>
    </w:p>
    <w:p w14:paraId="137AE6E8" w14:textId="56E88688" w:rsidR="002D2C9A" w:rsidRDefault="00912373" w:rsidP="00514DC3">
      <w:pPr>
        <w:spacing w:after="0"/>
        <w:rPr>
          <w:rFonts w:cstheme="minorHAnsi"/>
        </w:rPr>
      </w:pPr>
      <w:r>
        <w:rPr>
          <w:rFonts w:cstheme="minorHAnsi"/>
        </w:rPr>
        <w:t>O</w:t>
      </w:r>
      <w:r w:rsidR="004212A5" w:rsidRPr="00FB2A1B">
        <w:rPr>
          <w:rFonts w:cstheme="minorHAnsi"/>
        </w:rPr>
        <w:t xml:space="preserve">trzymanie </w:t>
      </w:r>
      <w:r>
        <w:rPr>
          <w:rFonts w:cstheme="minorHAnsi"/>
        </w:rPr>
        <w:t>z</w:t>
      </w:r>
      <w:r w:rsidRPr="00FB2A1B">
        <w:rPr>
          <w:rFonts w:cstheme="minorHAnsi"/>
        </w:rPr>
        <w:t xml:space="preserve">atem </w:t>
      </w:r>
      <w:r w:rsidR="004212A5" w:rsidRPr="00FB2A1B">
        <w:rPr>
          <w:rFonts w:cstheme="minorHAnsi"/>
        </w:rPr>
        <w:t>świadectwa</w:t>
      </w:r>
      <w:r w:rsidR="00C93CE8" w:rsidRPr="00FB2A1B">
        <w:rPr>
          <w:rFonts w:cstheme="minorHAnsi"/>
        </w:rPr>
        <w:t xml:space="preserve"> zwolnienia </w:t>
      </w:r>
      <w:r w:rsidR="00B11647" w:rsidRPr="00B11647">
        <w:rPr>
          <w:rFonts w:cstheme="minorHAnsi"/>
        </w:rPr>
        <w:t>po dokonaniu dostawy i po rozliczeniu podatku na ogólnych zasadach</w:t>
      </w:r>
      <w:r w:rsidR="00B11647" w:rsidRPr="00B11647">
        <w:rPr>
          <w:rFonts w:cstheme="minorHAnsi"/>
        </w:rPr>
        <w:t xml:space="preserve"> </w:t>
      </w:r>
      <w:r w:rsidR="004212A5" w:rsidRPr="00FB2A1B">
        <w:rPr>
          <w:rFonts w:cstheme="minorHAnsi"/>
        </w:rPr>
        <w:t xml:space="preserve">powoduje, że </w:t>
      </w:r>
      <w:r w:rsidR="00C93CE8" w:rsidRPr="00FB2A1B">
        <w:rPr>
          <w:rFonts w:cstheme="minorHAnsi"/>
        </w:rPr>
        <w:t xml:space="preserve">dostawca będzie </w:t>
      </w:r>
      <w:r w:rsidR="004212A5" w:rsidRPr="00FB2A1B">
        <w:rPr>
          <w:rFonts w:cstheme="minorHAnsi"/>
        </w:rPr>
        <w:t>uprawni</w:t>
      </w:r>
      <w:r w:rsidR="00C93CE8" w:rsidRPr="00FB2A1B">
        <w:rPr>
          <w:rFonts w:cstheme="minorHAnsi"/>
        </w:rPr>
        <w:t xml:space="preserve">ony </w:t>
      </w:r>
      <w:r w:rsidR="004212A5" w:rsidRPr="00FB2A1B">
        <w:rPr>
          <w:rFonts w:cstheme="minorHAnsi"/>
        </w:rPr>
        <w:t xml:space="preserve">do zastosowania zwolnienia </w:t>
      </w:r>
      <w:r w:rsidR="00C93CE8" w:rsidRPr="00FB2A1B">
        <w:rPr>
          <w:rFonts w:cstheme="minorHAnsi"/>
        </w:rPr>
        <w:t xml:space="preserve">od </w:t>
      </w:r>
      <w:r w:rsidR="004212A5" w:rsidRPr="00FB2A1B">
        <w:rPr>
          <w:rFonts w:cstheme="minorHAnsi"/>
        </w:rPr>
        <w:t>VAT</w:t>
      </w:r>
      <w:r w:rsidR="00C93CE8" w:rsidRPr="00FB2A1B">
        <w:rPr>
          <w:rFonts w:cstheme="minorHAnsi"/>
        </w:rPr>
        <w:t xml:space="preserve"> poprzez dokonanie </w:t>
      </w:r>
      <w:r w:rsidR="00D808F8">
        <w:rPr>
          <w:rFonts w:cstheme="minorHAnsi"/>
        </w:rPr>
        <w:t xml:space="preserve">odpowiedniej </w:t>
      </w:r>
      <w:r w:rsidR="00C93CE8" w:rsidRPr="00FB2A1B">
        <w:rPr>
          <w:rFonts w:cstheme="minorHAnsi"/>
        </w:rPr>
        <w:t>korekty</w:t>
      </w:r>
      <w:r w:rsidR="004212A5" w:rsidRPr="00FB2A1B">
        <w:rPr>
          <w:rFonts w:cstheme="minorHAnsi"/>
        </w:rPr>
        <w:t>.</w:t>
      </w:r>
    </w:p>
    <w:p w14:paraId="03EF3838" w14:textId="77777777" w:rsidR="00514DC3" w:rsidRDefault="00514DC3" w:rsidP="00514DC3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2C9A" w:rsidRPr="00C34204" w14:paraId="386AD196" w14:textId="77777777" w:rsidTr="00377A89">
        <w:tc>
          <w:tcPr>
            <w:tcW w:w="9060" w:type="dxa"/>
          </w:tcPr>
          <w:p w14:paraId="6C7719E4" w14:textId="0D37AE6C" w:rsidR="002D2C9A" w:rsidRDefault="002D2C9A" w:rsidP="00514DC3">
            <w:pPr>
              <w:spacing w:line="259" w:lineRule="auto"/>
            </w:pPr>
            <w:bookmarkStart w:id="29" w:name="_Hlk221607790"/>
            <w:r w:rsidRPr="00C34204">
              <w:rPr>
                <w:b/>
              </w:rPr>
              <w:t xml:space="preserve">Przykład </w:t>
            </w:r>
            <w:r w:rsidR="00C709F3">
              <w:rPr>
                <w:b/>
              </w:rPr>
              <w:t>9</w:t>
            </w:r>
            <w:r w:rsidRPr="00C34204">
              <w:t xml:space="preserve">: </w:t>
            </w:r>
          </w:p>
          <w:p w14:paraId="6455B251" w14:textId="77777777" w:rsidR="00514DC3" w:rsidRPr="00C34204" w:rsidRDefault="00514DC3" w:rsidP="00514DC3">
            <w:pPr>
              <w:spacing w:line="259" w:lineRule="auto"/>
            </w:pPr>
          </w:p>
          <w:p w14:paraId="56B0629F" w14:textId="4CC5FAD7" w:rsidR="002D2C9A" w:rsidRDefault="00847C2A" w:rsidP="00514DC3">
            <w:pPr>
              <w:spacing w:line="259" w:lineRule="auto"/>
            </w:pPr>
            <w:r>
              <w:t>Polski dostawca (</w:t>
            </w:r>
            <w:r w:rsidR="002D2C9A">
              <w:t>Podmiot A</w:t>
            </w:r>
            <w:r>
              <w:t>)</w:t>
            </w:r>
            <w:r w:rsidR="002D2C9A">
              <w:t xml:space="preserve"> dokonuje dostawy </w:t>
            </w:r>
            <w:r w:rsidR="00E810CE">
              <w:t xml:space="preserve">8 systemów </w:t>
            </w:r>
            <w:proofErr w:type="spellStart"/>
            <w:r w:rsidR="00E810CE">
              <w:t>antydronowych</w:t>
            </w:r>
            <w:proofErr w:type="spellEnd"/>
            <w:r w:rsidR="00E810CE">
              <w:t xml:space="preserve"> w ramach zamówień wspi</w:t>
            </w:r>
            <w:r w:rsidR="003372B3">
              <w:t xml:space="preserve">eranych ze środków instrumentu SAFE </w:t>
            </w:r>
            <w:r w:rsidR="00E810CE">
              <w:t xml:space="preserve">dla </w:t>
            </w:r>
            <w:r w:rsidR="002172A9">
              <w:t>P</w:t>
            </w:r>
            <w:r w:rsidR="00E810CE">
              <w:t xml:space="preserve">odmiotu B. </w:t>
            </w:r>
            <w:r w:rsidR="003372B3">
              <w:t xml:space="preserve">Dostawa została dokonana 19 grudnia 2025 r. Podmiot A ma otrzymać świadectwo zwolnienia w kwietniu 2026 r. </w:t>
            </w:r>
          </w:p>
          <w:p w14:paraId="2E6BFF8E" w14:textId="0F20101C" w:rsidR="003372B3" w:rsidRDefault="003372B3" w:rsidP="00514DC3">
            <w:pPr>
              <w:spacing w:line="259" w:lineRule="auto"/>
            </w:pPr>
            <w:r>
              <w:t xml:space="preserve">Ponieważ </w:t>
            </w:r>
            <w:r w:rsidR="00A6746E">
              <w:t>P</w:t>
            </w:r>
            <w:r>
              <w:t xml:space="preserve">odmiot A nie </w:t>
            </w:r>
            <w:r w:rsidR="002172A9">
              <w:t>otrzymał od Podmiotu B</w:t>
            </w:r>
            <w:r w:rsidR="00D808F8">
              <w:t xml:space="preserve"> </w:t>
            </w:r>
            <w:r>
              <w:t>świadectwa zwolnienia</w:t>
            </w:r>
            <w:r w:rsidR="00D808F8">
              <w:t>,</w:t>
            </w:r>
            <w:r>
              <w:t xml:space="preserve"> dokonana dostawa podlegała opodatkowaniu </w:t>
            </w:r>
            <w:r w:rsidR="00DB7F15">
              <w:t xml:space="preserve">według właściwej </w:t>
            </w:r>
            <w:r>
              <w:t>stawk</w:t>
            </w:r>
            <w:r w:rsidR="00DB7F15">
              <w:t>i VAT, tj.</w:t>
            </w:r>
            <w:r>
              <w:t xml:space="preserve"> </w:t>
            </w:r>
            <w:r w:rsidR="002172A9">
              <w:t xml:space="preserve">w wysokości </w:t>
            </w:r>
            <w:r>
              <w:t>23%. Podatek należny został rozliczony w deklaracji podatkowej za grudzień 2025</w:t>
            </w:r>
            <w:r w:rsidR="00D808F8">
              <w:t xml:space="preserve"> r</w:t>
            </w:r>
            <w:r>
              <w:t>.</w:t>
            </w:r>
          </w:p>
          <w:p w14:paraId="4DD626C0" w14:textId="18368909" w:rsidR="00AB48CD" w:rsidRDefault="00AB48CD" w:rsidP="00514DC3">
            <w:pPr>
              <w:spacing w:line="259" w:lineRule="auto"/>
            </w:pPr>
            <w:r>
              <w:t xml:space="preserve">Świadectwo zwolnienia z VAT zostało dostarczone Podmiotowi A w dniu 24 kwietnia 2026 r. </w:t>
            </w:r>
          </w:p>
          <w:p w14:paraId="7F33D63D" w14:textId="77777777" w:rsidR="00AB48CD" w:rsidRDefault="00AB48CD" w:rsidP="00514DC3">
            <w:pPr>
              <w:spacing w:line="259" w:lineRule="auto"/>
            </w:pPr>
          </w:p>
          <w:p w14:paraId="7385283F" w14:textId="317DEC3E" w:rsidR="003372B3" w:rsidRDefault="009D2B31" w:rsidP="00514DC3">
            <w:pPr>
              <w:spacing w:line="259" w:lineRule="auto"/>
            </w:pPr>
            <w:bookmarkStart w:id="30" w:name="_Hlk221607891"/>
            <w:r>
              <w:t>Podmiot A</w:t>
            </w:r>
            <w:r w:rsidR="002172A9">
              <w:t>,</w:t>
            </w:r>
            <w:r>
              <w:t xml:space="preserve"> po otrzymaniu świadectwa zwolnienia w kwietniu 2026 r.</w:t>
            </w:r>
            <w:r w:rsidR="002172A9">
              <w:t>,</w:t>
            </w:r>
            <w:r>
              <w:t xml:space="preserve"> będzie mógł zastosować zwolnien</w:t>
            </w:r>
            <w:r w:rsidR="009A50B2">
              <w:t>i</w:t>
            </w:r>
            <w:r w:rsidR="00EB795D">
              <w:t>e</w:t>
            </w:r>
            <w:r>
              <w:t xml:space="preserve"> od VAT wystawiając fakturę korygującą </w:t>
            </w:r>
            <w:r w:rsidR="00C1390E">
              <w:t xml:space="preserve">w </w:t>
            </w:r>
            <w:proofErr w:type="spellStart"/>
            <w:r w:rsidR="00C1390E">
              <w:t>KSeF</w:t>
            </w:r>
            <w:proofErr w:type="spellEnd"/>
            <w:r w:rsidR="00C1390E">
              <w:t xml:space="preserve"> </w:t>
            </w:r>
            <w:r>
              <w:t xml:space="preserve">i dokonując </w:t>
            </w:r>
            <w:r w:rsidR="00D808F8">
              <w:t xml:space="preserve">odpowiedniej </w:t>
            </w:r>
            <w:r>
              <w:t>korekty w deklaracji podatkowej</w:t>
            </w:r>
            <w:r w:rsidR="00611679">
              <w:t>.</w:t>
            </w:r>
            <w:r w:rsidR="00FD5311">
              <w:t xml:space="preserve"> </w:t>
            </w:r>
            <w:r w:rsidR="00611679">
              <w:t xml:space="preserve">Wystawiona przez niego w dniu 30 kwietnia 2026 r. faktura korygująca jest fakturą ustrukturyzowaną, </w:t>
            </w:r>
            <w:r w:rsidR="00C1390E">
              <w:t xml:space="preserve">która </w:t>
            </w:r>
            <w:r w:rsidR="00611679">
              <w:t xml:space="preserve">powinna być </w:t>
            </w:r>
            <w:r w:rsidR="00C1390E">
              <w:t>rozliczona</w:t>
            </w:r>
            <w:r w:rsidR="00611679">
              <w:t xml:space="preserve"> w deklaracji podatkowej za kwiecień 2026 r.</w:t>
            </w:r>
          </w:p>
          <w:bookmarkEnd w:id="29"/>
          <w:bookmarkEnd w:id="30"/>
          <w:p w14:paraId="3029388A" w14:textId="305CCF30" w:rsidR="002B282C" w:rsidRPr="00C34204" w:rsidRDefault="002B282C" w:rsidP="00514DC3">
            <w:pPr>
              <w:spacing w:line="259" w:lineRule="auto"/>
            </w:pPr>
          </w:p>
        </w:tc>
      </w:tr>
    </w:tbl>
    <w:p w14:paraId="27EE5B98" w14:textId="77777777" w:rsidR="00EB6139" w:rsidRDefault="00EB6139" w:rsidP="001362A1">
      <w:pPr>
        <w:rPr>
          <w:rFonts w:cstheme="minorHAnsi"/>
        </w:rPr>
      </w:pPr>
    </w:p>
    <w:p w14:paraId="74B8B64B" w14:textId="5A16280B" w:rsidR="006E143C" w:rsidRPr="00E93C44" w:rsidRDefault="00D808F8" w:rsidP="00C35C26">
      <w:pPr>
        <w:pStyle w:val="Akapitzlist"/>
        <w:numPr>
          <w:ilvl w:val="0"/>
          <w:numId w:val="36"/>
        </w:numPr>
        <w:outlineLvl w:val="0"/>
        <w:rPr>
          <w:rFonts w:cstheme="minorHAnsi"/>
          <w:b/>
          <w:bCs/>
          <w:sz w:val="32"/>
          <w:szCs w:val="32"/>
        </w:rPr>
      </w:pPr>
      <w:bookmarkStart w:id="31" w:name="_Toc221111823"/>
      <w:r>
        <w:rPr>
          <w:rFonts w:cstheme="minorHAnsi"/>
          <w:b/>
          <w:bCs/>
          <w:sz w:val="32"/>
          <w:szCs w:val="32"/>
        </w:rPr>
        <w:t>Dokumentowanie (fakturowanie) transakcji</w:t>
      </w:r>
      <w:bookmarkEnd w:id="31"/>
    </w:p>
    <w:p w14:paraId="7A29D079" w14:textId="09CF4C23" w:rsidR="006E143C" w:rsidRDefault="006E143C" w:rsidP="001362A1">
      <w:pPr>
        <w:rPr>
          <w:rFonts w:cstheme="minorHAnsi"/>
        </w:rPr>
      </w:pPr>
      <w:r>
        <w:rPr>
          <w:rFonts w:cstheme="minorHAnsi"/>
        </w:rPr>
        <w:t xml:space="preserve">Do faktur dokumentujących </w:t>
      </w:r>
      <w:r w:rsidRPr="006E143C">
        <w:rPr>
          <w:rFonts w:cstheme="minorHAnsi"/>
        </w:rPr>
        <w:t>dostawy produktów związanych z obronnością lub innych produktów do</w:t>
      </w:r>
      <w:r w:rsidR="00FD5311">
        <w:rPr>
          <w:rFonts w:cstheme="minorHAnsi"/>
        </w:rPr>
        <w:t> </w:t>
      </w:r>
      <w:r w:rsidRPr="006E143C">
        <w:rPr>
          <w:rFonts w:cstheme="minorHAnsi"/>
        </w:rPr>
        <w:t>celów obronnych</w:t>
      </w:r>
      <w:r w:rsidR="00514DC3">
        <w:rPr>
          <w:rFonts w:cstheme="minorHAnsi"/>
        </w:rPr>
        <w:t>,</w:t>
      </w:r>
      <w:r w:rsidRPr="006E143C">
        <w:rPr>
          <w:rFonts w:cstheme="minorHAnsi"/>
        </w:rPr>
        <w:t xml:space="preserve"> dokonywane w ramach zamówień wspieranych ze środków instrumentu SAF</w:t>
      </w:r>
      <w:r>
        <w:rPr>
          <w:rFonts w:cstheme="minorHAnsi"/>
        </w:rPr>
        <w:t>E</w:t>
      </w:r>
      <w:r w:rsidR="00514DC3">
        <w:rPr>
          <w:rFonts w:cstheme="minorHAnsi"/>
        </w:rPr>
        <w:t>,</w:t>
      </w:r>
      <w:r>
        <w:rPr>
          <w:rFonts w:cstheme="minorHAnsi"/>
        </w:rPr>
        <w:t xml:space="preserve"> zastosowanie mają ogólne zasady wystawiania faktur.</w:t>
      </w:r>
    </w:p>
    <w:p w14:paraId="1BF9A4FC" w14:textId="6022D2B0" w:rsidR="004213AE" w:rsidRDefault="006E143C" w:rsidP="001362A1">
      <w:pPr>
        <w:rPr>
          <w:rFonts w:cstheme="minorHAnsi"/>
        </w:rPr>
      </w:pPr>
      <w:r>
        <w:rPr>
          <w:rFonts w:cstheme="minorHAnsi"/>
        </w:rPr>
        <w:t>W przypadku dostaw towarów lub świadczenia usług zwolnionych od VAT na podstawie przepisów ustawy o VAT albo przepisów wydanych na podstawie art. 82 ust. 3 ustawy o VAT faktura powinna zawierać wskazanie przepisu, na podstawie którego podatnik stosuje zwolnienia od VAT (art. 106e ust. 1 pkt 1</w:t>
      </w:r>
      <w:r w:rsidR="004213AE">
        <w:rPr>
          <w:rFonts w:cstheme="minorHAnsi"/>
        </w:rPr>
        <w:t>9 ustawy o VAT</w:t>
      </w:r>
      <w:r w:rsidR="00D808F8">
        <w:rPr>
          <w:rFonts w:cstheme="minorHAnsi"/>
        </w:rPr>
        <w:t>)</w:t>
      </w:r>
      <w:r w:rsidR="004213AE">
        <w:rPr>
          <w:rFonts w:cstheme="minorHAnsi"/>
        </w:rPr>
        <w:t>.</w:t>
      </w:r>
    </w:p>
    <w:p w14:paraId="3F37334F" w14:textId="0196CCF2" w:rsidR="004213AE" w:rsidRDefault="009D2B31" w:rsidP="001362A1">
      <w:pPr>
        <w:rPr>
          <w:rFonts w:cstheme="minorHAnsi"/>
        </w:rPr>
      </w:pPr>
      <w:r>
        <w:rPr>
          <w:rFonts w:cstheme="minorHAnsi"/>
        </w:rPr>
        <w:t xml:space="preserve">W przypadku wystawienia faktury </w:t>
      </w:r>
      <w:bookmarkStart w:id="32" w:name="_Hlk221027097"/>
      <w:r>
        <w:rPr>
          <w:rFonts w:cstheme="minorHAnsi"/>
        </w:rPr>
        <w:t xml:space="preserve">dokumentującej </w:t>
      </w:r>
      <w:r w:rsidRPr="009D2B31">
        <w:rPr>
          <w:rFonts w:cstheme="minorHAnsi"/>
        </w:rPr>
        <w:t>dostawy</w:t>
      </w:r>
      <w:r>
        <w:rPr>
          <w:rFonts w:cstheme="minorHAnsi"/>
        </w:rPr>
        <w:t xml:space="preserve"> </w:t>
      </w:r>
      <w:r w:rsidRPr="009D2B31">
        <w:rPr>
          <w:rFonts w:cstheme="minorHAnsi"/>
        </w:rPr>
        <w:t xml:space="preserve">produktów związanych z obronnością lub innych produktów do celów obronnych dokonywane w ramach zamówień wspieranych ze środków </w:t>
      </w:r>
      <w:r w:rsidRPr="009D2B31">
        <w:rPr>
          <w:rFonts w:cstheme="minorHAnsi"/>
        </w:rPr>
        <w:lastRenderedPageBreak/>
        <w:t>instrumentu SAF</w:t>
      </w:r>
      <w:bookmarkEnd w:id="32"/>
      <w:r w:rsidRPr="009D2B31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4213AE">
        <w:rPr>
          <w:rFonts w:cstheme="minorHAnsi"/>
        </w:rPr>
        <w:t xml:space="preserve">zwolnione </w:t>
      </w:r>
      <w:r w:rsidR="00157FD8">
        <w:rPr>
          <w:rFonts w:cstheme="minorHAnsi"/>
        </w:rPr>
        <w:t>od</w:t>
      </w:r>
      <w:r w:rsidR="009A50B2">
        <w:rPr>
          <w:rFonts w:cstheme="minorHAnsi"/>
        </w:rPr>
        <w:t xml:space="preserve"> </w:t>
      </w:r>
      <w:r w:rsidR="004213AE">
        <w:rPr>
          <w:rFonts w:cstheme="minorHAnsi"/>
        </w:rPr>
        <w:t>VAT</w:t>
      </w:r>
      <w:r w:rsidR="00514DC3">
        <w:rPr>
          <w:rFonts w:cstheme="minorHAnsi"/>
        </w:rPr>
        <w:t>,</w:t>
      </w:r>
      <w:r w:rsidR="004213AE">
        <w:rPr>
          <w:rFonts w:cstheme="minorHAnsi"/>
        </w:rPr>
        <w:t xml:space="preserve"> </w:t>
      </w:r>
      <w:r w:rsidR="009A50B2">
        <w:rPr>
          <w:rFonts w:cstheme="minorHAnsi"/>
        </w:rPr>
        <w:t>za uzasadnione należy uznać</w:t>
      </w:r>
      <w:r w:rsidR="00D808F8">
        <w:rPr>
          <w:rFonts w:cstheme="minorHAnsi"/>
        </w:rPr>
        <w:t>,</w:t>
      </w:r>
      <w:r>
        <w:rPr>
          <w:rFonts w:cstheme="minorHAnsi"/>
        </w:rPr>
        <w:t xml:space="preserve"> aby faktura zawierała wyraz „SAFE”</w:t>
      </w:r>
      <w:r w:rsidR="006E143C">
        <w:rPr>
          <w:rFonts w:cstheme="minorHAnsi"/>
        </w:rPr>
        <w:t xml:space="preserve"> albo wskazanie art. 20 rozporządzenia SAFE. </w:t>
      </w:r>
    </w:p>
    <w:p w14:paraId="11410FB9" w14:textId="77777777" w:rsidR="00FD5311" w:rsidRDefault="00FD5311" w:rsidP="001362A1">
      <w:pPr>
        <w:rPr>
          <w:rFonts w:cstheme="minorHAnsi"/>
        </w:rPr>
      </w:pPr>
    </w:p>
    <w:p w14:paraId="255583F3" w14:textId="11B301CB" w:rsidR="00B411B6" w:rsidRPr="00E93C44" w:rsidRDefault="00B411B6" w:rsidP="00C35C26">
      <w:pPr>
        <w:pStyle w:val="Akapitzlist"/>
        <w:numPr>
          <w:ilvl w:val="0"/>
          <w:numId w:val="36"/>
        </w:numPr>
        <w:outlineLvl w:val="0"/>
        <w:rPr>
          <w:b/>
          <w:bCs/>
          <w:sz w:val="32"/>
          <w:szCs w:val="32"/>
        </w:rPr>
      </w:pPr>
      <w:bookmarkStart w:id="33" w:name="_Toc221111824"/>
      <w:r w:rsidRPr="00E93C44">
        <w:rPr>
          <w:b/>
          <w:bCs/>
          <w:sz w:val="32"/>
          <w:szCs w:val="32"/>
        </w:rPr>
        <w:t>Prawo do odliczenia podatku naliczonego na poprzednim etapie</w:t>
      </w:r>
      <w:bookmarkEnd w:id="33"/>
    </w:p>
    <w:p w14:paraId="5CC3CCD5" w14:textId="1D19DC80" w:rsidR="00175756" w:rsidRDefault="002F61DB" w:rsidP="00514D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Ogólne zasady VAT </w:t>
      </w:r>
      <w:r w:rsidR="00651C1F">
        <w:rPr>
          <w:rFonts w:cstheme="minorHAnsi"/>
        </w:rPr>
        <w:t>zasadniczo</w:t>
      </w:r>
      <w:r>
        <w:rPr>
          <w:rFonts w:cstheme="minorHAnsi"/>
        </w:rPr>
        <w:t xml:space="preserve"> uniemożliwiają odliczenie podatku naliczonego związanego </w:t>
      </w:r>
      <w:r w:rsidR="004E2904">
        <w:rPr>
          <w:rFonts w:cstheme="minorHAnsi"/>
        </w:rPr>
        <w:br/>
      </w:r>
      <w:r>
        <w:rPr>
          <w:rFonts w:cstheme="minorHAnsi"/>
        </w:rPr>
        <w:t>z dostawami zwolnionymi</w:t>
      </w:r>
      <w:r w:rsidR="00514DC3">
        <w:rPr>
          <w:rFonts w:cstheme="minorHAnsi"/>
        </w:rPr>
        <w:t xml:space="preserve"> od podatku</w:t>
      </w:r>
      <w:r>
        <w:rPr>
          <w:rFonts w:cstheme="minorHAnsi"/>
        </w:rPr>
        <w:t xml:space="preserve">, </w:t>
      </w:r>
      <w:r w:rsidR="00514DC3">
        <w:rPr>
          <w:rFonts w:cstheme="minorHAnsi"/>
        </w:rPr>
        <w:t xml:space="preserve">co ma </w:t>
      </w:r>
      <w:r>
        <w:rPr>
          <w:rFonts w:cstheme="minorHAnsi"/>
        </w:rPr>
        <w:t>zapobiec nieopodatkowaniu ostatecznej konsumpcji.</w:t>
      </w:r>
    </w:p>
    <w:p w14:paraId="0DD9AC0B" w14:textId="2CF95DFE" w:rsidR="002F61DB" w:rsidRDefault="002F61DB" w:rsidP="00514D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</w:t>
      </w:r>
      <w:r w:rsidRPr="002F61DB">
        <w:rPr>
          <w:rFonts w:cstheme="minorHAnsi"/>
        </w:rPr>
        <w:t xml:space="preserve">wolnienie </w:t>
      </w:r>
      <w:r w:rsidR="00651C1F">
        <w:rPr>
          <w:rFonts w:cstheme="minorHAnsi"/>
        </w:rPr>
        <w:t>od</w:t>
      </w:r>
      <w:r w:rsidRPr="002F61DB">
        <w:rPr>
          <w:rFonts w:cstheme="minorHAnsi"/>
        </w:rPr>
        <w:t xml:space="preserve"> VAT </w:t>
      </w:r>
      <w:r w:rsidR="00A6746E">
        <w:rPr>
          <w:rFonts w:cstheme="minorHAnsi"/>
        </w:rPr>
        <w:t xml:space="preserve">transakcji dotyczących </w:t>
      </w:r>
      <w:r w:rsidR="00C709F3">
        <w:rPr>
          <w:rFonts w:cstheme="minorHAnsi"/>
        </w:rPr>
        <w:t xml:space="preserve"> </w:t>
      </w:r>
      <w:r w:rsidRPr="002F61DB">
        <w:rPr>
          <w:rFonts w:cstheme="minorHAnsi"/>
        </w:rPr>
        <w:t>produktów związanych z obronnością lub innych produktów do celów obronnych dokonywan</w:t>
      </w:r>
      <w:r w:rsidR="00A6746E">
        <w:rPr>
          <w:rFonts w:cstheme="minorHAnsi"/>
        </w:rPr>
        <w:t>ych</w:t>
      </w:r>
      <w:r w:rsidRPr="002F61DB">
        <w:rPr>
          <w:rFonts w:cstheme="minorHAnsi"/>
        </w:rPr>
        <w:t xml:space="preserve"> w ramach zamówień wspieranych ze środków instrumentu SAFE</w:t>
      </w:r>
      <w:r>
        <w:rPr>
          <w:rFonts w:cstheme="minorHAnsi"/>
        </w:rPr>
        <w:t>, o którym mowa w art. 20 rozporządzenia SAFE</w:t>
      </w:r>
      <w:r w:rsidR="00514DC3">
        <w:rPr>
          <w:rFonts w:cstheme="minorHAnsi"/>
        </w:rPr>
        <w:t>,</w:t>
      </w:r>
      <w:r>
        <w:rPr>
          <w:rFonts w:cstheme="minorHAnsi"/>
        </w:rPr>
        <w:t xml:space="preserve"> stanowi odstępstwo od tych ogólnych zasad VAT. </w:t>
      </w:r>
    </w:p>
    <w:p w14:paraId="55C65522" w14:textId="75979A62" w:rsidR="00574755" w:rsidRDefault="002F61DB" w:rsidP="00514DC3">
      <w:pPr>
        <w:autoSpaceDE w:val="0"/>
        <w:autoSpaceDN w:val="0"/>
        <w:adjustRightInd w:val="0"/>
        <w:spacing w:after="0"/>
        <w:rPr>
          <w:rFonts w:cstheme="minorHAnsi"/>
        </w:rPr>
      </w:pPr>
      <w:r w:rsidRPr="002F61DB">
        <w:rPr>
          <w:rFonts w:cstheme="minorHAnsi"/>
        </w:rPr>
        <w:t xml:space="preserve">Prawo do odliczenia podatku naliczonego na poprzednim etapie </w:t>
      </w:r>
      <w:r>
        <w:rPr>
          <w:rFonts w:cstheme="minorHAnsi"/>
        </w:rPr>
        <w:t xml:space="preserve">wynika </w:t>
      </w:r>
      <w:r w:rsidRPr="002F61DB">
        <w:rPr>
          <w:rFonts w:cstheme="minorHAnsi"/>
        </w:rPr>
        <w:t xml:space="preserve">bezpośrednio </w:t>
      </w:r>
      <w:r>
        <w:rPr>
          <w:rFonts w:cstheme="minorHAnsi"/>
        </w:rPr>
        <w:t>z</w:t>
      </w:r>
      <w:r w:rsidRPr="002F61DB">
        <w:rPr>
          <w:rFonts w:cstheme="minorHAnsi"/>
        </w:rPr>
        <w:t xml:space="preserve"> art. 20 </w:t>
      </w:r>
      <w:r>
        <w:rPr>
          <w:rFonts w:cstheme="minorHAnsi"/>
        </w:rPr>
        <w:t>ust.</w:t>
      </w:r>
      <w:r w:rsidR="00514DC3">
        <w:rPr>
          <w:rFonts w:cstheme="minorHAnsi"/>
        </w:rPr>
        <w:t xml:space="preserve"> </w:t>
      </w:r>
      <w:r>
        <w:rPr>
          <w:rFonts w:cstheme="minorHAnsi"/>
        </w:rPr>
        <w:t xml:space="preserve">1 </w:t>
      </w:r>
      <w:r w:rsidRPr="002F61DB">
        <w:rPr>
          <w:rFonts w:cstheme="minorHAnsi"/>
        </w:rPr>
        <w:t>rozporządzenia SAFE</w:t>
      </w:r>
      <w:r>
        <w:rPr>
          <w:rFonts w:cstheme="minorHAnsi"/>
        </w:rPr>
        <w:t>.</w:t>
      </w:r>
      <w:r w:rsidR="00574755">
        <w:rPr>
          <w:rFonts w:cstheme="minorHAnsi"/>
        </w:rPr>
        <w:t xml:space="preserve"> Oznacza to, że </w:t>
      </w:r>
      <w:r w:rsidR="00651C1F">
        <w:rPr>
          <w:rFonts w:cstheme="minorHAnsi"/>
        </w:rPr>
        <w:t xml:space="preserve">pomimo stosowanego zwolnienia </w:t>
      </w:r>
      <w:r w:rsidR="00514DC3">
        <w:rPr>
          <w:rFonts w:cstheme="minorHAnsi"/>
        </w:rPr>
        <w:t xml:space="preserve">od VAT </w:t>
      </w:r>
      <w:r w:rsidR="00651C1F">
        <w:rPr>
          <w:rFonts w:cstheme="minorHAnsi"/>
        </w:rPr>
        <w:t>dla dokonywanej dostawy</w:t>
      </w:r>
      <w:r w:rsidR="00514DC3">
        <w:rPr>
          <w:rFonts w:cstheme="minorHAnsi"/>
        </w:rPr>
        <w:t>,</w:t>
      </w:r>
      <w:r w:rsidR="00651C1F">
        <w:rPr>
          <w:rFonts w:cstheme="minorHAnsi"/>
        </w:rPr>
        <w:t xml:space="preserve"> podatnikowi przysługuje prawo</w:t>
      </w:r>
      <w:r w:rsidR="00574755" w:rsidRPr="00574755">
        <w:rPr>
          <w:rFonts w:cstheme="minorHAnsi"/>
        </w:rPr>
        <w:t xml:space="preserve"> do odliczenia VAT zapłaconego na poprzednim etapie.</w:t>
      </w:r>
    </w:p>
    <w:p w14:paraId="6012A755" w14:textId="77777777" w:rsidR="00514DC3" w:rsidRPr="00514DC3" w:rsidRDefault="00514DC3" w:rsidP="00514DC3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4755" w:rsidRPr="00574755" w14:paraId="627A3566" w14:textId="77777777" w:rsidTr="00FD39BC">
        <w:tc>
          <w:tcPr>
            <w:tcW w:w="9060" w:type="dxa"/>
          </w:tcPr>
          <w:p w14:paraId="34BCD9C9" w14:textId="540A9BE2" w:rsidR="00574755" w:rsidRDefault="00574755" w:rsidP="00514DC3">
            <w:pPr>
              <w:spacing w:line="259" w:lineRule="auto"/>
              <w:rPr>
                <w:b/>
                <w:bCs/>
              </w:rPr>
            </w:pPr>
            <w:r w:rsidRPr="00E93C44">
              <w:rPr>
                <w:b/>
                <w:bCs/>
              </w:rPr>
              <w:t xml:space="preserve">Przykład </w:t>
            </w:r>
            <w:r w:rsidR="00C709F3">
              <w:rPr>
                <w:b/>
                <w:bCs/>
              </w:rPr>
              <w:t>10</w:t>
            </w:r>
            <w:r w:rsidRPr="00E93C44">
              <w:rPr>
                <w:b/>
                <w:bCs/>
              </w:rPr>
              <w:t xml:space="preserve">: </w:t>
            </w:r>
          </w:p>
          <w:p w14:paraId="03D5DD15" w14:textId="77777777" w:rsidR="00514DC3" w:rsidRPr="00E93C44" w:rsidRDefault="00514DC3" w:rsidP="00514DC3">
            <w:pPr>
              <w:spacing w:line="259" w:lineRule="auto"/>
              <w:rPr>
                <w:b/>
                <w:bCs/>
              </w:rPr>
            </w:pPr>
          </w:p>
          <w:p w14:paraId="1F417DF4" w14:textId="401BF834" w:rsidR="00574755" w:rsidRDefault="00574755" w:rsidP="00514DC3">
            <w:pPr>
              <w:spacing w:line="259" w:lineRule="auto"/>
            </w:pPr>
            <w:r>
              <w:t>Podmiot A nabył od</w:t>
            </w:r>
            <w:r w:rsidR="00514DC3">
              <w:t xml:space="preserve"> P</w:t>
            </w:r>
            <w:r>
              <w:t xml:space="preserve">odmiotu B części do silnika okrętu podwodnego. </w:t>
            </w:r>
            <w:r w:rsidR="00514DC3">
              <w:t>Nabycie tych c</w:t>
            </w:r>
            <w:r>
              <w:t>zęści podlegał</w:t>
            </w:r>
            <w:r w:rsidR="00514DC3">
              <w:t>o</w:t>
            </w:r>
            <w:r>
              <w:t xml:space="preserve"> opodatkowaniu podatkiem VAT</w:t>
            </w:r>
            <w:r w:rsidR="009929E9">
              <w:t xml:space="preserve"> </w:t>
            </w:r>
            <w:r w:rsidR="00514DC3">
              <w:t xml:space="preserve">według stawki </w:t>
            </w:r>
            <w:r w:rsidR="009929E9">
              <w:t>w wysokości 23%</w:t>
            </w:r>
            <w:r>
              <w:t xml:space="preserve">. </w:t>
            </w:r>
            <w:r w:rsidR="003D2B10">
              <w:t>Części</w:t>
            </w:r>
            <w:r w:rsidR="009929E9">
              <w:t xml:space="preserve"> </w:t>
            </w:r>
            <w:r w:rsidR="00BA21EC">
              <w:t xml:space="preserve">zostały wykorzystane do budowy silnika okrętu podwodnego. Podmiot A dokonał zwolnionej </w:t>
            </w:r>
            <w:r w:rsidR="00D808F8">
              <w:t>od</w:t>
            </w:r>
            <w:r w:rsidR="00BA21EC">
              <w:t xml:space="preserve"> VAT </w:t>
            </w:r>
            <w:r w:rsidR="00514DC3">
              <w:t xml:space="preserve">– </w:t>
            </w:r>
            <w:r w:rsidR="00BA21EC">
              <w:t>na</w:t>
            </w:r>
            <w:r w:rsidR="00FD5311">
              <w:t> </w:t>
            </w:r>
            <w:r w:rsidR="00BA21EC">
              <w:t xml:space="preserve">podstawie rozporządzenia SAFE </w:t>
            </w:r>
            <w:r w:rsidR="00514DC3">
              <w:t xml:space="preserve">– </w:t>
            </w:r>
            <w:r w:rsidR="00BA21EC">
              <w:t xml:space="preserve">dostawy silnika do </w:t>
            </w:r>
            <w:r w:rsidR="00514DC3">
              <w:t>jego nabywcy (</w:t>
            </w:r>
            <w:r w:rsidR="00BA21EC">
              <w:t xml:space="preserve">uprawnionego </w:t>
            </w:r>
            <w:r w:rsidR="00BA21EC" w:rsidRPr="00BA21EC">
              <w:t xml:space="preserve"> podmiot</w:t>
            </w:r>
            <w:r w:rsidR="00BA21EC">
              <w:t>u</w:t>
            </w:r>
            <w:r w:rsidR="00514DC3">
              <w:t>)</w:t>
            </w:r>
            <w:r w:rsidR="00BA21EC">
              <w:t xml:space="preserve">. Nabycie </w:t>
            </w:r>
            <w:r w:rsidR="00D808F8">
              <w:t xml:space="preserve">silnika </w:t>
            </w:r>
            <w:r w:rsidR="00BA21EC">
              <w:t>finansowane jest w ramach instrumentu SAFE</w:t>
            </w:r>
            <w:r w:rsidR="00D808F8">
              <w:t>,</w:t>
            </w:r>
            <w:r w:rsidR="00BA21EC">
              <w:t xml:space="preserve"> a dostawca </w:t>
            </w:r>
            <w:r w:rsidR="00BA21EC" w:rsidRPr="00BA21EC">
              <w:t xml:space="preserve"> posiada świadectwo zwolnienia </w:t>
            </w:r>
            <w:r w:rsidR="005B24BF">
              <w:t>z</w:t>
            </w:r>
            <w:r w:rsidR="00BA21EC" w:rsidRPr="00BA21EC">
              <w:t xml:space="preserve"> VAT uprawniające go do zastosowania zwolnienia</w:t>
            </w:r>
            <w:r w:rsidR="00BA21EC">
              <w:t>. W takim przypadku dostawcy</w:t>
            </w:r>
            <w:r w:rsidR="002B282C">
              <w:t xml:space="preserve"> – Podmiotowi A –</w:t>
            </w:r>
            <w:r w:rsidR="00BA21EC">
              <w:t xml:space="preserve"> przysługuje prawo do odliczenia podatku naliczonego przy nabyciu części.</w:t>
            </w:r>
          </w:p>
          <w:p w14:paraId="14C4F1BA" w14:textId="5665ECFD" w:rsidR="002B282C" w:rsidRPr="00FB2A1B" w:rsidRDefault="002B282C" w:rsidP="00514DC3">
            <w:pPr>
              <w:spacing w:line="259" w:lineRule="auto"/>
            </w:pPr>
          </w:p>
        </w:tc>
      </w:tr>
    </w:tbl>
    <w:p w14:paraId="28C2AD2F" w14:textId="77777777" w:rsidR="00FD09F8" w:rsidRPr="00FB2A1B" w:rsidRDefault="00FD09F8" w:rsidP="0086561F"/>
    <w:p w14:paraId="2E9D0F9F" w14:textId="7BF68667" w:rsidR="00991824" w:rsidRDefault="006129FD" w:rsidP="00C35C26">
      <w:pPr>
        <w:pStyle w:val="Objanienia-nagwek1"/>
        <w:numPr>
          <w:ilvl w:val="0"/>
          <w:numId w:val="36"/>
        </w:numPr>
      </w:pPr>
      <w:bookmarkStart w:id="34" w:name="_Toc221111825"/>
      <w:r>
        <w:t>Pouczenie o ochronie wynikającej z zastosowania się do objaśnień podatkowych</w:t>
      </w:r>
      <w:bookmarkEnd w:id="34"/>
    </w:p>
    <w:p w14:paraId="76848CE2" w14:textId="23E7BAA0" w:rsidR="009A2075" w:rsidRDefault="006129FD" w:rsidP="006129FD">
      <w:pPr>
        <w:spacing w:after="0"/>
      </w:pPr>
      <w:r>
        <w:t xml:space="preserve">Objaśnienia </w:t>
      </w:r>
      <w:r w:rsidR="009A2075">
        <w:t xml:space="preserve">podatkowe </w:t>
      </w:r>
      <w:r>
        <w:t>stanowią ogólne wyjaśnienia przepisów prawa podatkowego dotyczące ich stosowania i wydawane są na podstawie art. 14a § 1 pkt 2 Ordynacji podatkowej. Zgodnie z art. 14n § 4 pkt 1 Ordynacji podatkowej zastosowanie się przez podatnika w danym okresie rozliczeniowym do</w:t>
      </w:r>
      <w:r w:rsidR="009555BD">
        <w:t> </w:t>
      </w:r>
      <w:r>
        <w:t xml:space="preserve">objaśnień podatkowych powoduje objęcie go ochroną przewidzianą w art. 14k-14m. </w:t>
      </w:r>
    </w:p>
    <w:p w14:paraId="77D1A14D" w14:textId="77777777" w:rsidR="009555BD" w:rsidRDefault="009555BD" w:rsidP="006129FD">
      <w:pPr>
        <w:spacing w:after="0"/>
      </w:pPr>
    </w:p>
    <w:p w14:paraId="48512C1D" w14:textId="0BEF5662" w:rsidR="006129FD" w:rsidRDefault="009A2075" w:rsidP="006129FD">
      <w:pPr>
        <w:spacing w:after="0"/>
      </w:pPr>
      <w:r>
        <w:t xml:space="preserve">Wyjątek: </w:t>
      </w:r>
      <w:r w:rsidR="006129FD">
        <w:t>Na podstawie art. 14na § 2 Ordynacji podatkowej, ochrona przewidziana w art. 14k-14n tej ustawy nie przysługuje, jeśli w wyniku zastosowania się do objaśnień podatkowych uzyskano korzyść podatkową stwierdzoną w decyzji wydanej:</w:t>
      </w:r>
    </w:p>
    <w:p w14:paraId="6D163710" w14:textId="3080D179" w:rsidR="006129FD" w:rsidRDefault="006129FD" w:rsidP="009555BD">
      <w:pPr>
        <w:pStyle w:val="Akapitzlist"/>
        <w:numPr>
          <w:ilvl w:val="0"/>
          <w:numId w:val="41"/>
        </w:numPr>
        <w:spacing w:after="0"/>
      </w:pPr>
      <w:r>
        <w:t>z zastosowaniem art. 119a,</w:t>
      </w:r>
    </w:p>
    <w:p w14:paraId="084B5B8C" w14:textId="2255AEA6" w:rsidR="006129FD" w:rsidRDefault="006129FD" w:rsidP="009555BD">
      <w:pPr>
        <w:pStyle w:val="Akapitzlist"/>
        <w:numPr>
          <w:ilvl w:val="0"/>
          <w:numId w:val="41"/>
        </w:numPr>
        <w:spacing w:after="0"/>
      </w:pPr>
      <w:r>
        <w:t>w związku z wystąpieniem nadużycia prawa, o którym mowa w art. 5 ust. 5 ustawy z dnia 11</w:t>
      </w:r>
      <w:r w:rsidR="009555BD">
        <w:t> </w:t>
      </w:r>
      <w:r>
        <w:t>marca 2004 r. o podatku od towarów i usług,</w:t>
      </w:r>
    </w:p>
    <w:p w14:paraId="070228A2" w14:textId="6501FAD3" w:rsidR="00A1047B" w:rsidRPr="00EE77D2" w:rsidRDefault="006129FD" w:rsidP="009555BD">
      <w:pPr>
        <w:pStyle w:val="Akapitzlist"/>
        <w:numPr>
          <w:ilvl w:val="0"/>
          <w:numId w:val="41"/>
        </w:numPr>
        <w:spacing w:after="0"/>
      </w:pPr>
      <w:r>
        <w:t>z zastosowaniem środków ograniczających umowne korzyści.</w:t>
      </w:r>
    </w:p>
    <w:sectPr w:rsidR="00A1047B" w:rsidRPr="00EE77D2" w:rsidSect="00CC3E7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6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0469" w14:textId="77777777" w:rsidR="00367BD3" w:rsidRDefault="00367BD3" w:rsidP="000201C9">
      <w:pPr>
        <w:spacing w:after="0" w:line="240" w:lineRule="auto"/>
      </w:pPr>
      <w:r>
        <w:separator/>
      </w:r>
    </w:p>
  </w:endnote>
  <w:endnote w:type="continuationSeparator" w:id="0">
    <w:p w14:paraId="77895ACA" w14:textId="77777777" w:rsidR="00367BD3" w:rsidRDefault="00367BD3" w:rsidP="0002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714825"/>
      <w:docPartObj>
        <w:docPartGallery w:val="Page Numbers (Bottom of Page)"/>
        <w:docPartUnique/>
      </w:docPartObj>
    </w:sdtPr>
    <w:sdtEndPr/>
    <w:sdtContent>
      <w:p w14:paraId="79E4F939" w14:textId="77777777" w:rsidR="0033111E" w:rsidRDefault="003311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50">
          <w:rPr>
            <w:noProof/>
          </w:rPr>
          <w:t>2</w:t>
        </w:r>
        <w:r>
          <w:fldChar w:fldCharType="end"/>
        </w:r>
      </w:p>
    </w:sdtContent>
  </w:sdt>
  <w:p w14:paraId="6039E768" w14:textId="77777777" w:rsidR="0033111E" w:rsidRDefault="00331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E142" w14:textId="432005C1" w:rsidR="00AF3A1A" w:rsidRDefault="00AF3A1A" w:rsidP="00AF3A1A">
    <w:pPr>
      <w:pStyle w:val="Stopka"/>
      <w:jc w:val="both"/>
      <w:rPr>
        <w:spacing w:val="-4"/>
        <w:kern w:val="18"/>
        <w:sz w:val="18"/>
        <w:szCs w:val="18"/>
      </w:rPr>
    </w:pPr>
    <w:r w:rsidRPr="00B158C1">
      <w:rPr>
        <w:spacing w:val="-4"/>
        <w:kern w:val="18"/>
        <w:sz w:val="18"/>
        <w:szCs w:val="18"/>
      </w:rPr>
      <w:t>Podstawa prawna: art. 14a § 1 pkt 2 ustawy z dnia 29 sierpnia 1997 r. – Ordynacja podatkowa (</w:t>
    </w:r>
    <w:r w:rsidR="00605F77" w:rsidRPr="00605F77">
      <w:rPr>
        <w:spacing w:val="-4"/>
        <w:kern w:val="18"/>
        <w:sz w:val="18"/>
        <w:szCs w:val="18"/>
      </w:rPr>
      <w:t>Dz. U. z 2025 r. poz. 111</w:t>
    </w:r>
    <w:r w:rsidRPr="00B158C1">
      <w:rPr>
        <w:spacing w:val="-4"/>
        <w:kern w:val="18"/>
        <w:sz w:val="18"/>
        <w:szCs w:val="18"/>
      </w:rPr>
      <w:t xml:space="preserve">, z </w:t>
    </w:r>
    <w:proofErr w:type="spellStart"/>
    <w:r w:rsidRPr="00B158C1">
      <w:rPr>
        <w:spacing w:val="-4"/>
        <w:kern w:val="18"/>
        <w:sz w:val="18"/>
        <w:szCs w:val="18"/>
      </w:rPr>
      <w:t>późn</w:t>
    </w:r>
    <w:proofErr w:type="spellEnd"/>
    <w:r w:rsidRPr="00B158C1">
      <w:rPr>
        <w:spacing w:val="-4"/>
        <w:kern w:val="18"/>
        <w:sz w:val="18"/>
        <w:szCs w:val="18"/>
      </w:rPr>
      <w:t>. zm.)</w:t>
    </w:r>
  </w:p>
  <w:p w14:paraId="29BB854F" w14:textId="77777777" w:rsidR="00AF3A1A" w:rsidRDefault="00AF3A1A" w:rsidP="00AF3A1A">
    <w:pPr>
      <w:pStyle w:val="Stopka"/>
      <w:jc w:val="both"/>
      <w:rPr>
        <w:spacing w:val="-4"/>
        <w:kern w:val="18"/>
        <w:sz w:val="18"/>
        <w:szCs w:val="18"/>
      </w:rPr>
    </w:pPr>
  </w:p>
  <w:p w14:paraId="19F5E37F" w14:textId="77777777" w:rsidR="00AF3A1A" w:rsidRPr="00B158C1" w:rsidRDefault="00AF3A1A" w:rsidP="00AF3A1A">
    <w:pPr>
      <w:pStyle w:val="Stopka"/>
      <w:jc w:val="both"/>
      <w:rPr>
        <w:spacing w:val="-4"/>
        <w:kern w:val="18"/>
        <w:sz w:val="18"/>
        <w:szCs w:val="18"/>
      </w:rPr>
    </w:pPr>
  </w:p>
  <w:p w14:paraId="092530AB" w14:textId="77777777" w:rsidR="006B69DB" w:rsidRPr="00AF3A1A" w:rsidRDefault="006B69DB" w:rsidP="00AF3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E7E6" w14:textId="77777777" w:rsidR="00367BD3" w:rsidRDefault="00367BD3" w:rsidP="000201C9">
      <w:pPr>
        <w:spacing w:after="0" w:line="240" w:lineRule="auto"/>
      </w:pPr>
      <w:r>
        <w:separator/>
      </w:r>
    </w:p>
  </w:footnote>
  <w:footnote w:type="continuationSeparator" w:id="0">
    <w:p w14:paraId="7A58C8A3" w14:textId="77777777" w:rsidR="00367BD3" w:rsidRDefault="00367BD3" w:rsidP="000201C9">
      <w:pPr>
        <w:spacing w:after="0" w:line="240" w:lineRule="auto"/>
      </w:pPr>
      <w:r>
        <w:continuationSeparator/>
      </w:r>
    </w:p>
  </w:footnote>
  <w:footnote w:id="1">
    <w:p w14:paraId="3FC304E1" w14:textId="5919742B" w:rsidR="00A30D5C" w:rsidRDefault="00A30D5C" w:rsidP="00A30D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C77">
        <w:t>Dz.</w:t>
      </w:r>
      <w:r w:rsidR="00C6626B">
        <w:t xml:space="preserve"> </w:t>
      </w:r>
      <w:r w:rsidRPr="00D91C77">
        <w:t>U</w:t>
      </w:r>
      <w:r w:rsidR="00C6626B">
        <w:t>rz</w:t>
      </w:r>
      <w:r w:rsidRPr="00D91C77">
        <w:t>.</w:t>
      </w:r>
      <w:r w:rsidR="00C6626B">
        <w:t xml:space="preserve"> UE </w:t>
      </w:r>
      <w:r w:rsidRPr="00D91C77">
        <w:t xml:space="preserve"> L 1106 z 28.5.2025, s</w:t>
      </w:r>
      <w:r w:rsidR="00E032AE">
        <w:t>tr</w:t>
      </w:r>
      <w:r w:rsidRPr="00D91C77">
        <w:t>. 1</w:t>
      </w:r>
    </w:p>
  </w:footnote>
  <w:footnote w:id="2">
    <w:p w14:paraId="0A997E86" w14:textId="408A765B" w:rsidR="00CB14FF" w:rsidRDefault="00CB14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4FF">
        <w:t>Dz. Urz. UE L 347 z 11.12.2006, str. 1, z późn. zm.</w:t>
      </w:r>
    </w:p>
  </w:footnote>
  <w:footnote w:id="3">
    <w:p w14:paraId="27F21FE7" w14:textId="77777777" w:rsidR="00467D2A" w:rsidRDefault="00467D2A" w:rsidP="00467D2A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467D2A">
        <w:t>yrektyw</w:t>
      </w:r>
      <w:r>
        <w:t>a</w:t>
      </w:r>
      <w:r w:rsidRPr="00467D2A">
        <w:t xml:space="preserve">  Parlamentu Europejskiego i Rady 2009/81/WE z dnia 13 lipca 2009 r. w sprawie koordynacji procedur udzielania niektórych zamówień na roboty budowlane, dostawy i usługi przez instytucje lub podmioty zamawiające w dziedzinach obronności i bezpieczeństwa i zmieniająca dyrektywy 2004/17/WE i 2004/18/WE</w:t>
      </w:r>
      <w:r>
        <w:t xml:space="preserve"> (</w:t>
      </w:r>
      <w:r w:rsidRPr="001100F6">
        <w:t>Dz.</w:t>
      </w:r>
      <w:r>
        <w:t xml:space="preserve"> </w:t>
      </w:r>
      <w:r w:rsidRPr="001100F6">
        <w:t>Urz.</w:t>
      </w:r>
      <w:r>
        <w:t xml:space="preserve"> </w:t>
      </w:r>
      <w:r w:rsidRPr="001100F6">
        <w:t xml:space="preserve">UE.L </w:t>
      </w:r>
      <w:r>
        <w:t xml:space="preserve">216 z 18.7.2009, </w:t>
      </w:r>
      <w:r w:rsidRPr="001100F6">
        <w:t>str. 76</w:t>
      </w:r>
      <w:r>
        <w:t>, z późn. zm.).</w:t>
      </w:r>
    </w:p>
  </w:footnote>
  <w:footnote w:id="4">
    <w:p w14:paraId="6C11FCF8" w14:textId="61D22880" w:rsidR="00467D2A" w:rsidRDefault="00467D2A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 </w:t>
      </w:r>
      <w:r w:rsidR="009039DC">
        <w:t xml:space="preserve">pkt 7 dyrektywy 2009/81/WE </w:t>
      </w:r>
      <w:r w:rsidRPr="00467D2A">
        <w:t xml:space="preserve">,,newralgiczny sprzęt", ,,newralgiczne roboty budowlane" </w:t>
      </w:r>
      <w:r w:rsidR="00AF4536">
        <w:br/>
      </w:r>
      <w:r w:rsidRPr="00467D2A">
        <w:t xml:space="preserve">i ,,newralgiczne usługi" oznaczają sprzęt, roboty budowlane i usługi do celów bezpieczeństwa, które wiążą się </w:t>
      </w:r>
      <w:r w:rsidR="00AF4536">
        <w:br/>
      </w:r>
      <w:r w:rsidRPr="00467D2A">
        <w:t>z korzystaniem z informacji niejawnych, wymagają ich wykorzystania lub zawierają je</w:t>
      </w:r>
      <w:r>
        <w:t xml:space="preserve">. </w:t>
      </w:r>
    </w:p>
  </w:footnote>
  <w:footnote w:id="5">
    <w:p w14:paraId="3D968189" w14:textId="5B442185" w:rsidR="00F439F3" w:rsidRDefault="00F439F3" w:rsidP="00F439F3">
      <w:pPr>
        <w:pStyle w:val="Tekstprzypisudolnego"/>
      </w:pPr>
      <w:r>
        <w:rPr>
          <w:rStyle w:val="Odwoanieprzypisudolnego"/>
        </w:rPr>
        <w:footnoteRef/>
      </w:r>
      <w:r>
        <w:t xml:space="preserve"> Dz. U. z 2025 r. poz.775</w:t>
      </w:r>
      <w:r w:rsidR="009A50B2">
        <w:t xml:space="preserve">, </w:t>
      </w:r>
      <w:r>
        <w:t xml:space="preserve"> z późn. zm.</w:t>
      </w:r>
    </w:p>
  </w:footnote>
  <w:footnote w:id="6">
    <w:p w14:paraId="3E1048EE" w14:textId="4A1EE390" w:rsidR="007542A2" w:rsidRDefault="007542A2">
      <w:pPr>
        <w:pStyle w:val="Tekstprzypisudolnego"/>
      </w:pPr>
      <w:r>
        <w:rPr>
          <w:rStyle w:val="Odwoanieprzypisudolnego"/>
        </w:rPr>
        <w:footnoteRef/>
      </w:r>
      <w:r>
        <w:t xml:space="preserve"> Dz. U. z 2025 r. poz. 825,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7E3" w14:textId="2D107B21" w:rsidR="00026EA2" w:rsidRDefault="00367BD3">
    <w:pPr>
      <w:pStyle w:val="Nagwek"/>
    </w:pPr>
    <w:r>
      <w:rPr>
        <w:noProof/>
      </w:rPr>
      <w:pict w14:anchorId="5D94B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1922" o:spid="_x0000_s2050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8D73" w14:textId="139E29B0" w:rsidR="0033111E" w:rsidRDefault="00367BD3">
    <w:pPr>
      <w:pStyle w:val="Nagwek"/>
    </w:pPr>
    <w:r>
      <w:rPr>
        <w:noProof/>
      </w:rPr>
      <w:pict w14:anchorId="5B4756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1923" o:spid="_x0000_s2051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 w:rsidR="00A56C6D">
      <w:t>Objaśnienia podatkowe z</w:t>
    </w:r>
    <w:r w:rsidR="001D2F50">
      <w:t xml:space="preserve"> </w:t>
    </w:r>
    <w:r w:rsidR="003857BC">
      <w:t xml:space="preserve"> </w:t>
    </w:r>
    <w:r w:rsidR="00026EA2">
      <w:t>xx</w:t>
    </w:r>
    <w:r w:rsidR="003857BC">
      <w:t xml:space="preserve">  lutego</w:t>
    </w:r>
    <w:r w:rsidR="00D00DF3">
      <w:t xml:space="preserve"> </w:t>
    </w:r>
    <w:r w:rsidR="001D2F50">
      <w:t>202</w:t>
    </w:r>
    <w:r w:rsidR="005A0AF5">
      <w:t>6</w:t>
    </w:r>
    <w:r w:rsidR="006B69DB" w:rsidRPr="006B69DB">
      <w:t xml:space="preserve"> r.</w:t>
    </w:r>
    <w:r w:rsidR="006B69DB" w:rsidRPr="006B69DB">
      <w:tab/>
    </w:r>
    <w:r w:rsidR="006B69DB" w:rsidRPr="006B69DB">
      <w:tab/>
      <w:t>Ministerstwo Finansów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3D91" w14:textId="67C84AFD" w:rsidR="0033111E" w:rsidRDefault="00367BD3" w:rsidP="006B69DB">
    <w:pPr>
      <w:pStyle w:val="Nagwek"/>
      <w:jc w:val="both"/>
    </w:pPr>
    <w:r>
      <w:rPr>
        <w:noProof/>
      </w:rPr>
      <w:pict w14:anchorId="7FF15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91921" o:spid="_x0000_s2049" type="#_x0000_t136" style="position:absolute;left:0;text-align:left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 w:rsidR="003B1A30" w:rsidRPr="009C0B1C">
      <w:rPr>
        <w:noProof/>
      </w:rPr>
      <w:drawing>
        <wp:inline distT="0" distB="0" distL="0" distR="0" wp14:anchorId="5A461FCD" wp14:editId="4F3EE160">
          <wp:extent cx="1333500" cy="65664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42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BE7583"/>
    <w:multiLevelType w:val="hybridMultilevel"/>
    <w:tmpl w:val="184EB3D8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E79"/>
    <w:multiLevelType w:val="hybridMultilevel"/>
    <w:tmpl w:val="9A321F42"/>
    <w:lvl w:ilvl="0" w:tplc="F936242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C221D"/>
    <w:multiLevelType w:val="hybridMultilevel"/>
    <w:tmpl w:val="2ED04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12CD"/>
    <w:multiLevelType w:val="hybridMultilevel"/>
    <w:tmpl w:val="DFDA3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D56A2"/>
    <w:multiLevelType w:val="hybridMultilevel"/>
    <w:tmpl w:val="7512C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E4F10"/>
    <w:multiLevelType w:val="hybridMultilevel"/>
    <w:tmpl w:val="356E1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7E9F"/>
    <w:multiLevelType w:val="hybridMultilevel"/>
    <w:tmpl w:val="CB424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6680"/>
    <w:multiLevelType w:val="hybridMultilevel"/>
    <w:tmpl w:val="1B74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F45AA"/>
    <w:multiLevelType w:val="hybridMultilevel"/>
    <w:tmpl w:val="B6F66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15E13"/>
    <w:multiLevelType w:val="hybridMultilevel"/>
    <w:tmpl w:val="8A542C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D38CE"/>
    <w:multiLevelType w:val="hybridMultilevel"/>
    <w:tmpl w:val="036E0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51566"/>
    <w:multiLevelType w:val="hybridMultilevel"/>
    <w:tmpl w:val="3A52C35C"/>
    <w:lvl w:ilvl="0" w:tplc="04150017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63127"/>
    <w:multiLevelType w:val="hybridMultilevel"/>
    <w:tmpl w:val="D28AB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E5271"/>
    <w:multiLevelType w:val="hybridMultilevel"/>
    <w:tmpl w:val="ED62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2546C"/>
    <w:multiLevelType w:val="hybridMultilevel"/>
    <w:tmpl w:val="022ED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118C6"/>
    <w:multiLevelType w:val="hybridMultilevel"/>
    <w:tmpl w:val="60FC2916"/>
    <w:lvl w:ilvl="0" w:tplc="D8A828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1AD4D32"/>
    <w:multiLevelType w:val="hybridMultilevel"/>
    <w:tmpl w:val="812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31600"/>
    <w:multiLevelType w:val="hybridMultilevel"/>
    <w:tmpl w:val="5A5E6458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E466C"/>
    <w:multiLevelType w:val="hybridMultilevel"/>
    <w:tmpl w:val="3000C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5478E"/>
    <w:multiLevelType w:val="hybridMultilevel"/>
    <w:tmpl w:val="AB36A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0207E"/>
    <w:multiLevelType w:val="hybridMultilevel"/>
    <w:tmpl w:val="81841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91045"/>
    <w:multiLevelType w:val="hybridMultilevel"/>
    <w:tmpl w:val="C1B6F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1D79"/>
    <w:multiLevelType w:val="hybridMultilevel"/>
    <w:tmpl w:val="DED42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075C9"/>
    <w:multiLevelType w:val="hybridMultilevel"/>
    <w:tmpl w:val="2BE8E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5F44"/>
    <w:multiLevelType w:val="hybridMultilevel"/>
    <w:tmpl w:val="E228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315C"/>
    <w:multiLevelType w:val="hybridMultilevel"/>
    <w:tmpl w:val="B330EF76"/>
    <w:lvl w:ilvl="0" w:tplc="9C36725C">
      <w:start w:val="3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 w15:restartNumberingAfterBreak="0">
    <w:nsid w:val="67D242A7"/>
    <w:multiLevelType w:val="hybridMultilevel"/>
    <w:tmpl w:val="61AA150A"/>
    <w:lvl w:ilvl="0" w:tplc="43F45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77A1E"/>
    <w:multiLevelType w:val="hybridMultilevel"/>
    <w:tmpl w:val="61B49594"/>
    <w:lvl w:ilvl="0" w:tplc="BAAC03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B6D32"/>
    <w:multiLevelType w:val="hybridMultilevel"/>
    <w:tmpl w:val="BFACB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D4204"/>
    <w:multiLevelType w:val="hybridMultilevel"/>
    <w:tmpl w:val="B57CC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8745D"/>
    <w:multiLevelType w:val="hybridMultilevel"/>
    <w:tmpl w:val="5B2E483E"/>
    <w:lvl w:ilvl="0" w:tplc="F936242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52D5B"/>
    <w:multiLevelType w:val="hybridMultilevel"/>
    <w:tmpl w:val="B6405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14"/>
  </w:num>
  <w:num w:numId="4">
    <w:abstractNumId w:val="36"/>
  </w:num>
  <w:num w:numId="5">
    <w:abstractNumId w:val="37"/>
  </w:num>
  <w:num w:numId="6">
    <w:abstractNumId w:val="6"/>
  </w:num>
  <w:num w:numId="7">
    <w:abstractNumId w:val="18"/>
  </w:num>
  <w:num w:numId="8">
    <w:abstractNumId w:val="25"/>
  </w:num>
  <w:num w:numId="9">
    <w:abstractNumId w:val="8"/>
  </w:num>
  <w:num w:numId="10">
    <w:abstractNumId w:val="33"/>
  </w:num>
  <w:num w:numId="11">
    <w:abstractNumId w:val="12"/>
  </w:num>
  <w:num w:numId="12">
    <w:abstractNumId w:val="31"/>
  </w:num>
  <w:num w:numId="13">
    <w:abstractNumId w:val="1"/>
  </w:num>
  <w:num w:numId="14">
    <w:abstractNumId w:val="22"/>
  </w:num>
  <w:num w:numId="15">
    <w:abstractNumId w:val="32"/>
  </w:num>
  <w:num w:numId="16">
    <w:abstractNumId w:val="3"/>
  </w:num>
  <w:num w:numId="17">
    <w:abstractNumId w:val="7"/>
  </w:num>
  <w:num w:numId="18">
    <w:abstractNumId w:val="24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26"/>
  </w:num>
  <w:num w:numId="24">
    <w:abstractNumId w:val="21"/>
  </w:num>
  <w:num w:numId="25">
    <w:abstractNumId w:val="28"/>
  </w:num>
  <w:num w:numId="26">
    <w:abstractNumId w:val="39"/>
  </w:num>
  <w:num w:numId="27">
    <w:abstractNumId w:val="27"/>
  </w:num>
  <w:num w:numId="28">
    <w:abstractNumId w:val="5"/>
  </w:num>
  <w:num w:numId="29">
    <w:abstractNumId w:val="15"/>
  </w:num>
  <w:num w:numId="30">
    <w:abstractNumId w:val="10"/>
  </w:num>
  <w:num w:numId="31">
    <w:abstractNumId w:val="35"/>
  </w:num>
  <w:num w:numId="32">
    <w:abstractNumId w:val="17"/>
  </w:num>
  <w:num w:numId="33">
    <w:abstractNumId w:val="30"/>
  </w:num>
  <w:num w:numId="34">
    <w:abstractNumId w:val="9"/>
  </w:num>
  <w:num w:numId="35">
    <w:abstractNumId w:val="38"/>
  </w:num>
  <w:num w:numId="36">
    <w:abstractNumId w:val="40"/>
  </w:num>
  <w:num w:numId="37">
    <w:abstractNumId w:val="29"/>
  </w:num>
  <w:num w:numId="38">
    <w:abstractNumId w:val="4"/>
  </w:num>
  <w:num w:numId="39">
    <w:abstractNumId w:val="0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018A4"/>
    <w:rsid w:val="0000335E"/>
    <w:rsid w:val="00004CD4"/>
    <w:rsid w:val="00005118"/>
    <w:rsid w:val="0000548B"/>
    <w:rsid w:val="00005D74"/>
    <w:rsid w:val="00017DB9"/>
    <w:rsid w:val="000201C9"/>
    <w:rsid w:val="00021946"/>
    <w:rsid w:val="00022CFA"/>
    <w:rsid w:val="00024EA9"/>
    <w:rsid w:val="00026BD9"/>
    <w:rsid w:val="00026EA2"/>
    <w:rsid w:val="00030F32"/>
    <w:rsid w:val="00032913"/>
    <w:rsid w:val="00036412"/>
    <w:rsid w:val="00036976"/>
    <w:rsid w:val="00036B36"/>
    <w:rsid w:val="0003761D"/>
    <w:rsid w:val="00040579"/>
    <w:rsid w:val="00045693"/>
    <w:rsid w:val="00046AB5"/>
    <w:rsid w:val="00047DA0"/>
    <w:rsid w:val="00050420"/>
    <w:rsid w:val="00051143"/>
    <w:rsid w:val="00052722"/>
    <w:rsid w:val="00067972"/>
    <w:rsid w:val="00072BF2"/>
    <w:rsid w:val="00072F8D"/>
    <w:rsid w:val="00073A1D"/>
    <w:rsid w:val="00073B9B"/>
    <w:rsid w:val="00086AA4"/>
    <w:rsid w:val="00087DC3"/>
    <w:rsid w:val="00090985"/>
    <w:rsid w:val="00092FC6"/>
    <w:rsid w:val="000A491D"/>
    <w:rsid w:val="000B3AD2"/>
    <w:rsid w:val="000C05A9"/>
    <w:rsid w:val="000C3B41"/>
    <w:rsid w:val="000C4C23"/>
    <w:rsid w:val="000D2E61"/>
    <w:rsid w:val="000D66BE"/>
    <w:rsid w:val="000E119A"/>
    <w:rsid w:val="000E134B"/>
    <w:rsid w:val="000E2E55"/>
    <w:rsid w:val="000F1CEE"/>
    <w:rsid w:val="000F2F83"/>
    <w:rsid w:val="000F73F7"/>
    <w:rsid w:val="001059AE"/>
    <w:rsid w:val="001100F6"/>
    <w:rsid w:val="0011438F"/>
    <w:rsid w:val="001207B9"/>
    <w:rsid w:val="00120F16"/>
    <w:rsid w:val="00122F02"/>
    <w:rsid w:val="00130121"/>
    <w:rsid w:val="00130802"/>
    <w:rsid w:val="001362A1"/>
    <w:rsid w:val="00136FA7"/>
    <w:rsid w:val="001435DC"/>
    <w:rsid w:val="00144DC3"/>
    <w:rsid w:val="0014694F"/>
    <w:rsid w:val="001501CE"/>
    <w:rsid w:val="00152AB6"/>
    <w:rsid w:val="00155F7F"/>
    <w:rsid w:val="00157FD8"/>
    <w:rsid w:val="001628CA"/>
    <w:rsid w:val="001746E4"/>
    <w:rsid w:val="00175756"/>
    <w:rsid w:val="00175F48"/>
    <w:rsid w:val="001818F2"/>
    <w:rsid w:val="001840E9"/>
    <w:rsid w:val="00184EE2"/>
    <w:rsid w:val="001851CF"/>
    <w:rsid w:val="00190DA9"/>
    <w:rsid w:val="001A3FD0"/>
    <w:rsid w:val="001B06F7"/>
    <w:rsid w:val="001B2A77"/>
    <w:rsid w:val="001B741A"/>
    <w:rsid w:val="001C1575"/>
    <w:rsid w:val="001C166E"/>
    <w:rsid w:val="001C1D43"/>
    <w:rsid w:val="001C6F0D"/>
    <w:rsid w:val="001D2F50"/>
    <w:rsid w:val="001D3950"/>
    <w:rsid w:val="001D45BA"/>
    <w:rsid w:val="001D5D1E"/>
    <w:rsid w:val="001E0539"/>
    <w:rsid w:val="001E110D"/>
    <w:rsid w:val="001E57AA"/>
    <w:rsid w:val="001E6001"/>
    <w:rsid w:val="001E6450"/>
    <w:rsid w:val="001F0341"/>
    <w:rsid w:val="001F3B30"/>
    <w:rsid w:val="001F79D8"/>
    <w:rsid w:val="00200B91"/>
    <w:rsid w:val="00201892"/>
    <w:rsid w:val="00203709"/>
    <w:rsid w:val="00207E40"/>
    <w:rsid w:val="0021152F"/>
    <w:rsid w:val="002137BC"/>
    <w:rsid w:val="0021636A"/>
    <w:rsid w:val="002172A9"/>
    <w:rsid w:val="0022642D"/>
    <w:rsid w:val="0023079E"/>
    <w:rsid w:val="002343E8"/>
    <w:rsid w:val="00242A51"/>
    <w:rsid w:val="002464AC"/>
    <w:rsid w:val="002468DE"/>
    <w:rsid w:val="00251694"/>
    <w:rsid w:val="00252A27"/>
    <w:rsid w:val="00254054"/>
    <w:rsid w:val="00257456"/>
    <w:rsid w:val="00261221"/>
    <w:rsid w:val="002647B5"/>
    <w:rsid w:val="0026487C"/>
    <w:rsid w:val="002659FB"/>
    <w:rsid w:val="00267A32"/>
    <w:rsid w:val="00275380"/>
    <w:rsid w:val="002759EC"/>
    <w:rsid w:val="0028508F"/>
    <w:rsid w:val="00290DAB"/>
    <w:rsid w:val="00293D94"/>
    <w:rsid w:val="002A4EBC"/>
    <w:rsid w:val="002B0260"/>
    <w:rsid w:val="002B282C"/>
    <w:rsid w:val="002B5BA6"/>
    <w:rsid w:val="002C031B"/>
    <w:rsid w:val="002C2A00"/>
    <w:rsid w:val="002C4D7C"/>
    <w:rsid w:val="002D0F32"/>
    <w:rsid w:val="002D12F5"/>
    <w:rsid w:val="002D174F"/>
    <w:rsid w:val="002D2C9A"/>
    <w:rsid w:val="002E76C7"/>
    <w:rsid w:val="002F192B"/>
    <w:rsid w:val="002F1FB1"/>
    <w:rsid w:val="002F3E9D"/>
    <w:rsid w:val="002F43E3"/>
    <w:rsid w:val="002F61DB"/>
    <w:rsid w:val="00302017"/>
    <w:rsid w:val="003022EC"/>
    <w:rsid w:val="00306FC4"/>
    <w:rsid w:val="0031592D"/>
    <w:rsid w:val="00315A31"/>
    <w:rsid w:val="00316623"/>
    <w:rsid w:val="003206D2"/>
    <w:rsid w:val="003225C5"/>
    <w:rsid w:val="00322DCF"/>
    <w:rsid w:val="0032301D"/>
    <w:rsid w:val="003244D8"/>
    <w:rsid w:val="00326738"/>
    <w:rsid w:val="0033111E"/>
    <w:rsid w:val="00333EDC"/>
    <w:rsid w:val="003372B3"/>
    <w:rsid w:val="0034264A"/>
    <w:rsid w:val="003437C3"/>
    <w:rsid w:val="00344C4C"/>
    <w:rsid w:val="003453FD"/>
    <w:rsid w:val="00345F38"/>
    <w:rsid w:val="0035052B"/>
    <w:rsid w:val="003537E0"/>
    <w:rsid w:val="00354A71"/>
    <w:rsid w:val="00361CD2"/>
    <w:rsid w:val="00367BD3"/>
    <w:rsid w:val="003718B3"/>
    <w:rsid w:val="00372482"/>
    <w:rsid w:val="0037506D"/>
    <w:rsid w:val="003805F9"/>
    <w:rsid w:val="003857BC"/>
    <w:rsid w:val="00387650"/>
    <w:rsid w:val="00387D60"/>
    <w:rsid w:val="0039286F"/>
    <w:rsid w:val="0039342D"/>
    <w:rsid w:val="00393567"/>
    <w:rsid w:val="003A03BA"/>
    <w:rsid w:val="003A1CD9"/>
    <w:rsid w:val="003A2253"/>
    <w:rsid w:val="003A3AAB"/>
    <w:rsid w:val="003A63FE"/>
    <w:rsid w:val="003B1A30"/>
    <w:rsid w:val="003B67AB"/>
    <w:rsid w:val="003C0363"/>
    <w:rsid w:val="003C09B6"/>
    <w:rsid w:val="003D00C7"/>
    <w:rsid w:val="003D2B10"/>
    <w:rsid w:val="003D6965"/>
    <w:rsid w:val="003E30AF"/>
    <w:rsid w:val="003E7141"/>
    <w:rsid w:val="003F1098"/>
    <w:rsid w:val="003F54FE"/>
    <w:rsid w:val="003F6B56"/>
    <w:rsid w:val="00400FBC"/>
    <w:rsid w:val="00400FE9"/>
    <w:rsid w:val="004053AD"/>
    <w:rsid w:val="0041202B"/>
    <w:rsid w:val="00412566"/>
    <w:rsid w:val="00413998"/>
    <w:rsid w:val="00417803"/>
    <w:rsid w:val="00417FBC"/>
    <w:rsid w:val="004212A5"/>
    <w:rsid w:val="004213AE"/>
    <w:rsid w:val="00430DA3"/>
    <w:rsid w:val="00431A45"/>
    <w:rsid w:val="0043375D"/>
    <w:rsid w:val="00434FDB"/>
    <w:rsid w:val="00447B7E"/>
    <w:rsid w:val="00450210"/>
    <w:rsid w:val="004502EA"/>
    <w:rsid w:val="0045456F"/>
    <w:rsid w:val="00456B96"/>
    <w:rsid w:val="00457087"/>
    <w:rsid w:val="00462EE1"/>
    <w:rsid w:val="00467D2A"/>
    <w:rsid w:val="00471188"/>
    <w:rsid w:val="00471DAC"/>
    <w:rsid w:val="0047445E"/>
    <w:rsid w:val="00486725"/>
    <w:rsid w:val="004878EB"/>
    <w:rsid w:val="0049013E"/>
    <w:rsid w:val="00490C68"/>
    <w:rsid w:val="004A0A8C"/>
    <w:rsid w:val="004A1B7F"/>
    <w:rsid w:val="004A5A44"/>
    <w:rsid w:val="004B0EE3"/>
    <w:rsid w:val="004B493A"/>
    <w:rsid w:val="004B4E7E"/>
    <w:rsid w:val="004B60FD"/>
    <w:rsid w:val="004C1AA6"/>
    <w:rsid w:val="004C2BA8"/>
    <w:rsid w:val="004C569E"/>
    <w:rsid w:val="004C5F25"/>
    <w:rsid w:val="004E2904"/>
    <w:rsid w:val="004E5F3E"/>
    <w:rsid w:val="004F1803"/>
    <w:rsid w:val="004F2D89"/>
    <w:rsid w:val="004F3185"/>
    <w:rsid w:val="004F35FD"/>
    <w:rsid w:val="005056B9"/>
    <w:rsid w:val="0051392D"/>
    <w:rsid w:val="00514DC3"/>
    <w:rsid w:val="005207D0"/>
    <w:rsid w:val="0052455B"/>
    <w:rsid w:val="005275C0"/>
    <w:rsid w:val="005322DC"/>
    <w:rsid w:val="00533A96"/>
    <w:rsid w:val="005347E9"/>
    <w:rsid w:val="00535955"/>
    <w:rsid w:val="00535DE5"/>
    <w:rsid w:val="00536DAF"/>
    <w:rsid w:val="00537603"/>
    <w:rsid w:val="0054447F"/>
    <w:rsid w:val="00545A97"/>
    <w:rsid w:val="00551455"/>
    <w:rsid w:val="0055369C"/>
    <w:rsid w:val="00554726"/>
    <w:rsid w:val="00562233"/>
    <w:rsid w:val="00562279"/>
    <w:rsid w:val="00566411"/>
    <w:rsid w:val="005672F1"/>
    <w:rsid w:val="00572DA4"/>
    <w:rsid w:val="00574755"/>
    <w:rsid w:val="005756E8"/>
    <w:rsid w:val="00575D70"/>
    <w:rsid w:val="00576214"/>
    <w:rsid w:val="00577E65"/>
    <w:rsid w:val="005815D9"/>
    <w:rsid w:val="005837AB"/>
    <w:rsid w:val="0058404F"/>
    <w:rsid w:val="005840F4"/>
    <w:rsid w:val="00591BD1"/>
    <w:rsid w:val="005922AF"/>
    <w:rsid w:val="005954A5"/>
    <w:rsid w:val="005A0AF5"/>
    <w:rsid w:val="005A14BC"/>
    <w:rsid w:val="005A5FBD"/>
    <w:rsid w:val="005A7BD2"/>
    <w:rsid w:val="005B24BF"/>
    <w:rsid w:val="005C14A1"/>
    <w:rsid w:val="005C22B6"/>
    <w:rsid w:val="005D3833"/>
    <w:rsid w:val="005D706A"/>
    <w:rsid w:val="005D764D"/>
    <w:rsid w:val="005E557D"/>
    <w:rsid w:val="005E58F7"/>
    <w:rsid w:val="005E6C92"/>
    <w:rsid w:val="005F1353"/>
    <w:rsid w:val="005F3AE5"/>
    <w:rsid w:val="005F779F"/>
    <w:rsid w:val="00601F81"/>
    <w:rsid w:val="00605F77"/>
    <w:rsid w:val="00611228"/>
    <w:rsid w:val="00611679"/>
    <w:rsid w:val="006129FD"/>
    <w:rsid w:val="00626858"/>
    <w:rsid w:val="00626CCF"/>
    <w:rsid w:val="006275C5"/>
    <w:rsid w:val="00630992"/>
    <w:rsid w:val="00635866"/>
    <w:rsid w:val="00635C1D"/>
    <w:rsid w:val="00637226"/>
    <w:rsid w:val="006424CA"/>
    <w:rsid w:val="00651C1F"/>
    <w:rsid w:val="006576D3"/>
    <w:rsid w:val="006615E4"/>
    <w:rsid w:val="00665CCF"/>
    <w:rsid w:val="00670253"/>
    <w:rsid w:val="00671D3A"/>
    <w:rsid w:val="00676C98"/>
    <w:rsid w:val="00677E12"/>
    <w:rsid w:val="0068178A"/>
    <w:rsid w:val="00682537"/>
    <w:rsid w:val="006834A4"/>
    <w:rsid w:val="00684DE5"/>
    <w:rsid w:val="00685E6C"/>
    <w:rsid w:val="0069382F"/>
    <w:rsid w:val="006944E4"/>
    <w:rsid w:val="006A3432"/>
    <w:rsid w:val="006A58B3"/>
    <w:rsid w:val="006A6403"/>
    <w:rsid w:val="006A7B0A"/>
    <w:rsid w:val="006B14AD"/>
    <w:rsid w:val="006B196B"/>
    <w:rsid w:val="006B1AF6"/>
    <w:rsid w:val="006B69DB"/>
    <w:rsid w:val="006B7A8D"/>
    <w:rsid w:val="006C032B"/>
    <w:rsid w:val="006C1311"/>
    <w:rsid w:val="006C15AF"/>
    <w:rsid w:val="006C43C0"/>
    <w:rsid w:val="006C6EAF"/>
    <w:rsid w:val="006C7633"/>
    <w:rsid w:val="006C7B7D"/>
    <w:rsid w:val="006C7E48"/>
    <w:rsid w:val="006C7FE6"/>
    <w:rsid w:val="006D53F3"/>
    <w:rsid w:val="006D6193"/>
    <w:rsid w:val="006E143C"/>
    <w:rsid w:val="006E29B4"/>
    <w:rsid w:val="006E6ED7"/>
    <w:rsid w:val="006F5E5E"/>
    <w:rsid w:val="0071172C"/>
    <w:rsid w:val="00711DE6"/>
    <w:rsid w:val="00714208"/>
    <w:rsid w:val="00714829"/>
    <w:rsid w:val="007160E3"/>
    <w:rsid w:val="00717F4A"/>
    <w:rsid w:val="0072576C"/>
    <w:rsid w:val="00726AC9"/>
    <w:rsid w:val="00733234"/>
    <w:rsid w:val="00733A86"/>
    <w:rsid w:val="00734DD3"/>
    <w:rsid w:val="0073546C"/>
    <w:rsid w:val="00735B30"/>
    <w:rsid w:val="00740E37"/>
    <w:rsid w:val="00742192"/>
    <w:rsid w:val="00746D1C"/>
    <w:rsid w:val="0074745C"/>
    <w:rsid w:val="00750DFA"/>
    <w:rsid w:val="00751DFE"/>
    <w:rsid w:val="007542A2"/>
    <w:rsid w:val="0076023F"/>
    <w:rsid w:val="00761A76"/>
    <w:rsid w:val="0077156D"/>
    <w:rsid w:val="007733CA"/>
    <w:rsid w:val="007813A7"/>
    <w:rsid w:val="007843A9"/>
    <w:rsid w:val="0078702C"/>
    <w:rsid w:val="00787B56"/>
    <w:rsid w:val="00792548"/>
    <w:rsid w:val="00794853"/>
    <w:rsid w:val="0079515D"/>
    <w:rsid w:val="00796192"/>
    <w:rsid w:val="0079796E"/>
    <w:rsid w:val="007A2DD3"/>
    <w:rsid w:val="007A4BE7"/>
    <w:rsid w:val="007A6DD6"/>
    <w:rsid w:val="007A73AF"/>
    <w:rsid w:val="007A7586"/>
    <w:rsid w:val="007B1A80"/>
    <w:rsid w:val="007B5233"/>
    <w:rsid w:val="007C36E7"/>
    <w:rsid w:val="007C3CB8"/>
    <w:rsid w:val="007C3FE9"/>
    <w:rsid w:val="007C46AA"/>
    <w:rsid w:val="007C4F0E"/>
    <w:rsid w:val="007C60B8"/>
    <w:rsid w:val="007D17DC"/>
    <w:rsid w:val="007D6BFC"/>
    <w:rsid w:val="007E44DD"/>
    <w:rsid w:val="00800169"/>
    <w:rsid w:val="00802884"/>
    <w:rsid w:val="00802DD2"/>
    <w:rsid w:val="00802F8E"/>
    <w:rsid w:val="00804123"/>
    <w:rsid w:val="008044D5"/>
    <w:rsid w:val="0081102A"/>
    <w:rsid w:val="008153DC"/>
    <w:rsid w:val="008165F0"/>
    <w:rsid w:val="008216F8"/>
    <w:rsid w:val="008256B0"/>
    <w:rsid w:val="008300B5"/>
    <w:rsid w:val="008343B6"/>
    <w:rsid w:val="00841BAD"/>
    <w:rsid w:val="00847AAD"/>
    <w:rsid w:val="00847C2A"/>
    <w:rsid w:val="00850BA6"/>
    <w:rsid w:val="0086108C"/>
    <w:rsid w:val="0086306B"/>
    <w:rsid w:val="0086561F"/>
    <w:rsid w:val="00866115"/>
    <w:rsid w:val="008745F5"/>
    <w:rsid w:val="00881623"/>
    <w:rsid w:val="008825FF"/>
    <w:rsid w:val="008844EA"/>
    <w:rsid w:val="008961CE"/>
    <w:rsid w:val="008A0AE4"/>
    <w:rsid w:val="008A46B3"/>
    <w:rsid w:val="008A60A3"/>
    <w:rsid w:val="008A78C4"/>
    <w:rsid w:val="008B4237"/>
    <w:rsid w:val="008B4598"/>
    <w:rsid w:val="008B624D"/>
    <w:rsid w:val="008C1065"/>
    <w:rsid w:val="008C1D4B"/>
    <w:rsid w:val="008C225C"/>
    <w:rsid w:val="008C436D"/>
    <w:rsid w:val="008C6241"/>
    <w:rsid w:val="008D0C2C"/>
    <w:rsid w:val="008D21AD"/>
    <w:rsid w:val="008D2B63"/>
    <w:rsid w:val="008D5A36"/>
    <w:rsid w:val="008E0C02"/>
    <w:rsid w:val="008E1B45"/>
    <w:rsid w:val="008E5448"/>
    <w:rsid w:val="008E71BF"/>
    <w:rsid w:val="008F043D"/>
    <w:rsid w:val="00900EE7"/>
    <w:rsid w:val="009020E8"/>
    <w:rsid w:val="009039DC"/>
    <w:rsid w:val="00903D56"/>
    <w:rsid w:val="00910767"/>
    <w:rsid w:val="00911931"/>
    <w:rsid w:val="00912373"/>
    <w:rsid w:val="009157FF"/>
    <w:rsid w:val="00920129"/>
    <w:rsid w:val="00935724"/>
    <w:rsid w:val="00941D69"/>
    <w:rsid w:val="00945C33"/>
    <w:rsid w:val="0095005F"/>
    <w:rsid w:val="00951A76"/>
    <w:rsid w:val="009555BD"/>
    <w:rsid w:val="00955733"/>
    <w:rsid w:val="00960564"/>
    <w:rsid w:val="00960CB4"/>
    <w:rsid w:val="00962AB5"/>
    <w:rsid w:val="00963FDB"/>
    <w:rsid w:val="00971F57"/>
    <w:rsid w:val="00975891"/>
    <w:rsid w:val="0097728B"/>
    <w:rsid w:val="0098111E"/>
    <w:rsid w:val="00983660"/>
    <w:rsid w:val="009866A1"/>
    <w:rsid w:val="00991824"/>
    <w:rsid w:val="00992792"/>
    <w:rsid w:val="009929E9"/>
    <w:rsid w:val="009976E1"/>
    <w:rsid w:val="00997993"/>
    <w:rsid w:val="009A2075"/>
    <w:rsid w:val="009A24C3"/>
    <w:rsid w:val="009A48EC"/>
    <w:rsid w:val="009A50B2"/>
    <w:rsid w:val="009B1D7B"/>
    <w:rsid w:val="009B24E4"/>
    <w:rsid w:val="009B34FD"/>
    <w:rsid w:val="009B4197"/>
    <w:rsid w:val="009B6158"/>
    <w:rsid w:val="009B6562"/>
    <w:rsid w:val="009C0B1C"/>
    <w:rsid w:val="009D192D"/>
    <w:rsid w:val="009D2B31"/>
    <w:rsid w:val="009D549C"/>
    <w:rsid w:val="009D7D3D"/>
    <w:rsid w:val="009E0A16"/>
    <w:rsid w:val="009E2663"/>
    <w:rsid w:val="009E3DC9"/>
    <w:rsid w:val="009E68EC"/>
    <w:rsid w:val="009E6B3B"/>
    <w:rsid w:val="009F0967"/>
    <w:rsid w:val="009F0E5A"/>
    <w:rsid w:val="009F244B"/>
    <w:rsid w:val="009F6AD7"/>
    <w:rsid w:val="009F778A"/>
    <w:rsid w:val="00A02A97"/>
    <w:rsid w:val="00A06AD2"/>
    <w:rsid w:val="00A079E9"/>
    <w:rsid w:val="00A1047B"/>
    <w:rsid w:val="00A111EB"/>
    <w:rsid w:val="00A12D17"/>
    <w:rsid w:val="00A13399"/>
    <w:rsid w:val="00A30D5C"/>
    <w:rsid w:val="00A31CE0"/>
    <w:rsid w:val="00A33748"/>
    <w:rsid w:val="00A36724"/>
    <w:rsid w:val="00A421C1"/>
    <w:rsid w:val="00A467ED"/>
    <w:rsid w:val="00A472E6"/>
    <w:rsid w:val="00A5285D"/>
    <w:rsid w:val="00A534C1"/>
    <w:rsid w:val="00A56C6D"/>
    <w:rsid w:val="00A6746E"/>
    <w:rsid w:val="00A67F9A"/>
    <w:rsid w:val="00A72FCC"/>
    <w:rsid w:val="00A73B31"/>
    <w:rsid w:val="00A811BE"/>
    <w:rsid w:val="00A83927"/>
    <w:rsid w:val="00A86F27"/>
    <w:rsid w:val="00A9276F"/>
    <w:rsid w:val="00A95457"/>
    <w:rsid w:val="00A967B0"/>
    <w:rsid w:val="00AA2ACF"/>
    <w:rsid w:val="00AA3402"/>
    <w:rsid w:val="00AA4EFB"/>
    <w:rsid w:val="00AA5B75"/>
    <w:rsid w:val="00AA6E24"/>
    <w:rsid w:val="00AB3EF0"/>
    <w:rsid w:val="00AB48CD"/>
    <w:rsid w:val="00AB65FE"/>
    <w:rsid w:val="00AB6689"/>
    <w:rsid w:val="00AB6EA9"/>
    <w:rsid w:val="00AC0C3D"/>
    <w:rsid w:val="00AC5BFA"/>
    <w:rsid w:val="00AC6F37"/>
    <w:rsid w:val="00AE0CC4"/>
    <w:rsid w:val="00AE5C59"/>
    <w:rsid w:val="00AE7495"/>
    <w:rsid w:val="00AF3A1A"/>
    <w:rsid w:val="00AF3CEA"/>
    <w:rsid w:val="00AF4536"/>
    <w:rsid w:val="00B009AD"/>
    <w:rsid w:val="00B10024"/>
    <w:rsid w:val="00B11647"/>
    <w:rsid w:val="00B1217F"/>
    <w:rsid w:val="00B16367"/>
    <w:rsid w:val="00B171BC"/>
    <w:rsid w:val="00B17441"/>
    <w:rsid w:val="00B241B0"/>
    <w:rsid w:val="00B2562F"/>
    <w:rsid w:val="00B26EEC"/>
    <w:rsid w:val="00B33AC8"/>
    <w:rsid w:val="00B33F3F"/>
    <w:rsid w:val="00B34CB6"/>
    <w:rsid w:val="00B36FDA"/>
    <w:rsid w:val="00B40949"/>
    <w:rsid w:val="00B411B6"/>
    <w:rsid w:val="00B452B1"/>
    <w:rsid w:val="00B457BD"/>
    <w:rsid w:val="00B46FB6"/>
    <w:rsid w:val="00B50735"/>
    <w:rsid w:val="00B5090A"/>
    <w:rsid w:val="00B511CF"/>
    <w:rsid w:val="00B513A8"/>
    <w:rsid w:val="00B53307"/>
    <w:rsid w:val="00B55031"/>
    <w:rsid w:val="00B60F65"/>
    <w:rsid w:val="00B62424"/>
    <w:rsid w:val="00B64357"/>
    <w:rsid w:val="00B662B0"/>
    <w:rsid w:val="00B671D0"/>
    <w:rsid w:val="00B7266D"/>
    <w:rsid w:val="00B75456"/>
    <w:rsid w:val="00B80C9B"/>
    <w:rsid w:val="00B868D1"/>
    <w:rsid w:val="00B9186F"/>
    <w:rsid w:val="00B92A18"/>
    <w:rsid w:val="00B97C1B"/>
    <w:rsid w:val="00BA21EC"/>
    <w:rsid w:val="00BA3C59"/>
    <w:rsid w:val="00BA554A"/>
    <w:rsid w:val="00BB284A"/>
    <w:rsid w:val="00BB57A0"/>
    <w:rsid w:val="00BB690D"/>
    <w:rsid w:val="00BB7E2F"/>
    <w:rsid w:val="00BC3321"/>
    <w:rsid w:val="00BD528B"/>
    <w:rsid w:val="00BD64B0"/>
    <w:rsid w:val="00BE1276"/>
    <w:rsid w:val="00BE1922"/>
    <w:rsid w:val="00BE1973"/>
    <w:rsid w:val="00BE27ED"/>
    <w:rsid w:val="00BF7491"/>
    <w:rsid w:val="00C03528"/>
    <w:rsid w:val="00C12ABA"/>
    <w:rsid w:val="00C12BB9"/>
    <w:rsid w:val="00C136AC"/>
    <w:rsid w:val="00C1390E"/>
    <w:rsid w:val="00C21E90"/>
    <w:rsid w:val="00C2333B"/>
    <w:rsid w:val="00C30AD0"/>
    <w:rsid w:val="00C34204"/>
    <w:rsid w:val="00C35C26"/>
    <w:rsid w:val="00C37104"/>
    <w:rsid w:val="00C41526"/>
    <w:rsid w:val="00C4163E"/>
    <w:rsid w:val="00C44B76"/>
    <w:rsid w:val="00C53C2A"/>
    <w:rsid w:val="00C554C1"/>
    <w:rsid w:val="00C56D5A"/>
    <w:rsid w:val="00C614FD"/>
    <w:rsid w:val="00C624BB"/>
    <w:rsid w:val="00C641C6"/>
    <w:rsid w:val="00C66187"/>
    <w:rsid w:val="00C6626B"/>
    <w:rsid w:val="00C7013D"/>
    <w:rsid w:val="00C709F3"/>
    <w:rsid w:val="00C730E6"/>
    <w:rsid w:val="00C83409"/>
    <w:rsid w:val="00C93CE8"/>
    <w:rsid w:val="00C96154"/>
    <w:rsid w:val="00C97F12"/>
    <w:rsid w:val="00CA0927"/>
    <w:rsid w:val="00CA523B"/>
    <w:rsid w:val="00CA5BC4"/>
    <w:rsid w:val="00CB0ADF"/>
    <w:rsid w:val="00CB14FF"/>
    <w:rsid w:val="00CB5540"/>
    <w:rsid w:val="00CB5BD1"/>
    <w:rsid w:val="00CB76B8"/>
    <w:rsid w:val="00CC0C83"/>
    <w:rsid w:val="00CC1AF1"/>
    <w:rsid w:val="00CC318E"/>
    <w:rsid w:val="00CC3E75"/>
    <w:rsid w:val="00CD461E"/>
    <w:rsid w:val="00CD631C"/>
    <w:rsid w:val="00CE0B16"/>
    <w:rsid w:val="00CE34E7"/>
    <w:rsid w:val="00CE48C1"/>
    <w:rsid w:val="00CE5253"/>
    <w:rsid w:val="00CF1904"/>
    <w:rsid w:val="00CF2972"/>
    <w:rsid w:val="00CF5A40"/>
    <w:rsid w:val="00D00DF3"/>
    <w:rsid w:val="00D03EFD"/>
    <w:rsid w:val="00D073BD"/>
    <w:rsid w:val="00D11A4F"/>
    <w:rsid w:val="00D11BA0"/>
    <w:rsid w:val="00D13403"/>
    <w:rsid w:val="00D1534F"/>
    <w:rsid w:val="00D20ADB"/>
    <w:rsid w:val="00D2333A"/>
    <w:rsid w:val="00D33902"/>
    <w:rsid w:val="00D33E14"/>
    <w:rsid w:val="00D37494"/>
    <w:rsid w:val="00D41BD0"/>
    <w:rsid w:val="00D41E49"/>
    <w:rsid w:val="00D452E5"/>
    <w:rsid w:val="00D458EB"/>
    <w:rsid w:val="00D47882"/>
    <w:rsid w:val="00D56748"/>
    <w:rsid w:val="00D57329"/>
    <w:rsid w:val="00D60839"/>
    <w:rsid w:val="00D63E0F"/>
    <w:rsid w:val="00D71702"/>
    <w:rsid w:val="00D808F8"/>
    <w:rsid w:val="00D82149"/>
    <w:rsid w:val="00D91C77"/>
    <w:rsid w:val="00D94E67"/>
    <w:rsid w:val="00DA3483"/>
    <w:rsid w:val="00DA47D0"/>
    <w:rsid w:val="00DA6B4C"/>
    <w:rsid w:val="00DB1041"/>
    <w:rsid w:val="00DB4588"/>
    <w:rsid w:val="00DB52AD"/>
    <w:rsid w:val="00DB5971"/>
    <w:rsid w:val="00DB7F15"/>
    <w:rsid w:val="00DC020A"/>
    <w:rsid w:val="00DC19C2"/>
    <w:rsid w:val="00DC2EEB"/>
    <w:rsid w:val="00DC3333"/>
    <w:rsid w:val="00DD0BFF"/>
    <w:rsid w:val="00DD365B"/>
    <w:rsid w:val="00DD4368"/>
    <w:rsid w:val="00DD5A53"/>
    <w:rsid w:val="00DD709B"/>
    <w:rsid w:val="00DE1430"/>
    <w:rsid w:val="00DE1721"/>
    <w:rsid w:val="00DE37E2"/>
    <w:rsid w:val="00DE5055"/>
    <w:rsid w:val="00DF2AB9"/>
    <w:rsid w:val="00DF6FC9"/>
    <w:rsid w:val="00E02979"/>
    <w:rsid w:val="00E032AE"/>
    <w:rsid w:val="00E10333"/>
    <w:rsid w:val="00E11CC5"/>
    <w:rsid w:val="00E14355"/>
    <w:rsid w:val="00E144F8"/>
    <w:rsid w:val="00E16D4B"/>
    <w:rsid w:val="00E24E1D"/>
    <w:rsid w:val="00E25995"/>
    <w:rsid w:val="00E3242F"/>
    <w:rsid w:val="00E36988"/>
    <w:rsid w:val="00E37CC1"/>
    <w:rsid w:val="00E40527"/>
    <w:rsid w:val="00E410DA"/>
    <w:rsid w:val="00E43957"/>
    <w:rsid w:val="00E518E9"/>
    <w:rsid w:val="00E54A39"/>
    <w:rsid w:val="00E602F8"/>
    <w:rsid w:val="00E641CB"/>
    <w:rsid w:val="00E67602"/>
    <w:rsid w:val="00E715C0"/>
    <w:rsid w:val="00E71E1E"/>
    <w:rsid w:val="00E76686"/>
    <w:rsid w:val="00E810CE"/>
    <w:rsid w:val="00E815E3"/>
    <w:rsid w:val="00E87E33"/>
    <w:rsid w:val="00E93C44"/>
    <w:rsid w:val="00E96BF5"/>
    <w:rsid w:val="00EA0E5E"/>
    <w:rsid w:val="00EA2C81"/>
    <w:rsid w:val="00EA33D8"/>
    <w:rsid w:val="00EA5B16"/>
    <w:rsid w:val="00EA5B7A"/>
    <w:rsid w:val="00EA70FB"/>
    <w:rsid w:val="00EA77B0"/>
    <w:rsid w:val="00EB260E"/>
    <w:rsid w:val="00EB3261"/>
    <w:rsid w:val="00EB3C82"/>
    <w:rsid w:val="00EB40B3"/>
    <w:rsid w:val="00EB42AE"/>
    <w:rsid w:val="00EB5D7E"/>
    <w:rsid w:val="00EB6139"/>
    <w:rsid w:val="00EB795D"/>
    <w:rsid w:val="00EC26A9"/>
    <w:rsid w:val="00EC53C3"/>
    <w:rsid w:val="00ED69BD"/>
    <w:rsid w:val="00EE451C"/>
    <w:rsid w:val="00EE58B6"/>
    <w:rsid w:val="00EE77D2"/>
    <w:rsid w:val="00EF131D"/>
    <w:rsid w:val="00EF172B"/>
    <w:rsid w:val="00EF21C2"/>
    <w:rsid w:val="00EF3F9D"/>
    <w:rsid w:val="00EF577D"/>
    <w:rsid w:val="00F02FC9"/>
    <w:rsid w:val="00F130E9"/>
    <w:rsid w:val="00F162AD"/>
    <w:rsid w:val="00F16CF8"/>
    <w:rsid w:val="00F233FF"/>
    <w:rsid w:val="00F24586"/>
    <w:rsid w:val="00F24D1B"/>
    <w:rsid w:val="00F24E5F"/>
    <w:rsid w:val="00F2567C"/>
    <w:rsid w:val="00F261B7"/>
    <w:rsid w:val="00F3311C"/>
    <w:rsid w:val="00F34A23"/>
    <w:rsid w:val="00F36A6F"/>
    <w:rsid w:val="00F370BA"/>
    <w:rsid w:val="00F42223"/>
    <w:rsid w:val="00F4248F"/>
    <w:rsid w:val="00F439F3"/>
    <w:rsid w:val="00F47798"/>
    <w:rsid w:val="00F51AA0"/>
    <w:rsid w:val="00F559AC"/>
    <w:rsid w:val="00F620A2"/>
    <w:rsid w:val="00F62B23"/>
    <w:rsid w:val="00F62FE8"/>
    <w:rsid w:val="00F661AB"/>
    <w:rsid w:val="00F76372"/>
    <w:rsid w:val="00F77A22"/>
    <w:rsid w:val="00F85881"/>
    <w:rsid w:val="00F91CF2"/>
    <w:rsid w:val="00F94DF1"/>
    <w:rsid w:val="00F94EDF"/>
    <w:rsid w:val="00FA12C1"/>
    <w:rsid w:val="00FA34FE"/>
    <w:rsid w:val="00FA49CF"/>
    <w:rsid w:val="00FA7880"/>
    <w:rsid w:val="00FA78D9"/>
    <w:rsid w:val="00FB2A1B"/>
    <w:rsid w:val="00FC402A"/>
    <w:rsid w:val="00FC6734"/>
    <w:rsid w:val="00FD09F8"/>
    <w:rsid w:val="00FD34D9"/>
    <w:rsid w:val="00FD35B2"/>
    <w:rsid w:val="00FD39B8"/>
    <w:rsid w:val="00FD3B59"/>
    <w:rsid w:val="00FD5311"/>
    <w:rsid w:val="00FE1E8E"/>
    <w:rsid w:val="00FE2DFC"/>
    <w:rsid w:val="00FE317C"/>
    <w:rsid w:val="00FE3216"/>
    <w:rsid w:val="00FE3AAF"/>
    <w:rsid w:val="00FE437B"/>
    <w:rsid w:val="00FE473F"/>
    <w:rsid w:val="00FE4DEB"/>
    <w:rsid w:val="00FE6CC0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93BF5D"/>
  <w15:chartTrackingRefBased/>
  <w15:docId w15:val="{095308EA-E459-46AA-96E9-316369D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33"/>
  </w:style>
  <w:style w:type="paragraph" w:styleId="Nagwek1">
    <w:name w:val="heading 1"/>
    <w:basedOn w:val="Normalny"/>
    <w:next w:val="Normalny"/>
    <w:link w:val="Nagwek1Znak"/>
    <w:uiPriority w:val="9"/>
    <w:qFormat/>
    <w:rsid w:val="00784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51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/>
      <w:color w:val="B5121B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 w:val="0"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84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bjanienia-nagwek1">
    <w:name w:val="Objaśnienia - nagłówek 1"/>
    <w:basedOn w:val="Nagwek1"/>
    <w:qFormat/>
    <w:rsid w:val="00AF3A1A"/>
    <w:pPr>
      <w:spacing w:before="360" w:after="120"/>
      <w:jc w:val="both"/>
    </w:pPr>
    <w:rPr>
      <w:rFonts w:asciiTheme="minorHAnsi" w:hAnsiTheme="minorHAnsi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rsid w:val="007843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bjanienia-Nagwek2">
    <w:name w:val="Objaśnienia - Nagłówek 2"/>
    <w:basedOn w:val="Nagwek2"/>
    <w:qFormat/>
    <w:rsid w:val="004A0A8C"/>
    <w:pPr>
      <w:spacing w:after="120"/>
    </w:pPr>
    <w:rPr>
      <w:rFonts w:asciiTheme="minorHAnsi" w:hAnsiTheme="minorHAnsi"/>
      <w:color w:val="B5121B"/>
    </w:rPr>
  </w:style>
  <w:style w:type="paragraph" w:styleId="Akapitzlist">
    <w:name w:val="List Paragraph"/>
    <w:basedOn w:val="Normalny"/>
    <w:uiPriority w:val="34"/>
    <w:qFormat/>
    <w:rsid w:val="00A12D17"/>
    <w:pPr>
      <w:ind w:left="720"/>
      <w:contextualSpacing/>
    </w:pPr>
  </w:style>
  <w:style w:type="character" w:styleId="Wyrnienieintensywne">
    <w:name w:val="Intense Emphasis"/>
    <w:aliases w:val="Objaśnienia - Tekst wyróżniony;przykład;szczególny przypadek"/>
    <w:basedOn w:val="Domylnaczcionkaakapitu"/>
    <w:uiPriority w:val="21"/>
    <w:qFormat/>
    <w:rsid w:val="004A0A8C"/>
    <w:rPr>
      <w:i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73A1D"/>
    <w:pPr>
      <w:tabs>
        <w:tab w:val="left" w:pos="440"/>
        <w:tab w:val="right" w:leader="dot" w:pos="9060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qFormat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005118"/>
    <w:pPr>
      <w:jc w:val="both"/>
    </w:pPr>
    <w:rPr>
      <w:rFonts w:cstheme="minorHAnsi"/>
    </w:rPr>
  </w:style>
  <w:style w:type="character" w:customStyle="1" w:styleId="Objanienia-przypisdolnyZnak">
    <w:name w:val="Objaśnienia - przypis dolny Znak"/>
    <w:basedOn w:val="TekstprzypisudolnegoZnak"/>
    <w:link w:val="Objanienia-przypisdolny"/>
    <w:rsid w:val="00005118"/>
    <w:rPr>
      <w:rFonts w:cstheme="minorHAnsi"/>
      <w:sz w:val="20"/>
      <w:szCs w:val="20"/>
    </w:rPr>
  </w:style>
  <w:style w:type="paragraph" w:customStyle="1" w:styleId="SzanownaPani">
    <w:name w:val="Szanowna Pani"/>
    <w:basedOn w:val="Normalny"/>
    <w:rsid w:val="00A1047B"/>
    <w:pPr>
      <w:spacing w:before="240" w:after="0" w:line="260" w:lineRule="exact"/>
      <w:contextualSpacing/>
    </w:pPr>
    <w:rPr>
      <w:rFonts w:ascii="Lato" w:hAnsi="La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0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6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6F7"/>
    <w:pPr>
      <w:spacing w:after="0" w:line="240" w:lineRule="auto"/>
    </w:pPr>
  </w:style>
  <w:style w:type="paragraph" w:customStyle="1" w:styleId="c01pointnumerotealtn">
    <w:name w:val="c01pointnumerotealtn"/>
    <w:basedOn w:val="Normalny"/>
    <w:rsid w:val="006C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6DAF"/>
    <w:rPr>
      <w:b/>
      <w:bCs/>
    </w:rPr>
  </w:style>
  <w:style w:type="paragraph" w:customStyle="1" w:styleId="title-article-norm">
    <w:name w:val="title-article-norm"/>
    <w:basedOn w:val="Normalny"/>
    <w:rsid w:val="006B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6B1AF6"/>
  </w:style>
  <w:style w:type="paragraph" w:customStyle="1" w:styleId="norm">
    <w:name w:val="norm"/>
    <w:basedOn w:val="Normalny"/>
    <w:rsid w:val="006B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7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7A43-88DA-4DFD-934D-4C740FA0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227</TotalTime>
  <Pages>1</Pages>
  <Words>4463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Tratkiewicz Tomasz</cp:lastModifiedBy>
  <cp:revision>9</cp:revision>
  <cp:lastPrinted>2026-02-03T15:43:00Z</cp:lastPrinted>
  <dcterms:created xsi:type="dcterms:W3CDTF">2026-02-09T13:43:00Z</dcterms:created>
  <dcterms:modified xsi:type="dcterms:W3CDTF">2026-02-10T10:40:00Z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UxC4dwLulzfINJ8nQH+xvX5LNGipWa4BRSZhPgxsCvlsBYJAFiCAW5MJKI2V+H4esiwTqw7/ZyFAqoIcsUtMZg==</vt:lpwstr>
  </property>
  <property fmtid="{D5CDD505-2E9C-101B-9397-08002B2CF9AE}" pid="4" name="MFClassificationDate">
    <vt:lpwstr>2025-12-09T18:28:37.4538997+01:00</vt:lpwstr>
  </property>
  <property fmtid="{D5CDD505-2E9C-101B-9397-08002B2CF9AE}" pid="5" name="MFClassifiedBySID">
    <vt:lpwstr>UxC4dwLulzfINJ8nQH+xvX5LNGipWa4BRSZhPgxsCvm42mrIC/DSDv0ggS+FjUN/2v1BBotkLlY5aAiEhoi6uQ3BKpDlre+8NC3zycoiKGSFssweVOpr+K7tXwwYIznT</vt:lpwstr>
  </property>
  <property fmtid="{D5CDD505-2E9C-101B-9397-08002B2CF9AE}" pid="6" name="MFGRNItemId">
    <vt:lpwstr>GRN-6daa7631-bc3e-4349-ab8e-0de61fe4688a</vt:lpwstr>
  </property>
  <property fmtid="{D5CDD505-2E9C-101B-9397-08002B2CF9AE}" pid="7" name="MFHash">
    <vt:lpwstr>S0B/lJJvzmNdJLCjYl1TrZy+UWu2N+jB3Y3cGOcWtCc=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