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51F8" w14:textId="77777777" w:rsidR="00747B22" w:rsidRPr="009D07AA" w:rsidRDefault="00747B22" w:rsidP="00747B22">
      <w:pPr>
        <w:shd w:val="clear" w:color="auto" w:fill="FFFFFF"/>
        <w:spacing w:before="195" w:after="195"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b/>
          <w:bCs/>
          <w:sz w:val="21"/>
          <w:szCs w:val="21"/>
          <w:lang w:val="en-US" w:eastAsia="pl-PL"/>
        </w:rPr>
        <w:t>FORM FOR EMPLOYERS</w:t>
      </w:r>
      <w:bookmarkStart w:id="0" w:name="_GoBack"/>
      <w:bookmarkEnd w:id="0"/>
    </w:p>
    <w:p w14:paraId="02C06ED7" w14:textId="26BC4CD8" w:rsidR="00747B22" w:rsidRPr="009D07AA" w:rsidRDefault="00747B22" w:rsidP="00F807EA">
      <w:pPr>
        <w:shd w:val="clear" w:color="auto" w:fill="FFFFFF"/>
        <w:spacing w:after="0"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b/>
          <w:bCs/>
          <w:sz w:val="21"/>
          <w:szCs w:val="21"/>
          <w:lang w:val="en-US" w:eastAsia="pl-PL"/>
        </w:rPr>
        <w:t>INSTITUTION</w:t>
      </w:r>
      <w:r w:rsidRPr="009D07AA">
        <w:rPr>
          <w:rFonts w:ascii="Times New Roman" w:eastAsia="Times New Roman" w:hAnsi="Times New Roman" w:cs="Times New Roman"/>
          <w:sz w:val="21"/>
          <w:szCs w:val="21"/>
          <w:lang w:val="en-US" w:eastAsia="pl-PL"/>
        </w:rPr>
        <w:t xml:space="preserve">: Military University of Technology, </w:t>
      </w:r>
      <w:r w:rsidR="00D12FF0" w:rsidRPr="009D07AA">
        <w:rPr>
          <w:rFonts w:ascii="Times New Roman" w:eastAsia="Times New Roman" w:hAnsi="Times New Roman" w:cs="Times New Roman"/>
          <w:sz w:val="21"/>
          <w:szCs w:val="21"/>
          <w:lang w:val="en-US" w:eastAsia="pl-PL"/>
        </w:rPr>
        <w:t>Institute of Optoelectronics</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CITY</w:t>
      </w:r>
      <w:r w:rsidRPr="009D07AA">
        <w:rPr>
          <w:rFonts w:ascii="Times New Roman" w:eastAsia="Times New Roman" w:hAnsi="Times New Roman" w:cs="Times New Roman"/>
          <w:sz w:val="21"/>
          <w:szCs w:val="21"/>
          <w:lang w:val="en-US" w:eastAsia="pl-PL"/>
        </w:rPr>
        <w:t>: Warsaw</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POSITION</w:t>
      </w:r>
      <w:r w:rsidRPr="009D07AA">
        <w:rPr>
          <w:rFonts w:ascii="Times New Roman" w:eastAsia="Times New Roman" w:hAnsi="Times New Roman" w:cs="Times New Roman"/>
          <w:sz w:val="21"/>
          <w:szCs w:val="21"/>
          <w:lang w:val="en-US" w:eastAsia="pl-PL"/>
        </w:rPr>
        <w:t>: Assistant Professor</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DISCIPLINE</w:t>
      </w:r>
      <w:r w:rsidRPr="009D07AA">
        <w:rPr>
          <w:rFonts w:ascii="Times New Roman" w:eastAsia="Times New Roman" w:hAnsi="Times New Roman" w:cs="Times New Roman"/>
          <w:sz w:val="21"/>
          <w:szCs w:val="21"/>
          <w:lang w:val="en-US" w:eastAsia="pl-PL"/>
        </w:rPr>
        <w:t xml:space="preserve">: </w:t>
      </w:r>
      <w:r w:rsidR="00883731" w:rsidRPr="009D07AA">
        <w:rPr>
          <w:rFonts w:ascii="Times New Roman" w:hAnsi="Times New Roman" w:cs="Times New Roman"/>
          <w:sz w:val="21"/>
          <w:szCs w:val="21"/>
          <w:lang w:val="en"/>
        </w:rPr>
        <w:t>Biological sciences</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POSTED </w:t>
      </w:r>
      <w:r w:rsidR="0026327C" w:rsidRPr="009D07AA">
        <w:rPr>
          <w:rFonts w:ascii="Times New Roman" w:eastAsia="Times New Roman" w:hAnsi="Times New Roman" w:cs="Times New Roman"/>
          <w:sz w:val="21"/>
          <w:szCs w:val="21"/>
          <w:lang w:val="en-US" w:eastAsia="pl-PL"/>
        </w:rPr>
        <w:t xml:space="preserve">05.08.2019 </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EXPIRES</w:t>
      </w:r>
      <w:r w:rsidRPr="009D07AA">
        <w:rPr>
          <w:rFonts w:ascii="Times New Roman" w:eastAsia="Times New Roman" w:hAnsi="Times New Roman" w:cs="Times New Roman"/>
          <w:sz w:val="21"/>
          <w:szCs w:val="21"/>
          <w:lang w:val="en-US" w:eastAsia="pl-PL"/>
        </w:rPr>
        <w:t> </w:t>
      </w:r>
      <w:r w:rsidR="0026327C" w:rsidRPr="009D07AA">
        <w:rPr>
          <w:rFonts w:ascii="Times New Roman" w:eastAsia="Times New Roman" w:hAnsi="Times New Roman" w:cs="Times New Roman"/>
          <w:b/>
          <w:sz w:val="21"/>
          <w:szCs w:val="21"/>
          <w:lang w:val="en-US" w:eastAsia="pl-PL"/>
        </w:rPr>
        <w:t>04.09.2019</w:t>
      </w:r>
      <w:r w:rsidR="0026327C" w:rsidRPr="009D07AA">
        <w:rPr>
          <w:rFonts w:ascii="Times New Roman" w:eastAsia="Times New Roman" w:hAnsi="Times New Roman" w:cs="Times New Roman"/>
          <w:sz w:val="21"/>
          <w:szCs w:val="21"/>
          <w:lang w:val="en-US" w:eastAsia="pl-PL"/>
        </w:rPr>
        <w:t xml:space="preserve"> </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WEBSITE</w:t>
      </w:r>
      <w:r w:rsidRPr="009D07AA">
        <w:rPr>
          <w:rFonts w:ascii="Times New Roman" w:eastAsia="Times New Roman" w:hAnsi="Times New Roman" w:cs="Times New Roman"/>
          <w:sz w:val="21"/>
          <w:szCs w:val="21"/>
          <w:lang w:val="en-US" w:eastAsia="pl-PL"/>
        </w:rPr>
        <w:t> </w:t>
      </w:r>
      <w:hyperlink r:id="rId6" w:history="1">
        <w:r w:rsidR="00D12FF0" w:rsidRPr="009D07AA">
          <w:rPr>
            <w:rStyle w:val="Hipercze"/>
            <w:rFonts w:ascii="Times New Roman" w:eastAsia="Times New Roman" w:hAnsi="Times New Roman" w:cs="Times New Roman"/>
            <w:color w:val="auto"/>
            <w:sz w:val="21"/>
            <w:szCs w:val="21"/>
            <w:lang w:val="en-US" w:eastAsia="pl-PL"/>
          </w:rPr>
          <w:t>www.wat.edu.pl</w:t>
        </w:r>
        <w:r w:rsidR="00D12FF0" w:rsidRPr="009D07AA">
          <w:rPr>
            <w:rStyle w:val="Hipercze"/>
            <w:rFonts w:ascii="Times New Roman" w:eastAsia="Times New Roman" w:hAnsi="Times New Roman" w:cs="Times New Roman"/>
            <w:color w:val="auto"/>
            <w:sz w:val="21"/>
            <w:szCs w:val="21"/>
            <w:lang w:val="en-US" w:eastAsia="pl-PL"/>
          </w:rPr>
          <w:br/>
        </w:r>
      </w:hyperlink>
      <w:r w:rsidRPr="009D07AA">
        <w:rPr>
          <w:rFonts w:ascii="Times New Roman" w:eastAsia="Times New Roman" w:hAnsi="Times New Roman" w:cs="Times New Roman"/>
          <w:b/>
          <w:bCs/>
          <w:sz w:val="21"/>
          <w:szCs w:val="21"/>
          <w:lang w:val="en-US" w:eastAsia="pl-PL"/>
        </w:rPr>
        <w:t>KEY WORDS</w:t>
      </w:r>
      <w:r w:rsidRPr="009D07AA">
        <w:rPr>
          <w:rFonts w:ascii="Times New Roman" w:eastAsia="Times New Roman" w:hAnsi="Times New Roman" w:cs="Times New Roman"/>
          <w:sz w:val="21"/>
          <w:szCs w:val="21"/>
          <w:lang w:val="en-US" w:eastAsia="pl-PL"/>
        </w:rPr>
        <w:t xml:space="preserve">: </w:t>
      </w:r>
      <w:r w:rsidR="00883731" w:rsidRPr="009D07AA">
        <w:rPr>
          <w:rFonts w:ascii="Times New Roman" w:hAnsi="Times New Roman" w:cs="Times New Roman"/>
          <w:sz w:val="21"/>
          <w:szCs w:val="21"/>
          <w:lang w:val="en"/>
        </w:rPr>
        <w:t>cell cultures in vitro, fluorescence microscopy, molecular biology</w:t>
      </w:r>
      <w:r w:rsidRPr="009D07AA">
        <w:rPr>
          <w:rFonts w:ascii="Times New Roman" w:eastAsia="Times New Roman" w:hAnsi="Times New Roman" w:cs="Times New Roman"/>
          <w:sz w:val="21"/>
          <w:szCs w:val="21"/>
          <w:lang w:val="en-US" w:eastAsia="pl-PL"/>
        </w:rPr>
        <w:br/>
      </w:r>
      <w:r w:rsidRPr="009D07AA">
        <w:rPr>
          <w:rFonts w:ascii="Times New Roman" w:eastAsia="Times New Roman" w:hAnsi="Times New Roman" w:cs="Times New Roman"/>
          <w:b/>
          <w:bCs/>
          <w:sz w:val="21"/>
          <w:szCs w:val="21"/>
          <w:lang w:val="en-US" w:eastAsia="pl-PL"/>
        </w:rPr>
        <w:t>DESCRIPTION</w:t>
      </w:r>
      <w:r w:rsidRPr="009D07AA">
        <w:rPr>
          <w:rFonts w:ascii="Times New Roman" w:eastAsia="Times New Roman" w:hAnsi="Times New Roman" w:cs="Times New Roman"/>
          <w:sz w:val="21"/>
          <w:szCs w:val="21"/>
          <w:lang w:val="en-US" w:eastAsia="pl-PL"/>
        </w:rPr>
        <w:t> (field, expectations, comments):</w:t>
      </w:r>
    </w:p>
    <w:p w14:paraId="2B68D61E" w14:textId="77777777" w:rsidR="00883731" w:rsidRPr="009D07AA" w:rsidRDefault="00883731" w:rsidP="00F807EA">
      <w:pPr>
        <w:shd w:val="clear" w:color="auto" w:fill="FFFFFF"/>
        <w:spacing w:after="0" w:line="240" w:lineRule="auto"/>
        <w:jc w:val="both"/>
        <w:rPr>
          <w:rFonts w:ascii="Times New Roman" w:eastAsia="Times New Roman" w:hAnsi="Times New Roman" w:cs="Times New Roman"/>
          <w:sz w:val="21"/>
          <w:szCs w:val="21"/>
          <w:lang w:val="en-US" w:eastAsia="pl-PL"/>
        </w:rPr>
      </w:pPr>
      <w:r w:rsidRPr="009D07AA">
        <w:rPr>
          <w:rFonts w:ascii="Times New Roman" w:hAnsi="Times New Roman" w:cs="Times New Roman"/>
          <w:sz w:val="21"/>
          <w:szCs w:val="21"/>
          <w:lang w:val="en-US"/>
        </w:rPr>
        <w:t>The candidate should have knowledge and several years of practical experience in microbiological research, cell cultures in vitro, molecular biology methods for study the effects of physical factors on eukaryotic cell’s homeostasis, assessment of DNA damage caused by genotoxic factors (comet assay) and in the use of fluorescence microscopy and spectroscopy for monitoring of the basic vital parameters of bacteria and eukaryotic cells, including their number, viability, apoptosis and cell cycle. The applicant's responsibilities will include participation in ongoing research programs and participation in the development of applications for new research projects. The applicant's duties will also include the teaching of students in the field of microbiology and regenerative medicine.</w:t>
      </w:r>
    </w:p>
    <w:p w14:paraId="6FEB1696" w14:textId="77777777" w:rsidR="00747B22" w:rsidRPr="009D07AA" w:rsidRDefault="00D12FF0" w:rsidP="00F807EA">
      <w:p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b/>
          <w:bCs/>
          <w:sz w:val="21"/>
          <w:szCs w:val="21"/>
          <w:lang w:val="en-US" w:eastAsia="pl-PL"/>
        </w:rPr>
        <w:t xml:space="preserve">I. </w:t>
      </w:r>
      <w:r w:rsidR="00747B22" w:rsidRPr="009D07AA">
        <w:rPr>
          <w:rFonts w:ascii="Times New Roman" w:eastAsia="Times New Roman" w:hAnsi="Times New Roman" w:cs="Times New Roman"/>
          <w:b/>
          <w:bCs/>
          <w:sz w:val="21"/>
          <w:szCs w:val="21"/>
          <w:lang w:val="en-US" w:eastAsia="pl-PL"/>
        </w:rPr>
        <w:t>Admission requirements: </w:t>
      </w:r>
    </w:p>
    <w:p w14:paraId="78252991" w14:textId="77777777" w:rsidR="00D15867" w:rsidRPr="009D07AA" w:rsidRDefault="00747B22" w:rsidP="00F807EA">
      <w:pPr>
        <w:numPr>
          <w:ilvl w:val="0"/>
          <w:numId w:val="19"/>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meets the requirements determined in art. 113 of the "Law on Higher Education and Science", July 20, 2018, (Journal of Laws of 2018, item 1668),</w:t>
      </w:r>
    </w:p>
    <w:p w14:paraId="7B6BC824" w14:textId="7A1EAFF0" w:rsidR="00D15867" w:rsidRPr="009D07AA" w:rsidRDefault="00C91FB0" w:rsidP="00F807EA">
      <w:pPr>
        <w:numPr>
          <w:ilvl w:val="0"/>
          <w:numId w:val="19"/>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hAnsi="Times New Roman" w:cs="Times New Roman"/>
          <w:sz w:val="21"/>
          <w:szCs w:val="21"/>
          <w:lang w:val="en-US"/>
        </w:rPr>
        <w:t xml:space="preserve">a </w:t>
      </w:r>
      <w:r w:rsidR="00883731" w:rsidRPr="009D07AA">
        <w:rPr>
          <w:rFonts w:ascii="Times New Roman" w:hAnsi="Times New Roman" w:cs="Times New Roman"/>
          <w:sz w:val="21"/>
          <w:szCs w:val="21"/>
          <w:lang w:val="en-US"/>
        </w:rPr>
        <w:t>doctoral degree in the field of biological, medical, agricultural or related sciences;</w:t>
      </w:r>
    </w:p>
    <w:p w14:paraId="61933795" w14:textId="19520A8F" w:rsidR="00883731" w:rsidRPr="009D07AA" w:rsidRDefault="00883731" w:rsidP="00F807EA">
      <w:pPr>
        <w:numPr>
          <w:ilvl w:val="0"/>
          <w:numId w:val="19"/>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hAnsi="Times New Roman" w:cs="Times New Roman"/>
          <w:sz w:val="21"/>
          <w:szCs w:val="21"/>
          <w:lang w:val="en-US"/>
        </w:rPr>
        <w:t>high evaluation of the doctoral dissertation, documented by a prize or distinction;</w:t>
      </w:r>
    </w:p>
    <w:p w14:paraId="09178832" w14:textId="77777777" w:rsidR="00D15867" w:rsidRPr="009D07AA" w:rsidRDefault="00883731"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the documented teaching experience: a minimum of 250 hours spent on teaching in the biology classes;</w:t>
      </w:r>
    </w:p>
    <w:p w14:paraId="574E27D1" w14:textId="77777777" w:rsidR="00D15867" w:rsidRPr="009D07AA" w:rsidRDefault="00883731"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knowledge how to prepare the NGS libraries and to sequence DNA with the use of Illumina technology, confirmed by certificates of training</w:t>
      </w:r>
      <w:r w:rsidR="00D15867" w:rsidRPr="009D07AA">
        <w:rPr>
          <w:rFonts w:ascii="Times New Roman" w:hAnsi="Times New Roman" w:cs="Times New Roman"/>
          <w:sz w:val="21"/>
          <w:szCs w:val="21"/>
          <w:lang w:val="en-US"/>
        </w:rPr>
        <w:t>;</w:t>
      </w:r>
    </w:p>
    <w:p w14:paraId="6927B7F0" w14:textId="2E76C92D" w:rsidR="00D15867" w:rsidRPr="009D07AA" w:rsidRDefault="00D15867"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 xml:space="preserve">the </w:t>
      </w:r>
      <w:r w:rsidR="00883731" w:rsidRPr="009D07AA">
        <w:rPr>
          <w:rFonts w:ascii="Times New Roman" w:hAnsi="Times New Roman" w:cs="Times New Roman"/>
          <w:sz w:val="21"/>
          <w:szCs w:val="21"/>
          <w:lang w:val="en-US"/>
        </w:rPr>
        <w:t xml:space="preserve">experience in the in vitro cell cultures, including the culture of human mesenchymal stem cells, documented by the co-authorship of at least two original publications </w:t>
      </w:r>
      <w:r w:rsidR="007456D6" w:rsidRPr="009D07AA">
        <w:rPr>
          <w:rFonts w:ascii="Times New Roman" w:hAnsi="Times New Roman" w:cs="Times New Roman"/>
          <w:sz w:val="21"/>
          <w:szCs w:val="21"/>
          <w:lang w:val="en-US"/>
        </w:rPr>
        <w:t>accepted by MNiSW</w:t>
      </w:r>
      <w:r w:rsidR="00883731" w:rsidRPr="009D07AA">
        <w:rPr>
          <w:rFonts w:ascii="Times New Roman" w:hAnsi="Times New Roman" w:cs="Times New Roman"/>
          <w:sz w:val="21"/>
          <w:szCs w:val="21"/>
          <w:lang w:val="en-US"/>
        </w:rPr>
        <w:t>;</w:t>
      </w:r>
      <w:r w:rsidRPr="009D07AA">
        <w:rPr>
          <w:rFonts w:ascii="Times New Roman" w:hAnsi="Times New Roman" w:cs="Times New Roman"/>
          <w:lang w:val="en-US"/>
        </w:rPr>
        <w:t xml:space="preserve"> </w:t>
      </w:r>
    </w:p>
    <w:p w14:paraId="50366700" w14:textId="77777777" w:rsidR="00D15867" w:rsidRPr="009D07AA" w:rsidRDefault="00D15867"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a good knowledge of the English language at a level required to conduct lectures and scientific activities;</w:t>
      </w:r>
    </w:p>
    <w:p w14:paraId="32F4914E" w14:textId="77777777" w:rsidR="00D15867" w:rsidRPr="009D07AA" w:rsidRDefault="00883731"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participation in the implementation of research projects;</w:t>
      </w:r>
    </w:p>
    <w:p w14:paraId="13A6D72F" w14:textId="4B345D85" w:rsidR="00883731" w:rsidRPr="009D07AA" w:rsidRDefault="00883731" w:rsidP="00F807EA">
      <w:pPr>
        <w:pStyle w:val="Akapitzlist"/>
        <w:numPr>
          <w:ilvl w:val="0"/>
          <w:numId w:val="19"/>
        </w:numPr>
        <w:jc w:val="both"/>
        <w:rPr>
          <w:rFonts w:ascii="Times New Roman" w:hAnsi="Times New Roman" w:cs="Times New Roman"/>
          <w:sz w:val="21"/>
          <w:szCs w:val="21"/>
          <w:lang w:val="en-US"/>
        </w:rPr>
      </w:pPr>
      <w:r w:rsidRPr="009D07AA">
        <w:rPr>
          <w:rFonts w:ascii="Times New Roman" w:hAnsi="Times New Roman" w:cs="Times New Roman"/>
          <w:sz w:val="21"/>
          <w:szCs w:val="21"/>
          <w:lang w:val="en-US"/>
        </w:rPr>
        <w:t>a minimum of four years of professional experience in the research teams;</w:t>
      </w:r>
    </w:p>
    <w:p w14:paraId="0299D954" w14:textId="77777777" w:rsidR="00883731" w:rsidRPr="009D07AA" w:rsidRDefault="00883731" w:rsidP="00883731">
      <w:pPr>
        <w:shd w:val="clear" w:color="auto" w:fill="FFFFFF"/>
        <w:spacing w:before="45" w:after="0" w:line="240" w:lineRule="auto"/>
        <w:ind w:left="525"/>
        <w:rPr>
          <w:rFonts w:ascii="Times New Roman" w:eastAsia="Times New Roman" w:hAnsi="Times New Roman" w:cs="Times New Roman"/>
          <w:sz w:val="21"/>
          <w:szCs w:val="21"/>
          <w:highlight w:val="yellow"/>
          <w:lang w:val="en-US" w:eastAsia="pl-PL"/>
        </w:rPr>
      </w:pPr>
    </w:p>
    <w:p w14:paraId="63332848" w14:textId="77777777" w:rsidR="00747B22" w:rsidRPr="009D07AA" w:rsidRDefault="00D12FF0" w:rsidP="00D12FF0">
      <w:pPr>
        <w:shd w:val="clear" w:color="auto" w:fill="FFFFFF"/>
        <w:spacing w:before="45" w:after="0" w:line="240" w:lineRule="auto"/>
        <w:ind w:left="165"/>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 xml:space="preserve">II. </w:t>
      </w:r>
      <w:r w:rsidR="00747B22" w:rsidRPr="009D07AA">
        <w:rPr>
          <w:rFonts w:ascii="Times New Roman" w:eastAsia="Times New Roman" w:hAnsi="Times New Roman" w:cs="Times New Roman"/>
          <w:b/>
          <w:bCs/>
          <w:sz w:val="21"/>
          <w:szCs w:val="21"/>
          <w:lang w:val="en-US" w:eastAsia="pl-PL"/>
        </w:rPr>
        <w:t>The competition application should include:</w:t>
      </w:r>
    </w:p>
    <w:p w14:paraId="3C9D37E9"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letter of application to the Rector of the Military University of Technology,</w:t>
      </w:r>
    </w:p>
    <w:p w14:paraId="7676C9BF"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candidate’s questionnaire,</w:t>
      </w:r>
    </w:p>
    <w:p w14:paraId="46269800"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CV,</w:t>
      </w:r>
    </w:p>
    <w:p w14:paraId="51A21C54"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copies of diplomas and other documents confirming / proving the candidate's </w:t>
      </w:r>
      <w:r w:rsidRPr="009D07AA">
        <w:rPr>
          <w:rFonts w:ascii="Times New Roman" w:eastAsia="Times New Roman" w:hAnsi="Times New Roman" w:cs="Times New Roman"/>
          <w:sz w:val="21"/>
          <w:szCs w:val="21"/>
          <w:lang w:val="en-US" w:eastAsia="pl-PL"/>
        </w:rPr>
        <w:br/>
        <w:t>qualifications,</w:t>
      </w:r>
    </w:p>
    <w:p w14:paraId="5325A4AC"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declaration of consent to process personal data included in the job application in </w:t>
      </w:r>
      <w:r w:rsidRPr="009D07AA">
        <w:rPr>
          <w:rFonts w:ascii="Times New Roman" w:eastAsia="Times New Roman" w:hAnsi="Times New Roman" w:cs="Times New Roman"/>
          <w:sz w:val="21"/>
          <w:szCs w:val="21"/>
          <w:lang w:val="en-US" w:eastAsia="pl-PL"/>
        </w:rPr>
        <w:br/>
        <w:t>accordance with the Data Protection Act,</w:t>
      </w:r>
    </w:p>
    <w:p w14:paraId="662B3260"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statement that the candidate/applicant has full capacity to act according to the law </w:t>
      </w:r>
      <w:r w:rsidRPr="009D07AA">
        <w:rPr>
          <w:rFonts w:ascii="Times New Roman" w:eastAsia="Times New Roman" w:hAnsi="Times New Roman" w:cs="Times New Roman"/>
          <w:sz w:val="21"/>
          <w:szCs w:val="21"/>
          <w:lang w:val="en-US" w:eastAsia="pl-PL"/>
        </w:rPr>
        <w:br/>
        <w:t>in force,</w:t>
      </w:r>
    </w:p>
    <w:p w14:paraId="22386930"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declaration of no charges within a final judgment of a deliberate crime,</w:t>
      </w:r>
    </w:p>
    <w:p w14:paraId="692827E2"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declaration of no charges within the disciplinary procedure of the deprivation of </w:t>
      </w:r>
      <w:r w:rsidRPr="009D07AA">
        <w:rPr>
          <w:rFonts w:ascii="Times New Roman" w:eastAsia="Times New Roman" w:hAnsi="Times New Roman" w:cs="Times New Roman"/>
          <w:sz w:val="21"/>
          <w:szCs w:val="21"/>
          <w:lang w:val="en-US" w:eastAsia="pl-PL"/>
        </w:rPr>
        <w:br/>
        <w:t>     rights to practice the profession of academic teacher on a permanent or fixed-term </w:t>
      </w:r>
      <w:r w:rsidRPr="009D07AA">
        <w:rPr>
          <w:rFonts w:ascii="Times New Roman" w:eastAsia="Times New Roman" w:hAnsi="Times New Roman" w:cs="Times New Roman"/>
          <w:sz w:val="21"/>
          <w:szCs w:val="21"/>
          <w:lang w:val="en-US" w:eastAsia="pl-PL"/>
        </w:rPr>
        <w:br/>
        <w:t>     basis/contract,</w:t>
      </w:r>
    </w:p>
    <w:p w14:paraId="448EF3F3"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declaration on the full use of civil rights,</w:t>
      </w:r>
    </w:p>
    <w:p w14:paraId="3B318BDE" w14:textId="77777777" w:rsidR="00747B22" w:rsidRPr="009D07AA" w:rsidRDefault="00747B22" w:rsidP="00F807EA">
      <w:pPr>
        <w:numPr>
          <w:ilvl w:val="0"/>
          <w:numId w:val="17"/>
        </w:numPr>
        <w:shd w:val="clear" w:color="auto" w:fill="FFFFFF"/>
        <w:spacing w:before="45" w:after="0"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 declaration stating whether MUT is the core or non-core workplace for the applicant.</w:t>
      </w:r>
    </w:p>
    <w:p w14:paraId="76CF8E46" w14:textId="77777777" w:rsidR="00747B22" w:rsidRPr="009D07AA" w:rsidRDefault="00747B22" w:rsidP="00747B22">
      <w:pPr>
        <w:shd w:val="clear" w:color="auto" w:fill="FFFFFF"/>
        <w:spacing w:before="195" w:after="195"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lastRenderedPageBreak/>
        <w:t>Document templates available on the website:</w:t>
      </w:r>
    </w:p>
    <w:p w14:paraId="13921057" w14:textId="77777777" w:rsidR="00747B22" w:rsidRPr="009D07AA" w:rsidRDefault="009D07AA" w:rsidP="00747B22">
      <w:pPr>
        <w:shd w:val="clear" w:color="auto" w:fill="FFFFFF"/>
        <w:spacing w:after="0" w:line="240" w:lineRule="auto"/>
        <w:rPr>
          <w:rFonts w:ascii="Times New Roman" w:eastAsia="Times New Roman" w:hAnsi="Times New Roman" w:cs="Times New Roman"/>
          <w:sz w:val="21"/>
          <w:szCs w:val="21"/>
          <w:lang w:val="en-US" w:eastAsia="pl-PL"/>
        </w:rPr>
      </w:pPr>
      <w:hyperlink r:id="rId7" w:history="1">
        <w:r w:rsidR="00747B22" w:rsidRPr="009D07AA">
          <w:rPr>
            <w:rFonts w:ascii="Times New Roman" w:eastAsia="Times New Roman" w:hAnsi="Times New Roman" w:cs="Times New Roman"/>
            <w:sz w:val="21"/>
            <w:szCs w:val="21"/>
            <w:lang w:val="en-US" w:eastAsia="pl-PL"/>
          </w:rPr>
          <w:t>https://bip.wat.edu.pl/index.php/praca/wzory-dokumentow-dla-kandydatow</w:t>
        </w:r>
      </w:hyperlink>
    </w:p>
    <w:p w14:paraId="65898549" w14:textId="00E99619" w:rsidR="00747B22" w:rsidRPr="009D07AA" w:rsidRDefault="00747B22" w:rsidP="00747B22">
      <w:pPr>
        <w:shd w:val="clear" w:color="auto" w:fill="FFFFFF"/>
        <w:spacing w:before="195" w:after="195"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b/>
          <w:bCs/>
          <w:sz w:val="21"/>
          <w:szCs w:val="21"/>
          <w:lang w:val="en-US" w:eastAsia="pl-PL"/>
        </w:rPr>
        <w:t>III. Documents shou</w:t>
      </w:r>
      <w:r w:rsidR="002F7FC1" w:rsidRPr="009D07AA">
        <w:rPr>
          <w:rFonts w:ascii="Times New Roman" w:eastAsia="Times New Roman" w:hAnsi="Times New Roman" w:cs="Times New Roman"/>
          <w:b/>
          <w:bCs/>
          <w:sz w:val="21"/>
          <w:szCs w:val="21"/>
          <w:lang w:val="en-US" w:eastAsia="pl-PL"/>
        </w:rPr>
        <w:t>ld be submitted till 04</w:t>
      </w:r>
      <w:r w:rsidRPr="009D07AA">
        <w:rPr>
          <w:rFonts w:ascii="Times New Roman" w:eastAsia="Times New Roman" w:hAnsi="Times New Roman" w:cs="Times New Roman"/>
          <w:b/>
          <w:bCs/>
          <w:sz w:val="21"/>
          <w:szCs w:val="21"/>
          <w:lang w:val="en-US" w:eastAsia="pl-PL"/>
        </w:rPr>
        <w:t>.0</w:t>
      </w:r>
      <w:r w:rsidR="002F7FC1" w:rsidRPr="009D07AA">
        <w:rPr>
          <w:rFonts w:ascii="Times New Roman" w:eastAsia="Times New Roman" w:hAnsi="Times New Roman" w:cs="Times New Roman"/>
          <w:b/>
          <w:bCs/>
          <w:sz w:val="21"/>
          <w:szCs w:val="21"/>
          <w:lang w:val="en-US" w:eastAsia="pl-PL"/>
        </w:rPr>
        <w:t>9</w:t>
      </w:r>
      <w:r w:rsidR="0026327C" w:rsidRPr="009D07AA">
        <w:rPr>
          <w:rFonts w:ascii="Times New Roman" w:eastAsia="Times New Roman" w:hAnsi="Times New Roman" w:cs="Times New Roman"/>
          <w:b/>
          <w:bCs/>
          <w:sz w:val="21"/>
          <w:szCs w:val="21"/>
          <w:lang w:val="en-US" w:eastAsia="pl-PL"/>
        </w:rPr>
        <w:t xml:space="preserve">.2019 </w:t>
      </w:r>
    </w:p>
    <w:p w14:paraId="67CB3DC0" w14:textId="77777777" w:rsidR="00747B22" w:rsidRPr="009D07AA" w:rsidRDefault="00747B22" w:rsidP="00D25705">
      <w:pPr>
        <w:shd w:val="clear" w:color="auto" w:fill="FFFFFF"/>
        <w:spacing w:before="195" w:after="195"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 xml:space="preserve">- in person to the secretary's office of the </w:t>
      </w:r>
      <w:r w:rsidR="00D12FF0" w:rsidRPr="009D07AA">
        <w:rPr>
          <w:rFonts w:ascii="Times New Roman" w:eastAsia="Times New Roman" w:hAnsi="Times New Roman" w:cs="Times New Roman"/>
          <w:sz w:val="21"/>
          <w:szCs w:val="21"/>
          <w:lang w:val="en-US" w:eastAsia="pl-PL"/>
        </w:rPr>
        <w:t xml:space="preserve">Institute of Optoelectronics </w:t>
      </w:r>
      <w:r w:rsidRPr="009D07AA">
        <w:rPr>
          <w:rFonts w:ascii="Times New Roman" w:eastAsia="Times New Roman" w:hAnsi="Times New Roman" w:cs="Times New Roman"/>
          <w:sz w:val="21"/>
          <w:szCs w:val="21"/>
          <w:lang w:val="en-US" w:eastAsia="pl-PL"/>
        </w:rPr>
        <w:t>at the front </w:t>
      </w:r>
      <w:r w:rsidRPr="009D07AA">
        <w:rPr>
          <w:rFonts w:ascii="Times New Roman" w:eastAsia="Times New Roman" w:hAnsi="Times New Roman" w:cs="Times New Roman"/>
          <w:sz w:val="21"/>
          <w:szCs w:val="21"/>
          <w:lang w:val="en-US" w:eastAsia="pl-PL"/>
        </w:rPr>
        <w:br/>
        <w:t>   desk, Military University of Technology, Warsaw, 2 gen. Sylwest</w:t>
      </w:r>
      <w:r w:rsidR="00D12FF0" w:rsidRPr="009D07AA">
        <w:rPr>
          <w:rFonts w:ascii="Times New Roman" w:eastAsia="Times New Roman" w:hAnsi="Times New Roman" w:cs="Times New Roman"/>
          <w:sz w:val="21"/>
          <w:szCs w:val="21"/>
          <w:lang w:val="en-US" w:eastAsia="pl-PL"/>
        </w:rPr>
        <w:t>ra Kaliskiego St, </w:t>
      </w:r>
      <w:r w:rsidR="00D12FF0" w:rsidRPr="009D07AA">
        <w:rPr>
          <w:rFonts w:ascii="Times New Roman" w:eastAsia="Times New Roman" w:hAnsi="Times New Roman" w:cs="Times New Roman"/>
          <w:sz w:val="21"/>
          <w:szCs w:val="21"/>
          <w:lang w:val="en-US" w:eastAsia="pl-PL"/>
        </w:rPr>
        <w:br/>
        <w:t>   building 136</w:t>
      </w:r>
      <w:r w:rsidRPr="009D07AA">
        <w:rPr>
          <w:rFonts w:ascii="Times New Roman" w:eastAsia="Times New Roman" w:hAnsi="Times New Roman" w:cs="Times New Roman"/>
          <w:sz w:val="21"/>
          <w:szCs w:val="21"/>
          <w:lang w:val="en-US" w:eastAsia="pl-PL"/>
        </w:rPr>
        <w:t>, room 11</w:t>
      </w:r>
      <w:r w:rsidR="00D12FF0" w:rsidRPr="009D07AA">
        <w:rPr>
          <w:rFonts w:ascii="Times New Roman" w:eastAsia="Times New Roman" w:hAnsi="Times New Roman" w:cs="Times New Roman"/>
          <w:sz w:val="21"/>
          <w:szCs w:val="21"/>
          <w:lang w:val="en-US" w:eastAsia="pl-PL"/>
        </w:rPr>
        <w:t>4</w:t>
      </w:r>
      <w:r w:rsidRPr="009D07AA">
        <w:rPr>
          <w:rFonts w:ascii="Times New Roman" w:eastAsia="Times New Roman" w:hAnsi="Times New Roman" w:cs="Times New Roman"/>
          <w:sz w:val="21"/>
          <w:szCs w:val="21"/>
          <w:lang w:val="en-US" w:eastAsia="pl-PL"/>
        </w:rPr>
        <w:t>;</w:t>
      </w:r>
    </w:p>
    <w:p w14:paraId="7B0CCEBB" w14:textId="77777777" w:rsidR="00747B22" w:rsidRPr="009D07AA" w:rsidRDefault="00747B22" w:rsidP="00D25705">
      <w:pPr>
        <w:shd w:val="clear" w:color="auto" w:fill="FFFFFF"/>
        <w:spacing w:before="195" w:after="195" w:line="240" w:lineRule="auto"/>
        <w:jc w:val="both"/>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 xml:space="preserve">- by post: at the Military University of Technology, </w:t>
      </w:r>
      <w:r w:rsidR="00D12FF0" w:rsidRPr="009D07AA">
        <w:rPr>
          <w:rFonts w:ascii="Times New Roman" w:eastAsia="Times New Roman" w:hAnsi="Times New Roman" w:cs="Times New Roman"/>
          <w:sz w:val="21"/>
          <w:szCs w:val="21"/>
          <w:lang w:val="en-US" w:eastAsia="pl-PL"/>
        </w:rPr>
        <w:t>Institute of Optoelectronics</w:t>
      </w:r>
      <w:r w:rsidRPr="009D07AA">
        <w:rPr>
          <w:rFonts w:ascii="Times New Roman" w:eastAsia="Times New Roman" w:hAnsi="Times New Roman" w:cs="Times New Roman"/>
          <w:sz w:val="21"/>
          <w:szCs w:val="21"/>
          <w:lang w:val="en-US" w:eastAsia="pl-PL"/>
        </w:rPr>
        <w:t>, 00-908 Warsaw, 2 gen. Sylwestra Kaliskiego St.;</w:t>
      </w:r>
    </w:p>
    <w:p w14:paraId="3563CFEC" w14:textId="77777777" w:rsidR="00747B22" w:rsidRPr="009D07AA" w:rsidRDefault="00747B22" w:rsidP="00747B22">
      <w:pPr>
        <w:shd w:val="clear" w:color="auto" w:fill="FFFFFF"/>
        <w:spacing w:before="195" w:after="195"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Formal defects that constitute an absolute ground for the rejection of a tender are lack of documents mentioned in point II.</w:t>
      </w:r>
      <w:r w:rsidRPr="009D07AA">
        <w:rPr>
          <w:rFonts w:ascii="Times New Roman" w:eastAsia="Times New Roman" w:hAnsi="Times New Roman" w:cs="Times New Roman"/>
          <w:b/>
          <w:bCs/>
          <w:sz w:val="21"/>
          <w:szCs w:val="21"/>
          <w:lang w:val="en-US" w:eastAsia="pl-PL"/>
        </w:rPr>
        <w:t> </w:t>
      </w:r>
    </w:p>
    <w:p w14:paraId="512C7177" w14:textId="77777777" w:rsidR="00747B22" w:rsidRPr="009D07AA" w:rsidRDefault="00D12FF0" w:rsidP="00D12FF0">
      <w:pPr>
        <w:shd w:val="clear" w:color="auto" w:fill="FFFFFF"/>
        <w:spacing w:before="45" w:after="0" w:line="240" w:lineRule="auto"/>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b/>
          <w:bCs/>
          <w:sz w:val="21"/>
          <w:szCs w:val="21"/>
          <w:lang w:val="en-US" w:eastAsia="pl-PL"/>
        </w:rPr>
        <w:t xml:space="preserve">IV. </w:t>
      </w:r>
      <w:r w:rsidR="00747B22" w:rsidRPr="009D07AA">
        <w:rPr>
          <w:rFonts w:ascii="Times New Roman" w:eastAsia="Times New Roman" w:hAnsi="Times New Roman" w:cs="Times New Roman"/>
          <w:b/>
          <w:bCs/>
          <w:sz w:val="21"/>
          <w:szCs w:val="21"/>
          <w:lang w:val="en-US" w:eastAsia="pl-PL"/>
        </w:rPr>
        <w:t>Additional information can be obtained by telephone: (+48) 261 83 96 9</w:t>
      </w:r>
      <w:r w:rsidRPr="009D07AA">
        <w:rPr>
          <w:rFonts w:ascii="Times New Roman" w:eastAsia="Times New Roman" w:hAnsi="Times New Roman" w:cs="Times New Roman"/>
          <w:b/>
          <w:bCs/>
          <w:sz w:val="21"/>
          <w:szCs w:val="21"/>
          <w:lang w:val="en-US" w:eastAsia="pl-PL"/>
        </w:rPr>
        <w:t>6</w:t>
      </w:r>
    </w:p>
    <w:p w14:paraId="4D23EBAA" w14:textId="77777777" w:rsidR="00310687" w:rsidRPr="009D07AA" w:rsidRDefault="00310687" w:rsidP="00310687">
      <w:pPr>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The competition will be adjudicated within two weeks from the deadline for submission of offers.</w:t>
      </w:r>
    </w:p>
    <w:p w14:paraId="7614B5D1" w14:textId="77777777" w:rsidR="00310687" w:rsidRPr="009D07AA" w:rsidRDefault="00310687" w:rsidP="00310687">
      <w:pPr>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139003B2" w14:textId="77777777" w:rsidR="00310687" w:rsidRPr="009D07AA" w:rsidRDefault="00310687" w:rsidP="00310687">
      <w:pPr>
        <w:rPr>
          <w:rFonts w:ascii="Times New Roman" w:eastAsia="Times New Roman" w:hAnsi="Times New Roman" w:cs="Times New Roman"/>
          <w:sz w:val="21"/>
          <w:szCs w:val="21"/>
          <w:lang w:val="en-US" w:eastAsia="pl-PL"/>
        </w:rPr>
      </w:pPr>
      <w:r w:rsidRPr="009D07AA">
        <w:rPr>
          <w:rFonts w:ascii="Times New Roman" w:eastAsia="Times New Roman" w:hAnsi="Times New Roman" w:cs="Times New Roman"/>
          <w:sz w:val="21"/>
          <w:szCs w:val="21"/>
          <w:lang w:val="en-US" w:eastAsia="pl-PL"/>
        </w:rPr>
        <w:t>At the end of the recruitment process, offers that do not meet the formal requirements and all other offers except the offer of the selected candidate are destroyed after one month from the day of the competition procedure completion.</w:t>
      </w:r>
    </w:p>
    <w:p w14:paraId="0A25DBA9" w14:textId="77777777" w:rsidR="00717731" w:rsidRPr="009D07AA" w:rsidRDefault="00717731">
      <w:pPr>
        <w:rPr>
          <w:rFonts w:ascii="Times New Roman" w:hAnsi="Times New Roman" w:cs="Times New Roman"/>
          <w:lang w:val="en-US"/>
        </w:rPr>
      </w:pPr>
    </w:p>
    <w:sectPr w:rsidR="00717731" w:rsidRPr="009D0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1013F4"/>
    <w:multiLevelType w:val="hybridMultilevel"/>
    <w:tmpl w:val="62BE8F48"/>
    <w:lvl w:ilvl="0" w:tplc="530089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7F765E"/>
    <w:multiLevelType w:val="multilevel"/>
    <w:tmpl w:val="D1E01B64"/>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672B0F"/>
    <w:multiLevelType w:val="hybridMultilevel"/>
    <w:tmpl w:val="1718347E"/>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16"/>
  </w:num>
  <w:num w:numId="2">
    <w:abstractNumId w:val="13"/>
  </w:num>
  <w:num w:numId="3">
    <w:abstractNumId w:val="5"/>
  </w:num>
  <w:num w:numId="4">
    <w:abstractNumId w:val="4"/>
  </w:num>
  <w:num w:numId="5">
    <w:abstractNumId w:val="7"/>
  </w:num>
  <w:num w:numId="6">
    <w:abstractNumId w:val="11"/>
  </w:num>
  <w:num w:numId="7">
    <w:abstractNumId w:val="10"/>
  </w:num>
  <w:num w:numId="8">
    <w:abstractNumId w:val="12"/>
  </w:num>
  <w:num w:numId="9">
    <w:abstractNumId w:val="15"/>
  </w:num>
  <w:num w:numId="10">
    <w:abstractNumId w:val="9"/>
  </w:num>
  <w:num w:numId="11">
    <w:abstractNumId w:val="2"/>
  </w:num>
  <w:num w:numId="12">
    <w:abstractNumId w:val="3"/>
  </w:num>
  <w:num w:numId="13">
    <w:abstractNumId w:val="14"/>
  </w:num>
  <w:num w:numId="14">
    <w:abstractNumId w:val="8"/>
  </w:num>
  <w:num w:numId="15">
    <w:abstractNumId w:val="0"/>
  </w:num>
  <w:num w:numId="16">
    <w:abstractNumId w:val="18"/>
  </w:num>
  <w:num w:numId="17">
    <w:abstractNumId w:val="17"/>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835F0"/>
    <w:rsid w:val="00166891"/>
    <w:rsid w:val="001E4C19"/>
    <w:rsid w:val="0026327C"/>
    <w:rsid w:val="002A7972"/>
    <w:rsid w:val="002F7FC1"/>
    <w:rsid w:val="00310687"/>
    <w:rsid w:val="0046090E"/>
    <w:rsid w:val="00590F7D"/>
    <w:rsid w:val="00652E98"/>
    <w:rsid w:val="00717731"/>
    <w:rsid w:val="007456D6"/>
    <w:rsid w:val="00747B22"/>
    <w:rsid w:val="0076282B"/>
    <w:rsid w:val="00883731"/>
    <w:rsid w:val="008E1465"/>
    <w:rsid w:val="009D07AA"/>
    <w:rsid w:val="009D3805"/>
    <w:rsid w:val="00AC2E7B"/>
    <w:rsid w:val="00C91FB0"/>
    <w:rsid w:val="00D12FF0"/>
    <w:rsid w:val="00D15867"/>
    <w:rsid w:val="00D25705"/>
    <w:rsid w:val="00D94BEA"/>
    <w:rsid w:val="00E97BDE"/>
    <w:rsid w:val="00EB26AA"/>
    <w:rsid w:val="00F80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883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88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6739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4014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7</cp:revision>
  <dcterms:created xsi:type="dcterms:W3CDTF">2019-08-05T08:49:00Z</dcterms:created>
  <dcterms:modified xsi:type="dcterms:W3CDTF">2019-08-05T08:55:00Z</dcterms:modified>
</cp:coreProperties>
</file>