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E0FA4" w:rsidRDefault="0098080D">
      <w:pPr>
        <w:ind w:firstLine="425"/>
        <w:jc w:val="center"/>
        <w:rPr>
          <w:b/>
          <w:bCs/>
        </w:rPr>
      </w:pPr>
      <w:r>
        <w:rPr>
          <w:b/>
          <w:bCs/>
        </w:rPr>
        <w:t>POLONYA HUKUK MUHAKEMELERİ KANUNU’NUN</w:t>
      </w:r>
    </w:p>
    <w:p w14:paraId="00000002" w14:textId="77777777" w:rsidR="008E0FA4" w:rsidRDefault="0098080D">
      <w:pPr>
        <w:ind w:firstLine="425"/>
        <w:jc w:val="center"/>
        <w:rPr>
          <w:b/>
          <w:bCs/>
        </w:rPr>
      </w:pPr>
      <w:r>
        <w:rPr>
          <w:b/>
          <w:bCs/>
        </w:rPr>
        <w:t xml:space="preserve">  1135.MADDESİNİN 5.FIKRASININ İÇERİĞİNE İLİŞKİN</w:t>
      </w:r>
    </w:p>
    <w:p w14:paraId="00000003" w14:textId="77777777" w:rsidR="008E0FA4" w:rsidRDefault="0098080D">
      <w:pPr>
        <w:ind w:firstLine="425"/>
        <w:jc w:val="center"/>
        <w:rPr>
          <w:b/>
          <w:bCs/>
        </w:rPr>
      </w:pPr>
      <w:r>
        <w:rPr>
          <w:b/>
          <w:bCs/>
        </w:rPr>
        <w:t xml:space="preserve"> BİLGİLENDİRME</w:t>
      </w:r>
    </w:p>
    <w:p w14:paraId="00000004" w14:textId="77777777" w:rsidR="008E0FA4" w:rsidRDefault="008E0FA4">
      <w:pPr>
        <w:ind w:firstLine="425"/>
        <w:jc w:val="both"/>
        <w:rPr>
          <w:b/>
          <w:bCs/>
        </w:rPr>
      </w:pPr>
    </w:p>
    <w:p w14:paraId="00000005" w14:textId="77777777" w:rsidR="008E0FA4" w:rsidRDefault="0098080D">
      <w:pPr>
        <w:numPr>
          <w:ilvl w:val="0"/>
          <w:numId w:val="1"/>
        </w:numPr>
        <w:ind w:left="0" w:firstLine="425"/>
        <w:jc w:val="both"/>
      </w:pPr>
      <w:r>
        <w:t>Yerleşim yeri, mutad meskeni ya da merkezi; Polonya Cumhuriyeti'nde veya diğer bir Avrupa Birliği üye devletinde bulunmayan ve Polonya Cumhuriyeti' nde ikamet eden bir vekil tayin etmemiş olan taraflar veya katılımcılar, … gün içinde Polonya Cumhuriyeti'nde kendisine tebligat yapılması için bir vekil tayin etmek zorundadırlar. Belirtilen sürede tayin edilmemesi halinde, taraflar veya katılımcılar için hazırlanan belgeler, Polonya Hukuk Muhakemeleri Kanunu’nun 1135.maddesinin 5.fıkrası uyarınca, tebliğ edilm</w:t>
      </w:r>
      <w:r>
        <w:t>iş sayılarak dava dosyasına eklenecektir.</w:t>
      </w:r>
    </w:p>
    <w:p w14:paraId="00000006" w14:textId="77777777" w:rsidR="008E0FA4" w:rsidRDefault="0098080D">
      <w:pPr>
        <w:numPr>
          <w:ilvl w:val="0"/>
          <w:numId w:val="1"/>
        </w:numPr>
        <w:ind w:left="0" w:firstLine="425"/>
        <w:jc w:val="both"/>
      </w:pPr>
      <w:r>
        <w:t>Yargılama giderlerini karşılamak için yeterli maddi imkâna sahip olmayan taraflar veya katılımcılar, yargılama giderlerinden muaf tutulma ve kendilerine ücretsiz bir avukat tayin edilmesi talebinde bulunabilirler.</w:t>
      </w:r>
    </w:p>
    <w:p w14:paraId="00000007" w14:textId="77777777" w:rsidR="008E0FA4" w:rsidRDefault="0098080D">
      <w:pPr>
        <w:ind w:firstLine="425"/>
        <w:jc w:val="both"/>
      </w:pPr>
      <w:r>
        <w:t>Taraf veya katılımcının gerçek kişi olması halinde, yargılama giderlerini kendisi ve ailesinin geçimi için gerekli olan ödemeden feragat etmeksizin karşılayamayacağını belirten bir beyanı varsa talebe eklenmelidir. Bu beyan, talepte bulunan kişinin ailevi durumu, malvarlığı, gelirleri ve geçim kaynakları hakkında ayrıntılı bilgiler içermelidir.</w:t>
      </w:r>
    </w:p>
    <w:p w14:paraId="00000008" w14:textId="77777777" w:rsidR="008E0FA4" w:rsidRDefault="0098080D">
      <w:pPr>
        <w:ind w:firstLine="425"/>
        <w:jc w:val="both"/>
      </w:pPr>
      <w:r>
        <w:t>Tüzel kişi veya kanunen hak ehliyetine sahip olan tüzel kişiliği olmayan kuruluşlar da yargılama giderlerini karşılayacak yeterli araçlara sahip olmadıklarını kanıtlamaları halinde, mahkeme tarafından yargılama giderlerinden muaf tutulabilirler.</w:t>
      </w:r>
    </w:p>
    <w:p w14:paraId="00000009" w14:textId="77777777" w:rsidR="008E0FA4" w:rsidRDefault="0098080D">
      <w:pPr>
        <w:ind w:firstLine="425"/>
        <w:jc w:val="both"/>
      </w:pPr>
      <w:r>
        <w:t>Bir ticaret şirketi ayrıca, ortaklarının veya hissedarlarının şirketin malvarlığını artırmak veya şirkete borç vermek için yeterli imkâna sahip olmadığını da kanıtlamalıdır. Bu hüküm, tek ortağı veya hissedarı Hazine ve Maliye Bakanlığı olan ticaret şirketleri için uygulanmaz.</w:t>
      </w:r>
    </w:p>
    <w:p w14:paraId="0000000A" w14:textId="77777777" w:rsidR="008E0FA4" w:rsidRDefault="0098080D">
      <w:pPr>
        <w:numPr>
          <w:ilvl w:val="0"/>
          <w:numId w:val="1"/>
        </w:numPr>
        <w:ind w:left="0" w:firstLine="425"/>
        <w:jc w:val="both"/>
      </w:pPr>
      <w:r>
        <w:t>Vekil; bir avukat veya hukuk müşaviri olabilir. Sınai mülkiyet konularında bir patent vekili; yeniden yapılandırma ve iflas davalarında ise yeniden yapılandırma danışmanı lisansına sahip bir kişi de vekil tayin edilebilir. Ayrıca; tarafın mal varlığını veya menfaatlerini yöneten kişi, davanın konusunun bu talimatın kapsamına girmesi kaydıyla tarafla sürekli bir vekalet/talimat ilişkisi içinde olan kişi, davanın diğer bir tarafı (müteselsil taraf), tarafın eşi, kardeşleri, altsoyu, üstsoyu veya tarafla evlat</w:t>
      </w:r>
      <w:r>
        <w:t>lık ilişkisi içinde olan kişiler de vekil olabilir.</w:t>
      </w:r>
    </w:p>
    <w:p w14:paraId="0000000B" w14:textId="77777777" w:rsidR="008E0FA4" w:rsidRDefault="0098080D">
      <w:pPr>
        <w:ind w:firstLine="425"/>
        <w:jc w:val="both"/>
      </w:pPr>
      <w:r>
        <w:t>Tüzel kişinin veya tacirin (tüzel kişiliği olmayanlar dahil) vekili, bu birimin veya bağlı bulunduğu üst kuruluşun çalışanı da olabilir. Müvekkilin hukuki işlerini yürüten tüzel kişi, bu müvekkil adına bir avukatı vekil tayin etme yetkisine sahipse ve müvekkil tarafından bu konuda yetkilendirilmişse, bu yetkiyi kullanabilir.</w:t>
      </w:r>
    </w:p>
    <w:p w14:paraId="0000000C" w14:textId="77777777" w:rsidR="008E0FA4" w:rsidRDefault="0098080D">
      <w:pPr>
        <w:ind w:firstLine="425"/>
        <w:jc w:val="both"/>
      </w:pPr>
      <w:r>
        <w:t>Çocuğun soybağının kurulması ve reddi ile nafaka taleplerine ilişkin davalarda, sosyal yardım konularında yetkili olan yerel yönetim biriminin temsilcisi ile aileye yardım etmeyi amaçlayan sosyal hizmet kuruluşlarının temsilcileri de vekil olabilir.</w:t>
      </w:r>
    </w:p>
    <w:p w14:paraId="0000000D" w14:textId="77777777" w:rsidR="008E0FA4" w:rsidRDefault="0098080D">
      <w:pPr>
        <w:ind w:firstLine="425"/>
        <w:jc w:val="both"/>
      </w:pPr>
      <w:r>
        <w:t>Tarım işletmesinin yönetimiyle ilgili davalarda, bir çiftçinin vekili, çiftçinin üyesi olduğu, bireysel çiftçileri bir araya getiren bir kuruluşun temsilcisi de olabilir.</w:t>
      </w:r>
    </w:p>
    <w:p w14:paraId="0000000E" w14:textId="77777777" w:rsidR="008E0FA4" w:rsidRDefault="0098080D">
      <w:pPr>
        <w:ind w:firstLine="425"/>
        <w:jc w:val="both"/>
      </w:pPr>
      <w:r>
        <w:t>Tüketici haklarının korunmasıyla ilgili davalarda, tüzüğünde tüketicinin korunması görevi bulunan bir kuruluşun temsilcisi de vekil olabilir.</w:t>
      </w:r>
    </w:p>
    <w:p w14:paraId="0000000F" w14:textId="77777777" w:rsidR="008E0FA4" w:rsidRDefault="0098080D">
      <w:pPr>
        <w:ind w:firstLine="425"/>
        <w:jc w:val="both"/>
      </w:pPr>
      <w:r>
        <w:lastRenderedPageBreak/>
        <w:t>Sınai mülkiyetin korunmasıyla ilgili davalarda, bir mucidin vekili, tüzüğünde sınai mülkiyeti destekleme ve mucitlere yardım etme görevi bulunan bir kuruluşun temsilcisi de olabilir.</w:t>
      </w:r>
    </w:p>
    <w:p w14:paraId="00000010" w14:textId="77777777" w:rsidR="008E0FA4" w:rsidRDefault="0098080D">
      <w:pPr>
        <w:ind w:firstLine="425"/>
        <w:jc w:val="both"/>
      </w:pPr>
      <w:r>
        <w:t>Bir vekil tayin edilmesi durumunda, vekil ilk işlem sırasında, asilin imzasını taşıyan vekaletnameyi veya onaylı bir örneğini ilgili mahkemeye sunmalıdır.</w:t>
      </w:r>
    </w:p>
    <w:p w14:paraId="00000011" w14:textId="77777777" w:rsidR="008E0FA4" w:rsidRDefault="0098080D">
      <w:pPr>
        <w:ind w:firstLine="425"/>
        <w:jc w:val="both"/>
        <w:rPr>
          <w:rFonts w:ascii="Verdana" w:eastAsia="Verdana" w:hAnsi="Verdana" w:cs="Verdana"/>
          <w:sz w:val="20"/>
          <w:szCs w:val="20"/>
        </w:rPr>
      </w:pPr>
      <w:r>
        <w:rPr>
          <w:rFonts w:ascii="Verdana" w:eastAsia="Verdana" w:hAnsi="Verdana" w:cs="Verdana"/>
          <w:sz w:val="20"/>
          <w:szCs w:val="20"/>
        </w:rPr>
        <w:t xml:space="preserve"> </w:t>
      </w:r>
    </w:p>
    <w:p w14:paraId="00000012" w14:textId="77777777" w:rsidR="008E0FA4" w:rsidRDefault="0098080D">
      <w:pPr>
        <w:ind w:firstLine="425"/>
        <w:jc w:val="both"/>
        <w:rPr>
          <w:rFonts w:ascii="Verdana" w:eastAsia="Verdana" w:hAnsi="Verdana" w:cs="Verdana"/>
          <w:sz w:val="20"/>
          <w:szCs w:val="20"/>
        </w:rPr>
      </w:pPr>
      <w:r>
        <w:rPr>
          <w:rFonts w:ascii="Verdana" w:eastAsia="Verdana" w:hAnsi="Verdana" w:cs="Verdana"/>
          <w:sz w:val="20"/>
          <w:szCs w:val="20"/>
        </w:rPr>
        <w:t xml:space="preserve"> </w:t>
      </w:r>
    </w:p>
    <w:p w14:paraId="00000013" w14:textId="77777777" w:rsidR="008E0FA4" w:rsidRDefault="0098080D">
      <w:pPr>
        <w:ind w:firstLine="425"/>
        <w:jc w:val="both"/>
        <w:rPr>
          <w:rFonts w:ascii="Verdana" w:eastAsia="Verdana" w:hAnsi="Verdana" w:cs="Verdana"/>
          <w:sz w:val="20"/>
          <w:szCs w:val="20"/>
        </w:rPr>
      </w:pPr>
      <w:r>
        <w:rPr>
          <w:rFonts w:ascii="Verdana" w:eastAsia="Verdana" w:hAnsi="Verdana" w:cs="Verdana"/>
          <w:sz w:val="20"/>
          <w:szCs w:val="20"/>
        </w:rPr>
        <w:t xml:space="preserve">  </w:t>
      </w:r>
    </w:p>
    <w:p w14:paraId="0000001C" w14:textId="77777777" w:rsidR="008E0FA4" w:rsidRDefault="008E0FA4">
      <w:pPr>
        <w:jc w:val="both"/>
        <w:rPr>
          <w:rFonts w:ascii="Verdana" w:eastAsia="Verdana" w:hAnsi="Verdana" w:cs="Verdana"/>
          <w:sz w:val="20"/>
          <w:szCs w:val="20"/>
        </w:rPr>
      </w:pPr>
    </w:p>
    <w:p w14:paraId="0000001D" w14:textId="77777777" w:rsidR="008E0FA4" w:rsidRDefault="0098080D">
      <w:pPr>
        <w:jc w:val="both"/>
        <w:rPr>
          <w:rFonts w:ascii="Verdana" w:eastAsia="Verdana" w:hAnsi="Verdana" w:cs="Verdana"/>
          <w:sz w:val="20"/>
          <w:szCs w:val="20"/>
        </w:rPr>
      </w:pPr>
      <w:r>
        <w:rPr>
          <w:rFonts w:ascii="Verdana" w:eastAsia="Verdana" w:hAnsi="Verdana" w:cs="Verdana"/>
          <w:sz w:val="20"/>
          <w:szCs w:val="20"/>
        </w:rPr>
        <w:t xml:space="preserve"> </w:t>
      </w:r>
    </w:p>
    <w:p w14:paraId="0000001E" w14:textId="77777777" w:rsidR="008E0FA4" w:rsidRDefault="008E0FA4">
      <w:pPr>
        <w:jc w:val="right"/>
        <w:rPr>
          <w:sz w:val="18"/>
          <w:szCs w:val="18"/>
        </w:rPr>
      </w:pPr>
    </w:p>
    <w:sectPr w:rsidR="008E0FA4">
      <w:headerReference w:type="even" r:id="rId8"/>
      <w:headerReference w:type="default" r:id="rId9"/>
      <w:footerReference w:type="even" r:id="rId10"/>
      <w:footerReference w:type="default" r:id="rId11"/>
      <w:headerReference w:type="first" r:id="rId12"/>
      <w:footerReference w:type="first" r:id="rId13"/>
      <w:pgSz w:w="11906" w:h="16838"/>
      <w:pgMar w:top="1417" w:right="859" w:bottom="1417" w:left="198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B89EE" w14:textId="77777777" w:rsidR="0098080D" w:rsidRDefault="0098080D">
      <w:pPr>
        <w:spacing w:after="0" w:line="240" w:lineRule="auto"/>
      </w:pPr>
      <w:r>
        <w:separator/>
      </w:r>
    </w:p>
  </w:endnote>
  <w:endnote w:type="continuationSeparator" w:id="0">
    <w:p w14:paraId="7722CCAE" w14:textId="77777777" w:rsidR="0098080D" w:rsidRDefault="00980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61909580-DECC-46A6-9691-42B0EB3AA23C}"/>
    <w:embedBold r:id="rId2" w:fontKey="{860B6EE3-C158-4698-815A-3A2208E9CDB5}"/>
    <w:embedItalic r:id="rId3" w:fontKey="{544294D0-8D9B-4EE9-BE17-DE588A906D8F}"/>
  </w:font>
  <w:font w:name="Calibri Light">
    <w:panose1 w:val="020F0302020204030204"/>
    <w:charset w:val="EE"/>
    <w:family w:val="swiss"/>
    <w:pitch w:val="variable"/>
    <w:sig w:usb0="E4002EFF" w:usb1="C000247B" w:usb2="00000009" w:usb3="00000000" w:csb0="000001FF" w:csb1="00000000"/>
    <w:embedRegular r:id="rId4" w:fontKey="{C672820B-97B1-4B51-B387-C0255D1D897A}"/>
  </w:font>
  <w:font w:name="Verdana">
    <w:panose1 w:val="020B0604030504040204"/>
    <w:charset w:val="EE"/>
    <w:family w:val="swiss"/>
    <w:pitch w:val="variable"/>
    <w:sig w:usb0="A00006FF" w:usb1="4000205B" w:usb2="00000010" w:usb3="00000000" w:csb0="0000019F" w:csb1="00000000"/>
    <w:embedRegular r:id="rId5" w:fontKey="{2D856A05-01A3-4773-AEC1-92E26A0AE8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2" w14:textId="77777777" w:rsidR="008E0FA4" w:rsidRDefault="008E0FA4">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7287D9C5" w:rsidR="008E0FA4" w:rsidRDefault="0098080D">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F235D">
      <w:rPr>
        <w:noProof/>
        <w:color w:val="000000"/>
      </w:rPr>
      <w:t>1</w:t>
    </w:r>
    <w:r>
      <w:rPr>
        <w:color w:val="000000"/>
      </w:rPr>
      <w:fldChar w:fldCharType="end"/>
    </w:r>
  </w:p>
  <w:p w14:paraId="00000024" w14:textId="77777777" w:rsidR="008E0FA4" w:rsidRDefault="008E0FA4">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5" w14:textId="77777777" w:rsidR="008E0FA4" w:rsidRDefault="008E0FA4">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88C6C" w14:textId="77777777" w:rsidR="0098080D" w:rsidRDefault="0098080D">
      <w:pPr>
        <w:spacing w:after="0" w:line="240" w:lineRule="auto"/>
      </w:pPr>
      <w:r>
        <w:separator/>
      </w:r>
    </w:p>
  </w:footnote>
  <w:footnote w:type="continuationSeparator" w:id="0">
    <w:p w14:paraId="7E6F950B" w14:textId="77777777" w:rsidR="0098080D" w:rsidRDefault="00980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F" w14:textId="77777777" w:rsidR="008E0FA4" w:rsidRDefault="008E0FA4">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0" w14:textId="77777777" w:rsidR="008E0FA4" w:rsidRDefault="008E0FA4">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8E0FA4" w:rsidRDefault="008E0FA4">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376A"/>
    <w:multiLevelType w:val="multilevel"/>
    <w:tmpl w:val="0E2CEE9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decimal"/>
      <w:lvlText w:val="%5."/>
      <w:lvlJc w:val="left"/>
      <w:pPr>
        <w:ind w:left="3600" w:hanging="360"/>
      </w:pPr>
      <w:rPr>
        <w:rFonts w:ascii="Times New Roman" w:eastAsia="Times New Roman" w:hAnsi="Times New Roman" w:cs="Times New Roman"/>
      </w:rPr>
    </w:lvl>
    <w:lvl w:ilvl="5">
      <w:start w:val="1"/>
      <w:numFmt w:val="decimal"/>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ascii="Times New Roman" w:eastAsia="Times New Roman" w:hAnsi="Times New Roman" w:cs="Times New Roman"/>
      </w:rPr>
    </w:lvl>
    <w:lvl w:ilvl="8">
      <w:start w:val="1"/>
      <w:numFmt w:val="decimal"/>
      <w:lvlText w:val="%9."/>
      <w:lvlJc w:val="left"/>
      <w:pPr>
        <w:ind w:left="6480" w:hanging="360"/>
      </w:pPr>
      <w:rPr>
        <w:rFonts w:ascii="Times New Roman" w:eastAsia="Times New Roman" w:hAnsi="Times New Roman" w:cs="Times New Roman"/>
      </w:rPr>
    </w:lvl>
  </w:abstractNum>
  <w:num w:numId="1" w16cid:durableId="1266573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E0FA4"/>
    <w:rsid w:val="004047A4"/>
    <w:rsid w:val="007F235D"/>
    <w:rsid w:val="008E0FA4"/>
    <w:rsid w:val="009119C6"/>
    <w:rsid w:val="009808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color w:val="2F5496"/>
      <w:sz w:val="40"/>
      <w:szCs w:val="40"/>
    </w:rPr>
  </w:style>
  <w:style w:type="paragraph" w:styleId="Nagwek2">
    <w:name w:val="heading 2"/>
    <w:basedOn w:val="Normalny"/>
    <w:next w:val="Normalny"/>
    <w:uiPriority w:val="9"/>
    <w:semiHidden/>
    <w:unhideWhenUsed/>
    <w:qFormat/>
    <w:pPr>
      <w:keepNext/>
      <w:keepLines/>
      <w:spacing w:before="160" w:after="80"/>
      <w:outlineLvl w:val="1"/>
    </w:pPr>
    <w:rPr>
      <w:color w:val="2F5496"/>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2F5496"/>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2F5496"/>
    </w:rPr>
  </w:style>
  <w:style w:type="paragraph" w:styleId="Nagwek5">
    <w:name w:val="heading 5"/>
    <w:basedOn w:val="Normalny"/>
    <w:next w:val="Normalny"/>
    <w:uiPriority w:val="9"/>
    <w:semiHidden/>
    <w:unhideWhenUsed/>
    <w:qFormat/>
    <w:pPr>
      <w:keepNext/>
      <w:keepLines/>
      <w:spacing w:before="80" w:after="40"/>
      <w:outlineLvl w:val="4"/>
    </w:pPr>
    <w:rPr>
      <w:color w:val="2F5496"/>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paragraph" w:styleId="Nagwek7">
    <w:name w:val="heading 7"/>
    <w:basedOn w:val="Normalny"/>
    <w:next w:val="Normalny"/>
    <w:link w:val="Nagwek7Znak"/>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pPr>
      <w:keepNext/>
      <w:keepLines/>
      <w:spacing w:after="0"/>
      <w:outlineLvl w:val="7"/>
    </w:pPr>
    <w:rPr>
      <w:rFonts w:eastAsiaTheme="majorEastAsia" w:cstheme="majorBidi"/>
      <w:i/>
      <w:iCs/>
      <w:color w:val="262626" w:themeColor="text1" w:themeTint="D9"/>
    </w:rPr>
  </w:style>
  <w:style w:type="paragraph" w:styleId="Nagwek9">
    <w:name w:val="heading 9"/>
    <w:basedOn w:val="Normalny"/>
    <w:next w:val="Normalny"/>
    <w:link w:val="Nagwek9Znak"/>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sz w:val="56"/>
      <w:szCs w:val="56"/>
    </w:rPr>
  </w:style>
  <w:style w:type="character" w:customStyle="1" w:styleId="Balk1Char">
    <w:name w:val="Başlık 1 Char"/>
    <w:basedOn w:val="Domylnaczcionkaakapitu"/>
    <w:uiPriority w:val="9"/>
    <w:qFormat/>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Domylnaczcionkaakapitu"/>
    <w:uiPriority w:val="9"/>
    <w:semiHidden/>
    <w:qFormat/>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Domylnaczcionkaakapitu"/>
    <w:uiPriority w:val="9"/>
    <w:semiHidden/>
    <w:qFormat/>
    <w:rPr>
      <w:rFonts w:eastAsiaTheme="majorEastAsia" w:cstheme="majorBidi"/>
      <w:color w:val="2F5496" w:themeColor="accent1" w:themeShade="BF"/>
      <w:sz w:val="28"/>
      <w:szCs w:val="28"/>
    </w:rPr>
  </w:style>
  <w:style w:type="character" w:customStyle="1" w:styleId="Balk4Char">
    <w:name w:val="Başlık 4 Char"/>
    <w:basedOn w:val="Domylnaczcionkaakapitu"/>
    <w:uiPriority w:val="9"/>
    <w:semiHidden/>
    <w:qFormat/>
    <w:rPr>
      <w:rFonts w:eastAsiaTheme="majorEastAsia" w:cstheme="majorBidi"/>
      <w:i/>
      <w:iCs/>
      <w:color w:val="2F5496" w:themeColor="accent1" w:themeShade="BF"/>
    </w:rPr>
  </w:style>
  <w:style w:type="character" w:customStyle="1" w:styleId="Balk5Char">
    <w:name w:val="Başlık 5 Char"/>
    <w:basedOn w:val="Domylnaczcionkaakapitu"/>
    <w:uiPriority w:val="9"/>
    <w:semiHidden/>
    <w:qFormat/>
    <w:rPr>
      <w:rFonts w:eastAsiaTheme="majorEastAsia" w:cstheme="majorBidi"/>
      <w:color w:val="2F5496" w:themeColor="accent1" w:themeShade="BF"/>
    </w:rPr>
  </w:style>
  <w:style w:type="character" w:customStyle="1" w:styleId="Balk6Char">
    <w:name w:val="Başlık 6 Char"/>
    <w:basedOn w:val="Domylnaczcionkaakapitu"/>
    <w:uiPriority w:val="9"/>
    <w:semiHidden/>
    <w:qFormat/>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Pr>
      <w:rFonts w:eastAsiaTheme="majorEastAsia" w:cstheme="majorBidi"/>
      <w:i/>
      <w:iCs/>
      <w:color w:val="262626" w:themeColor="text1" w:themeTint="D9"/>
    </w:rPr>
  </w:style>
  <w:style w:type="character" w:customStyle="1" w:styleId="Nagwek9Znak">
    <w:name w:val="Nagłówek 9 Znak"/>
    <w:basedOn w:val="Domylnaczcionkaakapitu"/>
    <w:link w:val="Nagwek9"/>
    <w:uiPriority w:val="9"/>
    <w:semiHidden/>
    <w:qFormat/>
    <w:rPr>
      <w:rFonts w:eastAsiaTheme="majorEastAsia" w:cstheme="majorBidi"/>
      <w:color w:val="262626" w:themeColor="text1" w:themeTint="D9"/>
    </w:rPr>
  </w:style>
  <w:style w:type="character" w:customStyle="1" w:styleId="KonuBalChar">
    <w:name w:val="Konu Başlığı Char"/>
    <w:basedOn w:val="Domylnaczcionkaakapitu"/>
    <w:uiPriority w:val="10"/>
    <w:qFormat/>
    <w:rPr>
      <w:rFonts w:asciiTheme="majorHAnsi" w:eastAsiaTheme="majorEastAsia" w:hAnsiTheme="majorHAnsi" w:cstheme="majorBidi"/>
      <w:spacing w:val="-10"/>
      <w:kern w:val="28"/>
      <w:sz w:val="56"/>
      <w:szCs w:val="56"/>
    </w:rPr>
  </w:style>
  <w:style w:type="character" w:customStyle="1" w:styleId="AltyazChar">
    <w:name w:val="Altyazı Char"/>
    <w:basedOn w:val="Domylnaczcionkaakapitu"/>
    <w:uiPriority w:val="11"/>
    <w:qFormat/>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pPr>
      <w:spacing w:before="160"/>
      <w:jc w:val="center"/>
    </w:pPr>
    <w:rPr>
      <w:i/>
      <w:iCs/>
      <w:color w:val="404040" w:themeColor="text1" w:themeTint="BF"/>
    </w:rPr>
  </w:style>
  <w:style w:type="character" w:customStyle="1" w:styleId="CytatZnak">
    <w:name w:val="Cytat Znak"/>
    <w:basedOn w:val="Domylnaczcionkaakapitu"/>
    <w:link w:val="Cytat"/>
    <w:uiPriority w:val="29"/>
    <w:qFormat/>
    <w:rPr>
      <w:i/>
      <w:iCs/>
      <w:color w:val="404040" w:themeColor="text1" w:themeTint="BF"/>
    </w:rPr>
  </w:style>
  <w:style w:type="paragraph" w:styleId="Akapitzlist">
    <w:name w:val="List Paragraph"/>
    <w:basedOn w:val="Normalny"/>
    <w:uiPriority w:val="34"/>
    <w:qFormat/>
    <w:pPr>
      <w:ind w:left="720"/>
      <w:contextualSpacing/>
    </w:pPr>
  </w:style>
  <w:style w:type="character" w:customStyle="1" w:styleId="GlVurgulama1">
    <w:name w:val="Güçlü Vurgulama1"/>
    <w:basedOn w:val="Domylnaczcionkaakapitu"/>
    <w:uiPriority w:val="21"/>
    <w:qFormat/>
    <w:rPr>
      <w:i/>
      <w:iCs/>
      <w:color w:val="2F5496" w:themeColor="accent1" w:themeShade="BF"/>
    </w:rPr>
  </w:style>
  <w:style w:type="paragraph" w:styleId="Cytatintensywny">
    <w:name w:val="Intense Quote"/>
    <w:basedOn w:val="Normalny"/>
    <w:next w:val="Normalny"/>
    <w:link w:val="CytatintensywnyZnak"/>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Pr>
      <w:i/>
      <w:iCs/>
      <w:color w:val="2F5496" w:themeColor="accent1" w:themeShade="BF"/>
    </w:rPr>
  </w:style>
  <w:style w:type="character" w:customStyle="1" w:styleId="GlBavuru1">
    <w:name w:val="Güçlü Başvuru1"/>
    <w:basedOn w:val="Domylnaczcionkaakapitu"/>
    <w:uiPriority w:val="32"/>
    <w:qFormat/>
    <w:rPr>
      <w:b/>
      <w:bCs/>
      <w:smallCaps/>
      <w:color w:val="2F5496" w:themeColor="accent1" w:themeShade="BF"/>
      <w:spacing w:val="5"/>
    </w:rPr>
  </w:style>
  <w:style w:type="paragraph" w:styleId="Nagwek">
    <w:name w:val="header"/>
    <w:basedOn w:val="Normalny"/>
    <w:link w:val="NagwekZnak"/>
    <w:uiPriority w:val="99"/>
    <w:unhideWhenUsed/>
    <w:rsid w:val="00195FD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5FD5"/>
    <w:rPr>
      <w:kern w:val="2"/>
      <w:sz w:val="22"/>
      <w:szCs w:val="22"/>
      <w:lang w:eastAsia="en-US"/>
    </w:rPr>
  </w:style>
  <w:style w:type="paragraph" w:styleId="Stopka">
    <w:name w:val="footer"/>
    <w:basedOn w:val="Normalny"/>
    <w:link w:val="StopkaZnak"/>
    <w:uiPriority w:val="99"/>
    <w:unhideWhenUsed/>
    <w:rsid w:val="00195FD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5FD5"/>
    <w:rPr>
      <w:kern w:val="2"/>
      <w:sz w:val="22"/>
      <w:szCs w:val="22"/>
      <w:lang w:eastAsia="en-US"/>
    </w:rPr>
  </w:style>
  <w:style w:type="paragraph" w:styleId="Podtytu">
    <w:name w:val="Subtitle"/>
    <w:basedOn w:val="Normalny"/>
    <w:next w:val="Normalny"/>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MDfCqqpSvIPsTm4YLfKtBXB3eQ==">CgMxLjA4AHIhMTFxczgzRDRscjNDRkNZN0JiemMya0RtOU5iaUJfTlk0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3105</Characters>
  <Application>Microsoft Office Word</Application>
  <DocSecurity>0</DocSecurity>
  <Lines>54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2026-03-25T10:14:00Z</dcterms:created>
  <dcterms:modified xsi:type="dcterms:W3CDTF">2026-03-25T10:16:00Z</dcterms:modified>
</cp:coreProperties>
</file>