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8689" w14:textId="512F0971" w:rsidR="00F44149" w:rsidRDefault="3FACEEB2" w:rsidP="43A9135D">
      <w:pPr>
        <w:pStyle w:val="NoSpacing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3A9135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OPIS PRZEDMIOTU ZAMÓWIENIA</w:t>
      </w:r>
    </w:p>
    <w:p w14:paraId="6AEC148B" w14:textId="1C334B05" w:rsidR="00F44149" w:rsidRDefault="00F44149" w:rsidP="43A9135D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943A5D3" w14:textId="34DE26F4" w:rsidR="00F44149" w:rsidRDefault="4E9AAFF6" w:rsidP="7E28126D">
      <w:pPr>
        <w:pStyle w:val="Title"/>
        <w:spacing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625D937">
        <w:rPr>
          <w:rFonts w:ascii="Calibri" w:eastAsia="Calibri" w:hAnsi="Calibri" w:cs="Calibri"/>
          <w:color w:val="000000" w:themeColor="text1"/>
          <w:sz w:val="28"/>
          <w:szCs w:val="28"/>
        </w:rPr>
        <w:t>na</w:t>
      </w:r>
      <w:r w:rsidRPr="2625D9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“</w:t>
      </w:r>
      <w:r w:rsidR="69D9403F" w:rsidRPr="2625D9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Przeprowadzenie kampanii </w:t>
      </w:r>
      <w:proofErr w:type="spellStart"/>
      <w:r w:rsidR="69D9403F" w:rsidRPr="2625D9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cyberawereness</w:t>
      </w:r>
      <w:proofErr w:type="spellEnd"/>
      <w:r w:rsidR="69D9403F" w:rsidRPr="2625D9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oraz szkoleń z zakresu </w:t>
      </w:r>
      <w:proofErr w:type="spellStart"/>
      <w:r w:rsidR="69D9403F" w:rsidRPr="2625D9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cyberbezpieczeństwa</w:t>
      </w:r>
      <w:proofErr w:type="spellEnd"/>
      <w:r w:rsidRPr="2625D9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”.</w:t>
      </w:r>
    </w:p>
    <w:p w14:paraId="0D0B27C6" w14:textId="77777777" w:rsidR="00726A3D" w:rsidRDefault="00726A3D" w:rsidP="00726A3D"/>
    <w:p w14:paraId="403BFBBB" w14:textId="662B8C96" w:rsidR="00E275E1" w:rsidRPr="00E275E1" w:rsidRDefault="00E275E1" w:rsidP="00034C68">
      <w:pPr>
        <w:pStyle w:val="Heading1"/>
      </w:pPr>
      <w:r w:rsidRPr="00E275E1">
        <w:t>Wstęp</w:t>
      </w:r>
    </w:p>
    <w:p w14:paraId="583501BC" w14:textId="49A92C6E" w:rsidR="00E275E1" w:rsidRPr="00E275E1" w:rsidRDefault="00E275E1" w:rsidP="00E275E1">
      <w:pPr>
        <w:pStyle w:val="Heading2"/>
      </w:pPr>
      <w:r w:rsidRPr="00E275E1">
        <w:t>Cel zamówienia</w:t>
      </w:r>
    </w:p>
    <w:p w14:paraId="04906A1C" w14:textId="77777777" w:rsidR="00E275E1" w:rsidRPr="00E275E1" w:rsidRDefault="00E275E1" w:rsidP="00E275E1">
      <w:r w:rsidRPr="00E275E1">
        <w:t xml:space="preserve">Celem zamówienia jest kompleksowe podniesienie poziomu świadomości i kompetencji pracowników Urzędu Zamówień Publicznych w zakresie </w:t>
      </w:r>
      <w:proofErr w:type="spellStart"/>
      <w:r w:rsidRPr="00E275E1">
        <w:t>cyberbezpieczeństwa</w:t>
      </w:r>
      <w:proofErr w:type="spellEnd"/>
      <w:r w:rsidRPr="00E275E1">
        <w:t>, ze szczególnym uwzględnieniem ograniczenia ryzyka ataków socjotechnicznych (</w:t>
      </w:r>
      <w:proofErr w:type="spellStart"/>
      <w:r w:rsidRPr="00E275E1">
        <w:t>phishing</w:t>
      </w:r>
      <w:proofErr w:type="spellEnd"/>
      <w:r w:rsidRPr="00E275E1">
        <w:t xml:space="preserve">, </w:t>
      </w:r>
      <w:proofErr w:type="spellStart"/>
      <w:r w:rsidRPr="00E275E1">
        <w:t>smishing</w:t>
      </w:r>
      <w:proofErr w:type="spellEnd"/>
      <w:r w:rsidRPr="00E275E1">
        <w:t>, ataki przez komunikatory) oraz wdrożenia nowoczesnych praktyk ochrony informacji. Program ma na celu trwałą zmianę postaw i nawyków użytkowników, budowę kultury bezpieczeństwa oraz zwiększenie odporności organizacji na zagrożenia związane z działalnością człowieka.</w:t>
      </w:r>
    </w:p>
    <w:p w14:paraId="4704A624" w14:textId="6C120875" w:rsidR="00E275E1" w:rsidRPr="00E275E1" w:rsidRDefault="00E275E1" w:rsidP="00E275E1">
      <w:pPr>
        <w:pStyle w:val="Heading2"/>
      </w:pPr>
      <w:r w:rsidRPr="00E275E1">
        <w:t>Kontekst projektu i źródła finansowania</w:t>
      </w:r>
    </w:p>
    <w:p w14:paraId="18669097" w14:textId="77777777" w:rsidR="00E275E1" w:rsidRPr="00E275E1" w:rsidRDefault="00E275E1" w:rsidP="00E275E1">
      <w:r w:rsidRPr="00E275E1">
        <w:t xml:space="preserve">Projekt realizowany jest w ramach Krajowego Planu Odbudowy i Zwiększania Odporności oraz programu „Cyberbezpieczny Rząd”, finansowanego ze środków </w:t>
      </w:r>
      <w:proofErr w:type="spellStart"/>
      <w:r w:rsidRPr="00E275E1">
        <w:t>NextGenerationEU</w:t>
      </w:r>
      <w:proofErr w:type="spellEnd"/>
      <w:r w:rsidRPr="00E275E1">
        <w:t xml:space="preserve">. Stanowi element strategii bezpieczeństwa organizacji, mający na celu wzmocnienie infrastruktury teleinformatycznej oraz podniesienie kompetencji pracowników w zakresie </w:t>
      </w:r>
      <w:proofErr w:type="spellStart"/>
      <w:r w:rsidRPr="00E275E1">
        <w:t>cyberbezpieczeństwa</w:t>
      </w:r>
      <w:proofErr w:type="spellEnd"/>
      <w:r w:rsidRPr="00E275E1">
        <w:t>.</w:t>
      </w:r>
    </w:p>
    <w:p w14:paraId="31C5BEB5" w14:textId="54046948" w:rsidR="00E275E1" w:rsidRPr="00E275E1" w:rsidRDefault="00E275E1" w:rsidP="00E275E1">
      <w:pPr>
        <w:pStyle w:val="Heading2"/>
      </w:pPr>
      <w:r w:rsidRPr="00E275E1">
        <w:t>Zakres czasowy i możliwość przedłużenia</w:t>
      </w:r>
    </w:p>
    <w:p w14:paraId="0A31F508" w14:textId="5B90D8AD" w:rsidR="00E275E1" w:rsidRPr="00E275E1" w:rsidRDefault="00E275E1" w:rsidP="00E275E1">
      <w:r>
        <w:t xml:space="preserve">Umowa zostanie zawarta na okres do </w:t>
      </w:r>
      <w:r w:rsidR="00933B0B">
        <w:t xml:space="preserve">15. </w:t>
      </w:r>
      <w:r>
        <w:t xml:space="preserve">czerwca 2026. Zamawiający </w:t>
      </w:r>
      <w:r w:rsidR="00CE3DF4">
        <w:t>przewiduje prawo opcji</w:t>
      </w:r>
      <w:r>
        <w:t>, na warunkach określonych w dokumentacji zamówienia.</w:t>
      </w:r>
    </w:p>
    <w:p w14:paraId="3991EE20" w14:textId="3463D780" w:rsidR="00E275E1" w:rsidRPr="00E275E1" w:rsidRDefault="00E275E1" w:rsidP="00E275E1">
      <w:pPr>
        <w:pStyle w:val="Heading2"/>
      </w:pPr>
      <w:r w:rsidRPr="00E275E1">
        <w:t>Zakres przedmiotu zamówienia</w:t>
      </w:r>
    </w:p>
    <w:p w14:paraId="2E6920A3" w14:textId="77777777" w:rsidR="00E275E1" w:rsidRPr="00E275E1" w:rsidRDefault="00E275E1" w:rsidP="00E275E1">
      <w:r w:rsidRPr="00E275E1">
        <w:t>Przedmiot zamówienia obejmuje:</w:t>
      </w:r>
    </w:p>
    <w:p w14:paraId="1215CCFB" w14:textId="77777777" w:rsidR="00E275E1" w:rsidRPr="00E275E1" w:rsidRDefault="00E275E1" w:rsidP="00935970">
      <w:pPr>
        <w:numPr>
          <w:ilvl w:val="0"/>
          <w:numId w:val="1"/>
        </w:numPr>
      </w:pPr>
      <w:r w:rsidRPr="00E275E1">
        <w:t>Przeprowadzenie szkoleń stacjonarnych i zdalnych (</w:t>
      </w:r>
      <w:proofErr w:type="spellStart"/>
      <w:r w:rsidRPr="00E275E1">
        <w:t>webinarów</w:t>
      </w:r>
      <w:proofErr w:type="spellEnd"/>
      <w:r w:rsidRPr="00E275E1">
        <w:t>) dla wszystkich pracowników oraz dedykowanych spotkań indywidualnych dla kierownictwa i dyrektorów.</w:t>
      </w:r>
    </w:p>
    <w:p w14:paraId="696582C3" w14:textId="77777777" w:rsidR="00E275E1" w:rsidRPr="00E275E1" w:rsidRDefault="00E275E1" w:rsidP="00935970">
      <w:pPr>
        <w:numPr>
          <w:ilvl w:val="0"/>
          <w:numId w:val="1"/>
        </w:numPr>
      </w:pPr>
      <w:r w:rsidRPr="00E275E1">
        <w:t xml:space="preserve">Organizację i realizację regularnych kampanii </w:t>
      </w:r>
      <w:proofErr w:type="spellStart"/>
      <w:r w:rsidRPr="00E275E1">
        <w:t>cyber</w:t>
      </w:r>
      <w:proofErr w:type="spellEnd"/>
      <w:r w:rsidRPr="00E275E1">
        <w:t xml:space="preserve"> </w:t>
      </w:r>
      <w:proofErr w:type="spellStart"/>
      <w:r w:rsidRPr="00E275E1">
        <w:t>awareness</w:t>
      </w:r>
      <w:proofErr w:type="spellEnd"/>
      <w:r w:rsidRPr="00E275E1">
        <w:t xml:space="preserve">, w tym symulacji ataków </w:t>
      </w:r>
      <w:proofErr w:type="spellStart"/>
      <w:r w:rsidRPr="00E275E1">
        <w:t>phishingowych</w:t>
      </w:r>
      <w:proofErr w:type="spellEnd"/>
      <w:r w:rsidRPr="00E275E1">
        <w:t xml:space="preserve">, </w:t>
      </w:r>
      <w:proofErr w:type="spellStart"/>
      <w:r w:rsidRPr="00E275E1">
        <w:t>smishingowych</w:t>
      </w:r>
      <w:proofErr w:type="spellEnd"/>
      <w:r w:rsidRPr="00E275E1">
        <w:t xml:space="preserve"> i przez komunikatory.</w:t>
      </w:r>
    </w:p>
    <w:p w14:paraId="69EAA84F" w14:textId="1FF8FACA" w:rsidR="00E275E1" w:rsidRPr="00E275E1" w:rsidRDefault="00901CA5" w:rsidP="00935970">
      <w:pPr>
        <w:numPr>
          <w:ilvl w:val="0"/>
          <w:numId w:val="1"/>
        </w:numPr>
      </w:pPr>
      <w:r>
        <w:t>S</w:t>
      </w:r>
      <w:r w:rsidR="00E275E1" w:rsidRPr="00E275E1">
        <w:t>zkolenie z wykorzystania kluczy sprzętowych U2F (</w:t>
      </w:r>
      <w:proofErr w:type="spellStart"/>
      <w:r w:rsidR="00E275E1" w:rsidRPr="00E275E1">
        <w:t>Yubikey</w:t>
      </w:r>
      <w:proofErr w:type="spellEnd"/>
      <w:r w:rsidR="00E275E1" w:rsidRPr="00E275E1">
        <w:t xml:space="preserve">) oraz </w:t>
      </w:r>
      <w:proofErr w:type="spellStart"/>
      <w:r w:rsidR="00E275E1" w:rsidRPr="00E275E1">
        <w:t>follow-up</w:t>
      </w:r>
      <w:proofErr w:type="spellEnd"/>
      <w:r w:rsidR="00E275E1" w:rsidRPr="00E275E1">
        <w:t xml:space="preserve"> szkoleniowy.</w:t>
      </w:r>
    </w:p>
    <w:p w14:paraId="6A47CEB7" w14:textId="77777777" w:rsidR="00E275E1" w:rsidRPr="00E275E1" w:rsidRDefault="00E275E1" w:rsidP="00935970">
      <w:pPr>
        <w:numPr>
          <w:ilvl w:val="0"/>
          <w:numId w:val="1"/>
        </w:numPr>
      </w:pPr>
      <w:r w:rsidRPr="00E275E1">
        <w:t>Raportowanie, ewaluację działań edukacyjnych oraz wsparcie powdrożeniowe i konsultacje eksperckie.</w:t>
      </w:r>
    </w:p>
    <w:p w14:paraId="0904BECD" w14:textId="44C75ECF" w:rsidR="00521BFE" w:rsidRPr="00521BFE" w:rsidRDefault="00521BFE" w:rsidP="00521BFE">
      <w:pPr>
        <w:pStyle w:val="Heading1"/>
      </w:pPr>
      <w:r w:rsidRPr="00521BFE">
        <w:t>Zakres przedmiotu zamówienia</w:t>
      </w:r>
    </w:p>
    <w:p w14:paraId="1618867B" w14:textId="549D5943" w:rsidR="00521BFE" w:rsidRPr="00521BFE" w:rsidRDefault="00521BFE" w:rsidP="00521BFE">
      <w:pPr>
        <w:pStyle w:val="Heading2"/>
      </w:pPr>
      <w:r w:rsidRPr="00521BFE">
        <w:t>Zakres ogólny</w:t>
      </w:r>
    </w:p>
    <w:p w14:paraId="45EBE584" w14:textId="77777777" w:rsidR="00521BFE" w:rsidRPr="00521BFE" w:rsidRDefault="00521BFE" w:rsidP="00521BFE">
      <w:r w:rsidRPr="00521BFE">
        <w:t xml:space="preserve">Przedmiot zamówienia obejmuje kompleksową realizację programu podnoszenia świadomości </w:t>
      </w:r>
      <w:proofErr w:type="spellStart"/>
      <w:r w:rsidRPr="00521BFE">
        <w:t>cyberbezpieczeństwa</w:t>
      </w:r>
      <w:proofErr w:type="spellEnd"/>
      <w:r w:rsidRPr="00521BFE">
        <w:t xml:space="preserve"> w Urzędzie Zamówień Publicznych, zorientowanego na trwałą zmianę postaw i nawyków pracowników oraz ograniczenie ryzyka ataków socjotechnicznych i wycieków danych. Program łączy działania edukacyjne, praktyczne oraz motywacyjne, obejmując wszystkie kluczowe grupy pracowników.</w:t>
      </w:r>
    </w:p>
    <w:p w14:paraId="05D0C1B6" w14:textId="20E715D0" w:rsidR="00521BFE" w:rsidRPr="00521BFE" w:rsidRDefault="00521BFE" w:rsidP="00521BFE">
      <w:pPr>
        <w:pStyle w:val="Heading2"/>
      </w:pPr>
      <w:r w:rsidRPr="00521BFE">
        <w:t>Zakres rzeczowy – podział na komponenty</w:t>
      </w:r>
    </w:p>
    <w:p w14:paraId="34A424E8" w14:textId="0D86DD1B" w:rsidR="00521BFE" w:rsidRPr="00521BFE" w:rsidRDefault="00521BFE" w:rsidP="00521BFE">
      <w:pPr>
        <w:pStyle w:val="Heading3"/>
      </w:pPr>
      <w:r w:rsidRPr="00521BFE">
        <w:t>Szkolenia stacjonarne i zdalne</w:t>
      </w:r>
    </w:p>
    <w:p w14:paraId="70F78372" w14:textId="7EA46214" w:rsidR="00825750" w:rsidRPr="00521BFE" w:rsidRDefault="00521BFE" w:rsidP="00A64303">
      <w:pPr>
        <w:numPr>
          <w:ilvl w:val="0"/>
          <w:numId w:val="3"/>
        </w:numPr>
      </w:pPr>
      <w:r w:rsidRPr="00521BFE">
        <w:t>Realizacja szkoleń stacjonarnych w siedzibie zamawiającego (ul. Postępu 17a, Warszawa)</w:t>
      </w:r>
      <w:r w:rsidR="003323DC">
        <w:t xml:space="preserve"> obejmujących dwa cykle szkoleniowe dla w sumie 160 osób, </w:t>
      </w:r>
      <w:r w:rsidRPr="00521BFE">
        <w:t xml:space="preserve">w grupach do 40 osób, bez cateringu, </w:t>
      </w:r>
      <w:r w:rsidR="001955FB">
        <w:t>w sali</w:t>
      </w:r>
      <w:r w:rsidRPr="00521BFE">
        <w:t xml:space="preserve"> </w:t>
      </w:r>
      <w:r w:rsidR="001955FB">
        <w:t>zapewnionej</w:t>
      </w:r>
      <w:r w:rsidRPr="00521BFE">
        <w:t xml:space="preserve"> przez zamawiającego.</w:t>
      </w:r>
      <w:r w:rsidR="004343CA">
        <w:t xml:space="preserve"> </w:t>
      </w:r>
      <w:r w:rsidR="003323DC">
        <w:t xml:space="preserve"> Jedno szkolenie trwa</w:t>
      </w:r>
      <w:r w:rsidR="004B0D18">
        <w:t>jące</w:t>
      </w:r>
      <w:r w:rsidR="003323DC">
        <w:t xml:space="preserve"> maksymalnie </w:t>
      </w:r>
      <w:r w:rsidR="004B0D18">
        <w:t>45</w:t>
      </w:r>
      <w:r w:rsidR="00FE3D1B">
        <w:t xml:space="preserve"> minut.</w:t>
      </w:r>
    </w:p>
    <w:p w14:paraId="4440434C" w14:textId="66D8B0C2" w:rsidR="00521BFE" w:rsidRDefault="00861458" w:rsidP="00351AD7">
      <w:pPr>
        <w:numPr>
          <w:ilvl w:val="0"/>
          <w:numId w:val="3"/>
        </w:numPr>
      </w:pPr>
      <w:r>
        <w:t xml:space="preserve">Realizacja szkoleń zdalnych </w:t>
      </w:r>
      <w:r w:rsidR="00521BFE" w:rsidRPr="00521BFE">
        <w:t>prowadzon</w:t>
      </w:r>
      <w:r w:rsidR="00351AD7">
        <w:t>ych</w:t>
      </w:r>
      <w:r w:rsidR="00521BFE" w:rsidRPr="00521BFE">
        <w:t xml:space="preserve"> na platformie MS </w:t>
      </w:r>
      <w:proofErr w:type="spellStart"/>
      <w:r w:rsidR="00521BFE" w:rsidRPr="00521BFE">
        <w:t>Teams</w:t>
      </w:r>
      <w:proofErr w:type="spellEnd"/>
      <w:r w:rsidR="00521BFE" w:rsidRPr="00521BFE">
        <w:t xml:space="preserve"> zamawiającego, z możliwością zadawania pytań na żywo, nagrywane i archiwizowane przez zamawiającego.</w:t>
      </w:r>
    </w:p>
    <w:p w14:paraId="38840A4E" w14:textId="11512FCB" w:rsidR="00A64303" w:rsidRPr="00521BFE" w:rsidRDefault="00A64303" w:rsidP="00351AD7">
      <w:pPr>
        <w:numPr>
          <w:ilvl w:val="0"/>
          <w:numId w:val="3"/>
        </w:numPr>
      </w:pPr>
      <w:r>
        <w:t xml:space="preserve">Szkolenia stacjonarne i zdalne realizowane zgodnie z </w:t>
      </w:r>
      <w:r>
        <w:fldChar w:fldCharType="begin"/>
      </w:r>
      <w:r>
        <w:instrText xml:space="preserve"> REF _Ref209172001 \r \h </w:instrText>
      </w:r>
      <w:r>
        <w:fldChar w:fldCharType="separate"/>
      </w:r>
      <w:r>
        <w:t>5.1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_Ref209172001 \h </w:instrText>
      </w:r>
      <w:r>
        <w:fldChar w:fldCharType="separate"/>
      </w:r>
      <w:r w:rsidRPr="00737DBD">
        <w:t>Struktura cyklu szkoleniowego</w:t>
      </w:r>
      <w:r>
        <w:fldChar w:fldCharType="end"/>
      </w:r>
      <w:r>
        <w:t>.</w:t>
      </w:r>
    </w:p>
    <w:p w14:paraId="11786ADB" w14:textId="50B486DA" w:rsidR="00521BFE" w:rsidRPr="00521BFE" w:rsidRDefault="00521BFE" w:rsidP="00935970">
      <w:pPr>
        <w:numPr>
          <w:ilvl w:val="0"/>
          <w:numId w:val="3"/>
        </w:numPr>
      </w:pPr>
      <w:r>
        <w:t>Szkolenia indywidualne dla nowych pracowników (do 10</w:t>
      </w:r>
      <w:r w:rsidR="6CBDD17B">
        <w:t xml:space="preserve"> szkoleń</w:t>
      </w:r>
      <w:r>
        <w:t xml:space="preserve"> w okresie </w:t>
      </w:r>
      <w:r w:rsidR="006F2045">
        <w:t>pół roku</w:t>
      </w:r>
      <w:r>
        <w:t>), realizowane zdalnie na żądanie, w dni robocze w godzinach pracy urzędu, z możliwością grupowania w przypadku kilku zgłoszeń w jednym tygodniu.</w:t>
      </w:r>
    </w:p>
    <w:p w14:paraId="53A81AAA" w14:textId="77777777" w:rsidR="00521BFE" w:rsidRPr="00521BFE" w:rsidRDefault="00521BFE" w:rsidP="00935970">
      <w:pPr>
        <w:numPr>
          <w:ilvl w:val="0"/>
          <w:numId w:val="3"/>
        </w:numPr>
      </w:pPr>
      <w:r w:rsidRPr="00521BFE">
        <w:t>Przewodnik po bezpieczeństwie (2 strony, elektronicznie) przekazywany każdemu nowemu pracownikowi.</w:t>
      </w:r>
    </w:p>
    <w:p w14:paraId="7313D40E" w14:textId="2358D608" w:rsidR="00521BFE" w:rsidRPr="00521BFE" w:rsidRDefault="00521BFE" w:rsidP="00521BFE">
      <w:pPr>
        <w:pStyle w:val="Heading3"/>
      </w:pPr>
      <w:r w:rsidRPr="00521BFE">
        <w:t>Spotkania indywidualne dla kierownictwa i dyrektorów</w:t>
      </w:r>
    </w:p>
    <w:p w14:paraId="5ABB174B" w14:textId="77777777" w:rsidR="00521BFE" w:rsidRPr="00521BFE" w:rsidRDefault="00521BFE" w:rsidP="00935970">
      <w:pPr>
        <w:numPr>
          <w:ilvl w:val="0"/>
          <w:numId w:val="4"/>
        </w:numPr>
      </w:pPr>
      <w:r w:rsidRPr="00521BFE">
        <w:t>Spotkania 1:1 (stacjonarne) dla 5 osób z kierownictwa i 17 dyrektorów, trwające 45–60 minut, z przygotowaniem OSINT na temat uczestnika.</w:t>
      </w:r>
    </w:p>
    <w:p w14:paraId="56797BF9" w14:textId="77777777" w:rsidR="00521BFE" w:rsidRPr="00521BFE" w:rsidRDefault="00521BFE" w:rsidP="00935970">
      <w:pPr>
        <w:numPr>
          <w:ilvl w:val="0"/>
          <w:numId w:val="4"/>
        </w:numPr>
      </w:pPr>
      <w:r w:rsidRPr="00521BFE">
        <w:t>Zakres spotkania obejmuje przekrojowe zagadnienia, analizę indywidualnych zagrożeń, czas na pytania indywidualne.</w:t>
      </w:r>
    </w:p>
    <w:p w14:paraId="0D95F699" w14:textId="77777777" w:rsidR="00521BFE" w:rsidRPr="00521BFE" w:rsidRDefault="00521BFE" w:rsidP="00935970">
      <w:pPr>
        <w:numPr>
          <w:ilvl w:val="0"/>
          <w:numId w:val="4"/>
        </w:numPr>
      </w:pPr>
      <w:r w:rsidRPr="00521BFE">
        <w:t>Spotkania nie są dokumentowane, nie przewiduje się przekazywania materiałów podsumowujących.</w:t>
      </w:r>
    </w:p>
    <w:p w14:paraId="4D21F7B7" w14:textId="39182ABB" w:rsidR="00521BFE" w:rsidRPr="00521BFE" w:rsidRDefault="0010105E" w:rsidP="00521BFE">
      <w:pPr>
        <w:pStyle w:val="Heading3"/>
      </w:pPr>
      <w:r>
        <w:t>K</w:t>
      </w:r>
      <w:r w:rsidR="00521BFE" w:rsidRPr="00521BFE">
        <w:t xml:space="preserve">ampanie </w:t>
      </w:r>
      <w:proofErr w:type="spellStart"/>
      <w:r w:rsidR="00521BFE" w:rsidRPr="00521BFE">
        <w:t>cyber</w:t>
      </w:r>
      <w:proofErr w:type="spellEnd"/>
      <w:r w:rsidR="00521BFE" w:rsidRPr="00521BFE">
        <w:t xml:space="preserve"> </w:t>
      </w:r>
      <w:proofErr w:type="spellStart"/>
      <w:r w:rsidR="00521BFE" w:rsidRPr="00521BFE">
        <w:t>awareness</w:t>
      </w:r>
      <w:proofErr w:type="spellEnd"/>
      <w:r w:rsidR="00521BFE" w:rsidRPr="00521BFE">
        <w:t xml:space="preserve"> i symulacje ataków</w:t>
      </w:r>
    </w:p>
    <w:p w14:paraId="2B2900CC" w14:textId="77777777" w:rsidR="00521BFE" w:rsidRPr="00521BFE" w:rsidRDefault="00521BFE" w:rsidP="00935970">
      <w:pPr>
        <w:numPr>
          <w:ilvl w:val="0"/>
          <w:numId w:val="5"/>
        </w:numPr>
      </w:pPr>
      <w:r>
        <w:t xml:space="preserve">Regularne kampanie </w:t>
      </w:r>
      <w:proofErr w:type="spellStart"/>
      <w:r>
        <w:t>phishingowe</w:t>
      </w:r>
      <w:proofErr w:type="spellEnd"/>
      <w:r>
        <w:t xml:space="preserve">, </w:t>
      </w:r>
      <w:proofErr w:type="spellStart"/>
      <w:r>
        <w:t>smishingowe</w:t>
      </w:r>
      <w:proofErr w:type="spellEnd"/>
      <w:r>
        <w:t xml:space="preserve"> (SMS) oraz przez komunikatory (MS </w:t>
      </w:r>
      <w:proofErr w:type="spellStart"/>
      <w:r>
        <w:t>Teams</w:t>
      </w:r>
      <w:proofErr w:type="spellEnd"/>
      <w:r>
        <w:t xml:space="preserve"> i inne popularne komunikatory), każda forma wykorzystana co najmniej dwukrotnie w okresie umowy.</w:t>
      </w:r>
    </w:p>
    <w:p w14:paraId="07BABD27" w14:textId="556592DD" w:rsidR="10675513" w:rsidRDefault="10675513" w:rsidP="400F2FDC">
      <w:pPr>
        <w:numPr>
          <w:ilvl w:val="0"/>
          <w:numId w:val="5"/>
        </w:numPr>
      </w:pPr>
      <w:r>
        <w:t xml:space="preserve">Kampania telefoniczna – </w:t>
      </w:r>
      <w:proofErr w:type="spellStart"/>
      <w:r>
        <w:t>vishing</w:t>
      </w:r>
      <w:proofErr w:type="spellEnd"/>
      <w:r>
        <w:t xml:space="preserve"> do trzech osób wskazanych przez Zamawiającego na etapie realiza</w:t>
      </w:r>
      <w:r w:rsidR="23D06110">
        <w:t>cji umowy</w:t>
      </w:r>
    </w:p>
    <w:p w14:paraId="5F10595D" w14:textId="77777777" w:rsidR="00521BFE" w:rsidRPr="00521BFE" w:rsidRDefault="00521BFE" w:rsidP="00935970">
      <w:pPr>
        <w:numPr>
          <w:ilvl w:val="0"/>
          <w:numId w:val="5"/>
        </w:numPr>
      </w:pPr>
      <w:r w:rsidRPr="00521BFE">
        <w:t xml:space="preserve">60% akcji </w:t>
      </w:r>
      <w:proofErr w:type="spellStart"/>
      <w:r w:rsidRPr="00521BFE">
        <w:t>targetowanych</w:t>
      </w:r>
      <w:proofErr w:type="spellEnd"/>
      <w:r w:rsidRPr="00521BFE">
        <w:t xml:space="preserve"> na całą organizację, 40% na wybrane grupy funkcyjne (w uzgodnieniu z zamawiającym).</w:t>
      </w:r>
    </w:p>
    <w:p w14:paraId="11413B06" w14:textId="77777777" w:rsidR="00521BFE" w:rsidRPr="00521BFE" w:rsidRDefault="00521BFE" w:rsidP="00935970">
      <w:pPr>
        <w:numPr>
          <w:ilvl w:val="0"/>
          <w:numId w:val="5"/>
        </w:numPr>
      </w:pPr>
      <w:r w:rsidRPr="00521BFE">
        <w:t>Szablony wiadomości każdorazowo zatwierdzane przez zamawiającego.</w:t>
      </w:r>
    </w:p>
    <w:p w14:paraId="2C3A9193" w14:textId="77777777" w:rsidR="00521BFE" w:rsidRPr="00521BFE" w:rsidRDefault="00521BFE" w:rsidP="00935970">
      <w:pPr>
        <w:numPr>
          <w:ilvl w:val="0"/>
          <w:numId w:val="5"/>
        </w:numPr>
      </w:pPr>
      <w:r w:rsidRPr="00521BFE">
        <w:t>Raporty z kampanii zawierają szczegółową analizę skuteczności szablonów, statystyki uczestnictwa, rekomendacje naprawcze dla grup z niskim zaangażowaniem oraz konsultacje z zespołem ds. bezpieczeństwa.</w:t>
      </w:r>
    </w:p>
    <w:p w14:paraId="5DEF882C" w14:textId="74B1904E" w:rsidR="00521BFE" w:rsidRPr="00521BFE" w:rsidRDefault="19C25791" w:rsidP="00521BFE">
      <w:pPr>
        <w:pStyle w:val="Heading3"/>
      </w:pPr>
      <w:r>
        <w:t>Materiały na</w:t>
      </w:r>
      <w:r w:rsidR="3DF4635B">
        <w:t xml:space="preserve"> </w:t>
      </w:r>
      <w:r w:rsidR="00966426">
        <w:t>P</w:t>
      </w:r>
      <w:r w:rsidR="00521BFE">
        <w:t>latform</w:t>
      </w:r>
      <w:r w:rsidR="397607FF">
        <w:t>ę</w:t>
      </w:r>
      <w:r w:rsidR="00521BFE">
        <w:t xml:space="preserve"> szkoleniow</w:t>
      </w:r>
      <w:r w:rsidR="5D3129C2">
        <w:t>ą</w:t>
      </w:r>
    </w:p>
    <w:p w14:paraId="64E98068" w14:textId="348CE7EE" w:rsidR="00521BFE" w:rsidRPr="00937B05" w:rsidRDefault="00521BFE" w:rsidP="00966426">
      <w:pPr>
        <w:numPr>
          <w:ilvl w:val="0"/>
          <w:numId w:val="6"/>
        </w:numPr>
        <w:rPr>
          <w:lang w:val="en-US"/>
        </w:rPr>
      </w:pPr>
    </w:p>
    <w:p w14:paraId="6CF01262" w14:textId="77777777" w:rsidR="00521BFE" w:rsidRPr="00521BFE" w:rsidRDefault="00521BFE" w:rsidP="00935970">
      <w:pPr>
        <w:numPr>
          <w:ilvl w:val="0"/>
          <w:numId w:val="6"/>
        </w:numPr>
      </w:pPr>
      <w:r w:rsidRPr="00521BFE">
        <w:t>Automatyczne, cotygodniowe mikro-lekcje (2–5 min), powiadomienia e-mail, segmentacja użytkowników według działów/roli.</w:t>
      </w:r>
    </w:p>
    <w:p w14:paraId="50FE3C6D" w14:textId="77777777" w:rsidR="00521BFE" w:rsidRPr="00521BFE" w:rsidRDefault="00521BFE" w:rsidP="00935970">
      <w:pPr>
        <w:numPr>
          <w:ilvl w:val="0"/>
          <w:numId w:val="6"/>
        </w:numPr>
      </w:pPr>
      <w:r w:rsidRPr="00521BFE">
        <w:t>Raportowanie i analityka w podziale na segmenty użytkowników oraz ogólnie.</w:t>
      </w:r>
    </w:p>
    <w:p w14:paraId="44610122" w14:textId="77777777" w:rsidR="00521BFE" w:rsidRPr="00521BFE" w:rsidRDefault="00521BFE" w:rsidP="00935970">
      <w:pPr>
        <w:numPr>
          <w:ilvl w:val="0"/>
          <w:numId w:val="6"/>
        </w:numPr>
      </w:pPr>
      <w:r w:rsidRPr="00521BFE">
        <w:t>Przechowywanie historii wszystkich kampanii i szkoleń przez cały okres trwania umowy oraz po jej zakończeniu (przez okres przejściowy).</w:t>
      </w:r>
    </w:p>
    <w:p w14:paraId="58753F88" w14:textId="77777777" w:rsidR="00521BFE" w:rsidRPr="00521BFE" w:rsidRDefault="00521BFE" w:rsidP="00935970">
      <w:pPr>
        <w:numPr>
          <w:ilvl w:val="0"/>
          <w:numId w:val="6"/>
        </w:numPr>
      </w:pPr>
      <w:r w:rsidRPr="00521BFE">
        <w:t>Personalizacja interfejsu zgodnie z identyfikacją wizualną zamawiającego.</w:t>
      </w:r>
    </w:p>
    <w:p w14:paraId="25131781" w14:textId="77777777" w:rsidR="00521BFE" w:rsidRPr="00521BFE" w:rsidRDefault="00521BFE" w:rsidP="00935970">
      <w:pPr>
        <w:numPr>
          <w:ilvl w:val="0"/>
          <w:numId w:val="6"/>
        </w:numPr>
      </w:pPr>
      <w:r w:rsidRPr="00521BFE">
        <w:t xml:space="preserve">Platforma nie przechowuje nagrań </w:t>
      </w:r>
      <w:proofErr w:type="spellStart"/>
      <w:r w:rsidRPr="00521BFE">
        <w:t>webinarów</w:t>
      </w:r>
      <w:proofErr w:type="spellEnd"/>
      <w:r w:rsidRPr="00521BFE">
        <w:t xml:space="preserve">/szkoleń (przechowywane na MS </w:t>
      </w:r>
      <w:proofErr w:type="spellStart"/>
      <w:r w:rsidRPr="00521BFE">
        <w:t>Teams</w:t>
      </w:r>
      <w:proofErr w:type="spellEnd"/>
      <w:r w:rsidRPr="00521BFE">
        <w:t xml:space="preserve"> zamawiającego), nie generuje certyfikatów z podpisem elektronicznym, nie prowadzi komunikacji przez SMS.</w:t>
      </w:r>
    </w:p>
    <w:p w14:paraId="68797432" w14:textId="1CAA5BBF" w:rsidR="00521BFE" w:rsidRPr="00521BFE" w:rsidRDefault="68A12C3C" w:rsidP="00B758BF">
      <w:pPr>
        <w:pStyle w:val="Heading3"/>
      </w:pPr>
      <w:r>
        <w:t>W</w:t>
      </w:r>
      <w:r w:rsidR="00521BFE">
        <w:t>drożenie kluczy sprzętowych U2F</w:t>
      </w:r>
    </w:p>
    <w:p w14:paraId="3846D895" w14:textId="77777777" w:rsidR="00521BFE" w:rsidRPr="00521BFE" w:rsidRDefault="00521BFE" w:rsidP="00935970">
      <w:pPr>
        <w:numPr>
          <w:ilvl w:val="0"/>
          <w:numId w:val="7"/>
        </w:numPr>
      </w:pPr>
      <w:r w:rsidRPr="00521BFE">
        <w:t>Szkolenia z obsługi kluczy realizowane w grupach do 40 osób, z instrukcjami elektronicznymi (Windows, Android).</w:t>
      </w:r>
    </w:p>
    <w:p w14:paraId="10EFA1ED" w14:textId="77777777" w:rsidR="00521BFE" w:rsidRPr="00521BFE" w:rsidRDefault="00521BFE" w:rsidP="00935970">
      <w:pPr>
        <w:numPr>
          <w:ilvl w:val="0"/>
          <w:numId w:val="7"/>
        </w:numPr>
      </w:pPr>
      <w:r w:rsidRPr="00521BFE">
        <w:t xml:space="preserve">Szkolenie </w:t>
      </w:r>
      <w:proofErr w:type="spellStart"/>
      <w:r w:rsidRPr="00521BFE">
        <w:t>follow-up</w:t>
      </w:r>
      <w:proofErr w:type="spellEnd"/>
      <w:r w:rsidRPr="00521BFE">
        <w:t xml:space="preserve"> miesiąc po wydaniu wszystkich kluczy, w formie wideokonferencji z możliwością nagrania.</w:t>
      </w:r>
    </w:p>
    <w:p w14:paraId="1DD44E7F" w14:textId="3E842B12" w:rsidR="00521BFE" w:rsidRPr="00521BFE" w:rsidRDefault="00521BFE" w:rsidP="00B758BF">
      <w:pPr>
        <w:pStyle w:val="Heading3"/>
      </w:pPr>
      <w:r w:rsidRPr="00521BFE">
        <w:t>Raportowanie i ewaluacja</w:t>
      </w:r>
    </w:p>
    <w:p w14:paraId="74D42863" w14:textId="77777777" w:rsidR="00521BFE" w:rsidRPr="00521BFE" w:rsidRDefault="00521BFE" w:rsidP="00935970">
      <w:pPr>
        <w:numPr>
          <w:ilvl w:val="0"/>
          <w:numId w:val="8"/>
        </w:numPr>
      </w:pPr>
      <w:r w:rsidRPr="00521BFE">
        <w:t>Raporty generowane automatycznie z platformy po każdej kampanii, uzupełniane o komentarz ekspercki z rekomendacjami naprawczymi.</w:t>
      </w:r>
    </w:p>
    <w:p w14:paraId="0A1E5E65" w14:textId="79333ED0" w:rsidR="00521BFE" w:rsidRPr="00521BFE" w:rsidRDefault="00521BFE" w:rsidP="00935970">
      <w:pPr>
        <w:numPr>
          <w:ilvl w:val="0"/>
          <w:numId w:val="8"/>
        </w:numPr>
      </w:pPr>
      <w:r w:rsidRPr="00521BFE">
        <w:t>Raporty zawierają statystyki uczestnictwa, skuteczności szablonów, liczbę użytkowników niebiorących udziału w kampanii.</w:t>
      </w:r>
    </w:p>
    <w:p w14:paraId="4A18090E" w14:textId="77777777" w:rsidR="00521BFE" w:rsidRPr="00521BFE" w:rsidRDefault="00521BFE" w:rsidP="00935970">
      <w:pPr>
        <w:numPr>
          <w:ilvl w:val="0"/>
          <w:numId w:val="8"/>
        </w:numPr>
      </w:pPr>
      <w:r w:rsidRPr="00521BFE">
        <w:t>Konsultacje z zespołem ds. bezpieczeństwa po każdej kampanii (forma elastyczna).</w:t>
      </w:r>
    </w:p>
    <w:p w14:paraId="1720390D" w14:textId="4D1BBEE2" w:rsidR="00521BFE" w:rsidRPr="00521BFE" w:rsidRDefault="00521BFE" w:rsidP="00B758BF">
      <w:pPr>
        <w:pStyle w:val="Heading3"/>
      </w:pPr>
      <w:r w:rsidRPr="00521BFE">
        <w:t>Wsparcie powdrożeniowe i konsultacje</w:t>
      </w:r>
    </w:p>
    <w:p w14:paraId="185DA352" w14:textId="77777777" w:rsidR="00521BFE" w:rsidRPr="00521BFE" w:rsidRDefault="00521BFE" w:rsidP="00935970">
      <w:pPr>
        <w:numPr>
          <w:ilvl w:val="0"/>
          <w:numId w:val="9"/>
        </w:numPr>
      </w:pPr>
      <w:r w:rsidRPr="00521BFE">
        <w:t>10 godzin konsultacji miesięcznie do wykorzystania na indywidualne konsultacje lub doradztwo (online).</w:t>
      </w:r>
    </w:p>
    <w:p w14:paraId="5B4F2E45" w14:textId="77777777" w:rsidR="00521BFE" w:rsidRDefault="00521BFE" w:rsidP="00935970">
      <w:pPr>
        <w:numPr>
          <w:ilvl w:val="0"/>
          <w:numId w:val="9"/>
        </w:numPr>
      </w:pPr>
      <w:r>
        <w:t xml:space="preserve">Okresowe konsultacje/przeglądy </w:t>
      </w:r>
      <w:commentRangeStart w:id="0"/>
      <w:r>
        <w:t xml:space="preserve">programu </w:t>
      </w:r>
      <w:commentRangeEnd w:id="0"/>
      <w:r>
        <w:rPr>
          <w:rStyle w:val="CommentReference"/>
        </w:rPr>
        <w:commentReference w:id="0"/>
      </w:r>
      <w:r>
        <w:t>online.</w:t>
      </w:r>
    </w:p>
    <w:p w14:paraId="0E79B3B3" w14:textId="7A63BF55" w:rsidR="003C5C66" w:rsidRPr="003C5C66" w:rsidRDefault="003C5C66" w:rsidP="003C5C66">
      <w:pPr>
        <w:pStyle w:val="Heading1"/>
      </w:pPr>
      <w:r w:rsidRPr="003C5C66">
        <w:t>Cele i mierzalne efekty programu</w:t>
      </w:r>
    </w:p>
    <w:p w14:paraId="6DEF89AE" w14:textId="53D631C4" w:rsidR="003C5C66" w:rsidRPr="003C5C66" w:rsidRDefault="003C5C66" w:rsidP="003C5C66">
      <w:pPr>
        <w:pStyle w:val="Heading2"/>
      </w:pPr>
      <w:r w:rsidRPr="003C5C66">
        <w:t>Cele strategiczne i operacyjne</w:t>
      </w:r>
    </w:p>
    <w:p w14:paraId="1981C622" w14:textId="77777777" w:rsidR="003C5C66" w:rsidRPr="003C5C66" w:rsidRDefault="003C5C66" w:rsidP="003C5C66">
      <w:r w:rsidRPr="003C5C66">
        <w:t xml:space="preserve">Celem programu jest trwałe podniesienie poziomu świadomości i kompetencji pracowników Urzędu Zamówień Publicznych w zakresie </w:t>
      </w:r>
      <w:proofErr w:type="spellStart"/>
      <w:r w:rsidRPr="003C5C66">
        <w:t>cyberbezpieczeństwa</w:t>
      </w:r>
      <w:proofErr w:type="spellEnd"/>
      <w:r w:rsidRPr="003C5C66">
        <w:t>, co ma przełożyć się na:</w:t>
      </w:r>
    </w:p>
    <w:p w14:paraId="229ACBD0" w14:textId="77777777" w:rsidR="003C5C66" w:rsidRPr="003C5C66" w:rsidRDefault="003C5C66" w:rsidP="00935970">
      <w:pPr>
        <w:numPr>
          <w:ilvl w:val="0"/>
          <w:numId w:val="10"/>
        </w:numPr>
      </w:pPr>
      <w:r w:rsidRPr="003C5C66">
        <w:rPr>
          <w:b/>
          <w:bCs/>
        </w:rPr>
        <w:t>Zmniejszenie podatności organizacji na ataki socjotechniczne</w:t>
      </w:r>
      <w:r w:rsidRPr="003C5C66">
        <w:t> (</w:t>
      </w:r>
      <w:proofErr w:type="spellStart"/>
      <w:r w:rsidRPr="003C5C66">
        <w:t>phishing</w:t>
      </w:r>
      <w:proofErr w:type="spellEnd"/>
      <w:r w:rsidRPr="003C5C66">
        <w:t xml:space="preserve">, </w:t>
      </w:r>
      <w:proofErr w:type="spellStart"/>
      <w:r w:rsidRPr="003C5C66">
        <w:t>smishing</w:t>
      </w:r>
      <w:proofErr w:type="spellEnd"/>
      <w:r w:rsidRPr="003C5C66">
        <w:t>, ataki przez komunikatory),</w:t>
      </w:r>
    </w:p>
    <w:p w14:paraId="2789ACA7" w14:textId="77777777" w:rsidR="003C5C66" w:rsidRPr="003C5C66" w:rsidRDefault="003C5C66" w:rsidP="00935970">
      <w:pPr>
        <w:numPr>
          <w:ilvl w:val="0"/>
          <w:numId w:val="10"/>
        </w:numPr>
      </w:pPr>
      <w:r w:rsidRPr="003C5C66">
        <w:rPr>
          <w:b/>
          <w:bCs/>
        </w:rPr>
        <w:t>Wzrost liczby zgłoszeń podejrzanych wiadomości</w:t>
      </w:r>
      <w:r w:rsidRPr="003C5C66">
        <w:t> i proaktywnego reagowania na zagrożenia,</w:t>
      </w:r>
    </w:p>
    <w:p w14:paraId="67B13E16" w14:textId="77777777" w:rsidR="003C5C66" w:rsidRPr="003C5C66" w:rsidRDefault="003C5C66" w:rsidP="00935970">
      <w:pPr>
        <w:numPr>
          <w:ilvl w:val="0"/>
          <w:numId w:val="10"/>
        </w:numPr>
      </w:pPr>
      <w:r w:rsidRPr="003C5C66">
        <w:rPr>
          <w:b/>
          <w:bCs/>
        </w:rPr>
        <w:t>Zwiększenie zaangażowania użytkowników</w:t>
      </w:r>
      <w:r w:rsidRPr="003C5C66">
        <w:t> w działania edukacyjne i utrwalenie nawyków bezpiecznego zachowania,</w:t>
      </w:r>
    </w:p>
    <w:p w14:paraId="15A7AD68" w14:textId="77777777" w:rsidR="003C5C66" w:rsidRPr="003C5C66" w:rsidRDefault="003C5C66" w:rsidP="00935970">
      <w:pPr>
        <w:numPr>
          <w:ilvl w:val="0"/>
          <w:numId w:val="10"/>
        </w:numPr>
      </w:pPr>
      <w:r w:rsidRPr="003C5C66">
        <w:rPr>
          <w:b/>
          <w:bCs/>
        </w:rPr>
        <w:t>Budowę kultury bezpieczeństwa</w:t>
      </w:r>
      <w:r w:rsidRPr="003C5C66">
        <w:t> oraz trwałą zmianę postaw pracowników w zakresie ochrony informacji,</w:t>
      </w:r>
    </w:p>
    <w:p w14:paraId="5CB43955" w14:textId="77777777" w:rsidR="003C5C66" w:rsidRPr="003C5C66" w:rsidRDefault="003C5C66" w:rsidP="00935970">
      <w:pPr>
        <w:numPr>
          <w:ilvl w:val="0"/>
          <w:numId w:val="10"/>
        </w:numPr>
      </w:pPr>
      <w:r w:rsidRPr="003C5C66">
        <w:rPr>
          <w:b/>
          <w:bCs/>
        </w:rPr>
        <w:t>Zwiększenie odporności organizacji</w:t>
      </w:r>
      <w:r w:rsidRPr="003C5C66">
        <w:t> na wycieki danych, naruszenia bezpieczeństwa systemów oraz konsekwencje prawne i wizerunkowe.</w:t>
      </w:r>
    </w:p>
    <w:p w14:paraId="090867D2" w14:textId="77777777" w:rsidR="003C5C66" w:rsidRPr="003C5C66" w:rsidRDefault="003C5C66" w:rsidP="003C5C66">
      <w:r w:rsidRPr="003C5C66">
        <w:t>Program ma charakter ciągły i adaptacyjny, a jego celem jest nie tylko realizacja kursów, ale przede wszystkim trwała zmiana postaw i zachowań użytkowników.</w:t>
      </w:r>
    </w:p>
    <w:p w14:paraId="22839305" w14:textId="6105F3EE" w:rsidR="003C5C66" w:rsidRPr="003C5C66" w:rsidRDefault="003C5C66" w:rsidP="008603D6">
      <w:pPr>
        <w:pStyle w:val="Heading2"/>
      </w:pPr>
      <w:r w:rsidRPr="003C5C66">
        <w:t>Wskaźniki efektywności (KPI)</w:t>
      </w:r>
    </w:p>
    <w:p w14:paraId="2CABF558" w14:textId="77777777" w:rsidR="003C5C66" w:rsidRPr="003C5C66" w:rsidRDefault="003C5C66" w:rsidP="003C5C66">
      <w:r w:rsidRPr="003C5C66">
        <w:t>Efektywność programu będzie monitorowana na bieżąco za pomocą narzędzi analitycznych platformy szkoleniowej oraz raportów eksperckich. Główne KPI obejmują:</w:t>
      </w:r>
    </w:p>
    <w:p w14:paraId="5BEFF23B" w14:textId="77777777" w:rsidR="003C5C66" w:rsidRPr="003C5C66" w:rsidRDefault="003C5C66" w:rsidP="00935970">
      <w:pPr>
        <w:numPr>
          <w:ilvl w:val="0"/>
          <w:numId w:val="11"/>
        </w:numPr>
      </w:pPr>
      <w:proofErr w:type="spellStart"/>
      <w:r w:rsidRPr="003C5C66">
        <w:rPr>
          <w:b/>
          <w:bCs/>
        </w:rPr>
        <w:t>Phishing</w:t>
      </w:r>
      <w:proofErr w:type="spellEnd"/>
      <w:r w:rsidRPr="003C5C66">
        <w:rPr>
          <w:b/>
          <w:bCs/>
        </w:rPr>
        <w:t xml:space="preserve"> </w:t>
      </w:r>
      <w:proofErr w:type="spellStart"/>
      <w:r w:rsidRPr="003C5C66">
        <w:rPr>
          <w:b/>
          <w:bCs/>
        </w:rPr>
        <w:t>Failure</w:t>
      </w:r>
      <w:proofErr w:type="spellEnd"/>
      <w:r w:rsidRPr="003C5C66">
        <w:rPr>
          <w:b/>
          <w:bCs/>
        </w:rPr>
        <w:t xml:space="preserve"> </w:t>
      </w:r>
      <w:proofErr w:type="spellStart"/>
      <w:r w:rsidRPr="003C5C66">
        <w:rPr>
          <w:b/>
          <w:bCs/>
        </w:rPr>
        <w:t>Rate</w:t>
      </w:r>
      <w:proofErr w:type="spellEnd"/>
      <w:r w:rsidRPr="003C5C66">
        <w:t xml:space="preserve"> – odsetek użytkowników, którzy dali się złapać na symulowany </w:t>
      </w:r>
      <w:proofErr w:type="spellStart"/>
      <w:r w:rsidRPr="003C5C66">
        <w:t>phishing</w:t>
      </w:r>
      <w:proofErr w:type="spellEnd"/>
      <w:r w:rsidRPr="003C5C66">
        <w:t xml:space="preserve"> (kliknięcie, podanie danych).</w:t>
      </w:r>
    </w:p>
    <w:p w14:paraId="1F2CA34B" w14:textId="77777777" w:rsidR="003C5C66" w:rsidRPr="003C5C66" w:rsidRDefault="003C5C66" w:rsidP="00935970">
      <w:pPr>
        <w:numPr>
          <w:ilvl w:val="0"/>
          <w:numId w:val="11"/>
        </w:numPr>
      </w:pPr>
      <w:proofErr w:type="spellStart"/>
      <w:r w:rsidRPr="003C5C66">
        <w:rPr>
          <w:b/>
          <w:bCs/>
        </w:rPr>
        <w:t>Phishing</w:t>
      </w:r>
      <w:proofErr w:type="spellEnd"/>
      <w:r w:rsidRPr="003C5C66">
        <w:rPr>
          <w:b/>
          <w:bCs/>
        </w:rPr>
        <w:t xml:space="preserve"> Report </w:t>
      </w:r>
      <w:proofErr w:type="spellStart"/>
      <w:r w:rsidRPr="003C5C66">
        <w:rPr>
          <w:b/>
          <w:bCs/>
        </w:rPr>
        <w:t>Rate</w:t>
      </w:r>
      <w:proofErr w:type="spellEnd"/>
      <w:r w:rsidRPr="003C5C66">
        <w:t> – odsetek użytkowników, którzy prawidłowo zgłosili podejrzaną wiadomość.</w:t>
      </w:r>
    </w:p>
    <w:p w14:paraId="0E813044" w14:textId="77777777" w:rsidR="003C5C66" w:rsidRPr="003C5C66" w:rsidRDefault="003C5C66" w:rsidP="00935970">
      <w:pPr>
        <w:numPr>
          <w:ilvl w:val="0"/>
          <w:numId w:val="11"/>
        </w:numPr>
      </w:pPr>
      <w:r w:rsidRPr="003C5C66">
        <w:rPr>
          <w:b/>
          <w:bCs/>
        </w:rPr>
        <w:t>User Engagement</w:t>
      </w:r>
      <w:r w:rsidRPr="003C5C66">
        <w:t> – udział użytkowników w mikro-lekcjach (procent aktywnych, liczba ukończonych lekcji, średni czas reakcji).</w:t>
      </w:r>
    </w:p>
    <w:p w14:paraId="0D256724" w14:textId="77777777" w:rsidR="003C5C66" w:rsidRPr="003C5C66" w:rsidRDefault="003C5C66" w:rsidP="00935970">
      <w:pPr>
        <w:numPr>
          <w:ilvl w:val="0"/>
          <w:numId w:val="11"/>
        </w:numPr>
      </w:pPr>
      <w:r w:rsidRPr="003C5C66">
        <w:rPr>
          <w:b/>
          <w:bCs/>
        </w:rPr>
        <w:t>Poziom wiedzy użytkowników</w:t>
      </w:r>
      <w:r w:rsidRPr="003C5C66">
        <w:t xml:space="preserve"> – wyniki testów i quizów w kluczowych grupach tematycznych (polityki haseł, inżynieria społeczna, praca zdalna, poruszanie się po </w:t>
      </w:r>
      <w:proofErr w:type="spellStart"/>
      <w:r w:rsidRPr="003C5C66">
        <w:t>internecie</w:t>
      </w:r>
      <w:proofErr w:type="spellEnd"/>
      <w:r w:rsidRPr="003C5C66">
        <w:t xml:space="preserve">, media społecznościowe, </w:t>
      </w:r>
      <w:proofErr w:type="spellStart"/>
      <w:r w:rsidRPr="003C5C66">
        <w:t>phishing</w:t>
      </w:r>
      <w:proofErr w:type="spellEnd"/>
      <w:r w:rsidRPr="003C5C66">
        <w:t xml:space="preserve">, </w:t>
      </w:r>
      <w:proofErr w:type="spellStart"/>
      <w:r w:rsidRPr="003C5C66">
        <w:t>malware</w:t>
      </w:r>
      <w:proofErr w:type="spellEnd"/>
      <w:r w:rsidRPr="003C5C66">
        <w:t>, bezpieczeństwo urządzenia fizycznego, ochrona danych), mierzony na bieżąco po każdej mikro-lekcji/temacie.</w:t>
      </w:r>
    </w:p>
    <w:p w14:paraId="0E0113F4" w14:textId="77777777" w:rsidR="003C5C66" w:rsidRPr="003C5C66" w:rsidRDefault="003C5C66" w:rsidP="00935970">
      <w:pPr>
        <w:numPr>
          <w:ilvl w:val="0"/>
          <w:numId w:val="11"/>
        </w:numPr>
      </w:pPr>
      <w:r w:rsidRPr="003C5C66">
        <w:rPr>
          <w:b/>
          <w:bCs/>
        </w:rPr>
        <w:t>Liczba użytkowników niebiorących udziału w kampaniach</w:t>
      </w:r>
      <w:r w:rsidRPr="003C5C66">
        <w:t xml:space="preserve"> – monitorowanie i raportowanie wskaźników również dla użytkowników, którzy nie ukończyli żadnej mikro-lekcji lub nie wzięli udziału w kampanii </w:t>
      </w:r>
      <w:proofErr w:type="spellStart"/>
      <w:r w:rsidRPr="003C5C66">
        <w:t>phishingowej</w:t>
      </w:r>
      <w:proofErr w:type="spellEnd"/>
      <w:r w:rsidRPr="003C5C66">
        <w:t>.</w:t>
      </w:r>
    </w:p>
    <w:p w14:paraId="5A672259" w14:textId="77777777" w:rsidR="003C5C66" w:rsidRPr="003C5C66" w:rsidRDefault="003C5C66" w:rsidP="003C5C66">
      <w:r w:rsidRPr="003C5C66">
        <w:t>Wskaźniki będą raportowane ogólnie oraz w narzędziu szkoleniowym, z możliwością segmentacji użytkowników (wg działów, ról) w raportach i kampaniach.</w:t>
      </w:r>
    </w:p>
    <w:p w14:paraId="419D9EB4" w14:textId="265FC706" w:rsidR="003C5C66" w:rsidRPr="003C5C66" w:rsidRDefault="003C5C66" w:rsidP="00A17AF2">
      <w:pPr>
        <w:pStyle w:val="Heading2"/>
      </w:pPr>
      <w:r w:rsidRPr="003C5C66">
        <w:t>Sposób pomiaru, raportowania i ewaluacji</w:t>
      </w:r>
    </w:p>
    <w:p w14:paraId="56DE2838" w14:textId="77777777" w:rsidR="003C5C66" w:rsidRPr="003C5C66" w:rsidRDefault="003C5C66" w:rsidP="00935970">
      <w:pPr>
        <w:numPr>
          <w:ilvl w:val="0"/>
          <w:numId w:val="12"/>
        </w:numPr>
      </w:pPr>
      <w:r w:rsidRPr="003C5C66">
        <w:rPr>
          <w:b/>
          <w:bCs/>
        </w:rPr>
        <w:t>Pomiar bazowy:</w:t>
      </w:r>
      <w:r w:rsidRPr="003C5C66">
        <w:t xml:space="preserve"> Przed rozpoczęciem programu wykonawca przeprowadzi testy wiedzy oraz pierwszą symulację </w:t>
      </w:r>
      <w:proofErr w:type="spellStart"/>
      <w:r w:rsidRPr="003C5C66">
        <w:t>phishingu</w:t>
      </w:r>
      <w:proofErr w:type="spellEnd"/>
      <w:r w:rsidRPr="003C5C66">
        <w:t>, aby ustalić poziom wyjściowy odporności i zaangażowania.</w:t>
      </w:r>
    </w:p>
    <w:p w14:paraId="23B9DB77" w14:textId="77777777" w:rsidR="003C5C66" w:rsidRPr="003C5C66" w:rsidRDefault="003C5C66" w:rsidP="00935970">
      <w:pPr>
        <w:numPr>
          <w:ilvl w:val="0"/>
          <w:numId w:val="12"/>
        </w:numPr>
      </w:pPr>
      <w:r w:rsidRPr="003C5C66">
        <w:rPr>
          <w:b/>
          <w:bCs/>
        </w:rPr>
        <w:t>Raportowanie:</w:t>
      </w:r>
      <w:r w:rsidRPr="003C5C66">
        <w:t> Raporty generowane automatycznie z platformy szkoleniowej po każdej kampanii, uzupełniane o komentarz ekspercki (osobny dokument). Raporty zawierają prezentację wskaźników, trendów oraz rekomendacje dotyczące dalszych działań edukacyjnych (w szczególności działań naprawczych dla grup z niskim zaangażowaniem).</w:t>
      </w:r>
    </w:p>
    <w:p w14:paraId="2C252605" w14:textId="77777777" w:rsidR="003C5C66" w:rsidRPr="003C5C66" w:rsidRDefault="003C5C66" w:rsidP="00935970">
      <w:pPr>
        <w:numPr>
          <w:ilvl w:val="0"/>
          <w:numId w:val="12"/>
        </w:numPr>
      </w:pPr>
      <w:r w:rsidRPr="003C5C66">
        <w:rPr>
          <w:b/>
          <w:bCs/>
        </w:rPr>
        <w:t>Forma raportów:</w:t>
      </w:r>
      <w:r w:rsidRPr="003C5C66">
        <w:t> Brak wymagań co do formy graficznej; raporty mogą być w formie tabelarycznej lub graficznej, zgodnie z możliwościami platformy.</w:t>
      </w:r>
    </w:p>
    <w:p w14:paraId="283053BA" w14:textId="77777777" w:rsidR="003C5C66" w:rsidRPr="003C5C66" w:rsidRDefault="003C5C66" w:rsidP="00935970">
      <w:pPr>
        <w:numPr>
          <w:ilvl w:val="0"/>
          <w:numId w:val="12"/>
        </w:numPr>
      </w:pPr>
      <w:r w:rsidRPr="003C5C66">
        <w:rPr>
          <w:b/>
          <w:bCs/>
        </w:rPr>
        <w:t>Archiwizacja:</w:t>
      </w:r>
      <w:r w:rsidRPr="003C5C66">
        <w:t> Raporty i rekomendacje przekazywane zamawiającemu po każdej kampanii, bez konieczności prowadzenia archiwum przez wykonawcę.</w:t>
      </w:r>
    </w:p>
    <w:p w14:paraId="539BD8A4" w14:textId="2267E480" w:rsidR="003C5C66" w:rsidRPr="003C5C66" w:rsidRDefault="003C5C66" w:rsidP="00A17AF2">
      <w:pPr>
        <w:pStyle w:val="Heading2"/>
      </w:pPr>
      <w:r w:rsidRPr="2625D937">
        <w:rPr>
          <w:b/>
          <w:bCs/>
        </w:rPr>
        <w:t>Konsultacje:</w:t>
      </w:r>
      <w:r>
        <w:t xml:space="preserve"> Po każdej kampanii wykonawca prowadzi konsultacje z zespołem ds. bezpieczeństwa zamawiającego </w:t>
      </w:r>
      <w:r w:rsidRPr="003C5C66">
        <w:t>Konsultacje i rekomendacje eksperckie</w:t>
      </w:r>
    </w:p>
    <w:p w14:paraId="1CD2FD3F" w14:textId="77777777" w:rsidR="003C5C66" w:rsidRPr="003C5C66" w:rsidRDefault="003C5C66" w:rsidP="00935970">
      <w:pPr>
        <w:numPr>
          <w:ilvl w:val="0"/>
          <w:numId w:val="14"/>
        </w:numPr>
      </w:pPr>
      <w:r w:rsidRPr="003C5C66">
        <w:t>Po każdej kampanii wykonawca przygotowuje komentarz ekspercki z rekomendacjami dotyczącymi dalszych działań edukacyjnych, skupiając się na działaniach naprawczych (np. dodatkowe szkolenia dla grup z niskim engagement).</w:t>
      </w:r>
    </w:p>
    <w:p w14:paraId="654A226A" w14:textId="77777777" w:rsidR="003C5C66" w:rsidRPr="003C5C66" w:rsidRDefault="003C5C66" w:rsidP="00935970">
      <w:pPr>
        <w:numPr>
          <w:ilvl w:val="0"/>
          <w:numId w:val="14"/>
        </w:numPr>
      </w:pPr>
      <w:r w:rsidRPr="003C5C66">
        <w:t>Rekomendacje mają formę ogólnego opisu i są konsultowane oraz zatwierdzane przez zespół ds. bezpieczeństwa zamawiającego przed wdrożeniem.</w:t>
      </w:r>
    </w:p>
    <w:p w14:paraId="6817361D" w14:textId="77777777" w:rsidR="003C5C66" w:rsidRPr="003C5C66" w:rsidRDefault="003C5C66" w:rsidP="00935970">
      <w:pPr>
        <w:numPr>
          <w:ilvl w:val="0"/>
          <w:numId w:val="14"/>
        </w:numPr>
      </w:pPr>
      <w:r w:rsidRPr="003C5C66">
        <w:t>Wykonawca prowadzi konsultacje z zespołem ds. bezpieczeństwa wyłącznie online.</w:t>
      </w:r>
    </w:p>
    <w:p w14:paraId="1DE837F6" w14:textId="2D37C1E2" w:rsidR="00670DD3" w:rsidRPr="00670DD3" w:rsidRDefault="00670DD3" w:rsidP="00670DD3">
      <w:pPr>
        <w:pStyle w:val="Heading1"/>
      </w:pPr>
      <w:r w:rsidRPr="00670DD3">
        <w:t>Odbiorcy programu i podział na grupy</w:t>
      </w:r>
    </w:p>
    <w:p w14:paraId="70B7A817" w14:textId="77E713F2" w:rsidR="00670DD3" w:rsidRPr="00670DD3" w:rsidRDefault="00670DD3" w:rsidP="00670DD3">
      <w:pPr>
        <w:pStyle w:val="Heading2"/>
      </w:pPr>
      <w:r w:rsidRPr="00670DD3">
        <w:t>Odbiorcy programu</w:t>
      </w:r>
    </w:p>
    <w:p w14:paraId="50B85E62" w14:textId="77777777" w:rsidR="00670DD3" w:rsidRPr="00670DD3" w:rsidRDefault="00670DD3" w:rsidP="00670DD3">
      <w:r w:rsidRPr="00670DD3">
        <w:t xml:space="preserve">Program podnoszenia świadomości </w:t>
      </w:r>
      <w:proofErr w:type="spellStart"/>
      <w:r w:rsidRPr="00670DD3">
        <w:t>cyberbezpieczeństwa</w:t>
      </w:r>
      <w:proofErr w:type="spellEnd"/>
      <w:r w:rsidRPr="00670DD3">
        <w:t xml:space="preserve"> skierowany jest do wszystkich pracowników Urzędu Zamówień Publicznych, z uwzględnieniem ich zróżnicowanych ról, zakresów obowiązków oraz poziomu dostępu do informacji. Program obejmuje zarówno działania edukacyjne wspólne dla całej organizacji, jak i dedykowane ścieżki szkoleniowe dla wybranych grup funkcyjnych.</w:t>
      </w:r>
    </w:p>
    <w:p w14:paraId="4C09C252" w14:textId="1778D1EE" w:rsidR="00670DD3" w:rsidRPr="00670DD3" w:rsidRDefault="00670DD3" w:rsidP="00670DD3">
      <w:pPr>
        <w:pStyle w:val="Heading2"/>
      </w:pPr>
      <w:r w:rsidRPr="00670DD3">
        <w:t>Podział na grupy funkcyjne</w:t>
      </w:r>
    </w:p>
    <w:p w14:paraId="2D70B322" w14:textId="77777777" w:rsidR="00670DD3" w:rsidRPr="00670DD3" w:rsidRDefault="00670DD3" w:rsidP="00670DD3">
      <w:r w:rsidRPr="00670DD3">
        <w:t>W ramach realizacji programu wyodrębniono następujące grupy odbiorców:</w:t>
      </w:r>
    </w:p>
    <w:p w14:paraId="5794F60B" w14:textId="77777777" w:rsidR="00670DD3" w:rsidRPr="00670DD3" w:rsidRDefault="00670DD3" w:rsidP="00935970">
      <w:pPr>
        <w:numPr>
          <w:ilvl w:val="0"/>
          <w:numId w:val="16"/>
        </w:numPr>
      </w:pPr>
      <w:r w:rsidRPr="00670DD3">
        <w:rPr>
          <w:b/>
          <w:bCs/>
        </w:rPr>
        <w:t>Kierownictwo</w:t>
      </w:r>
      <w:r w:rsidRPr="00670DD3">
        <w:t xml:space="preserve"> – 5 osób Uczestniczą w indywidualnych spotkaniach 1:1, których zakres obejmuje przekrojowe zagadnienia </w:t>
      </w:r>
      <w:proofErr w:type="spellStart"/>
      <w:r w:rsidRPr="00670DD3">
        <w:t>cyberbezpieczeństwa</w:t>
      </w:r>
      <w:proofErr w:type="spellEnd"/>
      <w:r w:rsidRPr="00670DD3">
        <w:t>, analizę OSINT oraz czas na pytania indywidualne.</w:t>
      </w:r>
    </w:p>
    <w:p w14:paraId="08AFE3E8" w14:textId="77777777" w:rsidR="00670DD3" w:rsidRPr="00670DD3" w:rsidRDefault="00670DD3" w:rsidP="00935970">
      <w:pPr>
        <w:numPr>
          <w:ilvl w:val="0"/>
          <w:numId w:val="16"/>
        </w:numPr>
      </w:pPr>
      <w:r w:rsidRPr="00670DD3">
        <w:rPr>
          <w:b/>
          <w:bCs/>
        </w:rPr>
        <w:t>Dyrektorzy</w:t>
      </w:r>
      <w:r w:rsidRPr="00670DD3">
        <w:t xml:space="preserve"> – 17 osób Uczestniczą w indywidualnych spotkaniach 1:1, z naciskiem na praktyczne aspekty zarządzania ryzykiem, ochronę danych i komunikację w zespole.</w:t>
      </w:r>
    </w:p>
    <w:p w14:paraId="5EC701F0" w14:textId="77777777" w:rsidR="00670DD3" w:rsidRPr="00670DD3" w:rsidRDefault="00670DD3" w:rsidP="00935970">
      <w:pPr>
        <w:numPr>
          <w:ilvl w:val="0"/>
          <w:numId w:val="16"/>
        </w:numPr>
      </w:pPr>
      <w:r w:rsidRPr="00670DD3">
        <w:rPr>
          <w:b/>
          <w:bCs/>
        </w:rPr>
        <w:t>Orzecznicy KIO</w:t>
      </w:r>
      <w:r w:rsidRPr="00670DD3">
        <w:t xml:space="preserve"> – 60 osób Uczestniczą w szkoleniach stacjonarnych, </w:t>
      </w:r>
      <w:proofErr w:type="spellStart"/>
      <w:r w:rsidRPr="00670DD3">
        <w:t>webinarach</w:t>
      </w:r>
      <w:proofErr w:type="spellEnd"/>
      <w:r w:rsidRPr="00670DD3">
        <w:t xml:space="preserve"> i mikro-lekcjach, ze szczególnym uwzględnieniem ochrony wrażliwych danych i odporności na socjotechnikę.</w:t>
      </w:r>
    </w:p>
    <w:p w14:paraId="13A2390B" w14:textId="77777777" w:rsidR="00670DD3" w:rsidRPr="00670DD3" w:rsidRDefault="00670DD3" w:rsidP="00935970">
      <w:pPr>
        <w:numPr>
          <w:ilvl w:val="0"/>
          <w:numId w:val="16"/>
        </w:numPr>
      </w:pPr>
      <w:r w:rsidRPr="00670DD3">
        <w:rPr>
          <w:b/>
          <w:bCs/>
        </w:rPr>
        <w:t>Kontrolerzy</w:t>
      </w:r>
      <w:r w:rsidRPr="00670DD3">
        <w:t xml:space="preserve"> – 40 osób Uczestniczą w szkoleniach stacjonarnych, </w:t>
      </w:r>
      <w:proofErr w:type="spellStart"/>
      <w:r w:rsidRPr="00670DD3">
        <w:t>webinarach</w:t>
      </w:r>
      <w:proofErr w:type="spellEnd"/>
      <w:r w:rsidRPr="00670DD3">
        <w:t xml:space="preserve"> i mikro-lekcjach, z naciskiem na bezpieczeństwo pracy z dokumentacją i nośnikami danych.</w:t>
      </w:r>
    </w:p>
    <w:p w14:paraId="48CDA94C" w14:textId="77777777" w:rsidR="00670DD3" w:rsidRPr="00670DD3" w:rsidRDefault="00670DD3" w:rsidP="00935970">
      <w:pPr>
        <w:numPr>
          <w:ilvl w:val="0"/>
          <w:numId w:val="16"/>
        </w:numPr>
      </w:pPr>
      <w:r w:rsidRPr="00670DD3">
        <w:rPr>
          <w:b/>
          <w:bCs/>
        </w:rPr>
        <w:t>Pozostali pracownicy biurowi</w:t>
      </w:r>
      <w:r w:rsidRPr="00670DD3">
        <w:t xml:space="preserve"> – ok. 100 osób Uczestniczą w szkoleniach stacjonarnych, </w:t>
      </w:r>
      <w:proofErr w:type="spellStart"/>
      <w:r w:rsidRPr="00670DD3">
        <w:t>webinarach</w:t>
      </w:r>
      <w:proofErr w:type="spellEnd"/>
      <w:r w:rsidRPr="00670DD3">
        <w:t xml:space="preserve"> i mikro-lekcjach, z naciskiem na codzienną higienę cyfrową, ochronę danych i odporność na </w:t>
      </w:r>
      <w:proofErr w:type="spellStart"/>
      <w:r w:rsidRPr="00670DD3">
        <w:t>phishing</w:t>
      </w:r>
      <w:proofErr w:type="spellEnd"/>
      <w:r w:rsidRPr="00670DD3">
        <w:t>.</w:t>
      </w:r>
    </w:p>
    <w:p w14:paraId="14E4A78C" w14:textId="5C8EB3B6" w:rsidR="00670DD3" w:rsidRPr="00670DD3" w:rsidRDefault="00670DD3" w:rsidP="00670DD3">
      <w:pPr>
        <w:pStyle w:val="Heading2"/>
      </w:pPr>
      <w:r w:rsidRPr="00670DD3">
        <w:t>Zasady podziału i uczestnictwa</w:t>
      </w:r>
    </w:p>
    <w:p w14:paraId="22FC5EA8" w14:textId="77777777" w:rsidR="00670DD3" w:rsidRPr="00670DD3" w:rsidRDefault="00670DD3" w:rsidP="00935970">
      <w:pPr>
        <w:numPr>
          <w:ilvl w:val="0"/>
          <w:numId w:val="17"/>
        </w:numPr>
      </w:pPr>
      <w:r w:rsidRPr="00670DD3">
        <w:t>Podział na grupy jest stały przez cały okres trwania programu; nie przewiduje się zmian liczebności grup ani przypisywania pracowników do więcej niż jednej grupy.</w:t>
      </w:r>
    </w:p>
    <w:p w14:paraId="46C820BB" w14:textId="77777777" w:rsidR="00670DD3" w:rsidRPr="00670DD3" w:rsidRDefault="00670DD3" w:rsidP="00935970">
      <w:pPr>
        <w:numPr>
          <w:ilvl w:val="0"/>
          <w:numId w:val="17"/>
        </w:numPr>
      </w:pPr>
      <w:r w:rsidRPr="00670DD3">
        <w:t xml:space="preserve">Nie przewiduje się </w:t>
      </w:r>
      <w:proofErr w:type="spellStart"/>
      <w:r w:rsidRPr="00670DD3">
        <w:t>wyłączeń</w:t>
      </w:r>
      <w:proofErr w:type="spellEnd"/>
      <w:r w:rsidRPr="00670DD3">
        <w:t xml:space="preserve"> pracowników z programu (np. z powodu nieobecności czy urlopu).</w:t>
      </w:r>
    </w:p>
    <w:p w14:paraId="069C8DA3" w14:textId="19917695" w:rsidR="00670DD3" w:rsidRPr="00670DD3" w:rsidRDefault="288ED18E" w:rsidP="00935970">
      <w:pPr>
        <w:numPr>
          <w:ilvl w:val="0"/>
          <w:numId w:val="17"/>
        </w:numPr>
      </w:pPr>
      <w:r>
        <w:t xml:space="preserve">Szkolenia indywidualne dla nowych pracowników (do 10 </w:t>
      </w:r>
      <w:r w:rsidR="54E49107">
        <w:t xml:space="preserve">szkoleń </w:t>
      </w:r>
      <w:r>
        <w:t xml:space="preserve">w okresie umowy) realizowane są wyłącznie zdalnie, w dni robocze w godzinach pracy urzędu, na żądanie </w:t>
      </w:r>
      <w:proofErr w:type="spellStart"/>
      <w:r w:rsidR="006205E6">
        <w:t>Zamawiajacego</w:t>
      </w:r>
      <w:proofErr w:type="spellEnd"/>
      <w:r>
        <w:t>, z możliwością grupowania w przypadku kilku zgłoszeń w jednym tygodniu.</w:t>
      </w:r>
    </w:p>
    <w:p w14:paraId="3EF268AD" w14:textId="77777777" w:rsidR="00670DD3" w:rsidRPr="00670DD3" w:rsidRDefault="00670DD3" w:rsidP="00935970">
      <w:pPr>
        <w:numPr>
          <w:ilvl w:val="0"/>
          <w:numId w:val="17"/>
        </w:numPr>
      </w:pPr>
      <w:r w:rsidRPr="00670DD3">
        <w:t>W przypadku szkoleń grupowych dla nowych pracowników nie ma limitu liczby uczestników.</w:t>
      </w:r>
    </w:p>
    <w:p w14:paraId="74A6931B" w14:textId="77777777" w:rsidR="00670DD3" w:rsidRPr="00670DD3" w:rsidRDefault="00670DD3" w:rsidP="00935970">
      <w:pPr>
        <w:numPr>
          <w:ilvl w:val="0"/>
          <w:numId w:val="17"/>
        </w:numPr>
      </w:pPr>
      <w:r w:rsidRPr="00670DD3">
        <w:t>Przewodnik po bezpieczeństwie (2 strony, elektronicznie) przekazywany jest każdemu nowemu pracownikowi.</w:t>
      </w:r>
    </w:p>
    <w:p w14:paraId="35665FFB" w14:textId="73423BA3" w:rsidR="00670DD3" w:rsidRPr="00670DD3" w:rsidRDefault="00670DD3" w:rsidP="00935970">
      <w:pPr>
        <w:numPr>
          <w:ilvl w:val="0"/>
          <w:numId w:val="17"/>
        </w:numPr>
      </w:pPr>
      <w:r w:rsidRPr="00670DD3">
        <w:t xml:space="preserve">Komunikacja dotycząca terminów </w:t>
      </w:r>
      <w:r w:rsidR="000E3C02">
        <w:t>szkoleń</w:t>
      </w:r>
      <w:r w:rsidRPr="00670DD3">
        <w:t xml:space="preserve"> prowadzona jest wyłącznie z uczestnikami, drogą e-mail.</w:t>
      </w:r>
    </w:p>
    <w:p w14:paraId="337CECB0" w14:textId="77777777" w:rsidR="00670DD3" w:rsidRPr="00670DD3" w:rsidRDefault="00670DD3" w:rsidP="00935970">
      <w:pPr>
        <w:numPr>
          <w:ilvl w:val="0"/>
          <w:numId w:val="17"/>
        </w:numPr>
      </w:pPr>
      <w:r w:rsidRPr="00670DD3">
        <w:t xml:space="preserve">Szkolenia indywidualne/grupowe mogą być nagrywane na platformie MS </w:t>
      </w:r>
      <w:proofErr w:type="spellStart"/>
      <w:r w:rsidRPr="00670DD3">
        <w:t>Teams</w:t>
      </w:r>
      <w:proofErr w:type="spellEnd"/>
      <w:r w:rsidRPr="00670DD3">
        <w:t xml:space="preserve"> zamawiającego, za zgodą uczestników; wykonawca wyraża zgodę na utrwalenie wizerunku.</w:t>
      </w:r>
    </w:p>
    <w:p w14:paraId="5A90E0DF" w14:textId="6BEF0F2B" w:rsidR="00670DD3" w:rsidRPr="00670DD3" w:rsidRDefault="00670DD3" w:rsidP="00935970">
      <w:pPr>
        <w:numPr>
          <w:ilvl w:val="0"/>
          <w:numId w:val="17"/>
        </w:numPr>
      </w:pPr>
      <w:r w:rsidRPr="00670DD3">
        <w:t xml:space="preserve">Wykonawca prowadzi statystyki liczby przeprowadzonych </w:t>
      </w:r>
      <w:r w:rsidR="000E3C02">
        <w:t>szkoleń</w:t>
      </w:r>
      <w:r w:rsidRPr="00670DD3">
        <w:t xml:space="preserve"> kwartalnie i na koniec umowy (maksymalnie 10 szkoleń w okresie umowy).</w:t>
      </w:r>
    </w:p>
    <w:p w14:paraId="6EA56634" w14:textId="6745C758" w:rsidR="00670DD3" w:rsidRPr="00670DD3" w:rsidRDefault="00670DD3" w:rsidP="00670DD3">
      <w:pPr>
        <w:pStyle w:val="Heading2"/>
      </w:pPr>
      <w:r w:rsidRPr="00670DD3">
        <w:t xml:space="preserve">Materiały powitalne i </w:t>
      </w:r>
      <w:proofErr w:type="spellStart"/>
      <w:r w:rsidRPr="00670DD3">
        <w:t>onboarding</w:t>
      </w:r>
      <w:proofErr w:type="spellEnd"/>
    </w:p>
    <w:p w14:paraId="5A4ED3A9" w14:textId="77777777" w:rsidR="00670DD3" w:rsidRPr="00670DD3" w:rsidRDefault="00670DD3" w:rsidP="00935970">
      <w:pPr>
        <w:numPr>
          <w:ilvl w:val="0"/>
          <w:numId w:val="19"/>
        </w:numPr>
      </w:pPr>
      <w:r w:rsidRPr="00670DD3">
        <w:t>Każdy nowy pracownik otrzymuje przewodnik po bezpieczeństwie w formie elektronicznej.</w:t>
      </w:r>
    </w:p>
    <w:p w14:paraId="1D1AD8E2" w14:textId="77777777" w:rsidR="00670DD3" w:rsidRPr="00670DD3" w:rsidRDefault="00670DD3" w:rsidP="00935970">
      <w:pPr>
        <w:numPr>
          <w:ilvl w:val="0"/>
          <w:numId w:val="19"/>
        </w:numPr>
      </w:pPr>
      <w:r w:rsidRPr="00670DD3">
        <w:t xml:space="preserve">Przewodnik nie wymaga aktualizacji w trakcie umowy, a jego zakres obejmuje aktualne strategie ataków </w:t>
      </w:r>
      <w:proofErr w:type="spellStart"/>
      <w:r w:rsidRPr="00670DD3">
        <w:t>cyber</w:t>
      </w:r>
      <w:proofErr w:type="spellEnd"/>
      <w:r w:rsidRPr="00670DD3">
        <w:t>, sposoby rozpoznania zagrożeń oraz omówienie zasad zgłaszania incydentów obowiązujących w urzędzie.</w:t>
      </w:r>
    </w:p>
    <w:p w14:paraId="2F407F23" w14:textId="42BCF3D7" w:rsidR="00737DBD" w:rsidRPr="00737DBD" w:rsidRDefault="00737DBD" w:rsidP="00737DBD">
      <w:pPr>
        <w:pStyle w:val="Heading1"/>
      </w:pPr>
      <w:r w:rsidRPr="00737DBD">
        <w:t>Cykl szkoleniowy – program i harmonogram</w:t>
      </w:r>
    </w:p>
    <w:p w14:paraId="585A1FF1" w14:textId="1B507DE9" w:rsidR="00737DBD" w:rsidRPr="00737DBD" w:rsidRDefault="00737DBD" w:rsidP="00737DBD">
      <w:pPr>
        <w:pStyle w:val="Heading2"/>
      </w:pPr>
      <w:bookmarkStart w:id="1" w:name="_Ref209172001"/>
      <w:r w:rsidRPr="00737DBD">
        <w:t>Struktura cyklu szkoleniowego</w:t>
      </w:r>
      <w:bookmarkEnd w:id="1"/>
    </w:p>
    <w:p w14:paraId="148847EB" w14:textId="77777777" w:rsidR="00737DBD" w:rsidRPr="00737DBD" w:rsidRDefault="00737DBD" w:rsidP="00737DBD">
      <w:r w:rsidRPr="00737DBD">
        <w:t>Program szkoleniowy obejmuje działania edukacyjne prowadzone w kilku komplementarnych formatach, dostosowanych do specyfiki i potrzeb poszczególnych grup pracowników Urzędu Zamówień Publicznych. Cykl szkoleniowy łączy bloki wspólne dla wszystkich oraz dedykowane moduły dla grup funkcyjnych, a także szkolenia indywidualne dla nowych pracowników.</w:t>
      </w:r>
    </w:p>
    <w:p w14:paraId="4B3BB89E" w14:textId="73C022E9" w:rsidR="00737DBD" w:rsidRPr="00737DBD" w:rsidRDefault="00737DBD" w:rsidP="00737DBD">
      <w:pPr>
        <w:pStyle w:val="Heading2"/>
      </w:pPr>
      <w:r w:rsidRPr="00737DBD">
        <w:t>Bloki wspólne dla wszystkich pracowników</w:t>
      </w:r>
    </w:p>
    <w:p w14:paraId="4D2672B8" w14:textId="3D2A7A12" w:rsidR="00737DBD" w:rsidRPr="005320A2" w:rsidRDefault="00737DBD" w:rsidP="00935970">
      <w:pPr>
        <w:numPr>
          <w:ilvl w:val="0"/>
          <w:numId w:val="20"/>
        </w:numPr>
      </w:pPr>
      <w:r w:rsidRPr="005320A2">
        <w:t>Szkolenia stacjonarne</w:t>
      </w:r>
    </w:p>
    <w:p w14:paraId="570BD735" w14:textId="1F41DF91" w:rsidR="00737DBD" w:rsidRPr="005320A2" w:rsidRDefault="00737DBD" w:rsidP="00935970">
      <w:pPr>
        <w:numPr>
          <w:ilvl w:val="0"/>
          <w:numId w:val="20"/>
        </w:numPr>
      </w:pPr>
      <w:proofErr w:type="spellStart"/>
      <w:r w:rsidRPr="005320A2">
        <w:t>Webinary</w:t>
      </w:r>
      <w:proofErr w:type="spellEnd"/>
      <w:r w:rsidRPr="005320A2">
        <w:t xml:space="preserve"> (szkolenia zdalne)</w:t>
      </w:r>
    </w:p>
    <w:p w14:paraId="7C4BE856" w14:textId="2010EC73" w:rsidR="00737DBD" w:rsidRPr="00737DBD" w:rsidRDefault="00737DBD" w:rsidP="00935970">
      <w:pPr>
        <w:numPr>
          <w:ilvl w:val="0"/>
          <w:numId w:val="20"/>
        </w:numPr>
      </w:pPr>
      <w:r w:rsidRPr="400F2FDC">
        <w:rPr>
          <w:b/>
          <w:bCs/>
        </w:rPr>
        <w:t>Mikro-lekcje na platformie szkoleniowej</w:t>
      </w:r>
      <w:r>
        <w:t xml:space="preserve">: Cotygodniowe, automatycznie dostarczane mikro-lekcje (2–5 minut), z powiadomieniem e-mail. Treści mogą pochodzić z biblioteki platformy lub być autorskie. Mikro-lekcje obejmują kluczowe zagadnienia: </w:t>
      </w:r>
      <w:proofErr w:type="spellStart"/>
      <w:r>
        <w:t>phishing</w:t>
      </w:r>
      <w:proofErr w:type="spellEnd"/>
      <w:r>
        <w:t xml:space="preserve">, polityki haseł, inżynieria społeczna, praca zdalna, ochrona danych, bezpieczeństwo urządzeń, media społecznościowe, </w:t>
      </w:r>
      <w:proofErr w:type="spellStart"/>
      <w:r>
        <w:t>malware</w:t>
      </w:r>
      <w:proofErr w:type="spellEnd"/>
      <w:r w:rsidR="2C88B010">
        <w:t>, wykorzystanie AI w dezinformacji. Szczegółowy zakres tematów zostanie określony na etapie realizacji umowy.</w:t>
      </w:r>
    </w:p>
    <w:p w14:paraId="071D3484" w14:textId="7CC4A725" w:rsidR="00737DBD" w:rsidRPr="00737DBD" w:rsidRDefault="00737DBD" w:rsidP="00737DBD">
      <w:pPr>
        <w:pStyle w:val="Heading2"/>
      </w:pPr>
      <w:r w:rsidRPr="00737DBD">
        <w:t>Moduły dedykowane grupom funkcyjnym</w:t>
      </w:r>
    </w:p>
    <w:p w14:paraId="06745671" w14:textId="6CED6749" w:rsidR="00737DBD" w:rsidRPr="00737DBD" w:rsidRDefault="00737DBD" w:rsidP="00935970">
      <w:pPr>
        <w:numPr>
          <w:ilvl w:val="0"/>
          <w:numId w:val="21"/>
        </w:numPr>
      </w:pPr>
      <w:r w:rsidRPr="00737DBD">
        <w:rPr>
          <w:b/>
          <w:bCs/>
        </w:rPr>
        <w:t>Kierownictwo (5 osób)</w:t>
      </w:r>
      <w:r w:rsidRPr="00737DBD">
        <w:t>: Spotkania indywidualne 1:1 (stacjonarne), trwające 45–60 minut, przygotowane na podstawie OSINT, z czasem na pytania indywidualne. Zakres spotkania obejmuje przekrojowe zagadnienia, analizę indywidualnych zagrożeń, odpowiedzialność prawną i organizacyjną, zarządzanie ryzykiem oraz wdrażanie kultury bezpieczeństwa</w:t>
      </w:r>
      <w:r w:rsidR="005320A2">
        <w:t>, klucze U2F</w:t>
      </w:r>
      <w:r w:rsidRPr="00737DBD">
        <w:t>.</w:t>
      </w:r>
    </w:p>
    <w:p w14:paraId="3824E027" w14:textId="7320B802" w:rsidR="00737DBD" w:rsidRPr="00737DBD" w:rsidRDefault="00737DBD" w:rsidP="00935970">
      <w:pPr>
        <w:numPr>
          <w:ilvl w:val="0"/>
          <w:numId w:val="21"/>
        </w:numPr>
      </w:pPr>
      <w:r w:rsidRPr="00737DBD">
        <w:rPr>
          <w:b/>
          <w:bCs/>
        </w:rPr>
        <w:t>Dyrektorzy (17 osób)</w:t>
      </w:r>
      <w:r w:rsidRPr="00737DBD">
        <w:t>: Spotkania indywidualne 1:1 (stacjonarne), 45–60 minut, przygotowane na podstawie OSINT, z naciskiem na praktyczne aspekty zarządzania ryzykiem, ochronę danych i komunikację w zespole</w:t>
      </w:r>
      <w:r w:rsidR="005320A2">
        <w:t>, klucze U2F</w:t>
      </w:r>
      <w:r w:rsidRPr="00737DBD">
        <w:t>.</w:t>
      </w:r>
    </w:p>
    <w:p w14:paraId="79B80D5C" w14:textId="77777777" w:rsidR="00737DBD" w:rsidRPr="00737DBD" w:rsidRDefault="00737DBD" w:rsidP="00935970">
      <w:pPr>
        <w:numPr>
          <w:ilvl w:val="0"/>
          <w:numId w:val="21"/>
        </w:numPr>
      </w:pPr>
      <w:r w:rsidRPr="00737DBD">
        <w:rPr>
          <w:b/>
          <w:bCs/>
        </w:rPr>
        <w:t>Orzecznicy KIO, kontrolerzy, pracownicy biurowi</w:t>
      </w:r>
      <w:r w:rsidRPr="00737DBD">
        <w:t xml:space="preserve">: Dedykowane bloki tematyczne w ramach szkoleń stacjonarnych, </w:t>
      </w:r>
      <w:proofErr w:type="spellStart"/>
      <w:r w:rsidRPr="00737DBD">
        <w:t>webinarów</w:t>
      </w:r>
      <w:proofErr w:type="spellEnd"/>
      <w:r w:rsidRPr="00737DBD">
        <w:t xml:space="preserve"> i mikro-lekcji, uwzględniające specyfikę pracy, typowe zagrożenia oraz praktyczne aspekty bezpieczeństwa.</w:t>
      </w:r>
    </w:p>
    <w:p w14:paraId="24E5706B" w14:textId="4B19DB49" w:rsidR="00737DBD" w:rsidRPr="00737DBD" w:rsidRDefault="00737DBD" w:rsidP="00737DBD">
      <w:pPr>
        <w:pStyle w:val="Heading2"/>
      </w:pPr>
      <w:r w:rsidRPr="00737DBD">
        <w:t>Szkolenia indywidualne dla nowych pracowników</w:t>
      </w:r>
    </w:p>
    <w:p w14:paraId="2801B912" w14:textId="77777777" w:rsidR="00737DBD" w:rsidRPr="00737DBD" w:rsidRDefault="00737DBD" w:rsidP="00935970">
      <w:pPr>
        <w:numPr>
          <w:ilvl w:val="0"/>
          <w:numId w:val="22"/>
        </w:numPr>
      </w:pPr>
      <w:r w:rsidRPr="00737DBD">
        <w:t xml:space="preserve">Program szkolenia obejmuje aktualne strategie ataków </w:t>
      </w:r>
      <w:proofErr w:type="spellStart"/>
      <w:r w:rsidRPr="00737DBD">
        <w:t>cyber</w:t>
      </w:r>
      <w:proofErr w:type="spellEnd"/>
      <w:r w:rsidRPr="00737DBD">
        <w:t>, sposoby rozpoznania zagrożeń oraz omówienie zasad zgłaszania incydentów obowiązujących w urzędzie.</w:t>
      </w:r>
    </w:p>
    <w:p w14:paraId="6525A773" w14:textId="77777777" w:rsidR="00737DBD" w:rsidRPr="00737DBD" w:rsidRDefault="00737DBD" w:rsidP="00935970">
      <w:pPr>
        <w:numPr>
          <w:ilvl w:val="0"/>
          <w:numId w:val="22"/>
        </w:numPr>
      </w:pPr>
      <w:r w:rsidRPr="00737DBD">
        <w:t>Każdy nowy pracownik otrzymuje przewodnik po bezpieczeństwie (2 strony, elektronicznie).</w:t>
      </w:r>
    </w:p>
    <w:p w14:paraId="7095E4A7" w14:textId="02BB32AC" w:rsidR="00737DBD" w:rsidRPr="00737DBD" w:rsidRDefault="00737DBD" w:rsidP="00737DBD">
      <w:pPr>
        <w:pStyle w:val="Heading2"/>
      </w:pPr>
      <w:r w:rsidRPr="00737DBD">
        <w:t>Tematyka szkoleń</w:t>
      </w:r>
    </w:p>
    <w:p w14:paraId="4171E0DD" w14:textId="7588AB32" w:rsidR="00737DBD" w:rsidRDefault="004C0DDD" w:rsidP="00935970">
      <w:pPr>
        <w:numPr>
          <w:ilvl w:val="0"/>
          <w:numId w:val="23"/>
        </w:numPr>
      </w:pPr>
      <w:r>
        <w:t>W całym cyklu szkoleniowym wykonawca omówi tematy: n</w:t>
      </w:r>
      <w:r w:rsidRPr="00737DBD">
        <w:t xml:space="preserve">ajpopularniejsze </w:t>
      </w:r>
      <w:r w:rsidR="00737DBD" w:rsidRPr="00737DBD">
        <w:t xml:space="preserve">zagrożenia, </w:t>
      </w:r>
      <w:proofErr w:type="spellStart"/>
      <w:r w:rsidR="00737DBD" w:rsidRPr="00737DBD">
        <w:t>phishing</w:t>
      </w:r>
      <w:proofErr w:type="spellEnd"/>
      <w:r w:rsidR="00737DBD" w:rsidRPr="00737DBD">
        <w:t xml:space="preserve">, socjotechnika, incydenty bezpieczeństwa, złośliwe oprogramowanie, higiena cyfrowa, bezpieczeństwo poczty elektronicznej, bezpieczeństwo urządzeń przenośnych, MFA, ślady cyfrowe, ochrona danych osobowych, praca zdalna, bezpieczeństwo nośników, OSINT, </w:t>
      </w:r>
      <w:proofErr w:type="spellStart"/>
      <w:r w:rsidR="00737DBD" w:rsidRPr="00737DBD">
        <w:t>ransomware</w:t>
      </w:r>
      <w:proofErr w:type="spellEnd"/>
      <w:r w:rsidR="00737DBD" w:rsidRPr="00737DBD">
        <w:t>, polityka haseł, bezpieczeństwo w mediach społecznościowych, praktyczne ćwiczenia i symulacje ataków.</w:t>
      </w:r>
    </w:p>
    <w:p w14:paraId="7D53FDA3" w14:textId="0D32967D" w:rsidR="00A64303" w:rsidRDefault="00A64303" w:rsidP="00935970">
      <w:pPr>
        <w:numPr>
          <w:ilvl w:val="0"/>
          <w:numId w:val="23"/>
        </w:numPr>
      </w:pPr>
      <w:r>
        <w:t xml:space="preserve">Wykonawca zrealizuje 10 </w:t>
      </w:r>
      <w:proofErr w:type="spellStart"/>
      <w:r>
        <w:t>webinarów</w:t>
      </w:r>
      <w:proofErr w:type="spellEnd"/>
      <w:r w:rsidR="00202ABD">
        <w:t xml:space="preserve"> obejmujących swoim zakresem wszystkie powyższe tematyki, przy czym  w miesiącu</w:t>
      </w:r>
      <w:r w:rsidR="5DA19281">
        <w:t xml:space="preserve"> odbędzie się co najmniej 1 </w:t>
      </w:r>
      <w:proofErr w:type="spellStart"/>
      <w:r w:rsidR="5DA19281">
        <w:t>webinar</w:t>
      </w:r>
      <w:proofErr w:type="spellEnd"/>
      <w:r w:rsidR="00202ABD">
        <w:t>.</w:t>
      </w:r>
    </w:p>
    <w:p w14:paraId="3E5CAF76" w14:textId="1619E827" w:rsidR="004C0DDD" w:rsidRPr="00737DBD" w:rsidRDefault="004C0DDD" w:rsidP="004C0DDD">
      <w:pPr>
        <w:numPr>
          <w:ilvl w:val="0"/>
          <w:numId w:val="23"/>
        </w:numPr>
      </w:pPr>
      <w:r>
        <w:t xml:space="preserve">Co najmniej dwa </w:t>
      </w:r>
      <w:proofErr w:type="spellStart"/>
      <w:r>
        <w:t>webinary</w:t>
      </w:r>
      <w:proofErr w:type="spellEnd"/>
      <w:r>
        <w:t xml:space="preserve"> poświęcone zostaną wykorzystaniu platformy MS </w:t>
      </w:r>
      <w:proofErr w:type="spellStart"/>
      <w:r>
        <w:t>Teams</w:t>
      </w:r>
      <w:proofErr w:type="spellEnd"/>
      <w:r>
        <w:t xml:space="preserve"> i realizacji dobrych praktyk bezpieczeństwa w oparciu o mechanizmy oferowane przez te platformę.</w:t>
      </w:r>
    </w:p>
    <w:p w14:paraId="27F00F6C" w14:textId="3624D544" w:rsidR="00737DBD" w:rsidRPr="00737DBD" w:rsidRDefault="00737DBD" w:rsidP="00737DBD">
      <w:pPr>
        <w:pStyle w:val="Heading2"/>
      </w:pPr>
      <w:r w:rsidRPr="00737DBD">
        <w:t>Organizacja i komunikacja</w:t>
      </w:r>
    </w:p>
    <w:p w14:paraId="3F8C6765" w14:textId="41A2E628" w:rsidR="00737DBD" w:rsidRPr="00737DBD" w:rsidRDefault="00737DBD" w:rsidP="00935970">
      <w:pPr>
        <w:numPr>
          <w:ilvl w:val="0"/>
          <w:numId w:val="25"/>
        </w:numPr>
      </w:pPr>
      <w:r w:rsidRPr="00737DBD">
        <w:t xml:space="preserve">Wykonawca prowadzi komunikację z uczestnikami </w:t>
      </w:r>
      <w:r w:rsidR="000E3C02">
        <w:t>szkoleń</w:t>
      </w:r>
      <w:r w:rsidRPr="00737DBD">
        <w:t xml:space="preserve"> i nowych pracowników wyłącznie drogą e-mail (potwierdzenie terminu).</w:t>
      </w:r>
    </w:p>
    <w:p w14:paraId="08675A46" w14:textId="77777777" w:rsidR="00737DBD" w:rsidRPr="00737DBD" w:rsidRDefault="00737DBD" w:rsidP="00935970">
      <w:pPr>
        <w:numPr>
          <w:ilvl w:val="0"/>
          <w:numId w:val="25"/>
        </w:numPr>
      </w:pPr>
      <w:r w:rsidRPr="00737DBD">
        <w:t xml:space="preserve">Szkolenia stacjonarne i </w:t>
      </w:r>
      <w:proofErr w:type="spellStart"/>
      <w:r w:rsidRPr="00737DBD">
        <w:t>webinary</w:t>
      </w:r>
      <w:proofErr w:type="spellEnd"/>
      <w:r w:rsidRPr="00737DBD">
        <w:t xml:space="preserve"> prowadzone w siedzibie zamawiającego lub na platformie MS </w:t>
      </w:r>
      <w:proofErr w:type="spellStart"/>
      <w:r w:rsidRPr="00737DBD">
        <w:t>Teams</w:t>
      </w:r>
      <w:proofErr w:type="spellEnd"/>
      <w:r w:rsidRPr="00737DBD">
        <w:t xml:space="preserve"> zamawiającego.</w:t>
      </w:r>
    </w:p>
    <w:p w14:paraId="7FFED4F7" w14:textId="77777777" w:rsidR="00737DBD" w:rsidRPr="00737DBD" w:rsidRDefault="00737DBD" w:rsidP="00935970">
      <w:pPr>
        <w:numPr>
          <w:ilvl w:val="0"/>
          <w:numId w:val="25"/>
        </w:numPr>
      </w:pPr>
      <w:r w:rsidRPr="00737DBD">
        <w:t>Materiały szkoleniowe przygotowuje wykonawca dla wszystkich szkoleń.</w:t>
      </w:r>
    </w:p>
    <w:p w14:paraId="6E3D0801" w14:textId="22454CDE" w:rsidR="00737DBD" w:rsidRPr="00737DBD" w:rsidRDefault="00737DBD" w:rsidP="00935970">
      <w:pPr>
        <w:numPr>
          <w:ilvl w:val="0"/>
          <w:numId w:val="25"/>
        </w:numPr>
      </w:pPr>
      <w:r w:rsidRPr="00737DBD">
        <w:t xml:space="preserve">Nagrania </w:t>
      </w:r>
      <w:proofErr w:type="spellStart"/>
      <w:r w:rsidRPr="00737DBD">
        <w:t>webinarów</w:t>
      </w:r>
      <w:proofErr w:type="spellEnd"/>
      <w:r w:rsidRPr="00737DBD">
        <w:t xml:space="preserve"> i </w:t>
      </w:r>
      <w:r w:rsidR="000E3C02">
        <w:t>szkoleń</w:t>
      </w:r>
      <w:r w:rsidRPr="00737DBD">
        <w:t xml:space="preserve">/grupowych realizowane przez zamawiającego na platformie MS </w:t>
      </w:r>
      <w:proofErr w:type="spellStart"/>
      <w:r w:rsidRPr="00737DBD">
        <w:t>Teams</w:t>
      </w:r>
      <w:proofErr w:type="spellEnd"/>
      <w:r w:rsidRPr="00737DBD">
        <w:t>.</w:t>
      </w:r>
    </w:p>
    <w:p w14:paraId="36690D5E" w14:textId="1BCCDF57" w:rsidR="00737DBD" w:rsidRPr="00737DBD" w:rsidRDefault="00737DBD" w:rsidP="00737DBD">
      <w:pPr>
        <w:pStyle w:val="Heading2"/>
      </w:pPr>
      <w:r w:rsidRPr="00737DBD">
        <w:t>Statystyki i raportowanie</w:t>
      </w:r>
    </w:p>
    <w:p w14:paraId="7732A47D" w14:textId="65E89470" w:rsidR="00737DBD" w:rsidRPr="00737DBD" w:rsidRDefault="00737DBD" w:rsidP="00935970">
      <w:pPr>
        <w:numPr>
          <w:ilvl w:val="0"/>
          <w:numId w:val="26"/>
        </w:numPr>
      </w:pPr>
      <w:r w:rsidRPr="00737DBD">
        <w:t xml:space="preserve">Wykonawca prowadzi statystyki liczby przeprowadzonych </w:t>
      </w:r>
      <w:r w:rsidR="000E3C02">
        <w:t>szkoleń</w:t>
      </w:r>
      <w:r w:rsidRPr="00737DBD">
        <w:t xml:space="preserve"> dla nowych pracowników, raportowane kwartalnie i na koniec umowy.</w:t>
      </w:r>
    </w:p>
    <w:p w14:paraId="6CDD4B57" w14:textId="77777777" w:rsidR="00737DBD" w:rsidRPr="00737DBD" w:rsidRDefault="00737DBD" w:rsidP="00935970">
      <w:pPr>
        <w:numPr>
          <w:ilvl w:val="0"/>
          <w:numId w:val="26"/>
        </w:numPr>
      </w:pPr>
      <w:r w:rsidRPr="00737DBD">
        <w:t xml:space="preserve">Brak wymagań dotyczących ewidencji uczestnictwa w szkoleniach stacjonarnych i </w:t>
      </w:r>
      <w:proofErr w:type="spellStart"/>
      <w:r w:rsidRPr="00737DBD">
        <w:t>webinarach</w:t>
      </w:r>
      <w:proofErr w:type="spellEnd"/>
      <w:r w:rsidRPr="00737DBD">
        <w:t>.</w:t>
      </w:r>
    </w:p>
    <w:p w14:paraId="0011495F" w14:textId="4779C1AE" w:rsidR="00C22156" w:rsidRPr="00C22156" w:rsidRDefault="00C22156" w:rsidP="00C22156">
      <w:pPr>
        <w:pStyle w:val="Heading1"/>
      </w:pPr>
      <w:r w:rsidRPr="00C22156">
        <w:t xml:space="preserve">Kampanie </w:t>
      </w:r>
      <w:proofErr w:type="spellStart"/>
      <w:r w:rsidRPr="00C22156">
        <w:t>cyber</w:t>
      </w:r>
      <w:proofErr w:type="spellEnd"/>
      <w:r w:rsidRPr="00C22156">
        <w:t xml:space="preserve"> </w:t>
      </w:r>
      <w:proofErr w:type="spellStart"/>
      <w:r w:rsidRPr="00C22156">
        <w:t>awareness</w:t>
      </w:r>
      <w:proofErr w:type="spellEnd"/>
      <w:r w:rsidRPr="00C22156">
        <w:t xml:space="preserve"> i symulacje ataków</w:t>
      </w:r>
    </w:p>
    <w:p w14:paraId="32386DCC" w14:textId="60CB8618" w:rsidR="00C22156" w:rsidRPr="00C22156" w:rsidRDefault="00C22156" w:rsidP="00C22156">
      <w:pPr>
        <w:pStyle w:val="Heading2"/>
      </w:pPr>
      <w:r w:rsidRPr="00C22156">
        <w:t>Zakres kampanii i rodzaje symulacji</w:t>
      </w:r>
    </w:p>
    <w:p w14:paraId="39D8EC00" w14:textId="68C3E23E" w:rsidR="00C22156" w:rsidRPr="00C22156" w:rsidRDefault="00C22156" w:rsidP="00C22156">
      <w:r>
        <w:t xml:space="preserve">W ramach programu realizowane będą regularne kampanie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, których celem jest praktyczne wzmacnianie odporności pracowników Urzędu Zamówień Publicznych na ataki socjotechniczne oraz utrwalanie nawyków bezpiecznego zachowania. Kampanie obejmują symulacje ataków </w:t>
      </w:r>
      <w:proofErr w:type="spellStart"/>
      <w:r>
        <w:t>phishingowych</w:t>
      </w:r>
      <w:proofErr w:type="spellEnd"/>
      <w:r>
        <w:t xml:space="preserve"> (e-mail), </w:t>
      </w:r>
      <w:proofErr w:type="spellStart"/>
      <w:r>
        <w:t>smishingowych</w:t>
      </w:r>
      <w:proofErr w:type="spellEnd"/>
      <w:r>
        <w:t xml:space="preserve"> (SMS)</w:t>
      </w:r>
      <w:r w:rsidR="00CE323D">
        <w:t xml:space="preserve">, </w:t>
      </w:r>
      <w:r>
        <w:t xml:space="preserve">przez komunikatory (MS </w:t>
      </w:r>
      <w:proofErr w:type="spellStart"/>
      <w:r>
        <w:t>Teams</w:t>
      </w:r>
      <w:proofErr w:type="spellEnd"/>
      <w:r>
        <w:t xml:space="preserve"> </w:t>
      </w:r>
      <w:r w:rsidR="00CE323D">
        <w:t>lub</w:t>
      </w:r>
      <w:r>
        <w:t xml:space="preserve"> inne popularne komunikatory wykorzystywane przez pracowników)</w:t>
      </w:r>
      <w:r w:rsidR="00CE323D">
        <w:t xml:space="preserve"> oraz podrzucenie pendrive w siedzibie Zamawiającego</w:t>
      </w:r>
      <w:r>
        <w:t>.</w:t>
      </w:r>
      <w:r w:rsidR="34E6D235">
        <w:t xml:space="preserve"> Zamawiający przewiduje również realizację ataków telefonicznych (</w:t>
      </w:r>
      <w:proofErr w:type="spellStart"/>
      <w:r w:rsidR="34E6D235">
        <w:t>vishing</w:t>
      </w:r>
      <w:proofErr w:type="spellEnd"/>
      <w:r w:rsidR="34E6D235">
        <w:t xml:space="preserve">) do trzech osób pełniących w Urzędzie określone funkcje. Zakres i scenariusz kampanii zostanie </w:t>
      </w:r>
      <w:r w:rsidR="73DA674C">
        <w:t>uzgodniony w trakcie realizacji umowy.</w:t>
      </w:r>
      <w:r>
        <w:t xml:space="preserve"> </w:t>
      </w:r>
      <w:commentRangeStart w:id="2"/>
      <w:commentRangeEnd w:id="2"/>
      <w:r>
        <w:rPr>
          <w:rStyle w:val="CommentReference"/>
        </w:rPr>
        <w:commentReference w:id="2"/>
      </w:r>
    </w:p>
    <w:p w14:paraId="51E288A7" w14:textId="13EF5E71" w:rsidR="00C22156" w:rsidRPr="00C22156" w:rsidRDefault="00C22156" w:rsidP="00C22156">
      <w:r w:rsidRPr="00C22156">
        <w:t>Każda z form ataku (e-mail, SMS, komunikatory</w:t>
      </w:r>
      <w:r w:rsidR="00CE323D">
        <w:t>, podrzucenie fizycznego urządzenia</w:t>
      </w:r>
      <w:r w:rsidRPr="00C22156">
        <w:t>) zostanie wykorzystana co najmniej dwukrotnie w trakcie trwania umowy. Kampanie mogą być mieszane – w danym miesiącu może być realizowana tylko jedna z form, jednak w całym okresie obowiązywania umowy każda forma zostanie użyta zgodnie z powyższym wymogiem.</w:t>
      </w:r>
    </w:p>
    <w:p w14:paraId="7AA14189" w14:textId="5D12AD1C" w:rsidR="00C22156" w:rsidRPr="004233FD" w:rsidRDefault="00C22156" w:rsidP="400F2FDC">
      <w:r>
        <w:t xml:space="preserve">Kampanie będą </w:t>
      </w:r>
      <w:proofErr w:type="spellStart"/>
      <w:r>
        <w:t>targetowane</w:t>
      </w:r>
      <w:proofErr w:type="spellEnd"/>
      <w:r>
        <w:t xml:space="preserve"> zarówno na całą organizację (co najmniej 60% akcji), jak i na wybrane grupy funkcyjne (do 40% akcji, w uzgodnieniu z zamawiającym).</w:t>
      </w:r>
      <w:r w:rsidR="091A8EA3">
        <w:t xml:space="preserve"> </w:t>
      </w:r>
      <w:r w:rsidR="091A8EA3" w:rsidRPr="004233FD">
        <w:rPr>
          <w:rFonts w:eastAsiaTheme="minorEastAsia"/>
        </w:rPr>
        <w:t>Zamawiający wymaga realizacji usługi w dni robocze w godzinach 8:00 – 15:00 według harmonogramów opracowanych przez Wykonawcę w uzgodnieniu z Zamawiającym</w:t>
      </w:r>
      <w:r w:rsidR="091A8EA3" w:rsidRPr="400F2FDC">
        <w:rPr>
          <w:rFonts w:eastAsiaTheme="minorEastAsia"/>
        </w:rPr>
        <w:t>.</w:t>
      </w:r>
    </w:p>
    <w:p w14:paraId="372E5324" w14:textId="0D259DC5" w:rsidR="00C22156" w:rsidRPr="00C22156" w:rsidRDefault="00C22156" w:rsidP="00C22156">
      <w:pPr>
        <w:pStyle w:val="Heading2"/>
      </w:pPr>
      <w:r w:rsidRPr="00C22156">
        <w:t>Raportowanie i analityka</w:t>
      </w:r>
    </w:p>
    <w:p w14:paraId="073850DE" w14:textId="77777777" w:rsidR="00C22156" w:rsidRPr="00C22156" w:rsidRDefault="00C22156" w:rsidP="00C22156">
      <w:r w:rsidRPr="00C22156">
        <w:t>Po każdej kampanii wykonawca przygotowuje raport zawierający:</w:t>
      </w:r>
    </w:p>
    <w:p w14:paraId="1682FE63" w14:textId="77777777" w:rsidR="00C22156" w:rsidRPr="00C22156" w:rsidRDefault="00C22156" w:rsidP="00935970">
      <w:pPr>
        <w:numPr>
          <w:ilvl w:val="0"/>
          <w:numId w:val="28"/>
        </w:numPr>
      </w:pPr>
      <w:r w:rsidRPr="00C22156">
        <w:t>szczegółową analizę skuteczności poszczególnych szablonów ataków (np. które szablony były najskuteczniejsze),</w:t>
      </w:r>
    </w:p>
    <w:p w14:paraId="3A65D61C" w14:textId="77777777" w:rsidR="00C22156" w:rsidRPr="00C22156" w:rsidRDefault="00C22156" w:rsidP="00935970">
      <w:pPr>
        <w:numPr>
          <w:ilvl w:val="0"/>
          <w:numId w:val="28"/>
        </w:numPr>
      </w:pPr>
      <w:r w:rsidRPr="00C22156">
        <w:t>statystyki liczby użytkowników, którzy nie wzięli udziału w kampanii,</w:t>
      </w:r>
    </w:p>
    <w:p w14:paraId="6FD3C836" w14:textId="77777777" w:rsidR="00C22156" w:rsidRPr="00C22156" w:rsidRDefault="00C22156" w:rsidP="00935970">
      <w:pPr>
        <w:numPr>
          <w:ilvl w:val="0"/>
          <w:numId w:val="28"/>
        </w:numPr>
      </w:pPr>
      <w:r w:rsidRPr="00C22156">
        <w:t xml:space="preserve">monitoring i raportowanie wskaźników również dla użytkowników, którzy nie ukończyli żadnej mikro-lekcji lub nie wzięli udziału w kampanii </w:t>
      </w:r>
      <w:proofErr w:type="spellStart"/>
      <w:r w:rsidRPr="00C22156">
        <w:t>phishingowej</w:t>
      </w:r>
      <w:proofErr w:type="spellEnd"/>
      <w:r w:rsidRPr="00C22156">
        <w:t>,</w:t>
      </w:r>
    </w:p>
    <w:p w14:paraId="6FE57300" w14:textId="77777777" w:rsidR="00C22156" w:rsidRPr="00C22156" w:rsidRDefault="00C22156" w:rsidP="00935970">
      <w:pPr>
        <w:numPr>
          <w:ilvl w:val="0"/>
          <w:numId w:val="28"/>
        </w:numPr>
      </w:pPr>
      <w:r w:rsidRPr="00C22156">
        <w:t>rekomendacje dotyczące konkretnych działań naprawczych dla grup z niskim zaangażowaniem.</w:t>
      </w:r>
    </w:p>
    <w:p w14:paraId="5079C088" w14:textId="77777777" w:rsidR="00C22156" w:rsidRPr="00C22156" w:rsidRDefault="00C22156" w:rsidP="00C22156">
      <w:r w:rsidRPr="00C22156">
        <w:t>Raporty będą każdorazowo konsultowane z zespołem ds. bezpieczeństwa zamawiającego po każdej kampanii (forma konsultacji elastyczna: spotkanie online, raport pisemny lub inna uzgodniona).</w:t>
      </w:r>
    </w:p>
    <w:p w14:paraId="69DC1338" w14:textId="3DCB6480" w:rsidR="00C22156" w:rsidRPr="00C22156" w:rsidRDefault="00C22156" w:rsidP="00C22156">
      <w:r>
        <w:t>Szablony komunikatów do użytkowników (np. powiadomienia o wynikach kampanii</w:t>
      </w:r>
      <w:r w:rsidR="52CFC697">
        <w:t>)</w:t>
      </w:r>
      <w:r>
        <w:t xml:space="preserve"> będą każdorazowo zatwierdzane przez zamawiającego przed wysyłką. Wykonawca przekazuje szablony zamawiającemu do akceptacji.</w:t>
      </w:r>
    </w:p>
    <w:p w14:paraId="3ADA482D" w14:textId="6FDE9287" w:rsidR="00C22156" w:rsidRPr="00C22156" w:rsidRDefault="00C22156" w:rsidP="00171E30">
      <w:pPr>
        <w:pStyle w:val="Heading2"/>
      </w:pPr>
      <w:r w:rsidRPr="00C22156">
        <w:t>Organizacja i logistyka</w:t>
      </w:r>
    </w:p>
    <w:p w14:paraId="630FB159" w14:textId="77777777" w:rsidR="00C22156" w:rsidRPr="00C22156" w:rsidRDefault="00C22156" w:rsidP="00935970">
      <w:pPr>
        <w:numPr>
          <w:ilvl w:val="0"/>
          <w:numId w:val="29"/>
        </w:numPr>
      </w:pPr>
      <w:r w:rsidRPr="00C22156">
        <w:t>Każda kampania obejmuje ok. 200 użytkowników.</w:t>
      </w:r>
    </w:p>
    <w:p w14:paraId="6C139CB7" w14:textId="77777777" w:rsidR="00C22156" w:rsidRPr="00C22156" w:rsidRDefault="00C22156" w:rsidP="00935970">
      <w:pPr>
        <w:numPr>
          <w:ilvl w:val="0"/>
          <w:numId w:val="29"/>
        </w:numPr>
      </w:pPr>
      <w:r w:rsidRPr="00C22156">
        <w:t>Wykonawca prowadzi statystyki liczby użytkowników, którzy nie wzięli udziału w kampanii (ogólna liczba, bez podziału na grupy funkcyjne).</w:t>
      </w:r>
    </w:p>
    <w:p w14:paraId="476FFC36" w14:textId="77777777" w:rsidR="00C22156" w:rsidRPr="00C22156" w:rsidRDefault="00C22156" w:rsidP="00935970">
      <w:pPr>
        <w:numPr>
          <w:ilvl w:val="0"/>
          <w:numId w:val="29"/>
        </w:numPr>
      </w:pPr>
      <w:r w:rsidRPr="00C22156">
        <w:t xml:space="preserve">Wykonawca prowadzi monitoring i raportowanie wskaźników również dla użytkowników, którzy nie ukończyli żadnej mikro-lekcji lub nie wzięli udziału w kampanii </w:t>
      </w:r>
      <w:proofErr w:type="spellStart"/>
      <w:r w:rsidRPr="00C22156">
        <w:t>phishingowej</w:t>
      </w:r>
      <w:proofErr w:type="spellEnd"/>
      <w:r w:rsidRPr="00C22156">
        <w:t>.</w:t>
      </w:r>
    </w:p>
    <w:p w14:paraId="2E2B7477" w14:textId="77777777" w:rsidR="00C22156" w:rsidRPr="00C22156" w:rsidRDefault="00C22156" w:rsidP="00935970">
      <w:pPr>
        <w:numPr>
          <w:ilvl w:val="0"/>
          <w:numId w:val="29"/>
        </w:numPr>
      </w:pPr>
      <w:r w:rsidRPr="00C22156">
        <w:t>Wykonawca prowadzi konsultacje z zespołem ds. bezpieczeństwa po każdej kampanii.</w:t>
      </w:r>
    </w:p>
    <w:p w14:paraId="63E2CBDB" w14:textId="77777777" w:rsidR="00C22156" w:rsidRPr="00C22156" w:rsidRDefault="00C22156" w:rsidP="00935970">
      <w:pPr>
        <w:numPr>
          <w:ilvl w:val="0"/>
          <w:numId w:val="29"/>
        </w:numPr>
      </w:pPr>
      <w:r w:rsidRPr="00C22156">
        <w:t>Wykonawca nie prowadzi archiwum wszystkich komunikatów do użytkowników dotyczących wyników kampanii – wystarczy przekazanie szablonów zamawiającemu.</w:t>
      </w:r>
    </w:p>
    <w:p w14:paraId="15CBF232" w14:textId="103BBED3" w:rsidR="00F948F4" w:rsidRDefault="00F948F4" w:rsidP="00F948F4">
      <w:pPr>
        <w:pStyle w:val="Heading1"/>
      </w:pPr>
      <w:r w:rsidRPr="00F948F4">
        <w:t>Platforma szkoleniowa –</w:t>
      </w:r>
      <w:r w:rsidR="00E83061">
        <w:t xml:space="preserve"> </w:t>
      </w:r>
      <w:r w:rsidR="00CA341A">
        <w:t>prowadzeni</w:t>
      </w:r>
      <w:r w:rsidR="00E83061">
        <w:t>e</w:t>
      </w:r>
      <w:r w:rsidR="00CA341A">
        <w:t xml:space="preserve"> </w:t>
      </w:r>
      <w:r w:rsidR="00E907C4">
        <w:t xml:space="preserve">cyklu mikro-lekcji oraz </w:t>
      </w:r>
      <w:r w:rsidR="007640FF">
        <w:t xml:space="preserve">mailingowych </w:t>
      </w:r>
      <w:r w:rsidR="00E907C4">
        <w:t xml:space="preserve">akcji </w:t>
      </w:r>
      <w:proofErr w:type="spellStart"/>
      <w:r w:rsidR="00E907C4">
        <w:t>phishingowych</w:t>
      </w:r>
      <w:proofErr w:type="spellEnd"/>
      <w:r w:rsidR="00E83061">
        <w:t xml:space="preserve"> przez platformę posiadaną przez Zamawiającego</w:t>
      </w:r>
    </w:p>
    <w:p w14:paraId="1824EA86" w14:textId="5D9D41EE" w:rsidR="00B94512" w:rsidRPr="00B94512" w:rsidRDefault="00C4263E" w:rsidP="00B94512">
      <w:pPr>
        <w:pStyle w:val="Heading1"/>
      </w:pPr>
      <w:r>
        <w:t xml:space="preserve">Platforma szkoleniowa stanowi centralny element programu edukacyjnego, zapewniając automatyzację procesu nauki, segmentację użytkowników, raportowanie i archiwizację danych oraz personalizację interfejsu zgodnie z identyfikacją wizualną zamawiającego. . </w:t>
      </w:r>
      <w:r w:rsidR="00B94512">
        <w:t>R</w:t>
      </w:r>
      <w:r w:rsidR="00B94512" w:rsidRPr="00B94512">
        <w:t>aportowanie i ewaluacja</w:t>
      </w:r>
    </w:p>
    <w:p w14:paraId="5B45CA9B" w14:textId="4E44F688" w:rsidR="00B94512" w:rsidRPr="00B94512" w:rsidRDefault="00B94512" w:rsidP="00B94512">
      <w:pPr>
        <w:pStyle w:val="Heading2"/>
      </w:pPr>
      <w:r w:rsidRPr="00B94512">
        <w:t>Zakres i częstotliwość raportów</w:t>
      </w:r>
    </w:p>
    <w:p w14:paraId="1F7A716E" w14:textId="77777777" w:rsidR="00B94512" w:rsidRPr="00B94512" w:rsidRDefault="00B94512" w:rsidP="00B94512">
      <w:r w:rsidRPr="00B94512">
        <w:t xml:space="preserve">Raporty generowane są automatycznie z platformy szkoleniowej po każdej kampanii </w:t>
      </w:r>
      <w:proofErr w:type="spellStart"/>
      <w:r w:rsidRPr="00B94512">
        <w:t>cyber</w:t>
      </w:r>
      <w:proofErr w:type="spellEnd"/>
      <w:r w:rsidRPr="00B94512">
        <w:t xml:space="preserve"> </w:t>
      </w:r>
      <w:proofErr w:type="spellStart"/>
      <w:r w:rsidRPr="00B94512">
        <w:t>awareness</w:t>
      </w:r>
      <w:proofErr w:type="spellEnd"/>
      <w:r w:rsidRPr="00B94512">
        <w:t xml:space="preserve"> i symulacji ataków. Po każdej kampanii wykonawca przygotowuje również komentarz ekspercki z rekomendacjami naprawczymi, szczególnie dla grup z niskim zaangażowaniem.</w:t>
      </w:r>
    </w:p>
    <w:p w14:paraId="375E49A0" w14:textId="217FD7AF" w:rsidR="00B94512" w:rsidRPr="00B94512" w:rsidRDefault="00B94512" w:rsidP="00B94512">
      <w:pPr>
        <w:pStyle w:val="Heading2"/>
      </w:pPr>
      <w:r w:rsidRPr="00B94512">
        <w:t>Format i zawartość raportów</w:t>
      </w:r>
    </w:p>
    <w:p w14:paraId="373B4F99" w14:textId="77777777" w:rsidR="00B94512" w:rsidRPr="00B94512" w:rsidRDefault="00B94512" w:rsidP="00B94512">
      <w:r w:rsidRPr="00B94512">
        <w:t>Raporty zawierają:</w:t>
      </w:r>
    </w:p>
    <w:p w14:paraId="79697D91" w14:textId="77777777" w:rsidR="00B94512" w:rsidRPr="00B94512" w:rsidRDefault="00B94512" w:rsidP="00935970">
      <w:pPr>
        <w:numPr>
          <w:ilvl w:val="0"/>
          <w:numId w:val="36"/>
        </w:numPr>
      </w:pPr>
      <w:r w:rsidRPr="00B94512">
        <w:t>Szczegółową analizę skuteczności poszczególnych szablonów ataków,</w:t>
      </w:r>
    </w:p>
    <w:p w14:paraId="5F030D79" w14:textId="77777777" w:rsidR="00B94512" w:rsidRPr="00B94512" w:rsidRDefault="00B94512" w:rsidP="00935970">
      <w:pPr>
        <w:numPr>
          <w:ilvl w:val="0"/>
          <w:numId w:val="36"/>
        </w:numPr>
      </w:pPr>
      <w:r w:rsidRPr="00B94512">
        <w:t>Statystyki liczby użytkowników, którzy nie wzięli udziału w kampanii,</w:t>
      </w:r>
    </w:p>
    <w:p w14:paraId="1328C715" w14:textId="77777777" w:rsidR="00B94512" w:rsidRPr="00B94512" w:rsidRDefault="00B94512" w:rsidP="00935970">
      <w:pPr>
        <w:numPr>
          <w:ilvl w:val="0"/>
          <w:numId w:val="36"/>
        </w:numPr>
      </w:pPr>
      <w:r w:rsidRPr="00B94512">
        <w:t xml:space="preserve">Monitoring i raportowanie wskaźników również dla użytkowników, którzy nie ukończyli żadnej mikro-lekcji lub nie wzięli udziału w kampanii </w:t>
      </w:r>
      <w:proofErr w:type="spellStart"/>
      <w:r w:rsidRPr="00B94512">
        <w:t>phishingowej</w:t>
      </w:r>
      <w:proofErr w:type="spellEnd"/>
      <w:r w:rsidRPr="00B94512">
        <w:t>,</w:t>
      </w:r>
    </w:p>
    <w:p w14:paraId="69960A5E" w14:textId="77777777" w:rsidR="00B94512" w:rsidRPr="00B94512" w:rsidRDefault="00B94512" w:rsidP="00935970">
      <w:pPr>
        <w:numPr>
          <w:ilvl w:val="0"/>
          <w:numId w:val="36"/>
        </w:numPr>
      </w:pPr>
      <w:r w:rsidRPr="00B94512">
        <w:t>Rekomendacje dotyczące konkretnych działań naprawczych dla grup z niskim zaangażowaniem.</w:t>
      </w:r>
    </w:p>
    <w:p w14:paraId="3C18950F" w14:textId="77777777" w:rsidR="00B94512" w:rsidRPr="00B94512" w:rsidRDefault="00B94512" w:rsidP="00B94512">
      <w:r w:rsidRPr="00B94512">
        <w:t>Raporty są przekazywane zamawiającemu po każdej kampanii, bez konieczności prowadzenia archiwum przez wykonawcę. Forma raportów (tabelaryczna lub graficzna) jest zgodna z możliwościami platformy.</w:t>
      </w:r>
    </w:p>
    <w:p w14:paraId="161B4348" w14:textId="5ACD1BDC" w:rsidR="00B94512" w:rsidRPr="00B94512" w:rsidRDefault="00B94512" w:rsidP="00B94512">
      <w:pPr>
        <w:pStyle w:val="Heading2"/>
      </w:pPr>
      <w:r w:rsidRPr="00B94512">
        <w:t>Konsultacje i rekomendacje eksperckie</w:t>
      </w:r>
    </w:p>
    <w:p w14:paraId="2EF0EB09" w14:textId="77777777" w:rsidR="00B94512" w:rsidRPr="00B94512" w:rsidRDefault="00B94512" w:rsidP="00B94512">
      <w:r w:rsidRPr="00B94512">
        <w:t>Po każdej kampanii wykonawca prowadzi konsultacje z zespołem ds. bezpieczeństwa zamawiającego (forma elastyczna: spotkanie online, raport pisemny lub inna uzgodniona). Rekomendacje mają formę ogólnego opisu i są konsultowane oraz zatwierdzane przez zespół ds. bezpieczeństwa zamawiającego przed wdrożeniem.</w:t>
      </w:r>
    </w:p>
    <w:p w14:paraId="1902C761" w14:textId="46021EC1" w:rsidR="00B94512" w:rsidRPr="00B94512" w:rsidRDefault="00B94512" w:rsidP="00B94512">
      <w:pPr>
        <w:pStyle w:val="Heading1"/>
      </w:pPr>
      <w:r>
        <w:t xml:space="preserve"> </w:t>
      </w:r>
      <w:r w:rsidRPr="00B94512">
        <w:t>Wsparcie powdrożeniowe i konsultacje</w:t>
      </w:r>
    </w:p>
    <w:p w14:paraId="6603EC01" w14:textId="5C50713D" w:rsidR="00B94512" w:rsidRPr="00B94512" w:rsidRDefault="00B94512" w:rsidP="00B94512">
      <w:pPr>
        <w:pStyle w:val="Heading2"/>
      </w:pPr>
      <w:r w:rsidRPr="00B94512">
        <w:t>Godziny konsultacyjne i doradztwo</w:t>
      </w:r>
    </w:p>
    <w:p w14:paraId="3F81DA40" w14:textId="77777777" w:rsidR="00B94512" w:rsidRPr="00B94512" w:rsidRDefault="00B94512" w:rsidP="00B94512">
      <w:r w:rsidRPr="00B94512">
        <w:t>W ramach umowy wykonawca zapewnia 10 godzin konsultacji miesięcznie, które zamawiający może wykorzystać na indywidualne konsultacje, doradztwo lub wsparcie eksperckie (realizowane online).</w:t>
      </w:r>
    </w:p>
    <w:p w14:paraId="739E94B3" w14:textId="74E388D4" w:rsidR="00B94512" w:rsidRPr="00B94512" w:rsidRDefault="00B94512" w:rsidP="00B94512">
      <w:pPr>
        <w:pStyle w:val="Heading2"/>
      </w:pPr>
      <w:r w:rsidRPr="00B94512">
        <w:t>Organizacja konsultacji okresowych</w:t>
      </w:r>
    </w:p>
    <w:p w14:paraId="25BB93DC" w14:textId="77777777" w:rsidR="00B94512" w:rsidRPr="00B94512" w:rsidRDefault="00B94512" w:rsidP="00B94512">
      <w:r w:rsidRPr="00B94512">
        <w:t>Przewidziane są okresowe konsultacje/przeglądy programu online, których celem jest omówienie postępów, wyników raportowania oraz rekomendacji dotyczących dalszych działań edukacyjnych.</w:t>
      </w:r>
    </w:p>
    <w:p w14:paraId="0E6EFBDD" w14:textId="6C2576FF" w:rsidR="00B94512" w:rsidRPr="00B94512" w:rsidRDefault="00B94512" w:rsidP="00B94512">
      <w:r>
        <w:t>Zasady komunikacji Wszelka komunikacja prowadzona jest drogą elektroniczną (e-mail), a w przypadku konsultacji – również w formie wideokonferencji.</w:t>
      </w:r>
    </w:p>
    <w:p w14:paraId="518647AA" w14:textId="51EAEA27" w:rsidR="00B94512" w:rsidRPr="00B94512" w:rsidRDefault="00B94512" w:rsidP="00B94512">
      <w:pPr>
        <w:pStyle w:val="Heading1"/>
      </w:pPr>
      <w:r w:rsidRPr="00B94512">
        <w:t xml:space="preserve"> Wymagania formalne i zgodność</w:t>
      </w:r>
    </w:p>
    <w:p w14:paraId="27783693" w14:textId="0FFBC1B2" w:rsidR="00B94512" w:rsidRPr="00B94512" w:rsidRDefault="00B94512" w:rsidP="00B94512">
      <w:pPr>
        <w:pStyle w:val="Heading2"/>
      </w:pPr>
      <w:r w:rsidRPr="00B94512">
        <w:t>Oznaczenia materiałów i dokumentów</w:t>
      </w:r>
    </w:p>
    <w:p w14:paraId="49D27BDF" w14:textId="77777777" w:rsidR="00B94512" w:rsidRPr="00B94512" w:rsidRDefault="00B94512" w:rsidP="00B94512">
      <w:r w:rsidRPr="00B94512">
        <w:t xml:space="preserve">Wszystkie materiały, dokumenty i efekty pracy muszą być oznaczone zgodnie z wymogami Księgi Identyfikacji Wizualnej KPO oraz zawierać informację o finansowaniu ze środków KPO i </w:t>
      </w:r>
      <w:proofErr w:type="spellStart"/>
      <w:r w:rsidRPr="00B94512">
        <w:t>NextGenerationEU</w:t>
      </w:r>
      <w:proofErr w:type="spellEnd"/>
      <w:r w:rsidRPr="00B94512">
        <w:t>. Zamawiający udostępni wzory oznaczeń i logotypów.</w:t>
      </w:r>
    </w:p>
    <w:p w14:paraId="2AE6E504" w14:textId="31DBAFBF" w:rsidR="00B94512" w:rsidRPr="00B94512" w:rsidRDefault="00B94512" w:rsidP="00B94512">
      <w:pPr>
        <w:pStyle w:val="Heading2"/>
      </w:pPr>
      <w:r w:rsidRPr="00B94512">
        <w:t>Wymogi informacyjne i promocyjne</w:t>
      </w:r>
    </w:p>
    <w:p w14:paraId="76EC9D78" w14:textId="77777777" w:rsidR="00B94512" w:rsidRPr="00B94512" w:rsidRDefault="00B94512" w:rsidP="00B94512">
      <w:r w:rsidRPr="00B94512">
        <w:t>Wykonawca zobowiązany jest do stosowania się do wytycznych dotyczących komunikacji i promocji projektu, w tym do przygotowania materiałów komunikacyjnych do kampanii wewnętrznej.</w:t>
      </w:r>
    </w:p>
    <w:p w14:paraId="6E620EAF" w14:textId="0ADFC67D" w:rsidR="00B94512" w:rsidRPr="00B94512" w:rsidRDefault="00B94512" w:rsidP="00B94512">
      <w:pPr>
        <w:pStyle w:val="Heading2"/>
      </w:pPr>
      <w:r w:rsidRPr="00B94512">
        <w:t>Zasady przetwarzania i usuwania danych</w:t>
      </w:r>
    </w:p>
    <w:p w14:paraId="42DA46C9" w14:textId="77777777" w:rsidR="00B94512" w:rsidRPr="00B94512" w:rsidRDefault="00B94512" w:rsidP="00B94512">
      <w:r w:rsidRPr="00B94512">
        <w:t>Wszystkie dane osobowe muszą być przetwarzane zgodnie z RODO/GDPR. Przetwarzanie i retencja danych odbywa się wyłącznie w regionie UE/EOG. Po zakończeniu umowy wykonawca przekazuje zamawiającemu możliwość samodzielnego utrzymania platformy i nie przechowuje danych użytkowników.</w:t>
      </w:r>
    </w:p>
    <w:p w14:paraId="4ADA668F" w14:textId="5DDC6893" w:rsidR="00B94512" w:rsidRPr="00B94512" w:rsidRDefault="00B94512" w:rsidP="00B94512">
      <w:pPr>
        <w:pStyle w:val="Heading2"/>
      </w:pPr>
      <w:r w:rsidRPr="00B94512">
        <w:t>Retencja i archiwizacja danych</w:t>
      </w:r>
    </w:p>
    <w:p w14:paraId="379D581D" w14:textId="77777777" w:rsidR="00B94512" w:rsidRPr="00B94512" w:rsidRDefault="00B94512" w:rsidP="00B94512">
      <w:r w:rsidRPr="00B94512">
        <w:t>Nie przewiduje się szczególnych wymagań dotyczących archiwizacji i retencji danych po zakończeniu projektu poza okresem przejściowym uzgodnionym w umowie.</w:t>
      </w:r>
    </w:p>
    <w:p w14:paraId="2A4A140C" w14:textId="28566E2A" w:rsidR="00B94512" w:rsidRPr="00B94512" w:rsidRDefault="00B94512" w:rsidP="00B94512">
      <w:pPr>
        <w:pStyle w:val="Heading2"/>
      </w:pPr>
      <w:r w:rsidRPr="00B94512">
        <w:t>Zasady równego traktowania wykonawców</w:t>
      </w:r>
    </w:p>
    <w:p w14:paraId="76EFDD15" w14:textId="77777777" w:rsidR="00B94512" w:rsidRPr="00B94512" w:rsidRDefault="00B94512" w:rsidP="00B94512">
      <w:r w:rsidRPr="00B94512">
        <w:t>Wszyscy wykonawcy są traktowani równo, a wymagania określone w OPZ mogą być spełnione rozwiązaniami równoważnymi pod względem funkcjonalnym i jakościowym.</w:t>
      </w:r>
    </w:p>
    <w:p w14:paraId="6B016ED4" w14:textId="1EA7B442" w:rsidR="00B94512" w:rsidRPr="00B94512" w:rsidRDefault="00B94512" w:rsidP="00B94512">
      <w:pPr>
        <w:pStyle w:val="Heading2"/>
      </w:pPr>
      <w:r w:rsidRPr="00B94512">
        <w:t>Wymagania dotyczące języka i formatu materiałów</w:t>
      </w:r>
    </w:p>
    <w:p w14:paraId="3105B320" w14:textId="77777777" w:rsidR="00B94512" w:rsidRPr="00B94512" w:rsidRDefault="00B94512" w:rsidP="00B94512">
      <w:r w:rsidRPr="00B94512">
        <w:t>Materiały szkoleniowe, komunikaty i raporty przygotowywane są w języku polskim (na życzenie zamawiającego raporty mogą być dostępne w języku angielskim). Brak wymagań dotyczących formatu plików materiałów (np. PDF, DOCX, PPTX).</w:t>
      </w:r>
    </w:p>
    <w:sectPr w:rsidR="00B94512" w:rsidRPr="00B94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rzewalska Małgorzata" w:date="2025-09-22T12:58:00Z" w:initials="PM">
    <w:p w14:paraId="33426299" w14:textId="344F00A3" w:rsidR="005010C8" w:rsidRDefault="005010C8">
      <w:pPr>
        <w:pStyle w:val="CommentText"/>
      </w:pPr>
      <w:r>
        <w:rPr>
          <w:rStyle w:val="CommentReference"/>
        </w:rPr>
        <w:annotationRef/>
      </w:r>
      <w:r w:rsidRPr="185EBA5D">
        <w:t>Nie techniczne, tylko merytoryczne, tak?</w:t>
      </w:r>
    </w:p>
  </w:comment>
  <w:comment w:id="2" w:author="Robert Król" w:date="2025-09-19T11:20:00Z" w:initials="RK">
    <w:p w14:paraId="7EAFCD46" w14:textId="77777777" w:rsidR="00120225" w:rsidRDefault="00120225" w:rsidP="00120225">
      <w:pPr>
        <w:pStyle w:val="CommentText"/>
      </w:pPr>
      <w:r>
        <w:rPr>
          <w:rStyle w:val="CommentReference"/>
        </w:rPr>
        <w:annotationRef/>
      </w:r>
      <w:r>
        <w:t>Rozwinięcie na 3 do ustalonych indywidualnie osób funkcyjnych w urzędzie według scenariusza który zostanie uzgodniony w trakcie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426299" w15:done="0"/>
  <w15:commentEx w15:paraId="7EAFCD4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39D16D" w16cex:dateUtc="2025-09-22T10:58:00Z"/>
  <w16cex:commentExtensible w16cex:durableId="0F5503F0" w16cex:dateUtc="2025-09-19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426299" w16cid:durableId="0539D16D"/>
  <w16cid:commentId w16cid:paraId="7EAFCD46" w16cid:durableId="0F5503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148F" w14:textId="77777777" w:rsidR="00467F7F" w:rsidRDefault="00467F7F" w:rsidP="00D32794">
      <w:pPr>
        <w:spacing w:after="0" w:line="240" w:lineRule="auto"/>
      </w:pPr>
      <w:r>
        <w:separator/>
      </w:r>
    </w:p>
  </w:endnote>
  <w:endnote w:type="continuationSeparator" w:id="0">
    <w:p w14:paraId="70E6ED12" w14:textId="77777777" w:rsidR="00467F7F" w:rsidRDefault="00467F7F" w:rsidP="00D3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06B7" w14:textId="77777777" w:rsidR="00467F7F" w:rsidRDefault="00467F7F" w:rsidP="00D32794">
      <w:pPr>
        <w:spacing w:after="0" w:line="240" w:lineRule="auto"/>
      </w:pPr>
      <w:r>
        <w:separator/>
      </w:r>
    </w:p>
  </w:footnote>
  <w:footnote w:type="continuationSeparator" w:id="0">
    <w:p w14:paraId="3046C018" w14:textId="77777777" w:rsidR="00467F7F" w:rsidRDefault="00467F7F" w:rsidP="00D32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D6C"/>
    <w:multiLevelType w:val="multilevel"/>
    <w:tmpl w:val="6DD2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115C0"/>
    <w:multiLevelType w:val="multilevel"/>
    <w:tmpl w:val="041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8B2B5E"/>
    <w:multiLevelType w:val="multilevel"/>
    <w:tmpl w:val="D4A4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36377"/>
    <w:multiLevelType w:val="multilevel"/>
    <w:tmpl w:val="3BCA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40FE7"/>
    <w:multiLevelType w:val="multilevel"/>
    <w:tmpl w:val="75E8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50B20"/>
    <w:multiLevelType w:val="multilevel"/>
    <w:tmpl w:val="0CDE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93830"/>
    <w:multiLevelType w:val="multilevel"/>
    <w:tmpl w:val="A928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F1BB2"/>
    <w:multiLevelType w:val="multilevel"/>
    <w:tmpl w:val="6CA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221F6"/>
    <w:multiLevelType w:val="multilevel"/>
    <w:tmpl w:val="FFC0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13259"/>
    <w:multiLevelType w:val="multilevel"/>
    <w:tmpl w:val="853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447D1"/>
    <w:multiLevelType w:val="multilevel"/>
    <w:tmpl w:val="B8A4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01470"/>
    <w:multiLevelType w:val="multilevel"/>
    <w:tmpl w:val="728C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B650F"/>
    <w:multiLevelType w:val="multilevel"/>
    <w:tmpl w:val="607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E776F"/>
    <w:multiLevelType w:val="multilevel"/>
    <w:tmpl w:val="3E70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B2892"/>
    <w:multiLevelType w:val="multilevel"/>
    <w:tmpl w:val="3A64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7170F"/>
    <w:multiLevelType w:val="multilevel"/>
    <w:tmpl w:val="B8A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C3B08"/>
    <w:multiLevelType w:val="multilevel"/>
    <w:tmpl w:val="DA9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D22B7"/>
    <w:multiLevelType w:val="multilevel"/>
    <w:tmpl w:val="E746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80F41"/>
    <w:multiLevelType w:val="multilevel"/>
    <w:tmpl w:val="BBE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A203D"/>
    <w:multiLevelType w:val="multilevel"/>
    <w:tmpl w:val="13F6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D0F7A"/>
    <w:multiLevelType w:val="multilevel"/>
    <w:tmpl w:val="C5DC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16291"/>
    <w:multiLevelType w:val="multilevel"/>
    <w:tmpl w:val="549A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85B72"/>
    <w:multiLevelType w:val="multilevel"/>
    <w:tmpl w:val="C346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75FF2"/>
    <w:multiLevelType w:val="multilevel"/>
    <w:tmpl w:val="0DE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21DF2"/>
    <w:multiLevelType w:val="multilevel"/>
    <w:tmpl w:val="F9F2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E58FB"/>
    <w:multiLevelType w:val="multilevel"/>
    <w:tmpl w:val="E06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30782"/>
    <w:multiLevelType w:val="multilevel"/>
    <w:tmpl w:val="47C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279BD"/>
    <w:multiLevelType w:val="multilevel"/>
    <w:tmpl w:val="3B0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97808"/>
    <w:multiLevelType w:val="multilevel"/>
    <w:tmpl w:val="2CB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E4912"/>
    <w:multiLevelType w:val="multilevel"/>
    <w:tmpl w:val="0952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07C1B"/>
    <w:multiLevelType w:val="multilevel"/>
    <w:tmpl w:val="B750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D4616"/>
    <w:multiLevelType w:val="multilevel"/>
    <w:tmpl w:val="FE52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47626"/>
    <w:multiLevelType w:val="multilevel"/>
    <w:tmpl w:val="D432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AD15BE"/>
    <w:multiLevelType w:val="multilevel"/>
    <w:tmpl w:val="9B9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421A59"/>
    <w:multiLevelType w:val="multilevel"/>
    <w:tmpl w:val="F952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7731E"/>
    <w:multiLevelType w:val="multilevel"/>
    <w:tmpl w:val="0946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3440D6"/>
    <w:multiLevelType w:val="multilevel"/>
    <w:tmpl w:val="39C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22C65"/>
    <w:multiLevelType w:val="multilevel"/>
    <w:tmpl w:val="D83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9B2938"/>
    <w:multiLevelType w:val="multilevel"/>
    <w:tmpl w:val="285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D22572"/>
    <w:multiLevelType w:val="multilevel"/>
    <w:tmpl w:val="60E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710464">
    <w:abstractNumId w:val="26"/>
  </w:num>
  <w:num w:numId="2" w16cid:durableId="459108199">
    <w:abstractNumId w:val="11"/>
  </w:num>
  <w:num w:numId="3" w16cid:durableId="833715557">
    <w:abstractNumId w:val="28"/>
  </w:num>
  <w:num w:numId="4" w16cid:durableId="215505450">
    <w:abstractNumId w:val="24"/>
  </w:num>
  <w:num w:numId="5" w16cid:durableId="870799395">
    <w:abstractNumId w:val="27"/>
  </w:num>
  <w:num w:numId="6" w16cid:durableId="1427730972">
    <w:abstractNumId w:val="33"/>
  </w:num>
  <w:num w:numId="7" w16cid:durableId="298263412">
    <w:abstractNumId w:val="29"/>
  </w:num>
  <w:num w:numId="8" w16cid:durableId="151650803">
    <w:abstractNumId w:val="25"/>
  </w:num>
  <w:num w:numId="9" w16cid:durableId="528302679">
    <w:abstractNumId w:val="0"/>
  </w:num>
  <w:num w:numId="10" w16cid:durableId="875046581">
    <w:abstractNumId w:val="18"/>
  </w:num>
  <w:num w:numId="11" w16cid:durableId="42025714">
    <w:abstractNumId w:val="13"/>
  </w:num>
  <w:num w:numId="12" w16cid:durableId="1096949195">
    <w:abstractNumId w:val="36"/>
  </w:num>
  <w:num w:numId="13" w16cid:durableId="1915818812">
    <w:abstractNumId w:val="15"/>
  </w:num>
  <w:num w:numId="14" w16cid:durableId="164633903">
    <w:abstractNumId w:val="10"/>
  </w:num>
  <w:num w:numId="15" w16cid:durableId="797140665">
    <w:abstractNumId w:val="1"/>
  </w:num>
  <w:num w:numId="16" w16cid:durableId="1856268456">
    <w:abstractNumId w:val="30"/>
  </w:num>
  <w:num w:numId="17" w16cid:durableId="2019111466">
    <w:abstractNumId w:val="17"/>
  </w:num>
  <w:num w:numId="18" w16cid:durableId="1760366806">
    <w:abstractNumId w:val="21"/>
  </w:num>
  <w:num w:numId="19" w16cid:durableId="339357032">
    <w:abstractNumId w:val="8"/>
  </w:num>
  <w:num w:numId="20" w16cid:durableId="1674644190">
    <w:abstractNumId w:val="35"/>
  </w:num>
  <w:num w:numId="21" w16cid:durableId="576134128">
    <w:abstractNumId w:val="5"/>
  </w:num>
  <w:num w:numId="22" w16cid:durableId="2116172276">
    <w:abstractNumId w:val="31"/>
  </w:num>
  <w:num w:numId="23" w16cid:durableId="803887933">
    <w:abstractNumId w:val="4"/>
  </w:num>
  <w:num w:numId="24" w16cid:durableId="1282954820">
    <w:abstractNumId w:val="34"/>
  </w:num>
  <w:num w:numId="25" w16cid:durableId="605892938">
    <w:abstractNumId w:val="16"/>
  </w:num>
  <w:num w:numId="26" w16cid:durableId="1986472989">
    <w:abstractNumId w:val="7"/>
  </w:num>
  <w:num w:numId="27" w16cid:durableId="376591790">
    <w:abstractNumId w:val="22"/>
  </w:num>
  <w:num w:numId="28" w16cid:durableId="1073697790">
    <w:abstractNumId w:val="14"/>
  </w:num>
  <w:num w:numId="29" w16cid:durableId="1015882633">
    <w:abstractNumId w:val="6"/>
  </w:num>
  <w:num w:numId="30" w16cid:durableId="1079710706">
    <w:abstractNumId w:val="2"/>
  </w:num>
  <w:num w:numId="31" w16cid:durableId="1891721767">
    <w:abstractNumId w:val="32"/>
  </w:num>
  <w:num w:numId="32" w16cid:durableId="847016542">
    <w:abstractNumId w:val="23"/>
  </w:num>
  <w:num w:numId="33" w16cid:durableId="1993368971">
    <w:abstractNumId w:val="38"/>
  </w:num>
  <w:num w:numId="34" w16cid:durableId="1445534764">
    <w:abstractNumId w:val="19"/>
  </w:num>
  <w:num w:numId="35" w16cid:durableId="2107725484">
    <w:abstractNumId w:val="9"/>
  </w:num>
  <w:num w:numId="36" w16cid:durableId="1678272045">
    <w:abstractNumId w:val="20"/>
  </w:num>
  <w:num w:numId="37" w16cid:durableId="954990611">
    <w:abstractNumId w:val="3"/>
  </w:num>
  <w:num w:numId="38" w16cid:durableId="1407655520">
    <w:abstractNumId w:val="37"/>
  </w:num>
  <w:num w:numId="39" w16cid:durableId="649822163">
    <w:abstractNumId w:val="39"/>
  </w:num>
  <w:num w:numId="40" w16cid:durableId="1747796617">
    <w:abstractNumId w:val="12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zewalska Małgorzata">
    <w15:presenceInfo w15:providerId="AD" w15:userId="S::mprzewal@uzp.gov.pl::e0aa0f81-831e-46a9-b056-34d48cac03ff"/>
  </w15:person>
  <w15:person w15:author="Robert Król">
    <w15:presenceInfo w15:providerId="AD" w15:userId="S::robert.krol@uzp.gov.pl::982fab32-21d3-4996-ae12-6a49fd82b7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869793"/>
    <w:rsid w:val="00001475"/>
    <w:rsid w:val="00002CF9"/>
    <w:rsid w:val="00027F27"/>
    <w:rsid w:val="00034C68"/>
    <w:rsid w:val="000741F4"/>
    <w:rsid w:val="000925DD"/>
    <w:rsid w:val="00092730"/>
    <w:rsid w:val="000B50A9"/>
    <w:rsid w:val="000C22C5"/>
    <w:rsid w:val="000C2FC5"/>
    <w:rsid w:val="000E3C02"/>
    <w:rsid w:val="0010105E"/>
    <w:rsid w:val="00120225"/>
    <w:rsid w:val="00142A35"/>
    <w:rsid w:val="0015590F"/>
    <w:rsid w:val="00171E30"/>
    <w:rsid w:val="0019276E"/>
    <w:rsid w:val="001955FB"/>
    <w:rsid w:val="001B1E5C"/>
    <w:rsid w:val="001E42BB"/>
    <w:rsid w:val="001E454F"/>
    <w:rsid w:val="001F20FE"/>
    <w:rsid w:val="00202ABD"/>
    <w:rsid w:val="00245160"/>
    <w:rsid w:val="0029166F"/>
    <w:rsid w:val="002A72A1"/>
    <w:rsid w:val="002D1847"/>
    <w:rsid w:val="002D44F5"/>
    <w:rsid w:val="002F0A3F"/>
    <w:rsid w:val="00321734"/>
    <w:rsid w:val="00327A49"/>
    <w:rsid w:val="003323DC"/>
    <w:rsid w:val="00341F73"/>
    <w:rsid w:val="00343ACE"/>
    <w:rsid w:val="00351AD7"/>
    <w:rsid w:val="003B2DEA"/>
    <w:rsid w:val="003B37E2"/>
    <w:rsid w:val="003B6BC2"/>
    <w:rsid w:val="003C5C66"/>
    <w:rsid w:val="00421BAD"/>
    <w:rsid w:val="004233FD"/>
    <w:rsid w:val="00427C8F"/>
    <w:rsid w:val="004343CA"/>
    <w:rsid w:val="00467F7F"/>
    <w:rsid w:val="00472C56"/>
    <w:rsid w:val="004B0D18"/>
    <w:rsid w:val="004C0DDD"/>
    <w:rsid w:val="004D39CE"/>
    <w:rsid w:val="005010C8"/>
    <w:rsid w:val="005048BD"/>
    <w:rsid w:val="005052E2"/>
    <w:rsid w:val="00520A3A"/>
    <w:rsid w:val="00521BFE"/>
    <w:rsid w:val="005320A2"/>
    <w:rsid w:val="00577AEB"/>
    <w:rsid w:val="00593093"/>
    <w:rsid w:val="005E387F"/>
    <w:rsid w:val="005E38ED"/>
    <w:rsid w:val="005E717C"/>
    <w:rsid w:val="006205E6"/>
    <w:rsid w:val="00653BAF"/>
    <w:rsid w:val="00670DD3"/>
    <w:rsid w:val="00671701"/>
    <w:rsid w:val="006854FF"/>
    <w:rsid w:val="00691552"/>
    <w:rsid w:val="006F00E3"/>
    <w:rsid w:val="006F2045"/>
    <w:rsid w:val="0072078F"/>
    <w:rsid w:val="00726A3D"/>
    <w:rsid w:val="00737DBD"/>
    <w:rsid w:val="00744E56"/>
    <w:rsid w:val="007640FF"/>
    <w:rsid w:val="007C56CA"/>
    <w:rsid w:val="007E0AAD"/>
    <w:rsid w:val="007E2FA0"/>
    <w:rsid w:val="00825750"/>
    <w:rsid w:val="00834556"/>
    <w:rsid w:val="00854BD9"/>
    <w:rsid w:val="008603D6"/>
    <w:rsid w:val="00861458"/>
    <w:rsid w:val="00871B8B"/>
    <w:rsid w:val="008806B6"/>
    <w:rsid w:val="008841C4"/>
    <w:rsid w:val="008A2980"/>
    <w:rsid w:val="008F6C31"/>
    <w:rsid w:val="00901CA5"/>
    <w:rsid w:val="00912F09"/>
    <w:rsid w:val="009171D6"/>
    <w:rsid w:val="00933B0B"/>
    <w:rsid w:val="00935970"/>
    <w:rsid w:val="00937B05"/>
    <w:rsid w:val="00946FEA"/>
    <w:rsid w:val="0095087B"/>
    <w:rsid w:val="00966426"/>
    <w:rsid w:val="009944D4"/>
    <w:rsid w:val="009A2B9E"/>
    <w:rsid w:val="009C49B4"/>
    <w:rsid w:val="009D058F"/>
    <w:rsid w:val="00A17AF2"/>
    <w:rsid w:val="00A27CF9"/>
    <w:rsid w:val="00A36560"/>
    <w:rsid w:val="00A42F15"/>
    <w:rsid w:val="00A4759E"/>
    <w:rsid w:val="00A64303"/>
    <w:rsid w:val="00A758A5"/>
    <w:rsid w:val="00AA0D33"/>
    <w:rsid w:val="00AC45EA"/>
    <w:rsid w:val="00AC7633"/>
    <w:rsid w:val="00AE7D8F"/>
    <w:rsid w:val="00B0120B"/>
    <w:rsid w:val="00B10943"/>
    <w:rsid w:val="00B758BF"/>
    <w:rsid w:val="00B94512"/>
    <w:rsid w:val="00BA7929"/>
    <w:rsid w:val="00BD0D19"/>
    <w:rsid w:val="00BE55B6"/>
    <w:rsid w:val="00C02665"/>
    <w:rsid w:val="00C22156"/>
    <w:rsid w:val="00C40BEA"/>
    <w:rsid w:val="00C4263E"/>
    <w:rsid w:val="00C759D7"/>
    <w:rsid w:val="00C858D2"/>
    <w:rsid w:val="00C91A55"/>
    <w:rsid w:val="00CA0193"/>
    <w:rsid w:val="00CA341A"/>
    <w:rsid w:val="00CA45DE"/>
    <w:rsid w:val="00CE323D"/>
    <w:rsid w:val="00CE3DF4"/>
    <w:rsid w:val="00D145F1"/>
    <w:rsid w:val="00D32794"/>
    <w:rsid w:val="00D82CDD"/>
    <w:rsid w:val="00D9014B"/>
    <w:rsid w:val="00DF1ED8"/>
    <w:rsid w:val="00E04CB2"/>
    <w:rsid w:val="00E14E45"/>
    <w:rsid w:val="00E275E1"/>
    <w:rsid w:val="00E55C10"/>
    <w:rsid w:val="00E56FB6"/>
    <w:rsid w:val="00E83061"/>
    <w:rsid w:val="00E907C4"/>
    <w:rsid w:val="00E947B6"/>
    <w:rsid w:val="00EA43B6"/>
    <w:rsid w:val="00EB4FBA"/>
    <w:rsid w:val="00ED5C23"/>
    <w:rsid w:val="00F00439"/>
    <w:rsid w:val="00F44149"/>
    <w:rsid w:val="00F61569"/>
    <w:rsid w:val="00F63891"/>
    <w:rsid w:val="00F643B8"/>
    <w:rsid w:val="00F948F4"/>
    <w:rsid w:val="00F974A8"/>
    <w:rsid w:val="00FE3D1B"/>
    <w:rsid w:val="0203802E"/>
    <w:rsid w:val="027A3845"/>
    <w:rsid w:val="0317EF31"/>
    <w:rsid w:val="034DF933"/>
    <w:rsid w:val="0519B736"/>
    <w:rsid w:val="054A9117"/>
    <w:rsid w:val="091A8EA3"/>
    <w:rsid w:val="0BB05C26"/>
    <w:rsid w:val="0BDA6B8F"/>
    <w:rsid w:val="0D8C30C7"/>
    <w:rsid w:val="0D9C9B00"/>
    <w:rsid w:val="10675513"/>
    <w:rsid w:val="137338D1"/>
    <w:rsid w:val="13AA27E6"/>
    <w:rsid w:val="15C52577"/>
    <w:rsid w:val="17557B8A"/>
    <w:rsid w:val="19BF03E6"/>
    <w:rsid w:val="19C25791"/>
    <w:rsid w:val="1A5235AF"/>
    <w:rsid w:val="217024B5"/>
    <w:rsid w:val="22624B44"/>
    <w:rsid w:val="23D06110"/>
    <w:rsid w:val="2498ED55"/>
    <w:rsid w:val="2625D937"/>
    <w:rsid w:val="273488F8"/>
    <w:rsid w:val="2771A269"/>
    <w:rsid w:val="288ED18E"/>
    <w:rsid w:val="296FA765"/>
    <w:rsid w:val="29F7A11F"/>
    <w:rsid w:val="2A3DDF4D"/>
    <w:rsid w:val="2A7D8761"/>
    <w:rsid w:val="2AABEEEF"/>
    <w:rsid w:val="2C88B010"/>
    <w:rsid w:val="2E64971D"/>
    <w:rsid w:val="2FF27619"/>
    <w:rsid w:val="3477ED9B"/>
    <w:rsid w:val="34E6D235"/>
    <w:rsid w:val="35E4F57B"/>
    <w:rsid w:val="368F6F4B"/>
    <w:rsid w:val="36D162BF"/>
    <w:rsid w:val="377B6BEC"/>
    <w:rsid w:val="3804DCB9"/>
    <w:rsid w:val="38C4DE1A"/>
    <w:rsid w:val="397607FF"/>
    <w:rsid w:val="39F016D3"/>
    <w:rsid w:val="3B44C76A"/>
    <w:rsid w:val="3B4D9A89"/>
    <w:rsid w:val="3C869793"/>
    <w:rsid w:val="3DF4635B"/>
    <w:rsid w:val="3FACEEB2"/>
    <w:rsid w:val="400F2FDC"/>
    <w:rsid w:val="4013BC28"/>
    <w:rsid w:val="43A9135D"/>
    <w:rsid w:val="449D23AD"/>
    <w:rsid w:val="46133322"/>
    <w:rsid w:val="491A50DA"/>
    <w:rsid w:val="4BA7F128"/>
    <w:rsid w:val="4C0A0D32"/>
    <w:rsid w:val="4D3E6903"/>
    <w:rsid w:val="4E20D5A0"/>
    <w:rsid w:val="4E9AAFF6"/>
    <w:rsid w:val="4FE500D9"/>
    <w:rsid w:val="52CFC697"/>
    <w:rsid w:val="5393572B"/>
    <w:rsid w:val="53A00A9B"/>
    <w:rsid w:val="53E295FF"/>
    <w:rsid w:val="54E49107"/>
    <w:rsid w:val="591B9D5F"/>
    <w:rsid w:val="594436CF"/>
    <w:rsid w:val="5984E773"/>
    <w:rsid w:val="5C0D05A9"/>
    <w:rsid w:val="5D3129C2"/>
    <w:rsid w:val="5DA19281"/>
    <w:rsid w:val="6898FC6B"/>
    <w:rsid w:val="68A12C3C"/>
    <w:rsid w:val="69D9403F"/>
    <w:rsid w:val="6CBDD17B"/>
    <w:rsid w:val="6DF5ECA7"/>
    <w:rsid w:val="72ACA556"/>
    <w:rsid w:val="73DA674C"/>
    <w:rsid w:val="74D83529"/>
    <w:rsid w:val="7618D66C"/>
    <w:rsid w:val="76959F2D"/>
    <w:rsid w:val="788C569D"/>
    <w:rsid w:val="79F6C56D"/>
    <w:rsid w:val="7B8EE60A"/>
    <w:rsid w:val="7E28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9793"/>
  <w15:chartTrackingRefBased/>
  <w15:docId w15:val="{6FE56806-8B16-44C2-A390-306D6729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9F016D3"/>
    <w:pPr>
      <w:keepNext/>
      <w:keepLines/>
      <w:numPr>
        <w:numId w:val="15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9F016D3"/>
    <w:pPr>
      <w:keepNext/>
      <w:keepLines/>
      <w:numPr>
        <w:ilvl w:val="1"/>
        <w:numId w:val="15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3A9135D"/>
    <w:pPr>
      <w:keepNext/>
      <w:keepLines/>
      <w:numPr>
        <w:ilvl w:val="2"/>
        <w:numId w:val="1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43A9135D"/>
    <w:pPr>
      <w:keepNext/>
      <w:keepLines/>
      <w:numPr>
        <w:ilvl w:val="3"/>
        <w:numId w:val="1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68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68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68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68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68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39F016D3"/>
    <w:pPr>
      <w:spacing w:after="0"/>
    </w:pPr>
  </w:style>
  <w:style w:type="paragraph" w:styleId="Title">
    <w:name w:val="Title"/>
    <w:basedOn w:val="Normal"/>
    <w:next w:val="Normal"/>
    <w:uiPriority w:val="10"/>
    <w:qFormat/>
    <w:rsid w:val="39F016D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3B44C76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68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6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6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B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2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94"/>
  </w:style>
  <w:style w:type="paragraph" w:styleId="Footer">
    <w:name w:val="footer"/>
    <w:basedOn w:val="Normal"/>
    <w:link w:val="FooterChar"/>
    <w:uiPriority w:val="99"/>
    <w:unhideWhenUsed/>
    <w:rsid w:val="00D32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94"/>
  </w:style>
  <w:style w:type="paragraph" w:styleId="Revision">
    <w:name w:val="Revision"/>
    <w:hidden/>
    <w:uiPriority w:val="99"/>
    <w:semiHidden/>
    <w:rsid w:val="00A42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0657139288C4F947A7B1962A9DA2D" ma:contentTypeVersion="11" ma:contentTypeDescription="Utwórz nowy dokument." ma:contentTypeScope="" ma:versionID="82cb76c1a5d18ae99c986ba0b6f7252f">
  <xsd:schema xmlns:xsd="http://www.w3.org/2001/XMLSchema" xmlns:xs="http://www.w3.org/2001/XMLSchema" xmlns:p="http://schemas.microsoft.com/office/2006/metadata/properties" xmlns:ns2="f375f868-75cd-4ee4-ac2a-007f516a3924" xmlns:ns3="8699459c-cca4-429b-9f28-f0bb2284057f" targetNamespace="http://schemas.microsoft.com/office/2006/metadata/properties" ma:root="true" ma:fieldsID="8aef7162bb3d808806ee1e7626c9ae49" ns2:_="" ns3:_="">
    <xsd:import namespace="f375f868-75cd-4ee4-ac2a-007f516a3924"/>
    <xsd:import namespace="8699459c-cca4-429b-9f28-f0bb2284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f868-75cd-4ee4-ac2a-007f516a3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8f608c6-df3d-42b2-a876-4b0ee731e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459c-cca4-429b-9f28-f0bb228405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22cb4-af04-4add-930d-1238791303d1}" ma:internalName="TaxCatchAll" ma:showField="CatchAllData" ma:web="8699459c-cca4-429b-9f28-f0bb2284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9459c-cca4-429b-9f28-f0bb2284057f" xsi:nil="true"/>
    <lcf76f155ced4ddcb4097134ff3c332f xmlns="f375f868-75cd-4ee4-ac2a-007f516a39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6BF00-0EA0-4C6E-8EA4-5DF1A97FA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DC046-D1B5-40FF-88AF-0F03FA989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5f868-75cd-4ee4-ac2a-007f516a3924"/>
    <ds:schemaRef ds:uri="8699459c-cca4-429b-9f28-f0bb2284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1F24A-DA13-494A-A747-EC0BAE3BFFF9}">
  <ds:schemaRefs>
    <ds:schemaRef ds:uri="http://schemas.microsoft.com/office/2006/metadata/properties"/>
    <ds:schemaRef ds:uri="http://schemas.microsoft.com/office/infopath/2007/PartnerControls"/>
    <ds:schemaRef ds:uri="8699459c-cca4-429b-9f28-f0bb2284057f"/>
    <ds:schemaRef ds:uri="f375f868-75cd-4ee4-ac2a-007f516a3924"/>
  </ds:schemaRefs>
</ds:datastoreItem>
</file>

<file path=customXml/itemProps4.xml><?xml version="1.0" encoding="utf-8"?>
<ds:datastoreItem xmlns:ds="http://schemas.openxmlformats.org/officeDocument/2006/customXml" ds:itemID="{90B096A6-CCE5-4878-8DA5-E13FAC0F0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3337</Words>
  <Characters>19024</Characters>
  <Application>Microsoft Office Word</Application>
  <DocSecurity>4</DocSecurity>
  <Lines>158</Lines>
  <Paragraphs>44</Paragraphs>
  <ScaleCrop>false</ScaleCrop>
  <Company/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Przewalska Małgorzata</dc:creator>
  <cp:keywords/>
  <dc:description/>
  <cp:lastModifiedBy>Przewalska Małgorzata</cp:lastModifiedBy>
  <cp:revision>150</cp:revision>
  <dcterms:created xsi:type="dcterms:W3CDTF">2025-09-16T01:48:00Z</dcterms:created>
  <dcterms:modified xsi:type="dcterms:W3CDTF">2025-09-25T15:58:00Z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0x01010055E0657139288C4F947A7B1962A9DA2D</vt:lpwstr>
  </property>
  <property fmtid="{D5CDD505-2E9C-101B-9397-08002B2CF9AE}" pid="3" name="MediaServiceImageTags">
    <vt:lpwstr/>
  </property>
</Properties>
</file>