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4F3AB0" w14:textId="77777777" w:rsidR="00D46615" w:rsidRPr="00B668C0" w:rsidRDefault="00D46615" w:rsidP="00301F2B">
      <w:pPr>
        <w:pStyle w:val="OZNRODZAKTUtznustawalubrozporzdzenieiorganwydajcy"/>
        <w:spacing w:after="0"/>
        <w:rPr>
          <w:vertAlign w:val="superscript"/>
        </w:rPr>
      </w:pPr>
      <w:r w:rsidRPr="00B668C0">
        <w:t>UZASADNIENIE</w:t>
      </w:r>
    </w:p>
    <w:p w14:paraId="2ADA0A4B" w14:textId="6B8C8DA8" w:rsidR="00386169" w:rsidRDefault="00D46615" w:rsidP="009F6FAC">
      <w:pPr>
        <w:pStyle w:val="NIEARTTEKSTtekstnieartykuowanynppodstprawnarozplubpreambua"/>
      </w:pPr>
      <w:r w:rsidRPr="00B668C0">
        <w:t xml:space="preserve">Projekt rozporządzenia Ministra Cyfryzacji w sprawie postępowania selekcyjnego na rezerwację częstotliwości </w:t>
      </w:r>
      <w:r w:rsidR="00521348">
        <w:t xml:space="preserve">lub zasobów orbitalnych </w:t>
      </w:r>
      <w:r w:rsidRPr="00B668C0">
        <w:t>stanowi wykonanie upoważnienia ustawowego zawartego</w:t>
      </w:r>
      <w:r w:rsidR="009F6FAC" w:rsidRPr="00B668C0">
        <w:t xml:space="preserve"> w</w:t>
      </w:r>
      <w:r w:rsidR="009F6FAC">
        <w:t> art. </w:t>
      </w:r>
      <w:r w:rsidRPr="00B668C0">
        <w:t>12</w:t>
      </w:r>
      <w:r w:rsidR="009F6FAC" w:rsidRPr="00B668C0">
        <w:t>6</w:t>
      </w:r>
      <w:r w:rsidR="009F6FAC">
        <w:t> </w:t>
      </w:r>
      <w:r w:rsidRPr="00B668C0">
        <w:t xml:space="preserve">ustawy z dnia </w:t>
      </w:r>
      <w:r>
        <w:t>1</w:t>
      </w:r>
      <w:r w:rsidR="009F6FAC">
        <w:t>2 </w:t>
      </w:r>
      <w:r>
        <w:t>lipca 202</w:t>
      </w:r>
      <w:r w:rsidR="009F6FAC">
        <w:t>4 </w:t>
      </w:r>
      <w:r>
        <w:t>r.</w:t>
      </w:r>
      <w:r w:rsidRPr="00B668C0">
        <w:t xml:space="preserve"> – Prawo komunikacji elektronicznej (</w:t>
      </w:r>
      <w:r w:rsidR="009F6FAC">
        <w:rPr>
          <w:rFonts w:cs="Times"/>
        </w:rPr>
        <w:t>Dz. U. poz. </w:t>
      </w:r>
      <w:r w:rsidR="00386169" w:rsidRPr="008C777C">
        <w:rPr>
          <w:rFonts w:cs="Times"/>
        </w:rPr>
        <w:t>1221</w:t>
      </w:r>
      <w:r w:rsidR="001B2AB4">
        <w:rPr>
          <w:rFonts w:cs="Times"/>
        </w:rPr>
        <w:t>,</w:t>
      </w:r>
      <w:r w:rsidR="009F6FAC" w:rsidRPr="008C777C">
        <w:rPr>
          <w:rFonts w:cs="Times"/>
        </w:rPr>
        <w:t xml:space="preserve"> z</w:t>
      </w:r>
      <w:r w:rsidR="009F6FAC">
        <w:rPr>
          <w:rFonts w:cs="Times"/>
        </w:rPr>
        <w:t> </w:t>
      </w:r>
      <w:r w:rsidR="00386169" w:rsidRPr="008C777C">
        <w:rPr>
          <w:rFonts w:cs="Times"/>
        </w:rPr>
        <w:t>202</w:t>
      </w:r>
      <w:r w:rsidR="009F6FAC" w:rsidRPr="008C777C">
        <w:rPr>
          <w:rFonts w:cs="Times"/>
        </w:rPr>
        <w:t>5</w:t>
      </w:r>
      <w:r w:rsidR="009F6FAC">
        <w:rPr>
          <w:rFonts w:cs="Times"/>
        </w:rPr>
        <w:t> </w:t>
      </w:r>
      <w:r w:rsidR="00386169" w:rsidRPr="008C777C">
        <w:rPr>
          <w:rFonts w:cs="Times"/>
        </w:rPr>
        <w:t>r.</w:t>
      </w:r>
      <w:r w:rsidR="009F6FAC">
        <w:rPr>
          <w:rFonts w:cs="Times"/>
        </w:rPr>
        <w:t xml:space="preserve"> poz. </w:t>
      </w:r>
      <w:r w:rsidR="00386169" w:rsidRPr="008C777C">
        <w:rPr>
          <w:rFonts w:cs="Times"/>
        </w:rPr>
        <w:t>63</w:t>
      </w:r>
      <w:r w:rsidR="009F6FAC" w:rsidRPr="008C777C">
        <w:rPr>
          <w:rFonts w:cs="Times"/>
        </w:rPr>
        <w:t>7</w:t>
      </w:r>
      <w:r w:rsidR="009F6FAC">
        <w:rPr>
          <w:rFonts w:cs="Times"/>
        </w:rPr>
        <w:t xml:space="preserve"> i </w:t>
      </w:r>
      <w:r w:rsidR="00386169" w:rsidRPr="008C777C">
        <w:rPr>
          <w:rFonts w:cs="Times"/>
        </w:rPr>
        <w:t>82</w:t>
      </w:r>
      <w:r w:rsidR="009F6FAC" w:rsidRPr="008C777C">
        <w:rPr>
          <w:rFonts w:cs="Times"/>
        </w:rPr>
        <w:t>0</w:t>
      </w:r>
      <w:r w:rsidR="009F6FAC">
        <w:rPr>
          <w:rFonts w:cs="Times"/>
        </w:rPr>
        <w:t xml:space="preserve"> oraz z </w:t>
      </w:r>
      <w:r w:rsidR="001B2AB4">
        <w:rPr>
          <w:rFonts w:cs="Times"/>
        </w:rPr>
        <w:t>202</w:t>
      </w:r>
      <w:r w:rsidR="009F6FAC">
        <w:rPr>
          <w:rFonts w:cs="Times"/>
        </w:rPr>
        <w:t>6 </w:t>
      </w:r>
      <w:r w:rsidR="001B2AB4">
        <w:rPr>
          <w:rFonts w:cs="Times"/>
        </w:rPr>
        <w:t>r.</w:t>
      </w:r>
      <w:r w:rsidR="009F6FAC">
        <w:rPr>
          <w:rFonts w:cs="Times"/>
        </w:rPr>
        <w:t xml:space="preserve"> poz. </w:t>
      </w:r>
      <w:r w:rsidR="004C27EB">
        <w:rPr>
          <w:rFonts w:cs="Times"/>
        </w:rPr>
        <w:t>252</w:t>
      </w:r>
      <w:r w:rsidR="00A460A0">
        <w:rPr>
          <w:rFonts w:cs="Times"/>
        </w:rPr>
        <w:t xml:space="preserve"> i 815</w:t>
      </w:r>
      <w:r w:rsidRPr="00B668C0">
        <w:t>), zwanej dalej „P</w:t>
      </w:r>
      <w:r w:rsidR="00F54203">
        <w:t>KE</w:t>
      </w:r>
      <w:r w:rsidRPr="00B668C0">
        <w:t xml:space="preserve">”. </w:t>
      </w:r>
    </w:p>
    <w:p w14:paraId="118B30A8" w14:textId="4A3B407C" w:rsidR="00D46615" w:rsidRPr="00B668C0" w:rsidRDefault="00386169" w:rsidP="009F6FAC">
      <w:pPr>
        <w:pStyle w:val="NIEARTTEKSTtekstnieartykuowanynppodstprawnarozplubpreambua"/>
      </w:pPr>
      <w:r>
        <w:t xml:space="preserve">Konieczność wydania </w:t>
      </w:r>
      <w:r w:rsidR="00E70757">
        <w:t xml:space="preserve">rozporządzenia </w:t>
      </w:r>
      <w:r>
        <w:t>wynika</w:t>
      </w:r>
      <w:r w:rsidR="009F6FAC">
        <w:t xml:space="preserve"> </w:t>
      </w:r>
      <w:r w:rsidR="009F6FAC" w:rsidRPr="00825A79">
        <w:rPr>
          <w:rFonts w:eastAsia="Times New Roman"/>
        </w:rPr>
        <w:t>z</w:t>
      </w:r>
      <w:r w:rsidR="009F6FAC">
        <w:t> </w:t>
      </w:r>
      <w:r w:rsidRPr="00825A79">
        <w:rPr>
          <w:rFonts w:eastAsia="Times New Roman"/>
        </w:rPr>
        <w:t>zastąpienia ustawy</w:t>
      </w:r>
      <w:r w:rsidR="009F6FAC" w:rsidRPr="00825A79">
        <w:rPr>
          <w:rFonts w:eastAsia="Times New Roman"/>
        </w:rPr>
        <w:t xml:space="preserve"> </w:t>
      </w:r>
      <w:r w:rsidR="009F6FAC">
        <w:rPr>
          <w:rFonts w:eastAsia="Times New Roman"/>
        </w:rPr>
        <w:t>z </w:t>
      </w:r>
      <w:r>
        <w:rPr>
          <w:rFonts w:eastAsia="Times New Roman"/>
        </w:rPr>
        <w:t>dnia 1</w:t>
      </w:r>
      <w:r w:rsidR="009F6FAC">
        <w:rPr>
          <w:rFonts w:eastAsia="Times New Roman"/>
        </w:rPr>
        <w:t>6 </w:t>
      </w:r>
      <w:r>
        <w:rPr>
          <w:rFonts w:eastAsia="Times New Roman"/>
        </w:rPr>
        <w:t xml:space="preserve">lipca 2004 r. </w:t>
      </w:r>
      <w:r>
        <w:rPr>
          <w:rFonts w:ascii="Symbol" w:eastAsia="Symbol" w:hAnsi="Symbol" w:cs="Symbol"/>
        </w:rPr>
        <w:t></w:t>
      </w:r>
      <w:r>
        <w:rPr>
          <w:rFonts w:eastAsia="Times New Roman"/>
        </w:rPr>
        <w:t xml:space="preserve"> </w:t>
      </w:r>
      <w:r w:rsidRPr="00825A79">
        <w:rPr>
          <w:rFonts w:eastAsia="Times New Roman"/>
        </w:rPr>
        <w:t xml:space="preserve">Prawo telekomunikacyjne </w:t>
      </w:r>
      <w:r>
        <w:rPr>
          <w:rFonts w:eastAsia="Times New Roman"/>
        </w:rPr>
        <w:t>(</w:t>
      </w:r>
      <w:r w:rsidR="009F6FAC">
        <w:rPr>
          <w:rFonts w:eastAsia="Times New Roman"/>
        </w:rPr>
        <w:t>Dz. U. z </w:t>
      </w:r>
      <w:r>
        <w:rPr>
          <w:rFonts w:eastAsia="Times New Roman"/>
        </w:rPr>
        <w:t>202</w:t>
      </w:r>
      <w:r w:rsidR="009F6FAC">
        <w:rPr>
          <w:rFonts w:eastAsia="Times New Roman"/>
        </w:rPr>
        <w:t>4 </w:t>
      </w:r>
      <w:r>
        <w:rPr>
          <w:rFonts w:eastAsia="Times New Roman"/>
        </w:rPr>
        <w:t>r.</w:t>
      </w:r>
      <w:r w:rsidR="009F6FAC">
        <w:rPr>
          <w:rFonts w:eastAsia="Times New Roman"/>
        </w:rPr>
        <w:t xml:space="preserve"> poz. </w:t>
      </w:r>
      <w:r>
        <w:rPr>
          <w:rFonts w:eastAsia="Times New Roman"/>
        </w:rPr>
        <w:t>34, 73</w:t>
      </w:r>
      <w:r w:rsidR="009F6FAC">
        <w:rPr>
          <w:rFonts w:eastAsia="Times New Roman"/>
        </w:rPr>
        <w:t>1 i </w:t>
      </w:r>
      <w:r>
        <w:rPr>
          <w:rFonts w:eastAsia="Times New Roman"/>
        </w:rPr>
        <w:t xml:space="preserve">834), zwanej dalej „Pt”, </w:t>
      </w:r>
      <w:r w:rsidRPr="00825A79">
        <w:rPr>
          <w:rFonts w:eastAsia="Times New Roman"/>
        </w:rPr>
        <w:t>nową ustawą regulującą rynek komunikacji elektronicznej</w:t>
      </w:r>
      <w:r w:rsidR="009F6FAC" w:rsidRPr="00825A79">
        <w:rPr>
          <w:rFonts w:eastAsia="Times New Roman"/>
        </w:rPr>
        <w:t xml:space="preserve"> w</w:t>
      </w:r>
      <w:r w:rsidR="009F6FAC">
        <w:rPr>
          <w:rFonts w:eastAsia="Times New Roman"/>
        </w:rPr>
        <w:t> </w:t>
      </w:r>
      <w:r w:rsidRPr="00825A79">
        <w:rPr>
          <w:rFonts w:eastAsia="Times New Roman"/>
        </w:rPr>
        <w:t>Polsce</w:t>
      </w:r>
      <w:r>
        <w:rPr>
          <w:rFonts w:eastAsia="Times New Roman"/>
        </w:rPr>
        <w:t>, tj. P</w:t>
      </w:r>
      <w:r w:rsidR="00F54203">
        <w:rPr>
          <w:rFonts w:eastAsia="Times New Roman"/>
        </w:rPr>
        <w:t>KE</w:t>
      </w:r>
      <w:r w:rsidRPr="00825A79">
        <w:rPr>
          <w:rFonts w:eastAsia="Times New Roman"/>
        </w:rPr>
        <w:t>.</w:t>
      </w:r>
      <w:r w:rsidRPr="00386169">
        <w:rPr>
          <w:rFonts w:eastAsia="Times New Roman"/>
        </w:rPr>
        <w:t xml:space="preserve"> </w:t>
      </w:r>
      <w:r w:rsidRPr="00825A79">
        <w:rPr>
          <w:rFonts w:eastAsia="Times New Roman"/>
        </w:rPr>
        <w:t>Dotychczasowe przepisy wykonawcze wydane na podstawie</w:t>
      </w:r>
      <w:r w:rsidR="009F6FAC">
        <w:rPr>
          <w:rFonts w:eastAsia="Times New Roman"/>
        </w:rPr>
        <w:t xml:space="preserve"> art. </w:t>
      </w:r>
      <w:r>
        <w:rPr>
          <w:rFonts w:eastAsia="Times New Roman"/>
        </w:rPr>
        <w:t>12</w:t>
      </w:r>
      <w:r w:rsidR="009F6FAC">
        <w:rPr>
          <w:rFonts w:eastAsia="Times New Roman"/>
        </w:rPr>
        <w:t>0 </w:t>
      </w:r>
      <w:r>
        <w:rPr>
          <w:rFonts w:eastAsia="Times New Roman"/>
        </w:rPr>
        <w:t xml:space="preserve">Pt </w:t>
      </w:r>
      <w:r w:rsidRPr="00825A79">
        <w:rPr>
          <w:rFonts w:eastAsia="Times New Roman"/>
        </w:rPr>
        <w:t>zachowują moc do dnia wejścia w</w:t>
      </w:r>
      <w:r>
        <w:rPr>
          <w:rFonts w:eastAsia="Times New Roman"/>
        </w:rPr>
        <w:t> </w:t>
      </w:r>
      <w:r w:rsidRPr="00825A79">
        <w:rPr>
          <w:rFonts w:eastAsia="Times New Roman"/>
        </w:rPr>
        <w:t xml:space="preserve">życie przepisów wykonawczych wydanych </w:t>
      </w:r>
      <w:r w:rsidR="00567630">
        <w:rPr>
          <w:rFonts w:eastAsia="Times New Roman"/>
        </w:rPr>
        <w:t>na podstawie</w:t>
      </w:r>
      <w:r w:rsidR="009F6FAC">
        <w:rPr>
          <w:rFonts w:eastAsia="Times New Roman"/>
        </w:rPr>
        <w:t xml:space="preserve"> art. </w:t>
      </w:r>
      <w:r>
        <w:rPr>
          <w:rFonts w:eastAsia="Times New Roman"/>
        </w:rPr>
        <w:t>12</w:t>
      </w:r>
      <w:r w:rsidR="009F6FAC">
        <w:rPr>
          <w:rFonts w:eastAsia="Times New Roman"/>
        </w:rPr>
        <w:t>6 </w:t>
      </w:r>
      <w:r>
        <w:rPr>
          <w:rFonts w:eastAsia="Times New Roman"/>
        </w:rPr>
        <w:t xml:space="preserve">PKE </w:t>
      </w:r>
      <w:r w:rsidR="00567630">
        <w:rPr>
          <w:rFonts w:eastAsia="Times New Roman"/>
        </w:rPr>
        <w:t>[</w:t>
      </w:r>
      <w:r>
        <w:t>zgodnie</w:t>
      </w:r>
      <w:r w:rsidR="009F6FAC">
        <w:t xml:space="preserve"> z art. </w:t>
      </w:r>
      <w:r>
        <w:t>10</w:t>
      </w:r>
      <w:r w:rsidR="009F6FAC">
        <w:t>4 pkt </w:t>
      </w:r>
      <w:r>
        <w:t>1</w:t>
      </w:r>
      <w:r w:rsidR="009F6FAC">
        <w:t>2 </w:t>
      </w:r>
      <w:r>
        <w:t>ustawy</w:t>
      </w:r>
      <w:r w:rsidR="009F6FAC">
        <w:t xml:space="preserve"> z </w:t>
      </w:r>
      <w:r>
        <w:t>dnia 1</w:t>
      </w:r>
      <w:r w:rsidR="009F6FAC">
        <w:t>2 </w:t>
      </w:r>
      <w:r>
        <w:t>lipca 202</w:t>
      </w:r>
      <w:r w:rsidR="009F6FAC">
        <w:t>4 </w:t>
      </w:r>
      <w:r>
        <w:t xml:space="preserve">r. </w:t>
      </w:r>
      <w:r>
        <w:rPr>
          <w:rFonts w:ascii="Symbol" w:eastAsia="Symbol" w:hAnsi="Symbol" w:cs="Symbol"/>
        </w:rPr>
        <w:t></w:t>
      </w:r>
      <w:r>
        <w:t xml:space="preserve"> Przepisy wprowadzające ustawę – Prawo komunikacji elektronicznej (</w:t>
      </w:r>
      <w:r w:rsidR="009F6FAC">
        <w:t>Dz. U. poz. </w:t>
      </w:r>
      <w:r>
        <w:t>122</w:t>
      </w:r>
      <w:r w:rsidR="009F6FAC">
        <w:t>2 oraz z </w:t>
      </w:r>
      <w:r w:rsidR="00464A23">
        <w:t>202</w:t>
      </w:r>
      <w:r w:rsidR="009F6FAC">
        <w:t>6 </w:t>
      </w:r>
      <w:r w:rsidR="00464A23">
        <w:t>r.</w:t>
      </w:r>
      <w:r w:rsidR="009F6FAC">
        <w:t xml:space="preserve"> poz. </w:t>
      </w:r>
      <w:r w:rsidR="00464A23">
        <w:t>252</w:t>
      </w:r>
      <w:r>
        <w:t>)</w:t>
      </w:r>
      <w:r w:rsidR="00567630">
        <w:t>]</w:t>
      </w:r>
      <w:r>
        <w:t>. Z</w:t>
      </w:r>
      <w:r w:rsidR="00D46615" w:rsidRPr="00B668C0">
        <w:t>aproponowane regulacje nie ulegają zasadniczym</w:t>
      </w:r>
      <w:r w:rsidR="00567630">
        <w:t xml:space="preserve"> </w:t>
      </w:r>
      <w:r w:rsidR="00D46615" w:rsidRPr="00B668C0">
        <w:t>zmianom</w:t>
      </w:r>
      <w:r w:rsidR="009F6FAC" w:rsidRPr="00B668C0">
        <w:t xml:space="preserve"> w</w:t>
      </w:r>
      <w:r w:rsidR="009F6FAC">
        <w:t> </w:t>
      </w:r>
      <w:r w:rsidR="00D46615" w:rsidRPr="00B668C0">
        <w:t>stosunku do rozporządzenia wydanego na podstawie</w:t>
      </w:r>
      <w:r w:rsidR="009F6FAC">
        <w:t xml:space="preserve"> art. </w:t>
      </w:r>
      <w:r w:rsidR="00D46615" w:rsidRPr="00B668C0">
        <w:t>12</w:t>
      </w:r>
      <w:r w:rsidR="009F6FAC" w:rsidRPr="00B668C0">
        <w:t>0</w:t>
      </w:r>
      <w:r w:rsidR="009F6FAC">
        <w:t> </w:t>
      </w:r>
      <w:r>
        <w:t>Pt</w:t>
      </w:r>
      <w:r w:rsidR="00D46615" w:rsidRPr="00B668C0">
        <w:t>.</w:t>
      </w:r>
    </w:p>
    <w:p w14:paraId="23D651C9" w14:textId="77777777" w:rsidR="00D46615" w:rsidRDefault="00D46615" w:rsidP="009F6FAC">
      <w:pPr>
        <w:pStyle w:val="NIEARTTEKSTtekstnieartykuowanynppodstprawnarozplubpreambua"/>
      </w:pPr>
      <w:r w:rsidRPr="00B668C0">
        <w:t>Projekt rozporządzenia określa:</w:t>
      </w:r>
    </w:p>
    <w:p w14:paraId="700C51B3" w14:textId="2B0B45FB" w:rsidR="00D46615" w:rsidRDefault="00C42EED" w:rsidP="00B6780C">
      <w:pPr>
        <w:pStyle w:val="Akapitzlist"/>
        <w:numPr>
          <w:ilvl w:val="0"/>
          <w:numId w:val="4"/>
        </w:numPr>
      </w:pPr>
      <w:r>
        <w:t xml:space="preserve">szczegółowy </w:t>
      </w:r>
      <w:r w:rsidR="00D46615" w:rsidRPr="00B668C0">
        <w:t>tryb ogłaszania postępowania selekcyjnego na rezerwację częstotliwości lub zasobów orbitalnych, czyli przetargu, aukcji albo konkursu;</w:t>
      </w:r>
    </w:p>
    <w:p w14:paraId="23A73D62" w14:textId="4ADB7936" w:rsidR="00D46615" w:rsidRDefault="00D46615" w:rsidP="00B6780C">
      <w:pPr>
        <w:pStyle w:val="Akapitzlist"/>
        <w:numPr>
          <w:ilvl w:val="0"/>
          <w:numId w:val="4"/>
        </w:numPr>
      </w:pPr>
      <w:r w:rsidRPr="00B668C0">
        <w:t>szczegółowe wymagania co do zawartości dokumentacji;</w:t>
      </w:r>
    </w:p>
    <w:p w14:paraId="61EAAE18" w14:textId="06C4F362" w:rsidR="00D46615" w:rsidRDefault="00D46615" w:rsidP="00B6780C">
      <w:pPr>
        <w:pStyle w:val="Akapitzlist"/>
        <w:numPr>
          <w:ilvl w:val="0"/>
          <w:numId w:val="4"/>
        </w:numPr>
      </w:pPr>
      <w:r w:rsidRPr="00B668C0">
        <w:t>szczegółowe warunki i tryb organizowania, przeprowadzania i zakończenia postępowania selekcyjnego, w tym:</w:t>
      </w:r>
    </w:p>
    <w:p w14:paraId="0325B23A" w14:textId="7552CB32" w:rsidR="00D46615" w:rsidRDefault="00D46615" w:rsidP="00B6780C">
      <w:pPr>
        <w:pStyle w:val="Akapitzlist"/>
        <w:numPr>
          <w:ilvl w:val="0"/>
          <w:numId w:val="5"/>
        </w:numPr>
      </w:pPr>
      <w:r w:rsidRPr="00B668C0">
        <w:t>powoływania i pracy komisji przetargowej, konkursowej oraz aukcyjnej,</w:t>
      </w:r>
    </w:p>
    <w:p w14:paraId="583316F0" w14:textId="5C78CE1A" w:rsidR="00D46615" w:rsidRDefault="00D46615" w:rsidP="00B6780C">
      <w:pPr>
        <w:pStyle w:val="Akapitzlist"/>
        <w:numPr>
          <w:ilvl w:val="0"/>
          <w:numId w:val="5"/>
        </w:numPr>
      </w:pPr>
      <w:r w:rsidRPr="00B668C0">
        <w:t xml:space="preserve">sposób wpłaty i zwrotu wadium </w:t>
      </w:r>
      <w:r w:rsidR="009F6FAC">
        <w:noBreakHyphen/>
        <w:t xml:space="preserve"> </w:t>
      </w:r>
      <w:r w:rsidRPr="00B668C0">
        <w:t>w przypadku przetargu oraz aukcji,</w:t>
      </w:r>
    </w:p>
    <w:p w14:paraId="3B03D40D" w14:textId="76AA17A7" w:rsidR="00D46615" w:rsidRPr="00B668C0" w:rsidRDefault="00D46615" w:rsidP="00B6780C">
      <w:pPr>
        <w:pStyle w:val="Akapitzlist"/>
        <w:numPr>
          <w:ilvl w:val="0"/>
          <w:numId w:val="5"/>
        </w:numPr>
      </w:pPr>
      <w:r w:rsidRPr="00B668C0">
        <w:t xml:space="preserve">sposób wpłaty i zwrotu depozytu </w:t>
      </w:r>
      <w:r w:rsidR="009F6FAC">
        <w:noBreakHyphen/>
        <w:t xml:space="preserve"> </w:t>
      </w:r>
      <w:r w:rsidRPr="00B668C0">
        <w:t>w przypadku aukcji.</w:t>
      </w:r>
    </w:p>
    <w:p w14:paraId="24804690" w14:textId="6F597282" w:rsidR="000E79A9" w:rsidRDefault="00D46615" w:rsidP="009F6FAC">
      <w:pPr>
        <w:pStyle w:val="NIEARTTEKSTtekstnieartykuowanynppodstprawnarozplubpreambua"/>
        <w:rPr>
          <w:rFonts w:cs="Times New Roman"/>
        </w:rPr>
      </w:pPr>
      <w:r w:rsidRPr="00B668C0">
        <w:rPr>
          <w:rFonts w:cs="Times New Roman"/>
        </w:rPr>
        <w:t>Projektowane rozporządzenie umożliwi sprawną realizację jednego z głównych obowiązków Prezesa Urzędu Komunikacji Elektronicznej</w:t>
      </w:r>
      <w:r w:rsidR="00394E50">
        <w:rPr>
          <w:rFonts w:cs="Times New Roman"/>
        </w:rPr>
        <w:t>,</w:t>
      </w:r>
      <w:r w:rsidR="004C27EB">
        <w:rPr>
          <w:rFonts w:cs="Times New Roman"/>
        </w:rPr>
        <w:t xml:space="preserve"> </w:t>
      </w:r>
      <w:r w:rsidR="00C42EED">
        <w:rPr>
          <w:rFonts w:cs="Times New Roman"/>
        </w:rPr>
        <w:t xml:space="preserve">zwanego </w:t>
      </w:r>
      <w:r w:rsidRPr="00B668C0">
        <w:rPr>
          <w:rFonts w:cs="Times New Roman"/>
        </w:rPr>
        <w:t xml:space="preserve">dalej </w:t>
      </w:r>
      <w:r>
        <w:rPr>
          <w:rFonts w:cs="Times New Roman"/>
        </w:rPr>
        <w:t>„</w:t>
      </w:r>
      <w:r w:rsidRPr="00B668C0">
        <w:rPr>
          <w:rFonts w:cs="Times New Roman"/>
        </w:rPr>
        <w:t>Prezes</w:t>
      </w:r>
      <w:r w:rsidR="000E79A9">
        <w:rPr>
          <w:rFonts w:cs="Times New Roman"/>
        </w:rPr>
        <w:t>em</w:t>
      </w:r>
      <w:r w:rsidRPr="00B668C0">
        <w:rPr>
          <w:rFonts w:cs="Times New Roman"/>
        </w:rPr>
        <w:t xml:space="preserve"> UKE</w:t>
      </w:r>
      <w:r>
        <w:rPr>
          <w:rFonts w:cs="Times New Roman"/>
        </w:rPr>
        <w:t>”</w:t>
      </w:r>
      <w:r w:rsidRPr="00B668C0">
        <w:rPr>
          <w:rFonts w:cs="Times New Roman"/>
        </w:rPr>
        <w:t xml:space="preserve">, jakim jest wykonywanie zadań z zakresu gospodarki zasobami częstotliwości i zasobami orbitalnymi. Zaproponowane regulacje są </w:t>
      </w:r>
      <w:r w:rsidR="00E70757">
        <w:rPr>
          <w:rFonts w:cs="Times New Roman"/>
        </w:rPr>
        <w:t>wynikiem</w:t>
      </w:r>
      <w:r w:rsidRPr="00B668C0">
        <w:rPr>
          <w:rFonts w:cs="Times New Roman"/>
        </w:rPr>
        <w:t xml:space="preserve"> doświadczeń Prezesa UKE w zakresie przeprowadzania postępowań selekcyjnych w latach ubiegłych. Proponowane przepisy mają zapewnić organowi regulacyjnemu niezbędną elastyczność przy kształtowaniu poszczególnych postępowań selekcyjnych,</w:t>
      </w:r>
      <w:r w:rsidR="000E79A9">
        <w:rPr>
          <w:rFonts w:cs="Times New Roman"/>
        </w:rPr>
        <w:t xml:space="preserve"> </w:t>
      </w:r>
      <w:r w:rsidR="000E79A9" w:rsidRPr="000E79A9">
        <w:rPr>
          <w:rFonts w:cs="Times New Roman"/>
        </w:rPr>
        <w:t>np. umożliwić wybór optymalnego modelu aukcji dostosowanego do konkretnego przypadku</w:t>
      </w:r>
      <w:r w:rsidR="000E79A9">
        <w:rPr>
          <w:rFonts w:cs="Times New Roman"/>
        </w:rPr>
        <w:t>.</w:t>
      </w:r>
    </w:p>
    <w:p w14:paraId="092CB8C2" w14:textId="697951A8" w:rsidR="00D46615" w:rsidRPr="00B668C0" w:rsidRDefault="00D46615" w:rsidP="009F6FAC">
      <w:pPr>
        <w:pStyle w:val="NIEARTTEKSTtekstnieartykuowanynppodstprawnarozplubpreambua"/>
        <w:rPr>
          <w:rFonts w:cs="Times New Roman"/>
        </w:rPr>
      </w:pPr>
      <w:r w:rsidRPr="00B668C0">
        <w:lastRenderedPageBreak/>
        <w:t>Rozporządzenie reguluje również kwestie związane z </w:t>
      </w:r>
      <w:r w:rsidR="00E70757">
        <w:t xml:space="preserve">wpłatą </w:t>
      </w:r>
      <w:r w:rsidRPr="00B668C0">
        <w:t>wadium</w:t>
      </w:r>
      <w:r w:rsidR="009F6FAC" w:rsidRPr="00B668C0">
        <w:t xml:space="preserve"> i</w:t>
      </w:r>
      <w:r w:rsidR="009F6FAC">
        <w:t> </w:t>
      </w:r>
      <w:r w:rsidR="00E70757">
        <w:t>złożeniem</w:t>
      </w:r>
      <w:r w:rsidRPr="00B668C0">
        <w:t xml:space="preserve"> depozyt</w:t>
      </w:r>
      <w:r w:rsidR="00E70757">
        <w:t>u</w:t>
      </w:r>
      <w:r w:rsidRPr="00B668C0">
        <w:t xml:space="preserve">. </w:t>
      </w:r>
      <w:r w:rsidR="00F54203">
        <w:t>PKE</w:t>
      </w:r>
      <w:r w:rsidRPr="00B668C0">
        <w:t xml:space="preserve"> w przypadku aukcji przewiduje możliwość zastosowania instytucji depozytu, który będzie ulegał przepadkowi w sytuacjach określonych</w:t>
      </w:r>
      <w:r w:rsidR="009F6FAC" w:rsidRPr="00B668C0">
        <w:t xml:space="preserve"> w</w:t>
      </w:r>
      <w:r w:rsidR="009F6FAC">
        <w:t> art. </w:t>
      </w:r>
      <w:r w:rsidR="00F45FAD">
        <w:t>11</w:t>
      </w:r>
      <w:r w:rsidR="009F6FAC">
        <w:t>5 </w:t>
      </w:r>
      <w:r w:rsidR="00F45FAD">
        <w:t xml:space="preserve">ust </w:t>
      </w:r>
      <w:r w:rsidR="009F6FAC">
        <w:t>3 </w:t>
      </w:r>
      <w:r w:rsidR="00F45FAD">
        <w:t>PKE</w:t>
      </w:r>
      <w:r w:rsidRPr="00B668C0">
        <w:t xml:space="preserve">. Wnoszenie depozytu ma na celu </w:t>
      </w:r>
      <w:r w:rsidR="00567630" w:rsidRPr="00B668C0">
        <w:t>m.in.</w:t>
      </w:r>
      <w:r w:rsidR="00567630">
        <w:t xml:space="preserve"> </w:t>
      </w:r>
      <w:r w:rsidRPr="00B668C0">
        <w:t xml:space="preserve">zabezpieczenie postępowania selekcyjnego przed nierzetelnym zachowaniem uczestników oraz zapobieganie składaniu tzw. pozornych ofert w aukcji. Ustawa określa minimalną i maksymalną wysokość depozytu, zasady zaliczania na poczet opłaty za rezerwację częstotliwości oraz zwrotu i utraty. Projekt rozporządzenia wskazuje, że </w:t>
      </w:r>
      <w:r w:rsidRPr="00B668C0">
        <w:rPr>
          <w:rFonts w:cs="Times New Roman"/>
        </w:rPr>
        <w:t xml:space="preserve">depozyt (podobnie jak wadium) będzie wnoszony na rachunek bankowy </w:t>
      </w:r>
      <w:r w:rsidR="00F54203">
        <w:rPr>
          <w:rFonts w:cs="Times New Roman"/>
        </w:rPr>
        <w:t>Urzędu Komunikacji Elektronicznej</w:t>
      </w:r>
      <w:r w:rsidR="004C27EB">
        <w:rPr>
          <w:rFonts w:cs="Times New Roman"/>
        </w:rPr>
        <w:t>, dalej zwany „UKE”,</w:t>
      </w:r>
      <w:r w:rsidR="00F54203" w:rsidRPr="00B668C0">
        <w:rPr>
          <w:rFonts w:cs="Times New Roman"/>
        </w:rPr>
        <w:t xml:space="preserve"> </w:t>
      </w:r>
      <w:r w:rsidRPr="00B668C0">
        <w:rPr>
          <w:rFonts w:cs="Times New Roman"/>
        </w:rPr>
        <w:t>podawany w dokumentacji i zwracany na rachunek bankowy podany przez uczestnika. Zwrot będzie następował wraz z odsetkami wynikającymi z umowy rachunku bankowego, przy czym kwota ta zostanie pomniejszona o koszty prowadzenia rachunku oraz prowizji bankowej za przelew depozytu (wadium). Zarówno depozyt, jak i wadium będą wnoszone na oprocentowany rachunek, co wynika z uwzględnienia interesu strony społecznej.</w:t>
      </w:r>
    </w:p>
    <w:p w14:paraId="13B8B08A" w14:textId="405B4F71" w:rsidR="00D46615" w:rsidRPr="00B668C0" w:rsidRDefault="00D46615" w:rsidP="009F6FAC">
      <w:pPr>
        <w:pStyle w:val="NIEARTTEKSTtekstnieartykuowanynppodstprawnarozplubpreambua"/>
        <w:rPr>
          <w:rFonts w:cs="Times New Roman"/>
        </w:rPr>
      </w:pPr>
      <w:r w:rsidRPr="00B668C0">
        <w:rPr>
          <w:rFonts w:cs="Times New Roman"/>
        </w:rPr>
        <w:t>Przepisy dotyczące zawartości dokumentacji aukcyjnej powinny być</w:t>
      </w:r>
      <w:r w:rsidR="009F6FAC" w:rsidRPr="00B668C0">
        <w:rPr>
          <w:rFonts w:cs="Times New Roman"/>
        </w:rPr>
        <w:t xml:space="preserve"> w</w:t>
      </w:r>
      <w:r w:rsidR="009F6FAC">
        <w:rPr>
          <w:rFonts w:cs="Times New Roman"/>
        </w:rPr>
        <w:t> </w:t>
      </w:r>
      <w:r w:rsidRPr="00B668C0">
        <w:rPr>
          <w:rFonts w:cs="Times New Roman"/>
        </w:rPr>
        <w:t>miarę ogólne i</w:t>
      </w:r>
      <w:r w:rsidR="00567630">
        <w:rPr>
          <w:rFonts w:cs="Times New Roman"/>
        </w:rPr>
        <w:t> </w:t>
      </w:r>
      <w:r w:rsidRPr="00B668C0">
        <w:rPr>
          <w:rFonts w:cs="Times New Roman"/>
        </w:rPr>
        <w:t>obejmować jedynie elementy wspólne dla wszystkich modeli aukcji. Bardziej szczegółowe regulacje np.</w:t>
      </w:r>
      <w:r w:rsidR="00567630">
        <w:rPr>
          <w:rFonts w:cs="Times New Roman"/>
        </w:rPr>
        <w:t xml:space="preserve"> </w:t>
      </w:r>
      <w:r w:rsidRPr="00B668C0">
        <w:rPr>
          <w:rFonts w:cs="Times New Roman"/>
        </w:rPr>
        <w:t>obowiązek określania w dokumentacji sposobu ustalenia kwoty postąpienia w rundzie aukcji, sposób ustalenia najwyższej zadeklarowanej kwoty dla każdej rundy aukcji, tryb awaryjny składania ofert powinny być określone w dokumentacji aukcyjnej</w:t>
      </w:r>
      <w:r w:rsidR="00E70757">
        <w:rPr>
          <w:rFonts w:cs="Times New Roman"/>
        </w:rPr>
        <w:t>,</w:t>
      </w:r>
      <w:r w:rsidRPr="00B668C0">
        <w:rPr>
          <w:rFonts w:cs="Times New Roman"/>
        </w:rPr>
        <w:t xml:space="preserve"> gdyż</w:t>
      </w:r>
      <w:r w:rsidR="00567630">
        <w:rPr>
          <w:rFonts w:cs="Times New Roman"/>
        </w:rPr>
        <w:t xml:space="preserve"> </w:t>
      </w:r>
      <w:r w:rsidRPr="00B668C0">
        <w:rPr>
          <w:rFonts w:cs="Times New Roman"/>
        </w:rPr>
        <w:t xml:space="preserve">te elementy nie będą adekwatne do każdego modelu aukcji. </w:t>
      </w:r>
    </w:p>
    <w:p w14:paraId="2F594B3E" w14:textId="19B2DCFC" w:rsidR="00D46615" w:rsidRDefault="00D46615" w:rsidP="009F6FAC">
      <w:pPr>
        <w:pStyle w:val="NIEARTTEKSTtekstnieartykuowanynppodstprawnarozplubpreambua"/>
        <w:rPr>
          <w:rFonts w:cs="Times New Roman"/>
        </w:rPr>
      </w:pPr>
      <w:r w:rsidRPr="00B668C0">
        <w:rPr>
          <w:rFonts w:cs="Times New Roman"/>
        </w:rPr>
        <w:t>W</w:t>
      </w:r>
      <w:r w:rsidR="009F6FAC">
        <w:rPr>
          <w:rFonts w:cs="Times New Roman"/>
        </w:rPr>
        <w:t xml:space="preserve"> § 6 pkt </w:t>
      </w:r>
      <w:r w:rsidRPr="00B668C0">
        <w:rPr>
          <w:rFonts w:cs="Times New Roman"/>
        </w:rPr>
        <w:t>8 określającym katalog informacji, jakie powinna zawierać dokumentacja aukcyjna przewiduje się obowiązek określenia sposobu komunikacji komisji aukcyjnej z uczestnikami aukcji po zakończeniu etapu I oraz w trakcie etapu II aukcji. Należy przy tym wskazać, że w odniesieniu do pozostałych trybów postępowania selekcyjnego nie zawarto przepisu dotyczącego sposobu komunikacji komisji z uczestnikami postępowania przetargowego czy konkursowego. Wynika to z faktu, ż</w:t>
      </w:r>
      <w:r w:rsidR="00567630">
        <w:rPr>
          <w:rFonts w:cs="Times New Roman"/>
        </w:rPr>
        <w:t>e</w:t>
      </w:r>
      <w:r w:rsidRPr="00B668C0">
        <w:rPr>
          <w:rFonts w:cs="Times New Roman"/>
        </w:rPr>
        <w:t xml:space="preserve"> tylko w przypadku aukcji taka komunikacja de facto ma miejsce. Podyktowane jest to specyfiką aukcji, która jest procesem złożonym, długotrwałym (o czym świadczy już przeprowadzona aukcja na częstotliwości z zakresu 800 MHz), przeprowadzane są instruktaże składania ofert aukcyjnych (tzw. aukcje próbne), następnie w etapie II aukcji licytacje. Z tego względu w przypadku aukcji konieczna jest komunikacja komisji z uczestnikami aukcji oraz określenie sposobu tej komunikacji w dokumentacji aukcyjnej. Podobnie ze specyfiki aukcji, która jest postępowaniem rozłożonym w czasie</w:t>
      </w:r>
      <w:r w:rsidR="00567630">
        <w:rPr>
          <w:rFonts w:cs="Times New Roman"/>
        </w:rPr>
        <w:t>,</w:t>
      </w:r>
      <w:r w:rsidRPr="00B668C0">
        <w:rPr>
          <w:rFonts w:cs="Times New Roman"/>
        </w:rPr>
        <w:t xml:space="preserve"> wynika konieczność określenia trybu zgłaszania nieprawidłowości w etapie II aukcji </w:t>
      </w:r>
      <w:r w:rsidRPr="00B668C0">
        <w:rPr>
          <w:rFonts w:cs="Times New Roman"/>
        </w:rPr>
        <w:lastRenderedPageBreak/>
        <w:t>(np. za pośrednictwem systemu teleinformatycznego), a także sposobu ustalenia prawa do składania ofert aukcyjnych (np. określenia punktów licytacyjnych).</w:t>
      </w:r>
    </w:p>
    <w:p w14:paraId="7DE7DE6A" w14:textId="2597295B" w:rsidR="000358EC" w:rsidRPr="00B668C0" w:rsidRDefault="000358EC" w:rsidP="009F6FAC">
      <w:pPr>
        <w:pStyle w:val="NIEARTTEKSTtekstnieartykuowanynppodstprawnarozplubpreambua"/>
        <w:rPr>
          <w:rFonts w:cs="Times New Roman"/>
        </w:rPr>
      </w:pPr>
      <w:r>
        <w:rPr>
          <w:rFonts w:cs="Times New Roman"/>
        </w:rPr>
        <w:t xml:space="preserve">Rozporządzenie reguluje możliwość wyjaśnienia </w:t>
      </w:r>
      <w:r w:rsidR="004C27EB">
        <w:rPr>
          <w:rFonts w:cs="Times New Roman"/>
        </w:rPr>
        <w:t xml:space="preserve">treści </w:t>
      </w:r>
      <w:r>
        <w:rPr>
          <w:rFonts w:cs="Times New Roman"/>
        </w:rPr>
        <w:t>dokumentacji lub sprostowania oczywistych omyłek,</w:t>
      </w:r>
      <w:r w:rsidR="009F6FAC">
        <w:rPr>
          <w:rFonts w:cs="Times New Roman"/>
        </w:rPr>
        <w:t xml:space="preserve"> w </w:t>
      </w:r>
      <w:r>
        <w:rPr>
          <w:rFonts w:cs="Times New Roman"/>
        </w:rPr>
        <w:t xml:space="preserve">szczególności omyłek pisarskich. </w:t>
      </w:r>
      <w:r w:rsidRPr="000358EC">
        <w:rPr>
          <w:rFonts w:cs="Times New Roman"/>
        </w:rPr>
        <w:t xml:space="preserve">Wyjaśnienie treści dokumentacji oraz sprostowanie oczywistych omyłek </w:t>
      </w:r>
      <w:r>
        <w:rPr>
          <w:rFonts w:cs="Times New Roman"/>
        </w:rPr>
        <w:t xml:space="preserve">należą do </w:t>
      </w:r>
      <w:r w:rsidRPr="000358EC">
        <w:rPr>
          <w:rFonts w:cs="Times New Roman"/>
        </w:rPr>
        <w:t>czynności podejmowan</w:t>
      </w:r>
      <w:r>
        <w:rPr>
          <w:rFonts w:cs="Times New Roman"/>
        </w:rPr>
        <w:t>ych</w:t>
      </w:r>
      <w:r w:rsidR="009F6FAC" w:rsidRPr="000358EC">
        <w:rPr>
          <w:rFonts w:cs="Times New Roman"/>
        </w:rPr>
        <w:t xml:space="preserve"> w</w:t>
      </w:r>
      <w:r w:rsidR="009F6FAC">
        <w:rPr>
          <w:rFonts w:cs="Times New Roman"/>
        </w:rPr>
        <w:t> </w:t>
      </w:r>
      <w:r w:rsidRPr="000358EC">
        <w:rPr>
          <w:rFonts w:cs="Times New Roman"/>
        </w:rPr>
        <w:t xml:space="preserve">ramach postępowania </w:t>
      </w:r>
      <w:r>
        <w:rPr>
          <w:rFonts w:cs="Times New Roman"/>
        </w:rPr>
        <w:t>selekcyjnego</w:t>
      </w:r>
      <w:r w:rsidR="004C27EB">
        <w:rPr>
          <w:rFonts w:cs="Times New Roman"/>
        </w:rPr>
        <w:t>, ponieważ treść</w:t>
      </w:r>
      <w:r>
        <w:rPr>
          <w:rFonts w:cs="Times New Roman"/>
        </w:rPr>
        <w:t xml:space="preserve"> dokumentacji powinna odzwierciedlać stan faktyczny, </w:t>
      </w:r>
      <w:r w:rsidR="004C27EB">
        <w:rPr>
          <w:rFonts w:cs="Times New Roman"/>
        </w:rPr>
        <w:t>który ostatecznie</w:t>
      </w:r>
      <w:r>
        <w:rPr>
          <w:rFonts w:cs="Times New Roman"/>
        </w:rPr>
        <w:t xml:space="preserve"> wpływa na prawa</w:t>
      </w:r>
      <w:r w:rsidR="009F6FAC">
        <w:rPr>
          <w:rFonts w:cs="Times New Roman"/>
        </w:rPr>
        <w:t xml:space="preserve"> i </w:t>
      </w:r>
      <w:r>
        <w:rPr>
          <w:rFonts w:cs="Times New Roman"/>
        </w:rPr>
        <w:t>obowiązki uczestników postępowania selekcyjnego. Prawidłowa wykładnia (wyjaśnienie)</w:t>
      </w:r>
      <w:r w:rsidR="009F6FAC">
        <w:rPr>
          <w:rFonts w:cs="Times New Roman"/>
        </w:rPr>
        <w:t xml:space="preserve"> i </w:t>
      </w:r>
      <w:r>
        <w:rPr>
          <w:rFonts w:cs="Times New Roman"/>
        </w:rPr>
        <w:t>usunięcie omyłek pisarskich ma na celu zagwarantowanie rzetelnej procedury</w:t>
      </w:r>
      <w:r w:rsidR="009F6FAC">
        <w:rPr>
          <w:rFonts w:cs="Times New Roman"/>
        </w:rPr>
        <w:t xml:space="preserve"> w </w:t>
      </w:r>
      <w:r>
        <w:rPr>
          <w:rFonts w:cs="Times New Roman"/>
        </w:rPr>
        <w:t xml:space="preserve">postępowaniu selekcyjnym. </w:t>
      </w:r>
    </w:p>
    <w:p w14:paraId="0FA84A57" w14:textId="4BF8FEA8" w:rsidR="00D46615" w:rsidRPr="00B668C0" w:rsidRDefault="00D46615" w:rsidP="009F6FAC">
      <w:pPr>
        <w:pStyle w:val="NIEARTTEKSTtekstnieartykuowanynppodstprawnarozplubpreambua"/>
        <w:rPr>
          <w:rFonts w:cs="Times New Roman"/>
        </w:rPr>
      </w:pPr>
      <w:r w:rsidRPr="00B668C0">
        <w:rPr>
          <w:rFonts w:cs="Times New Roman"/>
        </w:rPr>
        <w:t>W zakresie przepisów dotyczących prac komisji przetargowej, aukcyjnej albo konkursowej, rozporządzenie reguluje kwestię negatywnych przesłanek, których wystąpienie nie pozwala na bycie członkiem komisji. W tym zakresie wymagane jest złożenie odpowiedniego oświadczenia o braku wystąpienia negatywnych przesłanek po sporządzeniu listy oferentów. W przypadku niezłożenia oświadczenia lub w przypadku zmiany stanu objętego oświadczeniem Prezes UKE odwołuje członka komisji. Projekt nie precyzuje przy tym skutków odwołania członka dla ważności czynności, w których on uczestniczył. Należy bowiem wskazać, że czynności związane z otwarciem ofert mają charakter techniczny i brak jest potrzeby powtarzania tych czynności. Wymóg, aby czynności należało powtórzyć wpłynąłby negatywnie na przebieg postępowania. Należy uznać, że</w:t>
      </w:r>
      <w:r w:rsidRPr="00B668C0">
        <w:rPr>
          <w:rFonts w:cs="Times New Roman"/>
          <w:b/>
        </w:rPr>
        <w:t xml:space="preserve"> </w:t>
      </w:r>
      <w:r w:rsidR="000E79A9">
        <w:rPr>
          <w:rFonts w:cs="Times New Roman"/>
        </w:rPr>
        <w:t>b</w:t>
      </w:r>
      <w:r w:rsidR="000E79A9" w:rsidRPr="000E79A9">
        <w:rPr>
          <w:rFonts w:cs="Times New Roman"/>
        </w:rPr>
        <w:t>rak odrębnej regulacji oznacza, że nie ma obowiązku powtarzania czynności</w:t>
      </w:r>
      <w:r w:rsidRPr="00B668C0">
        <w:rPr>
          <w:rFonts w:cs="Times New Roman"/>
        </w:rPr>
        <w:t>, w których uczestniczył członek komisji, który spełnia warunki wyłączające go z członkostwa w komisji.</w:t>
      </w:r>
    </w:p>
    <w:p w14:paraId="115283F6" w14:textId="080D3452" w:rsidR="00F45FAD" w:rsidRDefault="00D46615" w:rsidP="009F6FAC">
      <w:pPr>
        <w:pStyle w:val="NIEARTTEKSTtekstnieartykuowanynppodstprawnarozplubpreambua"/>
        <w:rPr>
          <w:rFonts w:cs="Times New Roman"/>
        </w:rPr>
      </w:pPr>
      <w:r w:rsidRPr="00B668C0">
        <w:rPr>
          <w:rFonts w:cs="Times New Roman"/>
        </w:rPr>
        <w:t>W projekcie rozporządzenia zawarto również przepis, zgodnie z którym do czasu zakończenia przetargu, aukcji albo konkursu, dostęp do dokumentacji z prac komisji posiadają tylko Prezes UKE, członkowie komisji oraz osoby upoważnione przez Prezesa UKE. Wynika to z faktu, ż</w:t>
      </w:r>
      <w:r w:rsidR="00567630">
        <w:rPr>
          <w:rFonts w:cs="Times New Roman"/>
        </w:rPr>
        <w:t>e</w:t>
      </w:r>
      <w:r w:rsidRPr="00B668C0">
        <w:rPr>
          <w:rFonts w:cs="Times New Roman"/>
        </w:rPr>
        <w:t xml:space="preserve"> to Prezes UKE zgodnie z przepisami </w:t>
      </w:r>
      <w:r w:rsidR="00F54203">
        <w:rPr>
          <w:rFonts w:cs="Times New Roman"/>
        </w:rPr>
        <w:t>P</w:t>
      </w:r>
      <w:r w:rsidR="000E79A9">
        <w:rPr>
          <w:rFonts w:cs="Times New Roman"/>
        </w:rPr>
        <w:t xml:space="preserve">KE </w:t>
      </w:r>
      <w:r w:rsidRPr="00B668C0">
        <w:rPr>
          <w:rFonts w:cs="Times New Roman"/>
        </w:rPr>
        <w:t>jest odpowiedzialny za przeprowadzenie postępowania selekcyjnego. Powinien mieć zatem prawo do upoważnienia innych osób, np. pracowników UKE do dostępu do dokumentacji z prac komisji</w:t>
      </w:r>
      <w:r w:rsidR="00F45FAD">
        <w:rPr>
          <w:rFonts w:cs="Times New Roman"/>
        </w:rPr>
        <w:t>, w</w:t>
      </w:r>
      <w:r w:rsidR="000E79A9">
        <w:rPr>
          <w:rFonts w:cs="Times New Roman"/>
        </w:rPr>
        <w:t> </w:t>
      </w:r>
      <w:r w:rsidR="00F45FAD">
        <w:rPr>
          <w:rFonts w:cs="Times New Roman"/>
        </w:rPr>
        <w:t>szczególności przez zwrócenie się</w:t>
      </w:r>
      <w:r w:rsidR="009F6FAC">
        <w:rPr>
          <w:rFonts w:cs="Times New Roman"/>
        </w:rPr>
        <w:t xml:space="preserve"> z </w:t>
      </w:r>
      <w:r w:rsidR="00F45FAD">
        <w:rPr>
          <w:rFonts w:cs="Times New Roman"/>
        </w:rPr>
        <w:t>wnioskiem o:</w:t>
      </w:r>
    </w:p>
    <w:p w14:paraId="3E5400A5" w14:textId="3F09F0C0" w:rsidR="00F45FAD" w:rsidRPr="00B6780C" w:rsidRDefault="00F45FAD" w:rsidP="00B6780C">
      <w:pPr>
        <w:pStyle w:val="Akapitzlist"/>
        <w:numPr>
          <w:ilvl w:val="0"/>
          <w:numId w:val="6"/>
        </w:numPr>
      </w:pPr>
      <w:r w:rsidRPr="00B6780C">
        <w:rPr>
          <w:rFonts w:cs="Times New Roman"/>
        </w:rPr>
        <w:t xml:space="preserve">wydanie opinii prawnej, </w:t>
      </w:r>
    </w:p>
    <w:p w14:paraId="0F548B0B" w14:textId="1171E7E1" w:rsidR="00F45FAD" w:rsidRPr="00B6780C" w:rsidRDefault="00F45FAD" w:rsidP="00B6780C">
      <w:pPr>
        <w:pStyle w:val="Akapitzlist"/>
        <w:numPr>
          <w:ilvl w:val="0"/>
          <w:numId w:val="6"/>
        </w:numPr>
      </w:pPr>
      <w:r w:rsidRPr="00B6780C">
        <w:rPr>
          <w:rFonts w:cs="Times New Roman"/>
        </w:rPr>
        <w:t>wydanie opinii</w:t>
      </w:r>
      <w:r w:rsidR="009F6FAC" w:rsidRPr="00B6780C">
        <w:rPr>
          <w:rFonts w:cs="Times New Roman"/>
        </w:rPr>
        <w:t xml:space="preserve"> w </w:t>
      </w:r>
      <w:r w:rsidRPr="00B6780C">
        <w:rPr>
          <w:rFonts w:cs="Times New Roman"/>
        </w:rPr>
        <w:t>sprawie gospodarki częstotliwościami,</w:t>
      </w:r>
    </w:p>
    <w:p w14:paraId="151C5C46" w14:textId="77777777" w:rsidR="00B6780C" w:rsidRPr="00B6780C" w:rsidRDefault="00F45FAD" w:rsidP="00B6780C">
      <w:pPr>
        <w:pStyle w:val="Akapitzlist"/>
        <w:numPr>
          <w:ilvl w:val="0"/>
          <w:numId w:val="6"/>
        </w:numPr>
      </w:pPr>
      <w:r w:rsidRPr="00B6780C">
        <w:rPr>
          <w:rFonts w:cs="Times New Roman"/>
        </w:rPr>
        <w:t>uzyskanie informacji dotyczącej wniesionego wadium lub depozytu</w:t>
      </w:r>
    </w:p>
    <w:p w14:paraId="217A6AF1" w14:textId="059CDFE9" w:rsidR="004C27EB" w:rsidRPr="00B6780C" w:rsidRDefault="009F6FAC" w:rsidP="00B6780C">
      <w:pPr>
        <w:ind w:left="360"/>
      </w:pPr>
      <w:r w:rsidRPr="00B6780C">
        <w:rPr>
          <w:rFonts w:cs="Times New Roman"/>
        </w:rPr>
        <w:noBreakHyphen/>
        <w:t xml:space="preserve"> </w:t>
      </w:r>
      <w:r w:rsidR="00F45FAD" w:rsidRPr="00B6780C">
        <w:rPr>
          <w:rFonts w:cs="Times New Roman"/>
        </w:rPr>
        <w:t xml:space="preserve">do odpowiedniej komórki organizacyjnej </w:t>
      </w:r>
      <w:r w:rsidR="004C27EB" w:rsidRPr="00B6780C">
        <w:rPr>
          <w:rFonts w:cs="Times New Roman"/>
        </w:rPr>
        <w:t>UKE</w:t>
      </w:r>
      <w:r w:rsidR="00B6780C">
        <w:rPr>
          <w:rFonts w:cs="Times New Roman"/>
        </w:rPr>
        <w:t>.</w:t>
      </w:r>
    </w:p>
    <w:p w14:paraId="4638A3A7" w14:textId="03655EF9" w:rsidR="00D46615" w:rsidRPr="00F45FAD" w:rsidRDefault="00D46615" w:rsidP="009F6FAC">
      <w:pPr>
        <w:pStyle w:val="NIEARTTEKSTtekstnieartykuowanynppodstprawnarozplubpreambua"/>
        <w:rPr>
          <w:rFonts w:cs="Times New Roman"/>
        </w:rPr>
      </w:pPr>
      <w:r w:rsidRPr="00F45FAD">
        <w:rPr>
          <w:rFonts w:cs="Times New Roman"/>
        </w:rPr>
        <w:lastRenderedPageBreak/>
        <w:t>Dodatkowo, w przypadku</w:t>
      </w:r>
      <w:r w:rsidR="00F45FAD">
        <w:rPr>
          <w:rFonts w:cs="Times New Roman"/>
        </w:rPr>
        <w:t xml:space="preserve"> </w:t>
      </w:r>
      <w:r w:rsidRPr="00F45FAD">
        <w:rPr>
          <w:rFonts w:cs="Times New Roman"/>
        </w:rPr>
        <w:t>przeprowadzania aukcji z wykorzystaniem systemu teleinformatycznego administrator systemu będzie musiał posiadać dostęp do danych zawartych w systemie</w:t>
      </w:r>
      <w:r w:rsidR="000E79A9">
        <w:rPr>
          <w:rFonts w:cs="Times New Roman"/>
        </w:rPr>
        <w:t>,</w:t>
      </w:r>
      <w:r w:rsidRPr="00F45FAD">
        <w:rPr>
          <w:rFonts w:cs="Times New Roman"/>
        </w:rPr>
        <w:t xml:space="preserve"> niezbędnych dla zapewnienia jego prawidłowego funkcjonowania.</w:t>
      </w:r>
    </w:p>
    <w:p w14:paraId="05EB126A" w14:textId="7FA879FB" w:rsidR="00D46615" w:rsidRPr="00B668C0" w:rsidRDefault="00D46615" w:rsidP="009F6FAC">
      <w:pPr>
        <w:pStyle w:val="NIEARTTEKSTtekstnieartykuowanynppodstprawnarozplubpreambua"/>
        <w:rPr>
          <w:rFonts w:ascii="Times New Roman" w:hAnsi="Times New Roman" w:cs="Times New Roman"/>
        </w:rPr>
      </w:pPr>
      <w:r w:rsidRPr="00B668C0">
        <w:rPr>
          <w:rFonts w:ascii="Times New Roman" w:hAnsi="Times New Roman" w:cs="Times New Roman"/>
        </w:rPr>
        <w:t xml:space="preserve">Projekt </w:t>
      </w:r>
      <w:r w:rsidR="000C41D9">
        <w:rPr>
          <w:rFonts w:ascii="Times New Roman" w:hAnsi="Times New Roman" w:cs="Times New Roman"/>
        </w:rPr>
        <w:t xml:space="preserve">rozporządzenia </w:t>
      </w:r>
      <w:r w:rsidRPr="00B668C0">
        <w:rPr>
          <w:rFonts w:ascii="Times New Roman" w:hAnsi="Times New Roman" w:cs="Times New Roman"/>
        </w:rPr>
        <w:t>przewiduje również możliwość udostępnienia ofert Prezesowi U</w:t>
      </w:r>
      <w:r w:rsidR="00F54203">
        <w:rPr>
          <w:rFonts w:ascii="Times New Roman" w:hAnsi="Times New Roman" w:cs="Times New Roman"/>
        </w:rPr>
        <w:t>rzędu Ochrony Konkurencji</w:t>
      </w:r>
      <w:r w:rsidR="009F6FAC">
        <w:rPr>
          <w:rFonts w:ascii="Times New Roman" w:hAnsi="Times New Roman" w:cs="Times New Roman"/>
        </w:rPr>
        <w:t xml:space="preserve"> i </w:t>
      </w:r>
      <w:r w:rsidR="00F54203">
        <w:rPr>
          <w:rFonts w:ascii="Times New Roman" w:hAnsi="Times New Roman" w:cs="Times New Roman"/>
        </w:rPr>
        <w:t>Konsumentów</w:t>
      </w:r>
      <w:r w:rsidR="000C41D9">
        <w:rPr>
          <w:rFonts w:ascii="Times New Roman" w:hAnsi="Times New Roman" w:cs="Times New Roman"/>
        </w:rPr>
        <w:t>, dalej zwany „Prezes UOKiK”,</w:t>
      </w:r>
      <w:r w:rsidRPr="00B668C0">
        <w:rPr>
          <w:rFonts w:ascii="Times New Roman" w:hAnsi="Times New Roman" w:cs="Times New Roman"/>
        </w:rPr>
        <w:t xml:space="preserve"> celem uzyskania jego opinii w zakresie zachowania warunków konkurencyjności. Zgodnie z literalnym brzmieniem</w:t>
      </w:r>
      <w:r w:rsidR="009F6FAC">
        <w:rPr>
          <w:rFonts w:ascii="Times New Roman" w:hAnsi="Times New Roman" w:cs="Times New Roman"/>
        </w:rPr>
        <w:t xml:space="preserve"> art. </w:t>
      </w:r>
      <w:r w:rsidRPr="00B668C0">
        <w:rPr>
          <w:rFonts w:ascii="Times New Roman" w:hAnsi="Times New Roman" w:cs="Times New Roman"/>
        </w:rPr>
        <w:t>11</w:t>
      </w:r>
      <w:r w:rsidR="009F6FAC" w:rsidRPr="00B668C0">
        <w:rPr>
          <w:rFonts w:ascii="Times New Roman" w:hAnsi="Times New Roman" w:cs="Times New Roman"/>
        </w:rPr>
        <w:t>7</w:t>
      </w:r>
      <w:r w:rsidR="009F6FAC">
        <w:rPr>
          <w:rFonts w:ascii="Times New Roman" w:hAnsi="Times New Roman" w:cs="Times New Roman"/>
        </w:rPr>
        <w:t xml:space="preserve"> ust. </w:t>
      </w:r>
      <w:r w:rsidRPr="00B668C0">
        <w:rPr>
          <w:rFonts w:ascii="Times New Roman" w:hAnsi="Times New Roman" w:cs="Times New Roman"/>
        </w:rPr>
        <w:t>6 P</w:t>
      </w:r>
      <w:r w:rsidR="00F54203">
        <w:rPr>
          <w:rFonts w:ascii="Times New Roman" w:hAnsi="Times New Roman" w:cs="Times New Roman"/>
        </w:rPr>
        <w:t>KE</w:t>
      </w:r>
      <w:r w:rsidRPr="00B668C0">
        <w:rPr>
          <w:rFonts w:ascii="Times New Roman" w:hAnsi="Times New Roman" w:cs="Times New Roman"/>
        </w:rPr>
        <w:t xml:space="preserve"> opinii zasięga Prezes UKE, rozporządzenie natomiast wskazuje, ż</w:t>
      </w:r>
      <w:r w:rsidR="00567630">
        <w:rPr>
          <w:rFonts w:ascii="Times New Roman" w:hAnsi="Times New Roman" w:cs="Times New Roman"/>
        </w:rPr>
        <w:t>e</w:t>
      </w:r>
      <w:r w:rsidRPr="00B668C0">
        <w:rPr>
          <w:rFonts w:ascii="Times New Roman" w:hAnsi="Times New Roman" w:cs="Times New Roman"/>
        </w:rPr>
        <w:t xml:space="preserve"> czynności tej dokonuje komisja. Należy bowiem wskazać, ż</w:t>
      </w:r>
      <w:r w:rsidR="00567630">
        <w:rPr>
          <w:rFonts w:ascii="Times New Roman" w:hAnsi="Times New Roman" w:cs="Times New Roman"/>
        </w:rPr>
        <w:t>e</w:t>
      </w:r>
      <w:r w:rsidRPr="00B668C0">
        <w:rPr>
          <w:rFonts w:ascii="Times New Roman" w:hAnsi="Times New Roman" w:cs="Times New Roman"/>
        </w:rPr>
        <w:t xml:space="preserve"> Prezes UKE sam osobiście nie dokonuje wszystkich czynności związanych z postępowaniem selekcyjnym, za którego przeprowadzenie jest odpowiedzialny. Działa w tym przypadku w jego imieniu komisja. Przekazanie do Prezesa UOKiK ofert celem uzyskania jego opinii ma charakter techniczny. Jest dokonywane w imieniu Prezesa UKE przez komisję.</w:t>
      </w:r>
    </w:p>
    <w:p w14:paraId="262E30B2" w14:textId="302DA715" w:rsidR="00D46615" w:rsidRPr="00B668C0" w:rsidRDefault="00D46615" w:rsidP="009F6FAC">
      <w:pPr>
        <w:pStyle w:val="NIEARTTEKSTtekstnieartykuowanynppodstprawnarozplubpreambua"/>
        <w:rPr>
          <w:rFonts w:cs="Times New Roman"/>
        </w:rPr>
      </w:pPr>
      <w:r w:rsidRPr="00B668C0">
        <w:rPr>
          <w:rFonts w:cs="Times New Roman"/>
        </w:rPr>
        <w:t xml:space="preserve">W projektowanym rozporządzeniu </w:t>
      </w:r>
      <w:r w:rsidR="00F54203">
        <w:rPr>
          <w:rFonts w:cs="Times New Roman"/>
        </w:rPr>
        <w:t>odmiennie określono</w:t>
      </w:r>
      <w:r w:rsidRPr="00B668C0">
        <w:rPr>
          <w:rFonts w:cs="Times New Roman"/>
        </w:rPr>
        <w:t xml:space="preserve"> zasady publikowania rozstrzygnięć komisji na poszczególnych etapach postępowań selekcyjnych. W przypadku przetargu i konkursu na stronie podmiotowej B</w:t>
      </w:r>
      <w:r w:rsidR="00F54203">
        <w:rPr>
          <w:rFonts w:cs="Times New Roman"/>
        </w:rPr>
        <w:t xml:space="preserve">iuletynu Informacji Publicznej </w:t>
      </w:r>
      <w:r w:rsidR="000C41D9">
        <w:rPr>
          <w:rFonts w:cs="Times New Roman"/>
        </w:rPr>
        <w:t>UKE</w:t>
      </w:r>
      <w:r w:rsidR="00F54203" w:rsidRPr="00B668C0">
        <w:rPr>
          <w:rFonts w:cs="Times New Roman"/>
        </w:rPr>
        <w:t xml:space="preserve"> </w:t>
      </w:r>
      <w:r w:rsidRPr="00B668C0">
        <w:rPr>
          <w:rFonts w:cs="Times New Roman"/>
        </w:rPr>
        <w:t>udostępniane są jedynie sporządzone przez komisję listy uczestników przetargu bądź konkursu (podmioty które złożyły oferty w terminie).</w:t>
      </w:r>
      <w:r w:rsidR="00C914D6">
        <w:rPr>
          <w:rFonts w:cs="Times New Roman"/>
        </w:rPr>
        <w:t xml:space="preserve"> </w:t>
      </w:r>
      <w:r w:rsidRPr="00B668C0">
        <w:rPr>
          <w:rFonts w:cs="Times New Roman"/>
        </w:rPr>
        <w:t>W przypadku aukcji dodatkowo publikacji podlega lista uczestników zakwalifikowanych do</w:t>
      </w:r>
      <w:r w:rsidR="000E79A9">
        <w:rPr>
          <w:rFonts w:cs="Times New Roman"/>
        </w:rPr>
        <w:t xml:space="preserve"> </w:t>
      </w:r>
      <w:r w:rsidRPr="00B668C0">
        <w:rPr>
          <w:rFonts w:cs="Times New Roman"/>
        </w:rPr>
        <w:t xml:space="preserve">etapu </w:t>
      </w:r>
      <w:r w:rsidR="000E79A9">
        <w:rPr>
          <w:rFonts w:cs="Times New Roman"/>
        </w:rPr>
        <w:t xml:space="preserve">II </w:t>
      </w:r>
      <w:r w:rsidRPr="00B668C0">
        <w:rPr>
          <w:rFonts w:cs="Times New Roman"/>
        </w:rPr>
        <w:t xml:space="preserve">aukcji. Brak publikacji tej listy w przypadku konkursu czy przetargu wynika z różnic dzielących te postępowania i tryb aukcyjny. </w:t>
      </w:r>
      <w:r w:rsidR="00F45FAD" w:rsidRPr="00F45FAD">
        <w:rPr>
          <w:rFonts w:cs="Times New Roman"/>
        </w:rPr>
        <w:t>Aukcja jest postępowaniem, które trwa przez dłuższy czas</w:t>
      </w:r>
      <w:r w:rsidR="009F6FAC" w:rsidRPr="00F45FAD">
        <w:rPr>
          <w:rFonts w:cs="Times New Roman"/>
        </w:rPr>
        <w:t xml:space="preserve"> i</w:t>
      </w:r>
      <w:r w:rsidR="009F6FAC">
        <w:rPr>
          <w:rFonts w:cs="Times New Roman"/>
        </w:rPr>
        <w:t> </w:t>
      </w:r>
      <w:r w:rsidR="00F45FAD" w:rsidRPr="00F45FAD">
        <w:rPr>
          <w:rFonts w:cs="Times New Roman"/>
        </w:rPr>
        <w:t>składa się</w:t>
      </w:r>
      <w:r w:rsidR="009F6FAC" w:rsidRPr="00F45FAD">
        <w:rPr>
          <w:rFonts w:cs="Times New Roman"/>
        </w:rPr>
        <w:t xml:space="preserve"> z</w:t>
      </w:r>
      <w:r w:rsidR="009F6FAC">
        <w:rPr>
          <w:rFonts w:cs="Times New Roman"/>
        </w:rPr>
        <w:t> </w:t>
      </w:r>
      <w:r w:rsidR="00F45FAD" w:rsidRPr="00F45FAD">
        <w:rPr>
          <w:rFonts w:cs="Times New Roman"/>
        </w:rPr>
        <w:t>kilku etapów. Przed rozpoczęciem właściwej licytacji mogą być organizowane szkolenia lub aukcje próbne, aby uczestnicy nauczyli się prawidłowo składać oferty. Następnie przeprowadzana jest właściwa licytacja. Ponieważ uczestnicy muszą odpowiednio przygotować się do tych czynności, publikowana jest również lista oferentów zakwalifikowanych do drugiego etapu</w:t>
      </w:r>
      <w:r w:rsidR="00F45FAD">
        <w:rPr>
          <w:rFonts w:cs="Times New Roman"/>
        </w:rPr>
        <w:t xml:space="preserve">. </w:t>
      </w:r>
    </w:p>
    <w:p w14:paraId="550EDB61" w14:textId="0EFDB8DC" w:rsidR="00D46615" w:rsidRDefault="00D46615" w:rsidP="009F6FAC">
      <w:pPr>
        <w:pStyle w:val="NIEARTTEKSTtekstnieartykuowanynppodstprawnarozplubpreambua"/>
        <w:rPr>
          <w:rFonts w:cs="Times New Roman"/>
        </w:rPr>
      </w:pPr>
      <w:r w:rsidRPr="00B668C0">
        <w:rPr>
          <w:rFonts w:cs="Times New Roman"/>
        </w:rPr>
        <w:t>W projektowanym rozporządzeniu utrzymano elastyczną regulację odnośnie do momentu zakończenia aukcji. Zrezygnowano w tym zakresie z określania w rozporządzeniu kwestii długości trwania aukcji, co wynika przede wszystkim z faktu istnienia</w:t>
      </w:r>
      <w:r w:rsidR="009F6FAC" w:rsidRPr="00B668C0">
        <w:rPr>
          <w:rFonts w:cs="Times New Roman"/>
        </w:rPr>
        <w:t xml:space="preserve"> w</w:t>
      </w:r>
      <w:r w:rsidR="009F6FAC">
        <w:rPr>
          <w:rFonts w:cs="Times New Roman"/>
        </w:rPr>
        <w:t> </w:t>
      </w:r>
      <w:r w:rsidR="00F54203">
        <w:rPr>
          <w:rFonts w:cs="Times New Roman"/>
        </w:rPr>
        <w:t>PKE</w:t>
      </w:r>
      <w:r w:rsidRPr="00B668C0">
        <w:rPr>
          <w:rFonts w:cs="Times New Roman"/>
        </w:rPr>
        <w:t xml:space="preserve"> odpowiednich środków zabezpieczających aukcję. Moment zakończenia etapu II aukcji powinien zostać ustalony przez Prezesa UKE w dokumentacji i dostosowany do wybranego modelu aukcji.</w:t>
      </w:r>
    </w:p>
    <w:p w14:paraId="765640BE" w14:textId="7884C455" w:rsidR="00867766" w:rsidRPr="00867766" w:rsidRDefault="00867766" w:rsidP="00867766">
      <w:pPr>
        <w:ind w:firstLine="510"/>
        <w:jc w:val="both"/>
      </w:pPr>
      <w:r w:rsidRPr="00867766">
        <w:t>Projekt nie zawiera przepisów przejściowych, gdyż nie zachodzi potrzeba uregulowania wpływu projektowanych rozwiązań na stosunki prawne powstałe pod rządami dotychczasowych przepisów. Projektowane zmiany będą miały zastosowanie wyłącznie od dnia wejścia w życie rozporządzenia</w:t>
      </w:r>
      <w:r>
        <w:t>.</w:t>
      </w:r>
    </w:p>
    <w:p w14:paraId="3602F35A" w14:textId="77777777" w:rsidR="00D46615" w:rsidRPr="00B668C0" w:rsidRDefault="00D46615" w:rsidP="009F6FAC">
      <w:pPr>
        <w:pStyle w:val="NIEARTTEKSTtekstnieartykuowanynppodstprawnarozplubpreambua"/>
        <w:rPr>
          <w:rFonts w:cs="Times New Roman"/>
        </w:rPr>
      </w:pPr>
      <w:r w:rsidRPr="00B668C0">
        <w:rPr>
          <w:rFonts w:cs="Times New Roman"/>
        </w:rPr>
        <w:lastRenderedPageBreak/>
        <w:t>Rozporządzenie wejdzie w życie po upływie 14 dni od dnia ogłoszenia.</w:t>
      </w:r>
    </w:p>
    <w:p w14:paraId="2A3E98BE" w14:textId="77777777" w:rsidR="00D46615" w:rsidRPr="00B668C0" w:rsidRDefault="00D46615" w:rsidP="009F6FAC">
      <w:pPr>
        <w:pStyle w:val="NIEARTTEKSTtekstnieartykuowanynppodstprawnarozplubpreambua"/>
        <w:rPr>
          <w:rFonts w:cs="Times New Roman"/>
        </w:rPr>
      </w:pPr>
      <w:r w:rsidRPr="00B668C0">
        <w:rPr>
          <w:rFonts w:cs="Times New Roman"/>
        </w:rPr>
        <w:t>Projekt rozporządzenia nie jest sprzeczny z prawem Unii Europejskiej.</w:t>
      </w:r>
    </w:p>
    <w:p w14:paraId="2589D124" w14:textId="2E3F89F0" w:rsidR="00E70757" w:rsidRPr="00E70757" w:rsidRDefault="00E70757" w:rsidP="009F6FAC">
      <w:pPr>
        <w:pStyle w:val="NIEARTTEKSTtekstnieartykuowanynppodstprawnarozplubpreambua"/>
        <w:rPr>
          <w:rFonts w:eastAsia="Times New Roman"/>
        </w:rPr>
      </w:pPr>
      <w:r w:rsidRPr="00E70757">
        <w:rPr>
          <w:rFonts w:eastAsia="Times New Roman"/>
        </w:rPr>
        <w:t>Przepisy projektowanego rozporządzenia zostały przeanalizowane pod kątem wpływu na małe</w:t>
      </w:r>
      <w:r w:rsidR="009F6FAC" w:rsidRPr="00E70757">
        <w:rPr>
          <w:rFonts w:eastAsia="Times New Roman"/>
        </w:rPr>
        <w:t xml:space="preserve"> i</w:t>
      </w:r>
      <w:r w:rsidR="009F6FAC">
        <w:rPr>
          <w:rFonts w:eastAsia="Times New Roman"/>
        </w:rPr>
        <w:t> </w:t>
      </w:r>
      <w:r w:rsidRPr="00E70757">
        <w:rPr>
          <w:rFonts w:eastAsia="Times New Roman"/>
        </w:rPr>
        <w:t>średnie przedsiębiorstwa. Regulacje zawarte</w:t>
      </w:r>
      <w:r w:rsidR="009F6FAC" w:rsidRPr="00E70757">
        <w:rPr>
          <w:rFonts w:eastAsia="Times New Roman"/>
        </w:rPr>
        <w:t xml:space="preserve"> w</w:t>
      </w:r>
      <w:r w:rsidR="009F6FAC">
        <w:rPr>
          <w:rFonts w:eastAsia="Times New Roman"/>
        </w:rPr>
        <w:t> </w:t>
      </w:r>
      <w:r w:rsidRPr="00E70757">
        <w:rPr>
          <w:rFonts w:eastAsia="Times New Roman"/>
        </w:rPr>
        <w:t>projekcie rozporządzenia nie będą miały wpływu na funkcjonowanie przedsiębiorstw, gdyż nie zmieniają się obowiązki, które występowały dotychczas.</w:t>
      </w:r>
    </w:p>
    <w:p w14:paraId="33291909" w14:textId="5FFA6F42" w:rsidR="00E70757" w:rsidRPr="00E70757" w:rsidRDefault="00E70757" w:rsidP="009F6FAC">
      <w:pPr>
        <w:pStyle w:val="NIEARTTEKSTtekstnieartykuowanynppodstprawnarozplubpreambua"/>
        <w:rPr>
          <w:rFonts w:eastAsia="Times New Roman"/>
        </w:rPr>
      </w:pPr>
      <w:r w:rsidRPr="00E70757">
        <w:rPr>
          <w:rFonts w:eastAsia="Times New Roman"/>
        </w:rPr>
        <w:t>Projektowane rozporządzenie nie zawiera przepisów technicznych</w:t>
      </w:r>
      <w:r w:rsidR="009F6FAC" w:rsidRPr="00E70757">
        <w:rPr>
          <w:rFonts w:eastAsia="Times New Roman"/>
        </w:rPr>
        <w:t xml:space="preserve"> w</w:t>
      </w:r>
      <w:r w:rsidR="009F6FAC">
        <w:rPr>
          <w:rFonts w:eastAsia="Times New Roman"/>
        </w:rPr>
        <w:t> </w:t>
      </w:r>
      <w:r w:rsidRPr="00E70757">
        <w:rPr>
          <w:rFonts w:eastAsia="Times New Roman"/>
        </w:rPr>
        <w:t>rozumieniu rozporządzenia Rady Ministrów</w:t>
      </w:r>
      <w:r w:rsidR="009F6FAC" w:rsidRPr="00E70757">
        <w:rPr>
          <w:rFonts w:eastAsia="Times New Roman"/>
        </w:rPr>
        <w:t xml:space="preserve"> z</w:t>
      </w:r>
      <w:r w:rsidR="009F6FAC">
        <w:rPr>
          <w:rFonts w:eastAsia="Times New Roman"/>
        </w:rPr>
        <w:t> </w:t>
      </w:r>
      <w:r w:rsidRPr="00E70757">
        <w:rPr>
          <w:rFonts w:eastAsia="Times New Roman"/>
        </w:rPr>
        <w:t>dnia 2</w:t>
      </w:r>
      <w:r w:rsidR="009F6FAC" w:rsidRPr="00E70757">
        <w:rPr>
          <w:rFonts w:eastAsia="Times New Roman"/>
        </w:rPr>
        <w:t>3</w:t>
      </w:r>
      <w:r w:rsidR="009F6FAC">
        <w:rPr>
          <w:rFonts w:eastAsia="Times New Roman"/>
        </w:rPr>
        <w:t> </w:t>
      </w:r>
      <w:r w:rsidRPr="00E70757">
        <w:rPr>
          <w:rFonts w:eastAsia="Times New Roman"/>
        </w:rPr>
        <w:t>grudnia 200</w:t>
      </w:r>
      <w:r w:rsidR="009F6FAC" w:rsidRPr="00E70757">
        <w:rPr>
          <w:rFonts w:eastAsia="Times New Roman"/>
        </w:rPr>
        <w:t>2</w:t>
      </w:r>
      <w:r w:rsidR="009F6FAC">
        <w:rPr>
          <w:rFonts w:eastAsia="Times New Roman"/>
        </w:rPr>
        <w:t> </w:t>
      </w:r>
      <w:r w:rsidRPr="00E70757">
        <w:rPr>
          <w:rFonts w:eastAsia="Times New Roman"/>
        </w:rPr>
        <w:t>r.</w:t>
      </w:r>
      <w:r w:rsidR="009F6FAC" w:rsidRPr="00E70757">
        <w:rPr>
          <w:rFonts w:eastAsia="Times New Roman"/>
        </w:rPr>
        <w:t xml:space="preserve"> w</w:t>
      </w:r>
      <w:r w:rsidR="009F6FAC">
        <w:rPr>
          <w:rFonts w:eastAsia="Times New Roman"/>
        </w:rPr>
        <w:t> </w:t>
      </w:r>
      <w:r w:rsidRPr="00E70757">
        <w:rPr>
          <w:rFonts w:eastAsia="Times New Roman"/>
        </w:rPr>
        <w:t>sprawie sposobu funkcjonowania krajowego systemu notyfikacji norm</w:t>
      </w:r>
      <w:r w:rsidR="009F6FAC" w:rsidRPr="00E70757">
        <w:rPr>
          <w:rFonts w:eastAsia="Times New Roman"/>
        </w:rPr>
        <w:t xml:space="preserve"> i</w:t>
      </w:r>
      <w:r w:rsidR="009F6FAC">
        <w:rPr>
          <w:rFonts w:eastAsia="Times New Roman"/>
        </w:rPr>
        <w:t> </w:t>
      </w:r>
      <w:r w:rsidRPr="00E70757">
        <w:rPr>
          <w:rFonts w:eastAsia="Times New Roman"/>
        </w:rPr>
        <w:t>aktów prawnych (</w:t>
      </w:r>
      <w:r w:rsidR="009F6FAC">
        <w:rPr>
          <w:rFonts w:eastAsia="Times New Roman"/>
        </w:rPr>
        <w:t>Dz. U. poz. </w:t>
      </w:r>
      <w:r w:rsidRPr="00E70757">
        <w:rPr>
          <w:rFonts w:eastAsia="Times New Roman"/>
        </w:rPr>
        <w:t>203</w:t>
      </w:r>
      <w:r w:rsidR="009F6FAC" w:rsidRPr="00E70757">
        <w:rPr>
          <w:rFonts w:eastAsia="Times New Roman"/>
        </w:rPr>
        <w:t>9</w:t>
      </w:r>
      <w:r w:rsidR="009F6FAC">
        <w:rPr>
          <w:rFonts w:eastAsia="Times New Roman"/>
        </w:rPr>
        <w:t xml:space="preserve"> oraz</w:t>
      </w:r>
      <w:r w:rsidR="009F6FAC" w:rsidRPr="00E70757">
        <w:rPr>
          <w:rFonts w:eastAsia="Times New Roman"/>
        </w:rPr>
        <w:t xml:space="preserve"> z</w:t>
      </w:r>
      <w:r w:rsidR="009F6FAC">
        <w:rPr>
          <w:rFonts w:eastAsia="Times New Roman"/>
        </w:rPr>
        <w:t> </w:t>
      </w:r>
      <w:r w:rsidRPr="00E70757">
        <w:rPr>
          <w:rFonts w:eastAsia="Times New Roman"/>
        </w:rPr>
        <w:t>20</w:t>
      </w:r>
      <w:r w:rsidR="00464A23">
        <w:rPr>
          <w:rFonts w:eastAsia="Times New Roman"/>
        </w:rPr>
        <w:t>0</w:t>
      </w:r>
      <w:r w:rsidR="009F6FAC" w:rsidRPr="00E70757">
        <w:rPr>
          <w:rFonts w:eastAsia="Times New Roman"/>
        </w:rPr>
        <w:t>4</w:t>
      </w:r>
      <w:r w:rsidR="009F6FAC">
        <w:rPr>
          <w:rFonts w:eastAsia="Times New Roman"/>
        </w:rPr>
        <w:t> </w:t>
      </w:r>
      <w:r w:rsidRPr="00E70757">
        <w:rPr>
          <w:rFonts w:eastAsia="Times New Roman"/>
        </w:rPr>
        <w:t>r.</w:t>
      </w:r>
      <w:r w:rsidR="009F6FAC">
        <w:rPr>
          <w:rFonts w:eastAsia="Times New Roman"/>
        </w:rPr>
        <w:t xml:space="preserve"> poz. </w:t>
      </w:r>
      <w:r w:rsidRPr="00E70757">
        <w:rPr>
          <w:rFonts w:eastAsia="Times New Roman"/>
        </w:rPr>
        <w:t>597)</w:t>
      </w:r>
      <w:r w:rsidR="009F6FAC" w:rsidRPr="00E70757">
        <w:rPr>
          <w:rFonts w:eastAsia="Times New Roman"/>
        </w:rPr>
        <w:t xml:space="preserve"> i</w:t>
      </w:r>
      <w:r w:rsidR="009F6FAC">
        <w:rPr>
          <w:rFonts w:eastAsia="Times New Roman"/>
        </w:rPr>
        <w:t> </w:t>
      </w:r>
      <w:r w:rsidRPr="00E70757">
        <w:rPr>
          <w:rFonts w:eastAsia="Times New Roman"/>
        </w:rPr>
        <w:t>nie podlega notyfikacji Komisji Europejskiej.</w:t>
      </w:r>
    </w:p>
    <w:p w14:paraId="4AB248A2" w14:textId="638DED67" w:rsidR="00E70757" w:rsidRPr="00E70757" w:rsidRDefault="00E70757" w:rsidP="009F6FAC">
      <w:pPr>
        <w:pStyle w:val="NIEARTTEKSTtekstnieartykuowanynppodstprawnarozplubpreambua"/>
        <w:rPr>
          <w:rFonts w:eastAsia="Times New Roman"/>
        </w:rPr>
      </w:pPr>
      <w:r w:rsidRPr="00E70757">
        <w:rPr>
          <w:rFonts w:eastAsia="Times New Roman"/>
        </w:rPr>
        <w:t xml:space="preserve">Projektowane rozporządzenie nie będzie wymagało notyfikacji Komisji Europejskiej </w:t>
      </w:r>
      <w:r w:rsidRPr="00E70757">
        <w:rPr>
          <w:rFonts w:eastAsia="Times New Roman"/>
        </w:rPr>
        <w:br/>
        <w:t>w trybie ustawy</w:t>
      </w:r>
      <w:r w:rsidR="009F6FAC" w:rsidRPr="00E70757">
        <w:rPr>
          <w:rFonts w:eastAsia="Times New Roman"/>
        </w:rPr>
        <w:t xml:space="preserve"> z</w:t>
      </w:r>
      <w:r w:rsidR="009F6FAC">
        <w:rPr>
          <w:rFonts w:eastAsia="Times New Roman"/>
        </w:rPr>
        <w:t> </w:t>
      </w:r>
      <w:r w:rsidRPr="00E70757">
        <w:rPr>
          <w:rFonts w:eastAsia="Times New Roman"/>
        </w:rPr>
        <w:t>dnia 3</w:t>
      </w:r>
      <w:r w:rsidR="009F6FAC" w:rsidRPr="00E70757">
        <w:rPr>
          <w:rFonts w:eastAsia="Times New Roman"/>
        </w:rPr>
        <w:t>0</w:t>
      </w:r>
      <w:r w:rsidR="009F6FAC">
        <w:rPr>
          <w:rFonts w:eastAsia="Times New Roman"/>
        </w:rPr>
        <w:t> </w:t>
      </w:r>
      <w:r w:rsidRPr="00E70757">
        <w:rPr>
          <w:rFonts w:eastAsia="Times New Roman"/>
        </w:rPr>
        <w:t>kwietnia 200</w:t>
      </w:r>
      <w:r w:rsidR="009F6FAC" w:rsidRPr="00E70757">
        <w:rPr>
          <w:rFonts w:eastAsia="Times New Roman"/>
        </w:rPr>
        <w:t>4</w:t>
      </w:r>
      <w:r w:rsidR="009F6FAC">
        <w:rPr>
          <w:rFonts w:eastAsia="Times New Roman"/>
        </w:rPr>
        <w:t> </w:t>
      </w:r>
      <w:r w:rsidRPr="00E70757">
        <w:rPr>
          <w:rFonts w:eastAsia="Times New Roman"/>
        </w:rPr>
        <w:t>r.</w:t>
      </w:r>
      <w:r w:rsidR="009F6FAC" w:rsidRPr="00E70757">
        <w:rPr>
          <w:rFonts w:eastAsia="Times New Roman"/>
        </w:rPr>
        <w:t xml:space="preserve"> o</w:t>
      </w:r>
      <w:r w:rsidR="009F6FAC">
        <w:rPr>
          <w:rFonts w:eastAsia="Times New Roman"/>
        </w:rPr>
        <w:t> </w:t>
      </w:r>
      <w:r w:rsidRPr="00E70757">
        <w:rPr>
          <w:rFonts w:eastAsia="Times New Roman"/>
        </w:rPr>
        <w:t>postępowaniu</w:t>
      </w:r>
      <w:r w:rsidR="009F6FAC" w:rsidRPr="00E70757">
        <w:rPr>
          <w:rFonts w:eastAsia="Times New Roman"/>
        </w:rPr>
        <w:t xml:space="preserve"> w</w:t>
      </w:r>
      <w:r w:rsidR="009F6FAC">
        <w:rPr>
          <w:rFonts w:eastAsia="Times New Roman"/>
        </w:rPr>
        <w:t> </w:t>
      </w:r>
      <w:r w:rsidRPr="00E70757">
        <w:rPr>
          <w:rFonts w:eastAsia="Times New Roman"/>
        </w:rPr>
        <w:t>sprawach dotyczących pomocy publicznej (</w:t>
      </w:r>
      <w:r w:rsidR="009F6FAC">
        <w:rPr>
          <w:rFonts w:eastAsia="Times New Roman"/>
        </w:rPr>
        <w:t>Dz. U.</w:t>
      </w:r>
      <w:r w:rsidR="009F6FAC" w:rsidRPr="00E70757">
        <w:rPr>
          <w:rFonts w:eastAsia="Times New Roman"/>
        </w:rPr>
        <w:t xml:space="preserve"> z</w:t>
      </w:r>
      <w:r w:rsidR="009F6FAC">
        <w:rPr>
          <w:rFonts w:eastAsia="Times New Roman"/>
        </w:rPr>
        <w:t> </w:t>
      </w:r>
      <w:r w:rsidRPr="00E70757">
        <w:rPr>
          <w:rFonts w:eastAsia="Times New Roman"/>
        </w:rPr>
        <w:t>202</w:t>
      </w:r>
      <w:r w:rsidR="009F6FAC">
        <w:rPr>
          <w:rFonts w:eastAsia="Times New Roman"/>
        </w:rPr>
        <w:t>6 </w:t>
      </w:r>
      <w:r w:rsidRPr="00E70757">
        <w:rPr>
          <w:rFonts w:eastAsia="Times New Roman"/>
        </w:rPr>
        <w:t>r.</w:t>
      </w:r>
      <w:r w:rsidR="009F6FAC">
        <w:rPr>
          <w:rFonts w:eastAsia="Times New Roman"/>
        </w:rPr>
        <w:t xml:space="preserve"> poz. </w:t>
      </w:r>
      <w:r w:rsidR="00A85815">
        <w:rPr>
          <w:rFonts w:eastAsia="Times New Roman"/>
        </w:rPr>
        <w:t>500</w:t>
      </w:r>
      <w:r w:rsidRPr="00E70757">
        <w:rPr>
          <w:rFonts w:eastAsia="Times New Roman"/>
        </w:rPr>
        <w:t>).</w:t>
      </w:r>
    </w:p>
    <w:p w14:paraId="34994AF1" w14:textId="6FC47DCD" w:rsidR="00E70757" w:rsidRPr="00E70757" w:rsidRDefault="00E70757" w:rsidP="009F6FAC">
      <w:pPr>
        <w:pStyle w:val="NIEARTTEKSTtekstnieartykuowanynppodstprawnarozplubpreambua"/>
        <w:rPr>
          <w:rFonts w:eastAsia="Times New Roman"/>
        </w:rPr>
      </w:pPr>
      <w:r w:rsidRPr="00E70757">
        <w:rPr>
          <w:rFonts w:eastAsia="Times New Roman"/>
        </w:rPr>
        <w:t>Projekt rozporządzenia został udostępniony</w:t>
      </w:r>
      <w:r w:rsidR="009F6FAC" w:rsidRPr="00E70757">
        <w:rPr>
          <w:rFonts w:eastAsia="Times New Roman"/>
        </w:rPr>
        <w:t xml:space="preserve"> w</w:t>
      </w:r>
      <w:r w:rsidR="009F6FAC">
        <w:rPr>
          <w:rFonts w:eastAsia="Times New Roman"/>
        </w:rPr>
        <w:t> </w:t>
      </w:r>
      <w:r w:rsidRPr="00E70757">
        <w:rPr>
          <w:rFonts w:eastAsia="Times New Roman"/>
        </w:rPr>
        <w:t>Biuletynie Informacji Publicznej na stronie podmiotowej Rządowego Centrum Legislacji,</w:t>
      </w:r>
      <w:r w:rsidR="009F6FAC" w:rsidRPr="00E70757">
        <w:rPr>
          <w:rFonts w:eastAsia="Times New Roman"/>
        </w:rPr>
        <w:t xml:space="preserve"> w</w:t>
      </w:r>
      <w:r w:rsidR="009F6FAC">
        <w:rPr>
          <w:rFonts w:eastAsia="Times New Roman"/>
        </w:rPr>
        <w:t> </w:t>
      </w:r>
      <w:r w:rsidRPr="00E70757">
        <w:rPr>
          <w:rFonts w:eastAsia="Times New Roman"/>
        </w:rPr>
        <w:t>serwisie Rządowy Proces Legislacyjny, zgodnie</w:t>
      </w:r>
      <w:r w:rsidR="009F6FAC" w:rsidRPr="00E70757">
        <w:rPr>
          <w:rFonts w:eastAsia="Times New Roman"/>
        </w:rPr>
        <w:t xml:space="preserve"> z</w:t>
      </w:r>
      <w:r w:rsidR="009F6FAC">
        <w:rPr>
          <w:rFonts w:eastAsia="Times New Roman"/>
        </w:rPr>
        <w:t> § </w:t>
      </w:r>
      <w:r w:rsidRPr="00E70757">
        <w:rPr>
          <w:rFonts w:eastAsia="Times New Roman"/>
        </w:rPr>
        <w:t>52 uchwały</w:t>
      </w:r>
      <w:r w:rsidR="009F6FAC">
        <w:rPr>
          <w:rFonts w:eastAsia="Times New Roman"/>
        </w:rPr>
        <w:t xml:space="preserve"> nr </w:t>
      </w:r>
      <w:r w:rsidRPr="00E70757">
        <w:rPr>
          <w:rFonts w:eastAsia="Times New Roman"/>
        </w:rPr>
        <w:t>19</w:t>
      </w:r>
      <w:r w:rsidR="009F6FAC" w:rsidRPr="00E70757">
        <w:rPr>
          <w:rFonts w:eastAsia="Times New Roman"/>
        </w:rPr>
        <w:t>0</w:t>
      </w:r>
      <w:r w:rsidR="009F6FAC">
        <w:rPr>
          <w:rFonts w:eastAsia="Times New Roman"/>
        </w:rPr>
        <w:t> </w:t>
      </w:r>
      <w:r w:rsidRPr="00E70757">
        <w:rPr>
          <w:rFonts w:eastAsia="Times New Roman"/>
        </w:rPr>
        <w:t>Rady Ministrów</w:t>
      </w:r>
      <w:r w:rsidR="009F6FAC" w:rsidRPr="00E70757">
        <w:rPr>
          <w:rFonts w:eastAsia="Times New Roman"/>
        </w:rPr>
        <w:t xml:space="preserve"> z</w:t>
      </w:r>
      <w:r w:rsidR="009F6FAC">
        <w:rPr>
          <w:rFonts w:eastAsia="Times New Roman"/>
        </w:rPr>
        <w:t> </w:t>
      </w:r>
      <w:r w:rsidRPr="00E70757">
        <w:rPr>
          <w:rFonts w:eastAsia="Times New Roman"/>
        </w:rPr>
        <w:t>dnia 2</w:t>
      </w:r>
      <w:r w:rsidR="009F6FAC" w:rsidRPr="00E70757">
        <w:rPr>
          <w:rFonts w:eastAsia="Times New Roman"/>
        </w:rPr>
        <w:t>9</w:t>
      </w:r>
      <w:r w:rsidR="009F6FAC">
        <w:rPr>
          <w:rFonts w:eastAsia="Times New Roman"/>
        </w:rPr>
        <w:t> </w:t>
      </w:r>
      <w:r w:rsidRPr="00E70757">
        <w:rPr>
          <w:rFonts w:eastAsia="Times New Roman"/>
        </w:rPr>
        <w:t>października 201</w:t>
      </w:r>
      <w:r w:rsidR="009F6FAC" w:rsidRPr="00E70757">
        <w:rPr>
          <w:rFonts w:eastAsia="Times New Roman"/>
        </w:rPr>
        <w:t>3</w:t>
      </w:r>
      <w:r w:rsidR="009F6FAC">
        <w:rPr>
          <w:rFonts w:eastAsia="Times New Roman"/>
        </w:rPr>
        <w:t> </w:t>
      </w:r>
      <w:r w:rsidRPr="00E70757">
        <w:rPr>
          <w:rFonts w:eastAsia="Times New Roman"/>
        </w:rPr>
        <w:t>r. – Regulamin pracy Rady Ministrów (M.P. z </w:t>
      </w:r>
      <w:r w:rsidR="00A85815">
        <w:rPr>
          <w:rFonts w:eastAsia="Times New Roman"/>
        </w:rPr>
        <w:t>202</w:t>
      </w:r>
      <w:r w:rsidR="009F6FAC">
        <w:rPr>
          <w:rFonts w:eastAsia="Times New Roman"/>
        </w:rPr>
        <w:t>6 </w:t>
      </w:r>
      <w:r w:rsidR="00A85815">
        <w:rPr>
          <w:rFonts w:eastAsia="Times New Roman"/>
        </w:rPr>
        <w:t>r.</w:t>
      </w:r>
      <w:r w:rsidR="009F6FAC">
        <w:rPr>
          <w:rFonts w:eastAsia="Times New Roman"/>
        </w:rPr>
        <w:t xml:space="preserve"> poz. </w:t>
      </w:r>
      <w:r w:rsidR="00464A23">
        <w:rPr>
          <w:rFonts w:eastAsia="Times New Roman"/>
        </w:rPr>
        <w:t>404</w:t>
      </w:r>
      <w:r w:rsidRPr="00E70757">
        <w:rPr>
          <w:rFonts w:eastAsia="Times New Roman"/>
        </w:rPr>
        <w:t>), oraz w Biuletynie Informacji Publicznej na stronie podmiotowej Ministra Cyfryzacji, stosownie do wymogów</w:t>
      </w:r>
      <w:r w:rsidR="009F6FAC">
        <w:rPr>
          <w:rFonts w:eastAsia="Times New Roman"/>
        </w:rPr>
        <w:t xml:space="preserve"> art. </w:t>
      </w:r>
      <w:r w:rsidR="009F6FAC" w:rsidRPr="00E70757">
        <w:rPr>
          <w:rFonts w:eastAsia="Times New Roman"/>
        </w:rPr>
        <w:t>5</w:t>
      </w:r>
      <w:r w:rsidR="009F6FAC">
        <w:rPr>
          <w:rFonts w:eastAsia="Times New Roman"/>
        </w:rPr>
        <w:t> </w:t>
      </w:r>
      <w:r w:rsidRPr="00E70757">
        <w:rPr>
          <w:rFonts w:eastAsia="Times New Roman"/>
        </w:rPr>
        <w:t>ustawy</w:t>
      </w:r>
      <w:r w:rsidR="009F6FAC" w:rsidRPr="00E70757">
        <w:rPr>
          <w:rFonts w:eastAsia="Times New Roman"/>
        </w:rPr>
        <w:t xml:space="preserve"> z</w:t>
      </w:r>
      <w:r w:rsidR="009F6FAC">
        <w:rPr>
          <w:rFonts w:eastAsia="Times New Roman"/>
        </w:rPr>
        <w:t> </w:t>
      </w:r>
      <w:r w:rsidRPr="00E70757">
        <w:rPr>
          <w:rFonts w:eastAsia="Times New Roman"/>
        </w:rPr>
        <w:t xml:space="preserve">dnia </w:t>
      </w:r>
      <w:r w:rsidR="009F6FAC" w:rsidRPr="00E70757">
        <w:rPr>
          <w:rFonts w:eastAsia="Times New Roman"/>
        </w:rPr>
        <w:t>7</w:t>
      </w:r>
      <w:r w:rsidR="009F6FAC">
        <w:rPr>
          <w:rFonts w:eastAsia="Times New Roman"/>
        </w:rPr>
        <w:t> </w:t>
      </w:r>
      <w:r w:rsidRPr="00E70757">
        <w:rPr>
          <w:rFonts w:eastAsia="Times New Roman"/>
        </w:rPr>
        <w:t>lipca 2005 r. o działalności lobbingowej</w:t>
      </w:r>
      <w:r w:rsidR="009F6FAC" w:rsidRPr="00E70757">
        <w:rPr>
          <w:rFonts w:eastAsia="Times New Roman"/>
        </w:rPr>
        <w:t xml:space="preserve"> w</w:t>
      </w:r>
      <w:r w:rsidR="009F6FAC">
        <w:rPr>
          <w:rFonts w:eastAsia="Times New Roman"/>
        </w:rPr>
        <w:t> </w:t>
      </w:r>
      <w:r w:rsidRPr="00E70757">
        <w:rPr>
          <w:rFonts w:eastAsia="Times New Roman"/>
        </w:rPr>
        <w:t>procesie stanowienia prawa (</w:t>
      </w:r>
      <w:r w:rsidR="009F6FAC">
        <w:rPr>
          <w:rFonts w:eastAsia="Times New Roman"/>
        </w:rPr>
        <w:t>Dz. U.</w:t>
      </w:r>
      <w:r w:rsidRPr="00E70757">
        <w:rPr>
          <w:rFonts w:eastAsia="Times New Roman"/>
        </w:rPr>
        <w:t xml:space="preserve"> z 2025 r.</w:t>
      </w:r>
      <w:r w:rsidR="009F6FAC">
        <w:rPr>
          <w:rFonts w:eastAsia="Times New Roman"/>
        </w:rPr>
        <w:t xml:space="preserve"> poz. </w:t>
      </w:r>
      <w:r w:rsidRPr="00E70757">
        <w:rPr>
          <w:rFonts w:eastAsia="Times New Roman"/>
        </w:rPr>
        <w:t>67</w:t>
      </w:r>
      <w:r w:rsidR="009F6FAC" w:rsidRPr="00E70757">
        <w:rPr>
          <w:rFonts w:eastAsia="Times New Roman"/>
        </w:rPr>
        <w:t>7</w:t>
      </w:r>
      <w:r w:rsidR="009F6FAC">
        <w:rPr>
          <w:rFonts w:eastAsia="Times New Roman"/>
        </w:rPr>
        <w:t xml:space="preserve"> oraz z </w:t>
      </w:r>
      <w:r w:rsidR="007D6EBD">
        <w:rPr>
          <w:rFonts w:eastAsia="Times New Roman"/>
        </w:rPr>
        <w:t>202</w:t>
      </w:r>
      <w:r w:rsidR="009F6FAC">
        <w:rPr>
          <w:rFonts w:eastAsia="Times New Roman"/>
        </w:rPr>
        <w:t>6 </w:t>
      </w:r>
      <w:r w:rsidR="007D6EBD">
        <w:rPr>
          <w:rFonts w:eastAsia="Times New Roman"/>
        </w:rPr>
        <w:t>r.</w:t>
      </w:r>
      <w:r w:rsidR="009F6FAC">
        <w:rPr>
          <w:rFonts w:eastAsia="Times New Roman"/>
        </w:rPr>
        <w:t xml:space="preserve"> poz. </w:t>
      </w:r>
      <w:r w:rsidR="007D6EBD">
        <w:rPr>
          <w:rFonts w:eastAsia="Times New Roman"/>
        </w:rPr>
        <w:t>1</w:t>
      </w:r>
      <w:r w:rsidR="00F45FAD">
        <w:rPr>
          <w:rFonts w:eastAsia="Times New Roman"/>
        </w:rPr>
        <w:t>6</w:t>
      </w:r>
      <w:r w:rsidR="007D6EBD">
        <w:rPr>
          <w:rFonts w:eastAsia="Times New Roman"/>
        </w:rPr>
        <w:t>0</w:t>
      </w:r>
      <w:r w:rsidRPr="00E70757">
        <w:rPr>
          <w:rFonts w:eastAsia="Times New Roman"/>
        </w:rPr>
        <w:t>).</w:t>
      </w:r>
    </w:p>
    <w:p w14:paraId="77DCBC17" w14:textId="0E5335E3" w:rsidR="00E70757" w:rsidRPr="00E70757" w:rsidRDefault="00E70757" w:rsidP="009F6FAC">
      <w:pPr>
        <w:pStyle w:val="NIEARTTEKSTtekstnieartykuowanynppodstprawnarozplubpreambua"/>
        <w:rPr>
          <w:rFonts w:eastAsia="Times New Roman"/>
        </w:rPr>
      </w:pPr>
      <w:r w:rsidRPr="00E70757">
        <w:rPr>
          <w:rFonts w:eastAsia="Times New Roman"/>
        </w:rPr>
        <w:t>Projekt rozporządzenia nie wymaga przedłożenia instytucjom</w:t>
      </w:r>
      <w:r w:rsidR="009F6FAC" w:rsidRPr="00E70757">
        <w:rPr>
          <w:rFonts w:eastAsia="Times New Roman"/>
        </w:rPr>
        <w:t xml:space="preserve"> i</w:t>
      </w:r>
      <w:r w:rsidR="009F6FAC">
        <w:rPr>
          <w:rFonts w:eastAsia="Times New Roman"/>
        </w:rPr>
        <w:t> </w:t>
      </w:r>
      <w:r w:rsidRPr="00E70757">
        <w:rPr>
          <w:rFonts w:eastAsia="Times New Roman"/>
        </w:rPr>
        <w:t>organom Unii Europejskiej, w tym Europejskiemu Bankowi Centralnemu,</w:t>
      </w:r>
      <w:r w:rsidR="009F6FAC" w:rsidRPr="00E70757">
        <w:rPr>
          <w:rFonts w:eastAsia="Times New Roman"/>
        </w:rPr>
        <w:t xml:space="preserve"> w</w:t>
      </w:r>
      <w:r w:rsidR="009F6FAC">
        <w:rPr>
          <w:rFonts w:eastAsia="Times New Roman"/>
        </w:rPr>
        <w:t> </w:t>
      </w:r>
      <w:r w:rsidRPr="00E70757">
        <w:rPr>
          <w:rFonts w:eastAsia="Times New Roman"/>
        </w:rPr>
        <w:t>celu uzyskania opinii, dokonania powiadomienia, konsultacji albo uzgodnienia.</w:t>
      </w:r>
    </w:p>
    <w:p w14:paraId="209FCA56" w14:textId="6A28B590" w:rsidR="00386169" w:rsidRDefault="00E70757" w:rsidP="009F6FAC">
      <w:pPr>
        <w:pStyle w:val="NIEARTTEKSTtekstnieartykuowanynppodstprawnarozplubpreambua"/>
      </w:pPr>
      <w:r w:rsidRPr="00E70757">
        <w:rPr>
          <w:rFonts w:eastAsia="Times New Roman"/>
        </w:rPr>
        <w:t>Jednocześnie należy wskazać, że nie ma możliwości podjęcia alternatywnych w stosunku do projektowanego rozporządzenia środków umożliwiających osiągnięcie zamierzonego celu.</w:t>
      </w:r>
    </w:p>
    <w:sectPr w:rsidR="0038616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3F07D"/>
    <w:multiLevelType w:val="hybridMultilevel"/>
    <w:tmpl w:val="0039E526"/>
    <w:lvl w:ilvl="0" w:tplc="FFFFFFFF">
      <w:start w:val="1"/>
      <w:numFmt w:val="decimal"/>
      <w:lvlText w:val="%1)"/>
      <w:lvlJc w:val="left"/>
      <w:pPr>
        <w:ind w:left="720" w:hanging="360"/>
      </w:pPr>
      <w:rPr>
        <w:rFonts w:ascii="Times New Roman" w:eastAsia="Times New Roman" w:hAnsi="Times New Roman" w:cs="Times New Roman"/>
      </w:rPr>
    </w:lvl>
    <w:lvl w:ilvl="1" w:tplc="FFFFFFFF">
      <w:start w:val="1"/>
      <w:numFmt w:val="lowerLetter"/>
      <w:lvlText w:val="%2."/>
      <w:lvlJc w:val="left"/>
      <w:pPr>
        <w:ind w:left="1440" w:hanging="360"/>
      </w:pPr>
      <w:rPr>
        <w:rFonts w:ascii="Times New Roman" w:eastAsia="Times New Roman" w:hAnsi="Times New Roman" w:cs="Times New Roman"/>
      </w:rPr>
    </w:lvl>
    <w:lvl w:ilvl="2" w:tplc="FFFFFFFF">
      <w:start w:val="1"/>
      <w:numFmt w:val="lowerRoman"/>
      <w:lvlText w:val="%3."/>
      <w:lvlJc w:val="right"/>
      <w:pPr>
        <w:ind w:left="2160" w:hanging="180"/>
      </w:pPr>
      <w:rPr>
        <w:rFonts w:ascii="Times New Roman" w:eastAsia="Times New Roman" w:hAnsi="Times New Roman" w:cs="Times New Roman"/>
      </w:rPr>
    </w:lvl>
    <w:lvl w:ilvl="3" w:tplc="FFFFFFFF">
      <w:start w:val="1"/>
      <w:numFmt w:val="decimal"/>
      <w:lvlText w:val="%4."/>
      <w:lvlJc w:val="left"/>
      <w:pPr>
        <w:ind w:left="2880" w:hanging="360"/>
      </w:pPr>
      <w:rPr>
        <w:rFonts w:ascii="Times New Roman" w:eastAsia="Times New Roman" w:hAnsi="Times New Roman" w:cs="Times New Roman"/>
      </w:rPr>
    </w:lvl>
    <w:lvl w:ilvl="4" w:tplc="FFFFFFFF">
      <w:start w:val="1"/>
      <w:numFmt w:val="lowerLetter"/>
      <w:lvlText w:val="%5."/>
      <w:lvlJc w:val="left"/>
      <w:pPr>
        <w:ind w:left="3600" w:hanging="360"/>
      </w:pPr>
      <w:rPr>
        <w:rFonts w:ascii="Times New Roman" w:eastAsia="Times New Roman" w:hAnsi="Times New Roman" w:cs="Times New Roman"/>
      </w:rPr>
    </w:lvl>
    <w:lvl w:ilvl="5" w:tplc="FFFFFFFF">
      <w:start w:val="1"/>
      <w:numFmt w:val="lowerRoman"/>
      <w:lvlText w:val="%6."/>
      <w:lvlJc w:val="right"/>
      <w:pPr>
        <w:ind w:left="4320" w:hanging="180"/>
      </w:pPr>
      <w:rPr>
        <w:rFonts w:ascii="Times New Roman" w:eastAsia="Times New Roman" w:hAnsi="Times New Roman" w:cs="Times New Roman"/>
      </w:rPr>
    </w:lvl>
    <w:lvl w:ilvl="6" w:tplc="FFFFFFFF">
      <w:start w:val="1"/>
      <w:numFmt w:val="decimal"/>
      <w:lvlText w:val="%7."/>
      <w:lvlJc w:val="left"/>
      <w:pPr>
        <w:ind w:left="5040" w:hanging="360"/>
      </w:pPr>
      <w:rPr>
        <w:rFonts w:ascii="Times New Roman" w:eastAsia="Times New Roman" w:hAnsi="Times New Roman" w:cs="Times New Roman"/>
      </w:rPr>
    </w:lvl>
    <w:lvl w:ilvl="7" w:tplc="FFFFFFFF">
      <w:start w:val="1"/>
      <w:numFmt w:val="lowerLetter"/>
      <w:lvlText w:val="%8."/>
      <w:lvlJc w:val="left"/>
      <w:pPr>
        <w:ind w:left="5760" w:hanging="360"/>
      </w:pPr>
      <w:rPr>
        <w:rFonts w:ascii="Times New Roman" w:eastAsia="Times New Roman" w:hAnsi="Times New Roman" w:cs="Times New Roman"/>
      </w:rPr>
    </w:lvl>
    <w:lvl w:ilvl="8" w:tplc="FFFFFFFF">
      <w:start w:val="1"/>
      <w:numFmt w:val="lowerRoman"/>
      <w:lvlText w:val="%9."/>
      <w:lvlJc w:val="right"/>
      <w:pPr>
        <w:ind w:left="6480" w:hanging="180"/>
      </w:pPr>
      <w:rPr>
        <w:rFonts w:ascii="Times New Roman" w:eastAsia="Times New Roman" w:hAnsi="Times New Roman" w:cs="Times New Roman"/>
      </w:rPr>
    </w:lvl>
  </w:abstractNum>
  <w:abstractNum w:abstractNumId="1" w15:restartNumberingAfterBreak="0">
    <w:nsid w:val="0003F08C"/>
    <w:multiLevelType w:val="hybridMultilevel"/>
    <w:tmpl w:val="0039E535"/>
    <w:lvl w:ilvl="0" w:tplc="FFFFFFFF">
      <w:start w:val="1"/>
      <w:numFmt w:val="lowerLetter"/>
      <w:lvlText w:val="%1)"/>
      <w:lvlJc w:val="left"/>
      <w:pPr>
        <w:ind w:left="1080" w:hanging="360"/>
      </w:pPr>
      <w:rPr>
        <w:rFonts w:ascii="Times New Roman" w:eastAsia="Times New Roman" w:hAnsi="Times New Roman" w:cs="Times New Roman"/>
      </w:rPr>
    </w:lvl>
    <w:lvl w:ilvl="1" w:tplc="FFFFFFFF">
      <w:start w:val="1"/>
      <w:numFmt w:val="lowerLetter"/>
      <w:lvlText w:val="%2."/>
      <w:lvlJc w:val="left"/>
      <w:pPr>
        <w:ind w:left="1800" w:hanging="360"/>
      </w:pPr>
      <w:rPr>
        <w:rFonts w:ascii="Times New Roman" w:eastAsia="Times New Roman" w:hAnsi="Times New Roman" w:cs="Times New Roman"/>
      </w:rPr>
    </w:lvl>
    <w:lvl w:ilvl="2" w:tplc="FFFFFFFF">
      <w:start w:val="1"/>
      <w:numFmt w:val="lowerRoman"/>
      <w:lvlText w:val="%3."/>
      <w:lvlJc w:val="right"/>
      <w:pPr>
        <w:ind w:left="2520" w:hanging="180"/>
      </w:pPr>
      <w:rPr>
        <w:rFonts w:ascii="Times New Roman" w:eastAsia="Times New Roman" w:hAnsi="Times New Roman" w:cs="Times New Roman"/>
      </w:rPr>
    </w:lvl>
    <w:lvl w:ilvl="3" w:tplc="FFFFFFFF">
      <w:start w:val="1"/>
      <w:numFmt w:val="decimal"/>
      <w:lvlText w:val="%4."/>
      <w:lvlJc w:val="left"/>
      <w:pPr>
        <w:ind w:left="3240" w:hanging="360"/>
      </w:pPr>
      <w:rPr>
        <w:rFonts w:ascii="Times New Roman" w:eastAsia="Times New Roman" w:hAnsi="Times New Roman" w:cs="Times New Roman"/>
      </w:rPr>
    </w:lvl>
    <w:lvl w:ilvl="4" w:tplc="FFFFFFFF">
      <w:start w:val="1"/>
      <w:numFmt w:val="lowerLetter"/>
      <w:lvlText w:val="%5."/>
      <w:lvlJc w:val="left"/>
      <w:pPr>
        <w:ind w:left="3960" w:hanging="360"/>
      </w:pPr>
      <w:rPr>
        <w:rFonts w:ascii="Times New Roman" w:eastAsia="Times New Roman" w:hAnsi="Times New Roman" w:cs="Times New Roman"/>
      </w:rPr>
    </w:lvl>
    <w:lvl w:ilvl="5" w:tplc="FFFFFFFF">
      <w:start w:val="1"/>
      <w:numFmt w:val="lowerRoman"/>
      <w:lvlText w:val="%6."/>
      <w:lvlJc w:val="right"/>
      <w:pPr>
        <w:ind w:left="4680" w:hanging="180"/>
      </w:pPr>
      <w:rPr>
        <w:rFonts w:ascii="Times New Roman" w:eastAsia="Times New Roman" w:hAnsi="Times New Roman" w:cs="Times New Roman"/>
      </w:rPr>
    </w:lvl>
    <w:lvl w:ilvl="6" w:tplc="FFFFFFFF">
      <w:start w:val="1"/>
      <w:numFmt w:val="decimal"/>
      <w:lvlText w:val="%7."/>
      <w:lvlJc w:val="left"/>
      <w:pPr>
        <w:ind w:left="5400" w:hanging="360"/>
      </w:pPr>
      <w:rPr>
        <w:rFonts w:ascii="Times New Roman" w:eastAsia="Times New Roman" w:hAnsi="Times New Roman" w:cs="Times New Roman"/>
      </w:rPr>
    </w:lvl>
    <w:lvl w:ilvl="7" w:tplc="FFFFFFFF">
      <w:start w:val="1"/>
      <w:numFmt w:val="lowerLetter"/>
      <w:lvlText w:val="%8."/>
      <w:lvlJc w:val="left"/>
      <w:pPr>
        <w:ind w:left="6120" w:hanging="360"/>
      </w:pPr>
      <w:rPr>
        <w:rFonts w:ascii="Times New Roman" w:eastAsia="Times New Roman" w:hAnsi="Times New Roman" w:cs="Times New Roman"/>
      </w:rPr>
    </w:lvl>
    <w:lvl w:ilvl="8" w:tplc="FFFFFFFF">
      <w:start w:val="1"/>
      <w:numFmt w:val="lowerRoman"/>
      <w:lvlText w:val="%9."/>
      <w:lvlJc w:val="right"/>
      <w:pPr>
        <w:ind w:left="6840" w:hanging="180"/>
      </w:pPr>
      <w:rPr>
        <w:rFonts w:ascii="Times New Roman" w:eastAsia="Times New Roman" w:hAnsi="Times New Roman" w:cs="Times New Roman"/>
      </w:rPr>
    </w:lvl>
  </w:abstractNum>
  <w:abstractNum w:abstractNumId="2" w15:restartNumberingAfterBreak="0">
    <w:nsid w:val="07DB111D"/>
    <w:multiLevelType w:val="hybridMultilevel"/>
    <w:tmpl w:val="611E5B2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CFD432C"/>
    <w:multiLevelType w:val="hybridMultilevel"/>
    <w:tmpl w:val="5E30EBEC"/>
    <w:lvl w:ilvl="0" w:tplc="04150017">
      <w:start w:val="1"/>
      <w:numFmt w:val="lowerLetter"/>
      <w:lvlText w:val="%1)"/>
      <w:lvlJc w:val="left"/>
      <w:pPr>
        <w:ind w:left="1484" w:hanging="360"/>
      </w:pPr>
    </w:lvl>
    <w:lvl w:ilvl="1" w:tplc="04150019" w:tentative="1">
      <w:start w:val="1"/>
      <w:numFmt w:val="lowerLetter"/>
      <w:lvlText w:val="%2."/>
      <w:lvlJc w:val="left"/>
      <w:pPr>
        <w:ind w:left="2204" w:hanging="360"/>
      </w:pPr>
    </w:lvl>
    <w:lvl w:ilvl="2" w:tplc="0415001B" w:tentative="1">
      <w:start w:val="1"/>
      <w:numFmt w:val="lowerRoman"/>
      <w:lvlText w:val="%3."/>
      <w:lvlJc w:val="right"/>
      <w:pPr>
        <w:ind w:left="2924" w:hanging="180"/>
      </w:pPr>
    </w:lvl>
    <w:lvl w:ilvl="3" w:tplc="0415000F" w:tentative="1">
      <w:start w:val="1"/>
      <w:numFmt w:val="decimal"/>
      <w:lvlText w:val="%4."/>
      <w:lvlJc w:val="left"/>
      <w:pPr>
        <w:ind w:left="3644" w:hanging="360"/>
      </w:pPr>
    </w:lvl>
    <w:lvl w:ilvl="4" w:tplc="04150019" w:tentative="1">
      <w:start w:val="1"/>
      <w:numFmt w:val="lowerLetter"/>
      <w:lvlText w:val="%5."/>
      <w:lvlJc w:val="left"/>
      <w:pPr>
        <w:ind w:left="4364" w:hanging="360"/>
      </w:pPr>
    </w:lvl>
    <w:lvl w:ilvl="5" w:tplc="0415001B" w:tentative="1">
      <w:start w:val="1"/>
      <w:numFmt w:val="lowerRoman"/>
      <w:lvlText w:val="%6."/>
      <w:lvlJc w:val="right"/>
      <w:pPr>
        <w:ind w:left="5084" w:hanging="180"/>
      </w:pPr>
    </w:lvl>
    <w:lvl w:ilvl="6" w:tplc="0415000F" w:tentative="1">
      <w:start w:val="1"/>
      <w:numFmt w:val="decimal"/>
      <w:lvlText w:val="%7."/>
      <w:lvlJc w:val="left"/>
      <w:pPr>
        <w:ind w:left="5804" w:hanging="360"/>
      </w:pPr>
    </w:lvl>
    <w:lvl w:ilvl="7" w:tplc="04150019" w:tentative="1">
      <w:start w:val="1"/>
      <w:numFmt w:val="lowerLetter"/>
      <w:lvlText w:val="%8."/>
      <w:lvlJc w:val="left"/>
      <w:pPr>
        <w:ind w:left="6524" w:hanging="360"/>
      </w:pPr>
    </w:lvl>
    <w:lvl w:ilvl="8" w:tplc="0415001B" w:tentative="1">
      <w:start w:val="1"/>
      <w:numFmt w:val="lowerRoman"/>
      <w:lvlText w:val="%9."/>
      <w:lvlJc w:val="right"/>
      <w:pPr>
        <w:ind w:left="7244" w:hanging="180"/>
      </w:pPr>
    </w:lvl>
  </w:abstractNum>
  <w:abstractNum w:abstractNumId="4" w15:restartNumberingAfterBreak="0">
    <w:nsid w:val="30CD5E0C"/>
    <w:multiLevelType w:val="hybridMultilevel"/>
    <w:tmpl w:val="8D64E09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696359B2"/>
    <w:multiLevelType w:val="hybridMultilevel"/>
    <w:tmpl w:val="A1EA1DAE"/>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num w:numId="1" w16cid:durableId="86116798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6120027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62468574">
    <w:abstractNumId w:val="3"/>
  </w:num>
  <w:num w:numId="4" w16cid:durableId="2011131584">
    <w:abstractNumId w:val="2"/>
  </w:num>
  <w:num w:numId="5" w16cid:durableId="809174205">
    <w:abstractNumId w:val="5"/>
  </w:num>
  <w:num w:numId="6" w16cid:durableId="85893560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4321"/>
    <w:rsid w:val="000055F9"/>
    <w:rsid w:val="000358EC"/>
    <w:rsid w:val="00091FAE"/>
    <w:rsid w:val="00097C83"/>
    <w:rsid w:val="000C41D9"/>
    <w:rsid w:val="000E79A9"/>
    <w:rsid w:val="00105D28"/>
    <w:rsid w:val="001B0B8D"/>
    <w:rsid w:val="001B2AB4"/>
    <w:rsid w:val="001B6570"/>
    <w:rsid w:val="002229C1"/>
    <w:rsid w:val="002465DA"/>
    <w:rsid w:val="00267831"/>
    <w:rsid w:val="00272ABB"/>
    <w:rsid w:val="00291340"/>
    <w:rsid w:val="00301F2B"/>
    <w:rsid w:val="00361B3A"/>
    <w:rsid w:val="00386169"/>
    <w:rsid w:val="00394E50"/>
    <w:rsid w:val="00464A23"/>
    <w:rsid w:val="00494321"/>
    <w:rsid w:val="004C27EB"/>
    <w:rsid w:val="00504676"/>
    <w:rsid w:val="005077B9"/>
    <w:rsid w:val="00521348"/>
    <w:rsid w:val="00530E0E"/>
    <w:rsid w:val="00550BA9"/>
    <w:rsid w:val="00567630"/>
    <w:rsid w:val="00594C85"/>
    <w:rsid w:val="005F24A1"/>
    <w:rsid w:val="005F5DF7"/>
    <w:rsid w:val="00655B1D"/>
    <w:rsid w:val="00672918"/>
    <w:rsid w:val="006B50BA"/>
    <w:rsid w:val="0078204C"/>
    <w:rsid w:val="007A277F"/>
    <w:rsid w:val="007C484C"/>
    <w:rsid w:val="007D6EBD"/>
    <w:rsid w:val="00867766"/>
    <w:rsid w:val="008B4D2F"/>
    <w:rsid w:val="008F0D43"/>
    <w:rsid w:val="00913595"/>
    <w:rsid w:val="009E726B"/>
    <w:rsid w:val="009F6FAC"/>
    <w:rsid w:val="00A460A0"/>
    <w:rsid w:val="00A85815"/>
    <w:rsid w:val="00B54B54"/>
    <w:rsid w:val="00B6780C"/>
    <w:rsid w:val="00BA5A5F"/>
    <w:rsid w:val="00BD631B"/>
    <w:rsid w:val="00C42EED"/>
    <w:rsid w:val="00C914D6"/>
    <w:rsid w:val="00CD1D3E"/>
    <w:rsid w:val="00D46615"/>
    <w:rsid w:val="00D67449"/>
    <w:rsid w:val="00D95E7B"/>
    <w:rsid w:val="00E70757"/>
    <w:rsid w:val="00F30E03"/>
    <w:rsid w:val="00F45FAD"/>
    <w:rsid w:val="00F54203"/>
    <w:rsid w:val="00F5791C"/>
    <w:rsid w:val="00FF0BD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4E276E"/>
  <w15:chartTrackingRefBased/>
  <w15:docId w15:val="{B912BF22-92C7-43EB-9201-317B6E8312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F6FAC"/>
    <w:pPr>
      <w:widowControl w:val="0"/>
      <w:autoSpaceDE w:val="0"/>
      <w:autoSpaceDN w:val="0"/>
      <w:adjustRightInd w:val="0"/>
      <w:spacing w:after="0" w:line="360" w:lineRule="auto"/>
    </w:pPr>
    <w:rPr>
      <w:rFonts w:ascii="Times New Roman" w:eastAsiaTheme="minorEastAsia" w:hAnsi="Times New Roman" w:cs="Arial"/>
      <w:kern w:val="0"/>
      <w:sz w:val="24"/>
      <w:szCs w:val="20"/>
      <w:lang w:eastAsia="pl-PL"/>
      <w14:ligatures w14:val="none"/>
    </w:rPr>
  </w:style>
  <w:style w:type="paragraph" w:styleId="Nagwek1">
    <w:name w:val="heading 1"/>
    <w:basedOn w:val="Normalny"/>
    <w:next w:val="Normalny"/>
    <w:link w:val="Nagwek1Znak"/>
    <w:uiPriority w:val="9"/>
    <w:qFormat/>
    <w:rsid w:val="0049432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49432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494321"/>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494321"/>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494321"/>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494321"/>
    <w:pPr>
      <w:keepNext/>
      <w:keepLines/>
      <w:spacing w:before="4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494321"/>
    <w:pPr>
      <w:keepNext/>
      <w:keepLines/>
      <w:spacing w:before="4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494321"/>
    <w:pPr>
      <w:keepNext/>
      <w:keepLines/>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494321"/>
    <w:pPr>
      <w:keepNext/>
      <w:keepLines/>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494321"/>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494321"/>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494321"/>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494321"/>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494321"/>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494321"/>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494321"/>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494321"/>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494321"/>
    <w:rPr>
      <w:rFonts w:eastAsiaTheme="majorEastAsia" w:cstheme="majorBidi"/>
      <w:color w:val="272727" w:themeColor="text1" w:themeTint="D8"/>
    </w:rPr>
  </w:style>
  <w:style w:type="paragraph" w:styleId="Tytu">
    <w:name w:val="Title"/>
    <w:basedOn w:val="Normalny"/>
    <w:next w:val="Normalny"/>
    <w:link w:val="TytuZnak"/>
    <w:uiPriority w:val="10"/>
    <w:qFormat/>
    <w:rsid w:val="0049432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494321"/>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494321"/>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494321"/>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494321"/>
    <w:pPr>
      <w:spacing w:before="160"/>
      <w:jc w:val="center"/>
    </w:pPr>
    <w:rPr>
      <w:i/>
      <w:iCs/>
      <w:color w:val="404040" w:themeColor="text1" w:themeTint="BF"/>
    </w:rPr>
  </w:style>
  <w:style w:type="character" w:customStyle="1" w:styleId="CytatZnak">
    <w:name w:val="Cytat Znak"/>
    <w:basedOn w:val="Domylnaczcionkaakapitu"/>
    <w:link w:val="Cytat"/>
    <w:uiPriority w:val="29"/>
    <w:rsid w:val="00494321"/>
    <w:rPr>
      <w:i/>
      <w:iCs/>
      <w:color w:val="404040" w:themeColor="text1" w:themeTint="BF"/>
    </w:rPr>
  </w:style>
  <w:style w:type="paragraph" w:styleId="Akapitzlist">
    <w:name w:val="List Paragraph"/>
    <w:basedOn w:val="Normalny"/>
    <w:uiPriority w:val="34"/>
    <w:qFormat/>
    <w:rsid w:val="00494321"/>
    <w:pPr>
      <w:ind w:left="720"/>
      <w:contextualSpacing/>
    </w:pPr>
  </w:style>
  <w:style w:type="character" w:styleId="Wyrnienieintensywne">
    <w:name w:val="Intense Emphasis"/>
    <w:basedOn w:val="Domylnaczcionkaakapitu"/>
    <w:uiPriority w:val="21"/>
    <w:qFormat/>
    <w:rsid w:val="00494321"/>
    <w:rPr>
      <w:i/>
      <w:iCs/>
      <w:color w:val="0F4761" w:themeColor="accent1" w:themeShade="BF"/>
    </w:rPr>
  </w:style>
  <w:style w:type="paragraph" w:styleId="Cytatintensywny">
    <w:name w:val="Intense Quote"/>
    <w:basedOn w:val="Normalny"/>
    <w:next w:val="Normalny"/>
    <w:link w:val="CytatintensywnyZnak"/>
    <w:uiPriority w:val="30"/>
    <w:qFormat/>
    <w:rsid w:val="0049432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494321"/>
    <w:rPr>
      <w:i/>
      <w:iCs/>
      <w:color w:val="0F4761" w:themeColor="accent1" w:themeShade="BF"/>
    </w:rPr>
  </w:style>
  <w:style w:type="character" w:styleId="Odwoanieintensywne">
    <w:name w:val="Intense Reference"/>
    <w:basedOn w:val="Domylnaczcionkaakapitu"/>
    <w:uiPriority w:val="32"/>
    <w:qFormat/>
    <w:rsid w:val="00494321"/>
    <w:rPr>
      <w:b/>
      <w:bCs/>
      <w:smallCaps/>
      <w:color w:val="0F4761" w:themeColor="accent1" w:themeShade="BF"/>
      <w:spacing w:val="5"/>
    </w:rPr>
  </w:style>
  <w:style w:type="paragraph" w:customStyle="1" w:styleId="ARTartustawynprozporzdzenia">
    <w:name w:val="ART(§) – art. ustawy (§ np. rozporządzenia)"/>
    <w:uiPriority w:val="11"/>
    <w:qFormat/>
    <w:rsid w:val="00D46615"/>
    <w:pPr>
      <w:suppressAutoHyphens/>
      <w:autoSpaceDE w:val="0"/>
      <w:autoSpaceDN w:val="0"/>
      <w:adjustRightInd w:val="0"/>
      <w:spacing w:before="120" w:after="0" w:line="360" w:lineRule="auto"/>
      <w:ind w:firstLine="510"/>
      <w:jc w:val="both"/>
    </w:pPr>
    <w:rPr>
      <w:rFonts w:ascii="Times" w:eastAsiaTheme="minorEastAsia" w:hAnsi="Times" w:cs="Arial"/>
      <w:kern w:val="0"/>
      <w:sz w:val="24"/>
      <w:szCs w:val="20"/>
      <w:lang w:eastAsia="pl-PL"/>
      <w14:ligatures w14:val="none"/>
    </w:rPr>
  </w:style>
  <w:style w:type="paragraph" w:customStyle="1" w:styleId="OZNRODZAKTUtznustawalubrozporzdzenieiorganwydajcy">
    <w:name w:val="OZN_RODZ_AKTU – tzn. ustawa lub rozporządzenie i organ wydający"/>
    <w:next w:val="Normalny"/>
    <w:uiPriority w:val="5"/>
    <w:qFormat/>
    <w:rsid w:val="00D46615"/>
    <w:pPr>
      <w:keepNext/>
      <w:suppressAutoHyphens/>
      <w:spacing w:after="120" w:line="360" w:lineRule="auto"/>
      <w:jc w:val="center"/>
    </w:pPr>
    <w:rPr>
      <w:rFonts w:ascii="Times" w:eastAsia="Times New Roman" w:hAnsi="Times" w:cs="Times New Roman"/>
      <w:b/>
      <w:bCs/>
      <w:caps/>
      <w:spacing w:val="54"/>
      <w:kern w:val="24"/>
      <w:sz w:val="24"/>
      <w:szCs w:val="24"/>
      <w:lang w:eastAsia="pl-PL"/>
      <w14:ligatures w14:val="none"/>
    </w:rPr>
  </w:style>
  <w:style w:type="paragraph" w:customStyle="1" w:styleId="NIEARTTEKSTtekstnieartykuowanynppodstprawnarozplubpreambua">
    <w:name w:val="NIEART_TEKST – tekst nieartykułowany (np. podst. prawna rozp. lub preambuła)"/>
    <w:basedOn w:val="Normalny"/>
    <w:next w:val="Normalny"/>
    <w:uiPriority w:val="7"/>
    <w:qFormat/>
    <w:rsid w:val="00386169"/>
    <w:pPr>
      <w:widowControl/>
      <w:suppressAutoHyphens/>
      <w:spacing w:before="120"/>
      <w:ind w:firstLine="510"/>
      <w:jc w:val="both"/>
    </w:pPr>
    <w:rPr>
      <w:rFonts w:ascii="Times" w:hAnsi="Times"/>
      <w:bCs/>
    </w:rPr>
  </w:style>
  <w:style w:type="character" w:styleId="Odwoaniedokomentarza">
    <w:name w:val="annotation reference"/>
    <w:basedOn w:val="Domylnaczcionkaakapitu"/>
    <w:uiPriority w:val="99"/>
    <w:semiHidden/>
    <w:unhideWhenUsed/>
    <w:rsid w:val="00D67449"/>
    <w:rPr>
      <w:sz w:val="16"/>
      <w:szCs w:val="16"/>
    </w:rPr>
  </w:style>
  <w:style w:type="paragraph" w:styleId="Tekstkomentarza">
    <w:name w:val="annotation text"/>
    <w:basedOn w:val="Normalny"/>
    <w:link w:val="TekstkomentarzaZnak"/>
    <w:uiPriority w:val="99"/>
    <w:unhideWhenUsed/>
    <w:rsid w:val="00D67449"/>
    <w:pPr>
      <w:spacing w:line="240" w:lineRule="auto"/>
    </w:pPr>
    <w:rPr>
      <w:sz w:val="20"/>
    </w:rPr>
  </w:style>
  <w:style w:type="character" w:customStyle="1" w:styleId="TekstkomentarzaZnak">
    <w:name w:val="Tekst komentarza Znak"/>
    <w:basedOn w:val="Domylnaczcionkaakapitu"/>
    <w:link w:val="Tekstkomentarza"/>
    <w:uiPriority w:val="99"/>
    <w:rsid w:val="00D67449"/>
    <w:rPr>
      <w:rFonts w:ascii="Times New Roman" w:eastAsiaTheme="minorEastAsia" w:hAnsi="Times New Roman" w:cs="Arial"/>
      <w:kern w:val="0"/>
      <w:sz w:val="20"/>
      <w:szCs w:val="20"/>
      <w:lang w:eastAsia="pl-PL"/>
      <w14:ligatures w14:val="none"/>
    </w:rPr>
  </w:style>
  <w:style w:type="paragraph" w:styleId="Tematkomentarza">
    <w:name w:val="annotation subject"/>
    <w:basedOn w:val="Tekstkomentarza"/>
    <w:next w:val="Tekstkomentarza"/>
    <w:link w:val="TematkomentarzaZnak"/>
    <w:uiPriority w:val="99"/>
    <w:semiHidden/>
    <w:unhideWhenUsed/>
    <w:rsid w:val="00D67449"/>
    <w:rPr>
      <w:b/>
      <w:bCs/>
    </w:rPr>
  </w:style>
  <w:style w:type="character" w:customStyle="1" w:styleId="TematkomentarzaZnak">
    <w:name w:val="Temat komentarza Znak"/>
    <w:basedOn w:val="TekstkomentarzaZnak"/>
    <w:link w:val="Tematkomentarza"/>
    <w:uiPriority w:val="99"/>
    <w:semiHidden/>
    <w:rsid w:val="00D67449"/>
    <w:rPr>
      <w:rFonts w:ascii="Times New Roman" w:eastAsiaTheme="minorEastAsia" w:hAnsi="Times New Roman" w:cs="Arial"/>
      <w:b/>
      <w:bCs/>
      <w:kern w:val="0"/>
      <w:sz w:val="20"/>
      <w:szCs w:val="20"/>
      <w:lang w:eastAsia="pl-PL"/>
      <w14:ligatures w14:val="none"/>
    </w:rPr>
  </w:style>
  <w:style w:type="paragraph" w:styleId="Poprawka">
    <w:name w:val="Revision"/>
    <w:hidden/>
    <w:uiPriority w:val="99"/>
    <w:semiHidden/>
    <w:rsid w:val="00567630"/>
    <w:pPr>
      <w:spacing w:after="0" w:line="240" w:lineRule="auto"/>
    </w:pPr>
    <w:rPr>
      <w:rFonts w:ascii="Times New Roman" w:eastAsiaTheme="minorEastAsia" w:hAnsi="Times New Roman" w:cs="Arial"/>
      <w:kern w:val="0"/>
      <w:sz w:val="24"/>
      <w:szCs w:val="20"/>
      <w:lang w:eastAsia="pl-P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1716</Words>
  <Characters>10298</Characters>
  <Application>Microsoft Office Word</Application>
  <DocSecurity>0</DocSecurity>
  <Lines>85</Lines>
  <Paragraphs>23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Choszczyk Łukasz</dc:creator>
  <cp:keywords/>
  <dc:description/>
  <cp:lastModifiedBy>DP-WL</cp:lastModifiedBy>
  <cp:revision>2</cp:revision>
  <dcterms:created xsi:type="dcterms:W3CDTF">2026-07-09T12:43:00Z</dcterms:created>
  <dcterms:modified xsi:type="dcterms:W3CDTF">2026-07-09T12:43:00Z</dcterms:modified>
</cp:coreProperties>
</file>