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04F24D17" w:rsidR="00AC1ED7" w:rsidRPr="005E044D" w:rsidRDefault="00AC1ED7" w:rsidP="005E044D">
      <w:pPr>
        <w:tabs>
          <w:tab w:val="left" w:pos="142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E04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5E044D" w:rsidRPr="005E044D">
        <w:rPr>
          <w:rFonts w:ascii="Times New Roman" w:hAnsi="Times New Roman" w:cs="Times New Roman"/>
          <w:sz w:val="24"/>
          <w:szCs w:val="24"/>
        </w:rPr>
        <w:t xml:space="preserve">Powiatowej Stacji Sanitarno-Epidemiologicznej w Pleszewie, ul. Poznańska 30, </w:t>
      </w:r>
      <w:r w:rsidR="005E044D" w:rsidRPr="00380EA1">
        <w:rPr>
          <w:rFonts w:ascii="Times New Roman" w:hAnsi="Times New Roman" w:cs="Times New Roman"/>
          <w:sz w:val="24"/>
          <w:szCs w:val="24"/>
        </w:rPr>
        <w:t>63-300 Pleszew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0C6EA04D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="005E04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Pleszewie.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B214" w14:textId="77777777" w:rsidR="00A57018" w:rsidRDefault="00A57018" w:rsidP="00482ABD">
      <w:pPr>
        <w:spacing w:after="0" w:line="240" w:lineRule="auto"/>
      </w:pPr>
      <w:r>
        <w:separator/>
      </w:r>
    </w:p>
  </w:endnote>
  <w:endnote w:type="continuationSeparator" w:id="0">
    <w:p w14:paraId="1F62EBE0" w14:textId="77777777" w:rsidR="00A57018" w:rsidRDefault="00A57018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0D87" w14:textId="77777777" w:rsidR="00A57018" w:rsidRDefault="00A57018" w:rsidP="00482ABD">
      <w:pPr>
        <w:spacing w:after="0" w:line="240" w:lineRule="auto"/>
      </w:pPr>
      <w:r>
        <w:separator/>
      </w:r>
    </w:p>
  </w:footnote>
  <w:footnote w:type="continuationSeparator" w:id="0">
    <w:p w14:paraId="3949B9BB" w14:textId="77777777" w:rsidR="00A57018" w:rsidRDefault="00A57018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41321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044D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57018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777CD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1135</Words>
  <Characters>7328</Characters>
  <Application>Microsoft Office Word</Application>
  <DocSecurity>0</DocSecurity>
  <Lines>143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Pleszew - Marta Różańska</cp:lastModifiedBy>
  <cp:revision>18</cp:revision>
  <cp:lastPrinted>2024-03-20T11:25:00Z</cp:lastPrinted>
  <dcterms:created xsi:type="dcterms:W3CDTF">2026-02-09T10:54:00Z</dcterms:created>
  <dcterms:modified xsi:type="dcterms:W3CDTF">2026-03-02T07:51:00Z</dcterms:modified>
</cp:coreProperties>
</file>