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035A3E" w14:textId="3147114A" w:rsidR="001061E3" w:rsidRDefault="00772257">
      <w:pPr>
        <w:spacing w:line="200" w:lineRule="exact"/>
        <w:rPr>
          <w:rFonts w:ascii="Times New Roman" w:eastAsia="Times New Roman" w:hAnsi="Times New Roman"/>
          <w:sz w:val="24"/>
        </w:rPr>
      </w:pPr>
      <w:r>
        <w:rPr>
          <w:noProof/>
        </w:rPr>
        <w:drawing>
          <wp:anchor distT="0" distB="0" distL="114300" distR="114300" simplePos="0" relativeHeight="251652608" behindDoc="1" locked="0" layoutInCell="1" allowOverlap="1" wp14:anchorId="1B82AE88" wp14:editId="0BBCF769">
            <wp:simplePos x="0" y="0"/>
            <wp:positionH relativeFrom="page">
              <wp:posOffset>414020</wp:posOffset>
            </wp:positionH>
            <wp:positionV relativeFrom="margin">
              <wp:align>top</wp:align>
            </wp:positionV>
            <wp:extent cx="2391410" cy="888365"/>
            <wp:effectExtent l="0" t="0" r="8890" b="6985"/>
            <wp:wrapNone/>
            <wp:docPr id="1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pic:spPr>
                </pic:pic>
              </a:graphicData>
            </a:graphic>
            <wp14:sizeRelH relativeFrom="page">
              <wp14:pctWidth>0</wp14:pctWidth>
            </wp14:sizeRelH>
            <wp14:sizeRelV relativeFrom="page">
              <wp14:pctHeight>0</wp14:pctHeight>
            </wp14:sizeRelV>
          </wp:anchor>
        </w:drawing>
      </w:r>
    </w:p>
    <w:p w14:paraId="34A9E1FA" w14:textId="77777777" w:rsidR="003B5BF9" w:rsidRDefault="003B5BF9">
      <w:pPr>
        <w:spacing w:line="200" w:lineRule="exact"/>
        <w:rPr>
          <w:rFonts w:ascii="Times New Roman" w:eastAsia="Times New Roman" w:hAnsi="Times New Roman"/>
          <w:sz w:val="24"/>
        </w:rPr>
      </w:pPr>
    </w:p>
    <w:p w14:paraId="744F0B8F" w14:textId="77777777" w:rsidR="003B5BF9" w:rsidRDefault="003B5BF9">
      <w:pPr>
        <w:spacing w:line="200" w:lineRule="exact"/>
        <w:rPr>
          <w:rFonts w:ascii="Times New Roman" w:eastAsia="Times New Roman" w:hAnsi="Times New Roman"/>
          <w:sz w:val="24"/>
        </w:rPr>
      </w:pPr>
    </w:p>
    <w:p w14:paraId="177B61B1" w14:textId="77777777" w:rsidR="003B5BF9" w:rsidRDefault="003B5BF9">
      <w:pPr>
        <w:spacing w:line="200" w:lineRule="exact"/>
        <w:rPr>
          <w:rFonts w:ascii="Times New Roman" w:eastAsia="Times New Roman" w:hAnsi="Times New Roman"/>
          <w:sz w:val="24"/>
        </w:rPr>
      </w:pPr>
    </w:p>
    <w:p w14:paraId="735F76C6" w14:textId="10475947" w:rsidR="00F832FE" w:rsidRDefault="00F832FE" w:rsidP="00F8489F">
      <w:pPr>
        <w:tabs>
          <w:tab w:val="left" w:pos="1039"/>
        </w:tabs>
        <w:spacing w:line="200" w:lineRule="exact"/>
        <w:rPr>
          <w:rFonts w:ascii="Times New Roman" w:eastAsia="Times New Roman" w:hAnsi="Times New Roman"/>
          <w:sz w:val="24"/>
        </w:rPr>
      </w:pPr>
      <w:bookmarkStart w:id="0" w:name="page1"/>
      <w:bookmarkEnd w:id="0"/>
    </w:p>
    <w:p w14:paraId="305C81F7" w14:textId="77777777" w:rsidR="00F832FE" w:rsidRDefault="00F832FE">
      <w:pPr>
        <w:spacing w:line="340" w:lineRule="exact"/>
        <w:rPr>
          <w:rFonts w:ascii="Times New Roman" w:eastAsia="Times New Roman" w:hAnsi="Times New Roman"/>
          <w:sz w:val="24"/>
        </w:rPr>
      </w:pPr>
    </w:p>
    <w:p w14:paraId="67F2BA45" w14:textId="77777777" w:rsidR="00F832FE" w:rsidRDefault="00060A54">
      <w:pPr>
        <w:spacing w:line="0" w:lineRule="atLeast"/>
        <w:jc w:val="right"/>
        <w:rPr>
          <w:rFonts w:ascii="Verdana" w:eastAsia="Verdana" w:hAnsi="Verdana"/>
          <w:sz w:val="18"/>
        </w:rPr>
      </w:pPr>
      <w:r>
        <w:rPr>
          <w:rFonts w:ascii="Verdana" w:eastAsia="Verdana" w:hAnsi="Verdana"/>
          <w:sz w:val="18"/>
        </w:rPr>
        <w:t>Zestawienie</w:t>
      </w:r>
      <w:r w:rsidR="00F832FE">
        <w:rPr>
          <w:rFonts w:ascii="Verdana" w:eastAsia="Verdana" w:hAnsi="Verdana"/>
          <w:sz w:val="18"/>
        </w:rPr>
        <w:t xml:space="preserve"> – </w:t>
      </w:r>
      <w:r>
        <w:rPr>
          <w:rFonts w:ascii="Verdana" w:eastAsia="Verdana" w:hAnsi="Verdana"/>
          <w:sz w:val="18"/>
        </w:rPr>
        <w:t>Ochrona danych osobowych</w:t>
      </w:r>
    </w:p>
    <w:p w14:paraId="65E0C53A" w14:textId="7B13953C" w:rsidR="00F832FE" w:rsidRDefault="003F5550">
      <w:pPr>
        <w:spacing w:line="20" w:lineRule="exact"/>
        <w:rPr>
          <w:rFonts w:ascii="Times New Roman" w:eastAsia="Times New Roman" w:hAnsi="Times New Roman"/>
          <w:sz w:val="24"/>
        </w:rPr>
      </w:pPr>
      <w:r>
        <w:rPr>
          <w:rFonts w:ascii="Verdana" w:eastAsia="Verdana" w:hAnsi="Verdana"/>
          <w:noProof/>
          <w:sz w:val="18"/>
        </w:rPr>
        <mc:AlternateContent>
          <mc:Choice Requires="wps">
            <w:drawing>
              <wp:anchor distT="0" distB="0" distL="114300" distR="114300" simplePos="0" relativeHeight="251654656" behindDoc="1" locked="0" layoutInCell="1" allowOverlap="1" wp14:anchorId="47F6295A" wp14:editId="2B0F0A87">
                <wp:simplePos x="0" y="0"/>
                <wp:positionH relativeFrom="column">
                  <wp:posOffset>-372745</wp:posOffset>
                </wp:positionH>
                <wp:positionV relativeFrom="paragraph">
                  <wp:posOffset>45085</wp:posOffset>
                </wp:positionV>
                <wp:extent cx="6629400" cy="0"/>
                <wp:effectExtent l="5080" t="6985" r="13970" b="1206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00AB3"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5pt" to="49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" strokecolor="gray"/>
            </w:pict>
          </mc:Fallback>
        </mc:AlternateContent>
      </w:r>
    </w:p>
    <w:p w14:paraId="7AFB2BF1" w14:textId="77777777" w:rsidR="00F832FE" w:rsidRDefault="00F832FE" w:rsidP="00437024">
      <w:pPr>
        <w:spacing w:line="282" w:lineRule="exact"/>
        <w:jc w:val="right"/>
        <w:rPr>
          <w:rFonts w:ascii="Times New Roman" w:eastAsia="Times New Roman" w:hAnsi="Times New Roman"/>
          <w:sz w:val="24"/>
        </w:rPr>
      </w:pPr>
    </w:p>
    <w:p w14:paraId="10D1AFA5" w14:textId="24718AC1" w:rsidR="00F832FE" w:rsidRDefault="00E67FFD" w:rsidP="00437024">
      <w:pPr>
        <w:spacing w:line="0" w:lineRule="atLeast"/>
        <w:ind w:right="-7"/>
        <w:jc w:val="right"/>
        <w:rPr>
          <w:rFonts w:ascii="Verdana" w:eastAsia="Verdana" w:hAnsi="Verdana"/>
          <w:color w:val="EC7F12"/>
          <w:sz w:val="18"/>
        </w:rPr>
      </w:pPr>
      <w:r>
        <w:rPr>
          <w:rFonts w:ascii="Verdana" w:eastAsia="Verdana" w:hAnsi="Verdana"/>
          <w:color w:val="EC7F12"/>
          <w:sz w:val="18"/>
        </w:rPr>
        <w:t>Luty</w:t>
      </w:r>
      <w:r w:rsidR="00F17721">
        <w:rPr>
          <w:rFonts w:ascii="Verdana" w:eastAsia="Verdana" w:hAnsi="Verdana"/>
          <w:color w:val="EC7F12"/>
          <w:sz w:val="18"/>
        </w:rPr>
        <w:t xml:space="preserve"> </w:t>
      </w:r>
      <w:r w:rsidR="00F832FE">
        <w:rPr>
          <w:rFonts w:ascii="Verdana" w:eastAsia="Verdana" w:hAnsi="Verdana"/>
          <w:color w:val="EC7F12"/>
          <w:sz w:val="18"/>
        </w:rPr>
        <w:t>20</w:t>
      </w:r>
      <w:r>
        <w:rPr>
          <w:rFonts w:ascii="Verdana" w:eastAsia="Verdana" w:hAnsi="Verdana"/>
          <w:color w:val="EC7F12"/>
          <w:sz w:val="18"/>
        </w:rPr>
        <w:t>2</w:t>
      </w:r>
      <w:r w:rsidR="001C3ADD">
        <w:rPr>
          <w:rFonts w:ascii="Verdana" w:eastAsia="Verdana" w:hAnsi="Verdana"/>
          <w:color w:val="EC7F12"/>
          <w:sz w:val="18"/>
        </w:rPr>
        <w:t>4</w:t>
      </w:r>
      <w:r w:rsidR="00AD42EC">
        <w:rPr>
          <w:rFonts w:ascii="Verdana" w:eastAsia="Verdana" w:hAnsi="Verdana"/>
          <w:color w:val="EC7F12"/>
          <w:sz w:val="18"/>
        </w:rPr>
        <w:t xml:space="preserve"> r.</w:t>
      </w:r>
    </w:p>
    <w:p w14:paraId="574C006B" w14:textId="77777777" w:rsidR="00F832FE" w:rsidRDefault="00060A54" w:rsidP="00437024">
      <w:pPr>
        <w:spacing w:line="0" w:lineRule="atLeast"/>
        <w:ind w:right="-7"/>
        <w:jc w:val="right"/>
        <w:rPr>
          <w:rFonts w:ascii="Verdana" w:eastAsia="Verdana" w:hAnsi="Verdana"/>
          <w:color w:val="EC7F12"/>
          <w:sz w:val="18"/>
        </w:rPr>
      </w:pPr>
      <w:r>
        <w:rPr>
          <w:rFonts w:ascii="Verdana" w:eastAsia="Verdana" w:hAnsi="Verdana"/>
          <w:color w:val="EC7F12"/>
          <w:sz w:val="18"/>
        </w:rPr>
        <w:t>Niniejsze zestawienie nie jest ani wiążące dla Trybunału ani nie ma charakteru wyczerpującego</w:t>
      </w:r>
    </w:p>
    <w:p w14:paraId="19B8DA8C" w14:textId="77777777" w:rsidR="00F832FE" w:rsidRDefault="00F832FE">
      <w:pPr>
        <w:spacing w:line="229" w:lineRule="exact"/>
        <w:rPr>
          <w:rFonts w:ascii="Times New Roman" w:eastAsia="Times New Roman" w:hAnsi="Times New Roman"/>
          <w:sz w:val="24"/>
        </w:rPr>
      </w:pPr>
    </w:p>
    <w:p w14:paraId="63A4DFE2" w14:textId="77777777" w:rsidR="00F832FE" w:rsidRDefault="00060A54" w:rsidP="00437024">
      <w:pPr>
        <w:spacing w:line="0" w:lineRule="atLeast"/>
        <w:ind w:left="709"/>
        <w:rPr>
          <w:rFonts w:ascii="Verdana" w:eastAsia="Verdana" w:hAnsi="Verdana"/>
          <w:color w:val="0072BC"/>
          <w:sz w:val="48"/>
        </w:rPr>
      </w:pPr>
      <w:r>
        <w:rPr>
          <w:rFonts w:ascii="Verdana" w:eastAsia="Verdana" w:hAnsi="Verdana"/>
          <w:color w:val="0072BC"/>
          <w:sz w:val="48"/>
        </w:rPr>
        <w:t>Ochrona danych osobowych</w:t>
      </w:r>
    </w:p>
    <w:p w14:paraId="472DD5B1" w14:textId="77777777" w:rsidR="00F832FE" w:rsidRDefault="00F832FE">
      <w:pPr>
        <w:spacing w:line="20" w:lineRule="exact"/>
        <w:rPr>
          <w:rFonts w:ascii="Times New Roman" w:eastAsia="Times New Roman" w:hAnsi="Times New Roman"/>
          <w:sz w:val="24"/>
        </w:rPr>
      </w:pPr>
    </w:p>
    <w:p w14:paraId="446BB30E" w14:textId="462251B7" w:rsidR="00F832FE" w:rsidRDefault="003F5550">
      <w:pPr>
        <w:spacing w:line="200" w:lineRule="exact"/>
        <w:rPr>
          <w:rFonts w:ascii="Times New Roman" w:eastAsia="Times New Roman" w:hAnsi="Times New Roman"/>
          <w:sz w:val="24"/>
        </w:rPr>
      </w:pPr>
      <w:r>
        <w:rPr>
          <w:rFonts w:ascii="Verdana" w:eastAsia="Verdana" w:hAnsi="Verdana"/>
          <w:noProof/>
          <w:color w:val="0072BC"/>
          <w:sz w:val="48"/>
        </w:rPr>
        <mc:AlternateContent>
          <mc:Choice Requires="wps">
            <w:drawing>
              <wp:anchor distT="0" distB="0" distL="114300" distR="114300" simplePos="0" relativeHeight="251655680" behindDoc="1" locked="0" layoutInCell="1" allowOverlap="1" wp14:anchorId="499D2E0C" wp14:editId="11A01A6C">
                <wp:simplePos x="0" y="0"/>
                <wp:positionH relativeFrom="column">
                  <wp:posOffset>426085</wp:posOffset>
                </wp:positionH>
                <wp:positionV relativeFrom="paragraph">
                  <wp:posOffset>32385</wp:posOffset>
                </wp:positionV>
                <wp:extent cx="5768340" cy="0"/>
                <wp:effectExtent l="22860" t="20955" r="28575" b="2667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EE76A"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2.55pt" to="487.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" strokecolor="#eaeaea" strokeweight="3pt"/>
            </w:pict>
          </mc:Fallback>
        </mc:AlternateContent>
      </w:r>
    </w:p>
    <w:p w14:paraId="72C0EC0F" w14:textId="2A7C577D" w:rsidR="00912E2E" w:rsidRDefault="00A14197" w:rsidP="00A14197">
      <w:pPr>
        <w:pBdr>
          <w:top w:val="single" w:sz="4" w:space="1" w:color="auto"/>
          <w:left w:val="single" w:sz="4" w:space="4" w:color="auto"/>
          <w:bottom w:val="single" w:sz="4" w:space="1" w:color="auto"/>
          <w:right w:val="single" w:sz="4" w:space="4" w:color="auto"/>
        </w:pBdr>
        <w:shd w:val="pct5" w:color="auto" w:fill="auto"/>
        <w:spacing w:line="0" w:lineRule="atLeast"/>
        <w:ind w:left="709"/>
        <w:jc w:val="both"/>
        <w:rPr>
          <w:rFonts w:ascii="Times New Roman" w:eastAsia="Times New Roman" w:hAnsi="Times New Roman"/>
        </w:rPr>
      </w:pPr>
      <w:r w:rsidRPr="00F8489F">
        <w:rPr>
          <w:rFonts w:ascii="Verdana" w:eastAsia="Verdana" w:hAnsi="Verdana"/>
          <w:color w:val="5F5F5F"/>
        </w:rPr>
        <w:t xml:space="preserve">"Samo przechowywanie danych dotyczących życia prywatnego danej osoby stanowi ingerencję w rozumieniu </w:t>
      </w:r>
      <w:r>
        <w:rPr>
          <w:rFonts w:ascii="Verdana" w:eastAsia="Verdana" w:hAnsi="Verdana"/>
          <w:b/>
          <w:color w:val="5F5F5F"/>
        </w:rPr>
        <w:t>art.</w:t>
      </w:r>
      <w:r w:rsidRPr="00DC7924">
        <w:rPr>
          <w:rFonts w:ascii="Verdana" w:eastAsia="Verdana" w:hAnsi="Verdana"/>
          <w:b/>
          <w:color w:val="5F5F5F"/>
        </w:rPr>
        <w:t xml:space="preserve"> 8 [Europejskiej </w:t>
      </w:r>
      <w:r w:rsidRPr="00F8489F">
        <w:rPr>
          <w:rFonts w:ascii="Verdana" w:eastAsia="Verdana" w:hAnsi="Verdana"/>
          <w:b/>
          <w:color w:val="5F5F5F"/>
        </w:rPr>
        <w:t>K</w:t>
      </w:r>
      <w:r w:rsidRPr="00DC7924">
        <w:rPr>
          <w:rFonts w:ascii="Verdana" w:eastAsia="Verdana" w:hAnsi="Verdana"/>
          <w:b/>
          <w:color w:val="5F5F5F"/>
        </w:rPr>
        <w:t xml:space="preserve">onwencji </w:t>
      </w:r>
      <w:r w:rsidRPr="00F8489F">
        <w:rPr>
          <w:rFonts w:ascii="Verdana" w:eastAsia="Verdana" w:hAnsi="Verdana"/>
          <w:b/>
          <w:color w:val="5F5F5F"/>
        </w:rPr>
        <w:t>P</w:t>
      </w:r>
      <w:r w:rsidRPr="00DC7924">
        <w:rPr>
          <w:rFonts w:ascii="Verdana" w:eastAsia="Verdana" w:hAnsi="Verdana"/>
          <w:b/>
          <w:color w:val="5F5F5F"/>
        </w:rPr>
        <w:t xml:space="preserve">raw </w:t>
      </w:r>
      <w:r w:rsidRPr="00F8489F">
        <w:rPr>
          <w:rFonts w:ascii="Verdana" w:eastAsia="Verdana" w:hAnsi="Verdana"/>
          <w:b/>
          <w:color w:val="5F5F5F"/>
        </w:rPr>
        <w:t>C</w:t>
      </w:r>
      <w:r w:rsidRPr="00DC7924">
        <w:rPr>
          <w:rFonts w:ascii="Verdana" w:eastAsia="Verdana" w:hAnsi="Verdana"/>
          <w:b/>
          <w:color w:val="5F5F5F"/>
        </w:rPr>
        <w:t>złowieka</w:t>
      </w:r>
      <w:r w:rsidRPr="00F8489F">
        <w:rPr>
          <w:rFonts w:ascii="Verdana" w:eastAsia="Verdana" w:hAnsi="Verdana"/>
          <w:color w:val="5F5F5F"/>
        </w:rPr>
        <w:t>, któr</w:t>
      </w:r>
      <w:r w:rsidRPr="00DC7924">
        <w:rPr>
          <w:rFonts w:ascii="Verdana" w:eastAsia="Verdana" w:hAnsi="Verdana"/>
          <w:color w:val="5F5F5F"/>
        </w:rPr>
        <w:t>a</w:t>
      </w:r>
      <w:r w:rsidRPr="00F8489F">
        <w:rPr>
          <w:rFonts w:ascii="Verdana" w:eastAsia="Verdana" w:hAnsi="Verdana"/>
          <w:color w:val="5F5F5F"/>
        </w:rPr>
        <w:t xml:space="preserve"> gwarantuje prawo do poszanowania życia prywatnego i rodzinnego, </w:t>
      </w:r>
      <w:r w:rsidRPr="00DC7924">
        <w:rPr>
          <w:rFonts w:ascii="Verdana" w:eastAsia="Verdana" w:hAnsi="Verdana"/>
          <w:color w:val="5F5F5F"/>
        </w:rPr>
        <w:t>mieszkania</w:t>
      </w:r>
      <w:r w:rsidRPr="00F8489F">
        <w:rPr>
          <w:rFonts w:ascii="Verdana" w:eastAsia="Verdana" w:hAnsi="Verdana"/>
          <w:color w:val="5F5F5F"/>
        </w:rPr>
        <w:t xml:space="preserve"> i korespondencji.</w:t>
      </w:r>
      <w:r w:rsidRPr="00DC7924">
        <w:rPr>
          <w:rFonts w:ascii="Verdana" w:eastAsia="Verdana" w:hAnsi="Verdana"/>
          <w:color w:val="5F5F5F"/>
        </w:rPr>
        <w:t>]</w:t>
      </w:r>
      <w:r w:rsidRPr="00DC7924">
        <w:rPr>
          <w:rStyle w:val="Odwoanieprzypisudolnego"/>
          <w:rFonts w:ascii="Verdana" w:eastAsia="Verdana" w:hAnsi="Verdana"/>
          <w:color w:val="5F5F5F"/>
        </w:rPr>
        <w:footnoteReference w:id="1"/>
      </w:r>
      <w:r w:rsidRPr="00DC7924">
        <w:rPr>
          <w:rFonts w:ascii="Verdana" w:eastAsia="Verdana" w:hAnsi="Verdana"/>
          <w:color w:val="5F5F5F"/>
        </w:rPr>
        <w:t>…</w:t>
      </w:r>
      <w:r w:rsidRPr="005003E7">
        <w:rPr>
          <w:rFonts w:ascii="Verdana" w:eastAsia="Verdana" w:hAnsi="Verdana"/>
          <w:color w:val="5F5F5F"/>
        </w:rPr>
        <w:t xml:space="preserve"> </w:t>
      </w:r>
      <w:r w:rsidRPr="00F8489F">
        <w:rPr>
          <w:rFonts w:ascii="Verdana" w:eastAsia="Verdana" w:hAnsi="Verdana"/>
          <w:color w:val="5F5F5F"/>
        </w:rPr>
        <w:t xml:space="preserve">Późniejsze wykorzystanie przechowywanych informacji nie ma wpływu na to </w:t>
      </w:r>
      <w:r w:rsidRPr="005924E0">
        <w:rPr>
          <w:rFonts w:ascii="Verdana" w:eastAsia="Verdana" w:hAnsi="Verdana"/>
          <w:color w:val="5F5F5F"/>
        </w:rPr>
        <w:t xml:space="preserve">ustalenie.... </w:t>
      </w:r>
      <w:r w:rsidRPr="00F8489F">
        <w:rPr>
          <w:rFonts w:ascii="Verdana" w:eastAsia="Verdana" w:hAnsi="Verdana"/>
          <w:color w:val="5F5F5F"/>
        </w:rPr>
        <w:t xml:space="preserve">Jednakże przy ustalaniu, czy dane osobowe gromadzone przez władze obejmują jakiekolwiek ... [aspekty] życia prywatnego ..., Trybunał należycie uwzględni szczególny kontekst, w którym przedmiotowe informacje zostały zebrane i przechowywane, charakter tych </w:t>
      </w:r>
      <w:r w:rsidRPr="005924E0">
        <w:rPr>
          <w:rFonts w:ascii="Verdana" w:eastAsia="Verdana" w:hAnsi="Verdana"/>
          <w:color w:val="5F5F5F"/>
        </w:rPr>
        <w:t>zbiorów, sposób, w jaki zbiory te</w:t>
      </w:r>
      <w:r w:rsidRPr="00F8489F">
        <w:rPr>
          <w:rFonts w:ascii="Verdana" w:eastAsia="Verdana" w:hAnsi="Verdana"/>
          <w:color w:val="5F5F5F"/>
        </w:rPr>
        <w:t xml:space="preserve"> są wykorzystywane i przetwarzane oraz wyniki, które można uzyskać ..." (</w:t>
      </w:r>
      <w:hyperlink r:id="rId9" w:anchor="{%22itemid%22:[%22001-90051%22]}" w:history="1">
        <w:r w:rsidRPr="00237802">
          <w:rPr>
            <w:rStyle w:val="Hipercze"/>
            <w:rFonts w:ascii="Verdana" w:eastAsia="Verdana" w:hAnsi="Verdana"/>
            <w:i/>
          </w:rPr>
          <w:t xml:space="preserve">S. i </w:t>
        </w:r>
        <w:proofErr w:type="spellStart"/>
        <w:r w:rsidRPr="00237802">
          <w:rPr>
            <w:rStyle w:val="Hipercze"/>
            <w:rFonts w:ascii="Verdana" w:eastAsia="Verdana" w:hAnsi="Verdana"/>
            <w:i/>
          </w:rPr>
          <w:t>Marper</w:t>
        </w:r>
        <w:proofErr w:type="spellEnd"/>
        <w:r w:rsidRPr="00237802">
          <w:rPr>
            <w:rStyle w:val="Hipercze"/>
            <w:rFonts w:ascii="Verdana" w:eastAsia="Verdana" w:hAnsi="Verdana"/>
            <w:i/>
          </w:rPr>
          <w:t xml:space="preserve"> przeciwko Zjednoczonemu </w:t>
        </w:r>
        <w:r w:rsidRPr="00237802">
          <w:rPr>
            <w:rStyle w:val="Hipercze"/>
            <w:rFonts w:ascii="Verdana" w:hAnsi="Verdana"/>
            <w:i/>
          </w:rPr>
          <w:t>Królestwu</w:t>
        </w:r>
      </w:hyperlink>
      <w:r w:rsidRPr="00237802">
        <w:rPr>
          <w:rFonts w:ascii="Verdana" w:eastAsia="Verdana" w:hAnsi="Verdana"/>
          <w:i/>
          <w:color w:val="0070C0"/>
        </w:rPr>
        <w:t>,</w:t>
      </w:r>
      <w:r w:rsidRPr="00237802">
        <w:rPr>
          <w:rFonts w:ascii="Verdana" w:eastAsia="Verdana" w:hAnsi="Verdana"/>
          <w:color w:val="0070C0"/>
        </w:rPr>
        <w:t xml:space="preserve"> </w:t>
      </w:r>
      <w:r w:rsidRPr="00F8489F">
        <w:rPr>
          <w:rFonts w:ascii="Verdana" w:eastAsia="Verdana" w:hAnsi="Verdana"/>
          <w:color w:val="595959"/>
        </w:rPr>
        <w:t>wyrok (Wielkiej Izby) z 4 grudnia 2008, § 67.</w:t>
      </w:r>
    </w:p>
    <w:p w14:paraId="6E2D02B1" w14:textId="77777777" w:rsidR="00FC546F" w:rsidRDefault="00FC546F" w:rsidP="00F8489F">
      <w:pPr>
        <w:spacing w:line="0" w:lineRule="atLeast"/>
        <w:rPr>
          <w:rFonts w:ascii="Verdana" w:eastAsia="Verdana" w:hAnsi="Verdana"/>
          <w:color w:val="0072BC"/>
          <w:sz w:val="28"/>
        </w:rPr>
      </w:pPr>
    </w:p>
    <w:p w14:paraId="4FCD3B42" w14:textId="77777777" w:rsidR="00FC546F" w:rsidRDefault="00FC546F" w:rsidP="00AB713F">
      <w:pPr>
        <w:spacing w:line="0" w:lineRule="atLeast"/>
        <w:ind w:left="740"/>
        <w:rPr>
          <w:rFonts w:ascii="Verdana" w:eastAsia="Verdana" w:hAnsi="Verdana"/>
          <w:color w:val="0072BC"/>
          <w:sz w:val="28"/>
        </w:rPr>
      </w:pPr>
      <w:r w:rsidRPr="00B971C9">
        <w:rPr>
          <w:rFonts w:ascii="Verdana" w:eastAsia="Verdana" w:hAnsi="Verdana"/>
          <w:color w:val="0072BC"/>
          <w:sz w:val="28"/>
        </w:rPr>
        <w:t>Gromadzenie</w:t>
      </w:r>
      <w:r>
        <w:rPr>
          <w:rFonts w:ascii="Verdana" w:eastAsia="Verdana" w:hAnsi="Verdana"/>
          <w:color w:val="0072BC"/>
          <w:sz w:val="28"/>
        </w:rPr>
        <w:t xml:space="preserve"> danych osobowych</w:t>
      </w:r>
    </w:p>
    <w:p w14:paraId="0F672FAB" w14:textId="3AE8A6B6" w:rsidR="00FC546F"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1824" behindDoc="1" locked="0" layoutInCell="1" allowOverlap="1" wp14:anchorId="2DFC5FB9" wp14:editId="79AB47A6">
                <wp:simplePos x="0" y="0"/>
                <wp:positionH relativeFrom="column">
                  <wp:posOffset>451485</wp:posOffset>
                </wp:positionH>
                <wp:positionV relativeFrom="paragraph">
                  <wp:posOffset>68580</wp:posOffset>
                </wp:positionV>
                <wp:extent cx="5768340" cy="0"/>
                <wp:effectExtent l="10160" t="16510" r="12700" b="12065"/>
                <wp:wrapNone/>
                <wp:docPr id="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2719" id="Line 8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" strokecolor="#999" strokeweight="1.44pt"/>
            </w:pict>
          </mc:Fallback>
        </mc:AlternateContent>
      </w:r>
    </w:p>
    <w:p w14:paraId="049C5AB0" w14:textId="77777777" w:rsidR="00F17721" w:rsidRDefault="00F17721" w:rsidP="00AB713F">
      <w:pPr>
        <w:spacing w:line="0" w:lineRule="atLeast"/>
        <w:ind w:left="740"/>
        <w:rPr>
          <w:rFonts w:ascii="Verdana" w:eastAsia="Verdana" w:hAnsi="Verdana"/>
          <w:color w:val="808080"/>
          <w:sz w:val="28"/>
        </w:rPr>
      </w:pPr>
    </w:p>
    <w:p w14:paraId="1A2F3948" w14:textId="77777777" w:rsidR="001C3ADD" w:rsidRPr="001C3ADD" w:rsidRDefault="001C3ADD" w:rsidP="001C3ADD">
      <w:pPr>
        <w:spacing w:after="240" w:line="0" w:lineRule="atLeast"/>
        <w:ind w:left="740"/>
        <w:rPr>
          <w:rFonts w:ascii="Verdana" w:eastAsia="Verdana" w:hAnsi="Verdana"/>
          <w:color w:val="808080"/>
          <w:sz w:val="28"/>
        </w:rPr>
      </w:pPr>
      <w:bookmarkStart w:id="1" w:name="_Hlk17463384"/>
      <w:r w:rsidRPr="001C3ADD">
        <w:rPr>
          <w:rFonts w:ascii="Verdana" w:eastAsia="Verdana" w:hAnsi="Verdana"/>
          <w:color w:val="808080"/>
          <w:sz w:val="28"/>
        </w:rPr>
        <w:t>Dane zebrane podczas głoszenia od drzwi do drzwi</w:t>
      </w:r>
    </w:p>
    <w:p w14:paraId="73BE43C7" w14:textId="3308B244" w:rsidR="001C3ADD" w:rsidRPr="000500CD" w:rsidRDefault="001C3ADD" w:rsidP="001C3ADD">
      <w:pPr>
        <w:spacing w:line="0" w:lineRule="atLeast"/>
        <w:ind w:left="740"/>
        <w:rPr>
          <w:rFonts w:ascii="Verdana" w:eastAsia="Verdana" w:hAnsi="Verdana"/>
          <w:b/>
          <w:bCs/>
          <w:color w:val="005A9E"/>
          <w:szCs w:val="14"/>
        </w:rPr>
      </w:pPr>
      <w:hyperlink r:id="rId10" w:anchor="{%22itemid%22:[%22003-7642144-10526463%22]}" w:history="1">
        <w:r w:rsidRPr="000500CD">
          <w:rPr>
            <w:rStyle w:val="Hipercze"/>
            <w:rFonts w:ascii="Verdana" w:eastAsia="Verdana" w:hAnsi="Verdana"/>
            <w:b/>
            <w:bCs/>
            <w:szCs w:val="14"/>
          </w:rPr>
          <w:t>Świadkowie Jehowy przeciwko Finlandii</w:t>
        </w:r>
      </w:hyperlink>
    </w:p>
    <w:p w14:paraId="66ED99C6" w14:textId="5C2D5C45" w:rsidR="001C3ADD" w:rsidRPr="008B33E0" w:rsidRDefault="001C3ADD" w:rsidP="001C3ADD">
      <w:pPr>
        <w:spacing w:line="0" w:lineRule="atLeast"/>
        <w:ind w:left="740"/>
        <w:rPr>
          <w:rFonts w:ascii="Verdana" w:eastAsia="Verdana" w:hAnsi="Verdana"/>
          <w:color w:val="808080"/>
          <w:sz w:val="16"/>
          <w:szCs w:val="16"/>
        </w:rPr>
      </w:pPr>
      <w:r w:rsidRPr="008B33E0">
        <w:rPr>
          <w:rFonts w:ascii="Verdana" w:eastAsia="Verdana" w:hAnsi="Verdana"/>
          <w:color w:val="808080"/>
          <w:sz w:val="16"/>
          <w:szCs w:val="16"/>
        </w:rPr>
        <w:t>9 maja 2023 r</w:t>
      </w:r>
      <w:r w:rsidR="008B33E0" w:rsidRPr="008B33E0">
        <w:rPr>
          <w:rFonts w:ascii="Verdana" w:eastAsia="Verdana" w:hAnsi="Verdana"/>
          <w:color w:val="808080"/>
          <w:sz w:val="16"/>
          <w:szCs w:val="16"/>
        </w:rPr>
        <w:t>oku</w:t>
      </w:r>
    </w:p>
    <w:p w14:paraId="4431400C" w14:textId="77777777" w:rsidR="001C3ADD" w:rsidRPr="000500CD" w:rsidRDefault="001C3ADD" w:rsidP="000500CD">
      <w:pPr>
        <w:spacing w:line="0" w:lineRule="atLeast"/>
        <w:ind w:left="740"/>
        <w:jc w:val="both"/>
        <w:rPr>
          <w:rFonts w:ascii="Verdana" w:eastAsia="Verdana" w:hAnsi="Verdana"/>
          <w:szCs w:val="14"/>
        </w:rPr>
      </w:pPr>
      <w:r w:rsidRPr="000500CD">
        <w:rPr>
          <w:rFonts w:ascii="Verdana" w:eastAsia="Verdana" w:hAnsi="Verdana"/>
          <w:szCs w:val="14"/>
        </w:rPr>
        <w:t>Sprawa ta dotyczyła obowiązku uzyskania zgody przez poszczególnych Świadków Jehowy na gromadzenie danych osobowych podczas głoszenia od drzwi do drzwi. Skarżąca społeczność skarżyła się w szczególności na brak ustnego przesłuchania w postępowaniu krajowym oraz na zakaz sporządzania notatek bez zgody rozmówcy podczas ewangelizacji.</w:t>
      </w:r>
    </w:p>
    <w:p w14:paraId="3072D8F0" w14:textId="4D5AE652" w:rsidR="001C3ADD" w:rsidRPr="00754015" w:rsidRDefault="001C3ADD" w:rsidP="000500CD">
      <w:pPr>
        <w:spacing w:line="0" w:lineRule="atLeast"/>
        <w:ind w:left="740"/>
        <w:jc w:val="both"/>
        <w:rPr>
          <w:rFonts w:ascii="Verdana" w:eastAsia="Verdana" w:hAnsi="Verdana"/>
          <w:color w:val="0077D0"/>
          <w:szCs w:val="14"/>
        </w:rPr>
      </w:pPr>
      <w:r w:rsidRPr="00754015">
        <w:rPr>
          <w:rFonts w:ascii="Verdana" w:eastAsia="Verdana" w:hAnsi="Verdana"/>
          <w:color w:val="0077D0"/>
          <w:szCs w:val="14"/>
        </w:rPr>
        <w:t xml:space="preserve">Trybunał orzekł, że </w:t>
      </w:r>
      <w:r w:rsidRPr="00754015">
        <w:rPr>
          <w:rFonts w:ascii="Verdana" w:eastAsia="Verdana" w:hAnsi="Verdana"/>
          <w:b/>
          <w:bCs/>
          <w:color w:val="0077D0"/>
          <w:szCs w:val="14"/>
        </w:rPr>
        <w:t>nie doszło do naruszenia Artykułu 9</w:t>
      </w:r>
      <w:r w:rsidRPr="00754015">
        <w:rPr>
          <w:rFonts w:ascii="Verdana" w:eastAsia="Verdana" w:hAnsi="Verdana"/>
          <w:color w:val="0077D0"/>
          <w:szCs w:val="14"/>
        </w:rPr>
        <w:t xml:space="preserve"> (wolność wyznania) Konwencji, stwierdzając, że władze krajowe prawidłowo wyważyły interesy skarżącej społeczności z prawami jednostek w odniesieniu do ich danych osobowych, uznając, że uzyskanie zgody było konieczne. Trybunał zauważył w szczególności, że odpowiednie prawo miało zastosowanie do wszystkich wspólnot religijnych i że w tym konkretnym przypadku na wspólnotę Świadków Jehowy nie nałożono żadnej grzywny. Trybunał uznał, że wymóg uzyskania zgody był konieczny, aby zapobiec ujawnieniu danych osobowych i wrażliwych, a wymóg ten nie ograniczał wolności wyznania Świadków Jehowy. </w:t>
      </w:r>
      <w:r w:rsidR="000500CD" w:rsidRPr="00754015">
        <w:rPr>
          <w:rFonts w:ascii="Verdana" w:eastAsia="Verdana" w:hAnsi="Verdana"/>
          <w:color w:val="0077D0"/>
          <w:szCs w:val="14"/>
        </w:rPr>
        <w:t>Trybunał orzekł również, że nie doszło do naruszenia Artykułu 6 (prawo do rzetelnego procesu sądowego) Konwencji, stwierdzając, że patrząc całościowo, skarżąca społeczność miała wszelkie możliwości przedstawienia dowodów i argumentów w ciągu siedmiu lat, kiedy sprawa była rozpatrywana przez władze krajowe, a kwestie prawne nie wymagały ustnego przesłuchania w celu ich zbadania.</w:t>
      </w:r>
    </w:p>
    <w:p w14:paraId="04202091" w14:textId="77777777" w:rsidR="00D329BD" w:rsidRPr="00754015" w:rsidRDefault="00D329BD" w:rsidP="000500CD">
      <w:pPr>
        <w:spacing w:line="0" w:lineRule="atLeast"/>
        <w:ind w:left="740"/>
        <w:jc w:val="both"/>
        <w:rPr>
          <w:rFonts w:ascii="Verdana" w:eastAsia="Verdana" w:hAnsi="Verdana"/>
          <w:color w:val="0077D0"/>
          <w:szCs w:val="14"/>
        </w:rPr>
      </w:pPr>
    </w:p>
    <w:p w14:paraId="6A11E532" w14:textId="77777777" w:rsidR="00D329BD" w:rsidRDefault="00D329BD" w:rsidP="000500CD">
      <w:pPr>
        <w:spacing w:line="0" w:lineRule="atLeast"/>
        <w:ind w:left="740"/>
        <w:jc w:val="both"/>
        <w:rPr>
          <w:rFonts w:ascii="Verdana" w:eastAsia="Verdana" w:hAnsi="Verdana"/>
          <w:color w:val="005A9E"/>
          <w:szCs w:val="14"/>
        </w:rPr>
      </w:pPr>
    </w:p>
    <w:p w14:paraId="548F8421" w14:textId="77777777" w:rsidR="00D329BD" w:rsidRDefault="00D329BD" w:rsidP="000500CD">
      <w:pPr>
        <w:spacing w:line="0" w:lineRule="atLeast"/>
        <w:ind w:left="740"/>
        <w:jc w:val="both"/>
        <w:rPr>
          <w:rFonts w:ascii="Verdana" w:eastAsia="Verdana" w:hAnsi="Verdana"/>
          <w:color w:val="005A9E"/>
          <w:szCs w:val="14"/>
        </w:rPr>
      </w:pPr>
    </w:p>
    <w:p w14:paraId="2275A280" w14:textId="77777777" w:rsidR="00D329BD" w:rsidRDefault="00D329BD" w:rsidP="00D329BD">
      <w:pPr>
        <w:spacing w:line="0" w:lineRule="atLeast"/>
        <w:ind w:left="740"/>
        <w:jc w:val="both"/>
        <w:rPr>
          <w:rFonts w:ascii="Verdana" w:eastAsia="Verdana" w:hAnsi="Verdana"/>
          <w:color w:val="808080" w:themeColor="background1" w:themeShade="80"/>
          <w:sz w:val="28"/>
        </w:rPr>
      </w:pPr>
      <w:r w:rsidRPr="00D329BD">
        <w:rPr>
          <w:rFonts w:ascii="Verdana" w:eastAsia="Verdana" w:hAnsi="Verdana"/>
          <w:color w:val="808080" w:themeColor="background1" w:themeShade="80"/>
          <w:sz w:val="28"/>
        </w:rPr>
        <w:lastRenderedPageBreak/>
        <w:t>Dane odzwierciedlające orientację seksualną</w:t>
      </w:r>
    </w:p>
    <w:p w14:paraId="354F0CB4" w14:textId="77777777" w:rsidR="00D329BD" w:rsidRPr="00D329BD" w:rsidRDefault="00D329BD" w:rsidP="00D329BD">
      <w:pPr>
        <w:spacing w:line="0" w:lineRule="atLeast"/>
        <w:ind w:left="740"/>
        <w:jc w:val="both"/>
        <w:rPr>
          <w:rFonts w:ascii="Verdana" w:eastAsia="Verdana" w:hAnsi="Verdana"/>
          <w:color w:val="808080" w:themeColor="background1" w:themeShade="80"/>
          <w:sz w:val="28"/>
        </w:rPr>
      </w:pPr>
    </w:p>
    <w:p w14:paraId="15E7D90D" w14:textId="35F9573D" w:rsidR="00D329BD" w:rsidRPr="00D329BD" w:rsidRDefault="00D329BD" w:rsidP="00D329BD">
      <w:pPr>
        <w:spacing w:line="0" w:lineRule="atLeast"/>
        <w:ind w:left="740"/>
        <w:jc w:val="both"/>
        <w:rPr>
          <w:rFonts w:ascii="Verdana" w:eastAsia="Verdana" w:hAnsi="Verdana"/>
          <w:b/>
          <w:bCs/>
          <w:color w:val="005A9E"/>
          <w:szCs w:val="14"/>
        </w:rPr>
      </w:pPr>
      <w:hyperlink r:id="rId11" w:anchor="{%22itemid%22:[%22003-7424551-10163969%22]}" w:history="1">
        <w:r w:rsidRPr="00B52125">
          <w:rPr>
            <w:rStyle w:val="Hipercze"/>
            <w:rFonts w:ascii="Verdana" w:eastAsia="Verdana" w:hAnsi="Verdana"/>
            <w:b/>
            <w:bCs/>
            <w:szCs w:val="14"/>
          </w:rPr>
          <w:t>Drelon przeciwko Francji</w:t>
        </w:r>
      </w:hyperlink>
    </w:p>
    <w:p w14:paraId="7A7E854F" w14:textId="471D45A9" w:rsidR="00D329BD" w:rsidRPr="008B33E0" w:rsidRDefault="00D329BD" w:rsidP="00D329BD">
      <w:pPr>
        <w:spacing w:line="0" w:lineRule="atLeast"/>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8 września 2022 r</w:t>
      </w:r>
      <w:r w:rsidR="008B33E0" w:rsidRPr="008B33E0">
        <w:rPr>
          <w:rFonts w:ascii="Verdana" w:eastAsia="Verdana" w:hAnsi="Verdana"/>
          <w:color w:val="808080" w:themeColor="background1" w:themeShade="80"/>
          <w:sz w:val="16"/>
          <w:szCs w:val="16"/>
        </w:rPr>
        <w:t>oku</w:t>
      </w:r>
    </w:p>
    <w:p w14:paraId="1CDDCBDB" w14:textId="77777777" w:rsidR="00B52125" w:rsidRDefault="00D329BD" w:rsidP="00D329BD">
      <w:pPr>
        <w:spacing w:line="0" w:lineRule="atLeast"/>
        <w:ind w:left="740"/>
        <w:jc w:val="both"/>
        <w:rPr>
          <w:rFonts w:ascii="Verdana" w:eastAsia="Verdana" w:hAnsi="Verdana"/>
          <w:szCs w:val="14"/>
        </w:rPr>
      </w:pPr>
      <w:r w:rsidRPr="00D329BD">
        <w:rPr>
          <w:rFonts w:ascii="Verdana" w:eastAsia="Verdana" w:hAnsi="Verdana"/>
          <w:szCs w:val="14"/>
        </w:rPr>
        <w:t>Sprawa ta (dwie skargi) dotyczyła, po pierwsze, gromadzenia i przechowywania</w:t>
      </w:r>
      <w:r>
        <w:rPr>
          <w:rFonts w:ascii="Verdana" w:eastAsia="Verdana" w:hAnsi="Verdana"/>
          <w:szCs w:val="14"/>
        </w:rPr>
        <w:t xml:space="preserve"> </w:t>
      </w:r>
      <w:r w:rsidRPr="00D329BD">
        <w:rPr>
          <w:rFonts w:ascii="Verdana" w:eastAsia="Verdana" w:hAnsi="Verdana"/>
          <w:szCs w:val="14"/>
        </w:rPr>
        <w:t>przez francuską służbę krwiodawstwa (EFS) danych osobowych odzwierciedlających domniemaną orientację seksualną skarżącego - wraz z odrzuceniem jego skargi karnej o dyskryminację - oraz po drugie, odrzucenie jego propozycji oddania krwi, wraz z oddaleniem przez Conseil d'État jego skargi sądowej kwestionującej postanowienie z dnia 5 kwietnia 2016 r., które zmieniło kryteria selekcji dawców krwi.</w:t>
      </w:r>
    </w:p>
    <w:p w14:paraId="3A3F58A3" w14:textId="499EE00A" w:rsidR="001C3ADD" w:rsidRPr="00754015" w:rsidRDefault="00D329BD" w:rsidP="00B52125">
      <w:pPr>
        <w:spacing w:line="0" w:lineRule="atLeast"/>
        <w:ind w:left="740"/>
        <w:jc w:val="both"/>
        <w:rPr>
          <w:rFonts w:ascii="Verdana" w:eastAsia="Verdana" w:hAnsi="Verdana"/>
          <w:color w:val="0077D0"/>
          <w:szCs w:val="14"/>
        </w:rPr>
      </w:pPr>
      <w:r w:rsidRPr="00754015">
        <w:rPr>
          <w:rFonts w:ascii="Verdana" w:eastAsia="Verdana" w:hAnsi="Verdana"/>
          <w:color w:val="0077D0"/>
          <w:szCs w:val="14"/>
        </w:rPr>
        <w:t xml:space="preserve">Trybunał orzekł, że </w:t>
      </w:r>
      <w:r w:rsidRPr="00754015">
        <w:rPr>
          <w:rFonts w:ascii="Verdana" w:eastAsia="Verdana" w:hAnsi="Verdana"/>
          <w:b/>
          <w:bCs/>
          <w:color w:val="0077D0"/>
          <w:szCs w:val="14"/>
        </w:rPr>
        <w:t>doszło do naruszenia art. 8 Konwencji</w:t>
      </w:r>
      <w:r w:rsidRPr="00754015">
        <w:rPr>
          <w:rFonts w:ascii="Verdana" w:eastAsia="Verdana" w:hAnsi="Verdana"/>
          <w:color w:val="0077D0"/>
          <w:szCs w:val="14"/>
        </w:rPr>
        <w:t xml:space="preserve"> w związku z gromadzeniem i przechowywaniem przedmiotowych danych osobowych. Trybunał uznał, że gromadzenie i przechowywanie wrażliwych danych osobowych stanowiło ingerencję w prawo skarżącego do poszanowania jego życia prywatnego. Ingerencja ta miała przewidywalną podstawę prawną, ponieważ uznaniowe uprawnienie władz do utworzenia bazy danych dotyczących zdrowia w takim celu było wystarczająco uregulowane w obowiązującej wówczas ustawie z dnia 6 stycznia 1978 r. o ochronie danych osobowych. Podczas gdy gromadzenie i przechowywanie danych osobowych kandydatów na dawców krwi przyczyniło się do zagwarantowania bezpieczeństwa krwi, było to jednak szczególnie ważne, aby dane wrażliwe były dokładne, aktualne, trafne i nienadmierne w stosunku do zamierzonych celów; a okres przechowywania danych musiał być ograniczony do niezbędnego minimum. Trybunał zauważył, po pierwsze, że mimo że skarżący odmówił odpowiedzi na pytania dotyczące jego życia seksualnego podczas badania lekarskiego poprzedzającego oddanie krwi, dane zawierały przeciwwskazanie dodo oddawania krwi, które było specyficzne dla mężczyzn, którzy odbyli stosunek płciowy z innymi mężczyznami. Stwierdzono, że przedmiotowe dane opierały się na zwykłych spekulacjach bez udowodnionych podstaw faktycznych. Po drugie, po zauważeniu, że rząd nie wykazał, że okres przechowywania danych, że okres przechowywania danych (do 2278 r.) został uregulowany w taki sposób, że nie mógł przekroczyć okresu niezbędnego do osiągnięcia zamierzonego celu, Trybunał stwierdził, że nadmierny okres retencji umożliwił wielokrotne wykorzystywanie danych przeciwko skarżącemu, pociągając za sobą jego automatyczne wykluczenie z bycia dawcą krwi. W odniesieniu do drugiej skargi, Trybunał odrzucił jako przedawnione skargi dotyczące decyzji wykluczających skarżącego z oddawania krwi w dniach 16 listopada 2004 r. i 9 sierpnia 2006 r. W odniesieniu do decyzji z dnia 26 maja 2016 r. Trybunał stwierdził, że skarżący nie mógł powoływać się na naruszenie art. 8 i 14 (zakaz dyskryminacji) Konwencji w odniesieniu do postanowienia z dnia 5 maja 2016 r., ponieważ nie obowiązywało ono jeszcze w dniu przedmiotowej odmowy.</w:t>
      </w:r>
    </w:p>
    <w:p w14:paraId="49362DCD" w14:textId="77777777" w:rsidR="00B52125" w:rsidRPr="00B52125" w:rsidRDefault="00B52125" w:rsidP="00B52125">
      <w:pPr>
        <w:spacing w:line="0" w:lineRule="atLeast"/>
        <w:ind w:left="740"/>
        <w:jc w:val="both"/>
        <w:rPr>
          <w:rFonts w:ascii="Verdana" w:eastAsia="Verdana" w:hAnsi="Verdana"/>
          <w:color w:val="005A9E"/>
          <w:szCs w:val="14"/>
        </w:rPr>
      </w:pPr>
    </w:p>
    <w:p w14:paraId="7D4FC1D0" w14:textId="67E794AB" w:rsidR="00F04649" w:rsidRPr="00F04649" w:rsidRDefault="00F04649" w:rsidP="00AB713F">
      <w:pPr>
        <w:spacing w:after="240" w:line="0" w:lineRule="atLeast"/>
        <w:ind w:left="740"/>
        <w:rPr>
          <w:rFonts w:ascii="Verdana" w:eastAsia="Verdana" w:hAnsi="Verdana"/>
          <w:color w:val="808080"/>
          <w:sz w:val="28"/>
        </w:rPr>
      </w:pPr>
      <w:r w:rsidRPr="00F04649">
        <w:rPr>
          <w:rFonts w:ascii="Verdana" w:eastAsia="Verdana" w:hAnsi="Verdana"/>
          <w:color w:val="808080"/>
          <w:sz w:val="28"/>
        </w:rPr>
        <w:t>Informacje DNA i odciski palców</w:t>
      </w:r>
    </w:p>
    <w:bookmarkEnd w:id="1"/>
    <w:p w14:paraId="77CB4B62" w14:textId="77777777" w:rsidR="00E453F1" w:rsidRPr="00F8489F" w:rsidRDefault="00F04649" w:rsidP="00AB713F">
      <w:pPr>
        <w:spacing w:line="0" w:lineRule="atLeast"/>
        <w:ind w:left="740"/>
        <w:rPr>
          <w:rFonts w:ascii="Verdana" w:eastAsia="Verdana" w:hAnsi="Verdana"/>
          <w:sz w:val="18"/>
        </w:rPr>
      </w:pPr>
      <w:r w:rsidRPr="00F8489F">
        <w:rPr>
          <w:rFonts w:ascii="Verdana" w:eastAsia="Verdana" w:hAnsi="Verdana"/>
          <w:sz w:val="18"/>
        </w:rPr>
        <w:t>Zob. poniżej, w części "</w:t>
      </w:r>
      <w:r w:rsidR="00031A6D" w:rsidRPr="00F8489F">
        <w:rPr>
          <w:rFonts w:ascii="Verdana" w:eastAsia="Verdana" w:hAnsi="Verdana"/>
          <w:sz w:val="18"/>
        </w:rPr>
        <w:t>Przechowywanie</w:t>
      </w:r>
      <w:r w:rsidRPr="00F8489F">
        <w:rPr>
          <w:rFonts w:ascii="Verdana" w:eastAsia="Verdana" w:hAnsi="Verdana"/>
          <w:sz w:val="18"/>
        </w:rPr>
        <w:t xml:space="preserve"> i wykorzystywanie danych osobowych", "W kontekście policji i </w:t>
      </w:r>
      <w:r w:rsidR="00E453F1" w:rsidRPr="00F8489F">
        <w:rPr>
          <w:rFonts w:ascii="Verdana" w:eastAsia="Verdana" w:hAnsi="Verdana"/>
          <w:sz w:val="18"/>
        </w:rPr>
        <w:t>sprawiedliwości w postępowaniu karnym</w:t>
      </w:r>
      <w:r w:rsidRPr="00F8489F">
        <w:rPr>
          <w:rFonts w:ascii="Verdana" w:eastAsia="Verdana" w:hAnsi="Verdana"/>
          <w:sz w:val="18"/>
        </w:rPr>
        <w:t>".</w:t>
      </w:r>
    </w:p>
    <w:p w14:paraId="4D17F47F" w14:textId="77777777" w:rsidR="00F04649" w:rsidRDefault="00F04649" w:rsidP="00AB713F">
      <w:pPr>
        <w:spacing w:line="0" w:lineRule="atLeast"/>
        <w:ind w:left="740"/>
        <w:rPr>
          <w:rFonts w:ascii="Verdana" w:eastAsia="Verdana" w:hAnsi="Verdana"/>
          <w:color w:val="808080"/>
          <w:sz w:val="28"/>
        </w:rPr>
      </w:pPr>
    </w:p>
    <w:p w14:paraId="2B0B9CC1" w14:textId="77777777" w:rsidR="00D73023" w:rsidRDefault="00F17721" w:rsidP="00AB713F">
      <w:pPr>
        <w:spacing w:line="0" w:lineRule="atLeast"/>
        <w:ind w:left="740"/>
        <w:rPr>
          <w:rFonts w:ascii="Verdana" w:eastAsia="Verdana" w:hAnsi="Verdana"/>
          <w:color w:val="808080"/>
          <w:sz w:val="28"/>
        </w:rPr>
      </w:pPr>
      <w:r>
        <w:rPr>
          <w:rFonts w:ascii="Verdana" w:eastAsia="Verdana" w:hAnsi="Verdana"/>
          <w:color w:val="808080"/>
          <w:sz w:val="28"/>
        </w:rPr>
        <w:t>D</w:t>
      </w:r>
      <w:r w:rsidR="00060A54">
        <w:rPr>
          <w:rFonts w:ascii="Verdana" w:eastAsia="Verdana" w:hAnsi="Verdana"/>
          <w:color w:val="808080"/>
          <w:sz w:val="28"/>
        </w:rPr>
        <w:t>ane GPS</w:t>
      </w:r>
    </w:p>
    <w:p w14:paraId="7789722D" w14:textId="77777777" w:rsidR="002F6BF9" w:rsidRPr="00F8489F" w:rsidRDefault="002F6BF9" w:rsidP="00AB713F">
      <w:pPr>
        <w:spacing w:line="0" w:lineRule="atLeast"/>
        <w:ind w:left="740"/>
        <w:rPr>
          <w:rFonts w:ascii="Verdana" w:eastAsia="Verdana" w:hAnsi="Verdana"/>
          <w:color w:val="808080"/>
          <w:sz w:val="14"/>
        </w:rPr>
      </w:pPr>
    </w:p>
    <w:p w14:paraId="6EEE0EEC" w14:textId="59F0A185" w:rsidR="00D73023" w:rsidRPr="00991084" w:rsidRDefault="00991084" w:rsidP="00AB713F">
      <w:pPr>
        <w:spacing w:line="0" w:lineRule="atLeast"/>
        <w:ind w:left="740"/>
        <w:rPr>
          <w:rStyle w:val="Hipercze"/>
          <w:rFonts w:ascii="Verdana" w:eastAsia="Verdana" w:hAnsi="Verdana"/>
          <w:b/>
        </w:rPr>
      </w:pPr>
      <w:r>
        <w:rPr>
          <w:rFonts w:ascii="Verdana" w:eastAsia="Verdana" w:hAnsi="Verdana"/>
          <w:b/>
        </w:rPr>
        <w:fldChar w:fldCharType="begin"/>
      </w:r>
      <w:r>
        <w:rPr>
          <w:rFonts w:ascii="Verdana" w:eastAsia="Verdana" w:hAnsi="Verdana"/>
          <w:b/>
        </w:rPr>
        <w:instrText>HYPERLINK "https://hudoc.echr.coe.int/eng-press" \l "{%22itemid%22:[%22003-3241790-3612154%22]}"</w:instrText>
      </w:r>
      <w:r>
        <w:rPr>
          <w:rFonts w:ascii="Verdana" w:eastAsia="Verdana" w:hAnsi="Verdana"/>
          <w:b/>
        </w:rPr>
      </w:r>
      <w:r>
        <w:rPr>
          <w:rFonts w:ascii="Verdana" w:eastAsia="Verdana" w:hAnsi="Verdana"/>
          <w:b/>
        </w:rPr>
        <w:fldChar w:fldCharType="separate"/>
      </w:r>
      <w:r w:rsidR="00D073E9" w:rsidRPr="00991084">
        <w:rPr>
          <w:rStyle w:val="Hipercze"/>
          <w:rFonts w:ascii="Verdana" w:eastAsia="Verdana" w:hAnsi="Verdana"/>
          <w:b/>
        </w:rPr>
        <w:t>Uzun przeciwko Niemcom</w:t>
      </w:r>
    </w:p>
    <w:p w14:paraId="3DBF6733" w14:textId="33D902A6" w:rsidR="00D073E9" w:rsidRDefault="00991084" w:rsidP="00AB713F">
      <w:pPr>
        <w:spacing w:line="0" w:lineRule="atLeast"/>
        <w:ind w:left="740"/>
        <w:rPr>
          <w:rFonts w:ascii="Verdana" w:eastAsia="Verdana" w:hAnsi="Verdana"/>
          <w:color w:val="808080"/>
          <w:sz w:val="18"/>
        </w:rPr>
      </w:pPr>
      <w:r>
        <w:rPr>
          <w:rFonts w:ascii="Verdana" w:eastAsia="Verdana" w:hAnsi="Verdana"/>
          <w:b/>
        </w:rPr>
        <w:fldChar w:fldCharType="end"/>
      </w:r>
      <w:r w:rsidR="00D073E9">
        <w:rPr>
          <w:rFonts w:ascii="Verdana" w:eastAsia="Verdana" w:hAnsi="Verdana"/>
          <w:color w:val="808080"/>
          <w:sz w:val="18"/>
        </w:rPr>
        <w:t>2 września 2010 roku</w:t>
      </w:r>
    </w:p>
    <w:p w14:paraId="72E6E5EB" w14:textId="77777777" w:rsidR="00D073E9" w:rsidRPr="00F8489F" w:rsidRDefault="00D073E9" w:rsidP="00AB713F">
      <w:pPr>
        <w:spacing w:line="0" w:lineRule="atLeast"/>
        <w:ind w:left="740"/>
        <w:jc w:val="both"/>
        <w:rPr>
          <w:rFonts w:ascii="Verdana" w:eastAsia="Verdana" w:hAnsi="Verdana"/>
          <w:color w:val="000000"/>
          <w:highlight w:val="magenta"/>
        </w:rPr>
      </w:pPr>
      <w:r w:rsidRPr="00B971C9">
        <w:rPr>
          <w:rFonts w:ascii="Verdana" w:eastAsia="Verdana" w:hAnsi="Verdana"/>
          <w:color w:val="000000"/>
        </w:rPr>
        <w:t>Skarżący, podejrzewany o udział w atakach bombowych</w:t>
      </w:r>
      <w:r w:rsidR="002F6BF9" w:rsidRPr="00DD417D">
        <w:rPr>
          <w:rFonts w:ascii="Verdana" w:eastAsia="Verdana" w:hAnsi="Verdana"/>
          <w:color w:val="000000"/>
        </w:rPr>
        <w:t xml:space="preserve"> organizowanych przez</w:t>
      </w:r>
      <w:r w:rsidRPr="00DD417D">
        <w:rPr>
          <w:rFonts w:ascii="Verdana" w:eastAsia="Verdana" w:hAnsi="Verdana"/>
          <w:color w:val="000000"/>
        </w:rPr>
        <w:t xml:space="preserve"> lewicow</w:t>
      </w:r>
      <w:r w:rsidR="002F6BF9" w:rsidRPr="00AF5E6F">
        <w:rPr>
          <w:rFonts w:ascii="Verdana" w:eastAsia="Verdana" w:hAnsi="Verdana"/>
          <w:color w:val="000000"/>
        </w:rPr>
        <w:t>y</w:t>
      </w:r>
      <w:r w:rsidRPr="00AF5E6F">
        <w:rPr>
          <w:rFonts w:ascii="Verdana" w:eastAsia="Verdana" w:hAnsi="Verdana"/>
          <w:color w:val="000000"/>
        </w:rPr>
        <w:t xml:space="preserve"> ruch ekstremistów, skarżył się w s</w:t>
      </w:r>
      <w:r w:rsidRPr="006712EC">
        <w:rPr>
          <w:rFonts w:ascii="Verdana" w:eastAsia="Verdana" w:hAnsi="Verdana"/>
          <w:color w:val="000000"/>
        </w:rPr>
        <w:t>zczegól</w:t>
      </w:r>
      <w:r w:rsidRPr="006D358D">
        <w:rPr>
          <w:rFonts w:ascii="Verdana" w:eastAsia="Verdana" w:hAnsi="Verdana"/>
          <w:color w:val="000000"/>
        </w:rPr>
        <w:t>ności,</w:t>
      </w:r>
      <w:r w:rsidRPr="008F4B62">
        <w:rPr>
          <w:rFonts w:ascii="Verdana" w:eastAsia="Verdana" w:hAnsi="Verdana"/>
          <w:color w:val="000000"/>
        </w:rPr>
        <w:t xml:space="preserve"> </w:t>
      </w:r>
      <w:r w:rsidRPr="00DC7924">
        <w:rPr>
          <w:rFonts w:ascii="Verdana" w:eastAsia="Verdana" w:hAnsi="Verdana"/>
          <w:color w:val="000000"/>
        </w:rPr>
        <w:t xml:space="preserve">że jego </w:t>
      </w:r>
      <w:r w:rsidR="00AB2084">
        <w:rPr>
          <w:rFonts w:ascii="Verdana" w:eastAsia="Verdana" w:hAnsi="Verdana"/>
          <w:color w:val="000000"/>
        </w:rPr>
        <w:t>obserwacja</w:t>
      </w:r>
      <w:r w:rsidRPr="00DC7924">
        <w:rPr>
          <w:rFonts w:ascii="Verdana" w:eastAsia="Verdana" w:hAnsi="Verdana"/>
          <w:color w:val="000000"/>
        </w:rPr>
        <w:t xml:space="preserve"> za pomocą GPS </w:t>
      </w:r>
      <w:r w:rsidRPr="005003E7">
        <w:rPr>
          <w:rFonts w:ascii="Verdana" w:eastAsia="Verdana" w:hAnsi="Verdana"/>
          <w:color w:val="000000"/>
        </w:rPr>
        <w:t>i wykorzystanie danych uzyskanych w ten sposób w postępowaniu ka</w:t>
      </w:r>
      <w:r w:rsidRPr="009C0ACB">
        <w:rPr>
          <w:rFonts w:ascii="Verdana" w:eastAsia="Verdana" w:hAnsi="Verdana"/>
          <w:color w:val="000000"/>
        </w:rPr>
        <w:t xml:space="preserve">rnym </w:t>
      </w:r>
      <w:r w:rsidR="002F6BF9" w:rsidRPr="00B06720">
        <w:rPr>
          <w:rFonts w:ascii="Verdana" w:eastAsia="Verdana" w:hAnsi="Verdana"/>
          <w:color w:val="000000"/>
        </w:rPr>
        <w:t>naruszyło</w:t>
      </w:r>
      <w:r w:rsidRPr="00B06720">
        <w:rPr>
          <w:rFonts w:ascii="Verdana" w:eastAsia="Verdana" w:hAnsi="Verdana"/>
          <w:color w:val="000000"/>
        </w:rPr>
        <w:t xml:space="preserve"> jego prawo do poszanowania </w:t>
      </w:r>
      <w:r w:rsidR="002F6BF9" w:rsidRPr="007C26FA">
        <w:rPr>
          <w:rFonts w:ascii="Verdana" w:eastAsia="Verdana" w:hAnsi="Verdana"/>
          <w:color w:val="000000"/>
        </w:rPr>
        <w:t>życia</w:t>
      </w:r>
      <w:r w:rsidRPr="00B467C8">
        <w:rPr>
          <w:rFonts w:ascii="Verdana" w:eastAsia="Verdana" w:hAnsi="Verdana"/>
          <w:color w:val="000000"/>
        </w:rPr>
        <w:t xml:space="preserve"> prywatnego. </w:t>
      </w:r>
    </w:p>
    <w:p w14:paraId="1F0F52C6" w14:textId="77777777" w:rsidR="00950775" w:rsidRPr="00BA2493" w:rsidRDefault="002F6BF9"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 xml:space="preserve">nie doszło do naruszenia </w:t>
      </w:r>
      <w:r w:rsidR="009E4C68">
        <w:rPr>
          <w:rFonts w:ascii="Verdana" w:eastAsia="Verdana" w:hAnsi="Verdana"/>
          <w:b/>
          <w:color w:val="0070C0"/>
        </w:rPr>
        <w:t>art.</w:t>
      </w:r>
      <w:r w:rsidRPr="00F8489F">
        <w:rPr>
          <w:rFonts w:ascii="Verdana" w:eastAsia="Verdana" w:hAnsi="Verdana"/>
          <w:b/>
          <w:color w:val="0070C0"/>
        </w:rPr>
        <w:t xml:space="preserve"> 8</w:t>
      </w:r>
      <w:r w:rsidRPr="00F8489F">
        <w:rPr>
          <w:rFonts w:ascii="Verdana" w:eastAsia="Verdana" w:hAnsi="Verdana"/>
          <w:color w:val="0070C0"/>
        </w:rPr>
        <w:t xml:space="preserve"> Konwencji. </w:t>
      </w:r>
      <w:r w:rsidR="00BA2493">
        <w:rPr>
          <w:rFonts w:ascii="Verdana" w:eastAsia="Verdana" w:hAnsi="Verdana"/>
          <w:color w:val="0070C0"/>
        </w:rPr>
        <w:t>Obserwacja</w:t>
      </w:r>
      <w:r w:rsidRPr="00B971C9">
        <w:rPr>
          <w:rFonts w:ascii="Verdana" w:eastAsia="Verdana" w:hAnsi="Verdana"/>
          <w:color w:val="0070C0"/>
        </w:rPr>
        <w:t xml:space="preserve"> GPS </w:t>
      </w:r>
      <w:r w:rsidR="00BA2493">
        <w:rPr>
          <w:rFonts w:ascii="Verdana" w:eastAsia="Verdana" w:hAnsi="Verdana"/>
          <w:color w:val="0070C0"/>
        </w:rPr>
        <w:t>oraz przetwarzanie i</w:t>
      </w:r>
      <w:r w:rsidRPr="00B971C9">
        <w:rPr>
          <w:rFonts w:ascii="Verdana" w:eastAsia="Verdana" w:hAnsi="Verdana"/>
          <w:color w:val="0070C0"/>
        </w:rPr>
        <w:t xml:space="preserve"> wykorzys</w:t>
      </w:r>
      <w:r w:rsidRPr="00DD417D">
        <w:rPr>
          <w:rFonts w:ascii="Verdana" w:eastAsia="Verdana" w:hAnsi="Verdana"/>
          <w:color w:val="0070C0"/>
        </w:rPr>
        <w:t>tanie danych uzyskanych w ten sposób</w:t>
      </w:r>
      <w:r w:rsidRPr="00AF5E6F">
        <w:rPr>
          <w:rFonts w:ascii="Verdana" w:eastAsia="Verdana" w:hAnsi="Verdana"/>
          <w:color w:val="0070C0"/>
        </w:rPr>
        <w:t xml:space="preserve"> rzeczywiście </w:t>
      </w:r>
      <w:r w:rsidR="00BA2493">
        <w:rPr>
          <w:rFonts w:ascii="Verdana" w:eastAsia="Verdana" w:hAnsi="Verdana"/>
          <w:color w:val="0070C0"/>
        </w:rPr>
        <w:t>stanowiły ingerencję</w:t>
      </w:r>
      <w:r w:rsidRPr="006712EC">
        <w:rPr>
          <w:rFonts w:ascii="Verdana" w:eastAsia="Verdana" w:hAnsi="Verdana"/>
          <w:color w:val="0070C0"/>
        </w:rPr>
        <w:t xml:space="preserve"> </w:t>
      </w:r>
      <w:r w:rsidR="00BA2493">
        <w:rPr>
          <w:rFonts w:ascii="Verdana" w:eastAsia="Verdana" w:hAnsi="Verdana"/>
          <w:color w:val="0070C0"/>
        </w:rPr>
        <w:t xml:space="preserve">w </w:t>
      </w:r>
      <w:r w:rsidRPr="006712EC">
        <w:rPr>
          <w:rFonts w:ascii="Verdana" w:eastAsia="Verdana" w:hAnsi="Verdana"/>
          <w:color w:val="0070C0"/>
        </w:rPr>
        <w:t>prawo skarżącego do poszanowania jego życia pry</w:t>
      </w:r>
      <w:r w:rsidRPr="006D358D">
        <w:rPr>
          <w:rFonts w:ascii="Verdana" w:eastAsia="Verdana" w:hAnsi="Verdana"/>
          <w:color w:val="0070C0"/>
        </w:rPr>
        <w:t>wa</w:t>
      </w:r>
      <w:r w:rsidRPr="008F4B62">
        <w:rPr>
          <w:rFonts w:ascii="Verdana" w:eastAsia="Verdana" w:hAnsi="Verdana"/>
          <w:color w:val="0070C0"/>
        </w:rPr>
        <w:t>tnego</w:t>
      </w:r>
      <w:r w:rsidRPr="00DC7924">
        <w:rPr>
          <w:rFonts w:ascii="Verdana" w:eastAsia="Verdana" w:hAnsi="Verdana"/>
          <w:color w:val="0070C0"/>
        </w:rPr>
        <w:t>.</w:t>
      </w:r>
      <w:r w:rsidR="007849BA" w:rsidRPr="005003E7">
        <w:rPr>
          <w:rFonts w:ascii="Verdana" w:eastAsia="Verdana" w:hAnsi="Verdana"/>
          <w:color w:val="0070C0"/>
        </w:rPr>
        <w:t xml:space="preserve"> Trybunał zauważył</w:t>
      </w:r>
      <w:r w:rsidR="007849BA" w:rsidRPr="009C0ACB">
        <w:rPr>
          <w:rFonts w:ascii="Verdana" w:eastAsia="Verdana" w:hAnsi="Verdana"/>
          <w:color w:val="0070C0"/>
        </w:rPr>
        <w:t xml:space="preserve"> jednak</w:t>
      </w:r>
      <w:r w:rsidR="007849BA" w:rsidRPr="00B06720">
        <w:rPr>
          <w:rFonts w:ascii="Verdana" w:eastAsia="Verdana" w:hAnsi="Verdana"/>
          <w:color w:val="0070C0"/>
        </w:rPr>
        <w:t xml:space="preserve">, </w:t>
      </w:r>
      <w:r w:rsidR="00B971C9" w:rsidRPr="00F8489F">
        <w:rPr>
          <w:rFonts w:ascii="Verdana" w:eastAsia="Verdana" w:hAnsi="Verdana"/>
          <w:color w:val="0070C0"/>
        </w:rPr>
        <w:t>ż</w:t>
      </w:r>
      <w:r w:rsidR="007849BA" w:rsidRPr="00B971C9">
        <w:rPr>
          <w:rFonts w:ascii="Verdana" w:eastAsia="Verdana" w:hAnsi="Verdana"/>
          <w:color w:val="0070C0"/>
        </w:rPr>
        <w:t>e  realizowa</w:t>
      </w:r>
      <w:r w:rsidR="007849BA" w:rsidRPr="00DD417D">
        <w:rPr>
          <w:rFonts w:ascii="Verdana" w:eastAsia="Verdana" w:hAnsi="Verdana"/>
          <w:color w:val="0070C0"/>
        </w:rPr>
        <w:t>no uzasadnione cele ochrony bezpieczeństwa narodowego, bezpieczeństwa publicznego i praw ofiar</w:t>
      </w:r>
      <w:r w:rsidR="00BA2493">
        <w:rPr>
          <w:rFonts w:ascii="Verdana" w:eastAsia="Verdana" w:hAnsi="Verdana"/>
          <w:color w:val="0070C0"/>
        </w:rPr>
        <w:t>,</w:t>
      </w:r>
      <w:r w:rsidR="007849BA" w:rsidRPr="00DD417D">
        <w:rPr>
          <w:rFonts w:ascii="Verdana" w:eastAsia="Verdana" w:hAnsi="Verdana"/>
          <w:color w:val="0070C0"/>
        </w:rPr>
        <w:t xml:space="preserve"> oraz z</w:t>
      </w:r>
      <w:r w:rsidR="007849BA" w:rsidRPr="00AF5E6F">
        <w:rPr>
          <w:rFonts w:ascii="Verdana" w:eastAsia="Verdana" w:hAnsi="Verdana"/>
          <w:color w:val="0070C0"/>
        </w:rPr>
        <w:t xml:space="preserve">apobiegania przestępczości. </w:t>
      </w:r>
      <w:r w:rsidR="00BA2493">
        <w:rPr>
          <w:rFonts w:ascii="Verdana" w:eastAsia="Verdana" w:hAnsi="Verdana"/>
          <w:color w:val="0070C0"/>
        </w:rPr>
        <w:t>Ingerencja b</w:t>
      </w:r>
      <w:r w:rsidR="007849BA" w:rsidRPr="00AF5E6F">
        <w:rPr>
          <w:rFonts w:ascii="Verdana" w:eastAsia="Verdana" w:hAnsi="Verdana"/>
          <w:color w:val="0070C0"/>
        </w:rPr>
        <w:t>ył</w:t>
      </w:r>
      <w:r w:rsidR="00BA2493">
        <w:rPr>
          <w:rFonts w:ascii="Verdana" w:eastAsia="Verdana" w:hAnsi="Verdana"/>
          <w:color w:val="0070C0"/>
        </w:rPr>
        <w:t>a</w:t>
      </w:r>
      <w:r w:rsidR="00B971C9">
        <w:rPr>
          <w:rFonts w:ascii="Verdana" w:eastAsia="Verdana" w:hAnsi="Verdana"/>
          <w:color w:val="0070C0"/>
        </w:rPr>
        <w:t xml:space="preserve"> </w:t>
      </w:r>
      <w:r w:rsidR="007849BA" w:rsidRPr="00B971C9">
        <w:rPr>
          <w:rFonts w:ascii="Verdana" w:eastAsia="Verdana" w:hAnsi="Verdana"/>
          <w:color w:val="0070C0"/>
        </w:rPr>
        <w:t>również proporcjonaln</w:t>
      </w:r>
      <w:r w:rsidR="00BA2493">
        <w:rPr>
          <w:rFonts w:ascii="Verdana" w:eastAsia="Verdana" w:hAnsi="Verdana"/>
          <w:color w:val="0070C0"/>
        </w:rPr>
        <w:t>a</w:t>
      </w:r>
      <w:r w:rsidR="007849BA" w:rsidRPr="00B971C9">
        <w:rPr>
          <w:rFonts w:ascii="Verdana" w:eastAsia="Verdana" w:hAnsi="Verdana"/>
          <w:color w:val="0070C0"/>
        </w:rPr>
        <w:t xml:space="preserve">: </w:t>
      </w:r>
      <w:r w:rsidR="00BA2493">
        <w:rPr>
          <w:rFonts w:ascii="Verdana" w:eastAsia="Verdana" w:hAnsi="Verdana"/>
          <w:color w:val="0070C0"/>
        </w:rPr>
        <w:t>obserwację</w:t>
      </w:r>
      <w:r w:rsidR="007849BA" w:rsidRPr="00B971C9">
        <w:rPr>
          <w:rFonts w:ascii="Verdana" w:eastAsia="Verdana" w:hAnsi="Verdana"/>
          <w:color w:val="0070C0"/>
        </w:rPr>
        <w:t xml:space="preserve"> GPS</w:t>
      </w:r>
      <w:r w:rsidR="007849BA" w:rsidRPr="00DD417D">
        <w:rPr>
          <w:rFonts w:ascii="Verdana" w:eastAsia="Verdana" w:hAnsi="Verdana"/>
          <w:color w:val="0070C0"/>
        </w:rPr>
        <w:t xml:space="preserve"> zarządzono dopiero po tym jak mniej inwazyjne metody dochodzeniowe okazały się niew</w:t>
      </w:r>
      <w:r w:rsidR="007849BA" w:rsidRPr="00AF5E6F">
        <w:rPr>
          <w:rFonts w:ascii="Verdana" w:eastAsia="Verdana" w:hAnsi="Verdana"/>
          <w:color w:val="0070C0"/>
        </w:rPr>
        <w:t>ystarczające, był</w:t>
      </w:r>
      <w:r w:rsidR="00BA2493">
        <w:rPr>
          <w:rFonts w:ascii="Verdana" w:eastAsia="Verdana" w:hAnsi="Verdana"/>
          <w:color w:val="0070C0"/>
        </w:rPr>
        <w:t>a</w:t>
      </w:r>
      <w:r w:rsidR="007849BA" w:rsidRPr="00AF5E6F">
        <w:rPr>
          <w:rFonts w:ascii="Verdana" w:eastAsia="Verdana" w:hAnsi="Verdana"/>
          <w:color w:val="0070C0"/>
        </w:rPr>
        <w:t xml:space="preserve"> prowadzon</w:t>
      </w:r>
      <w:r w:rsidR="00BA2493">
        <w:rPr>
          <w:rFonts w:ascii="Verdana" w:eastAsia="Verdana" w:hAnsi="Verdana"/>
          <w:color w:val="0070C0"/>
        </w:rPr>
        <w:t>a</w:t>
      </w:r>
      <w:r w:rsidR="007849BA" w:rsidRPr="00AF5E6F">
        <w:rPr>
          <w:rFonts w:ascii="Verdana" w:eastAsia="Verdana" w:hAnsi="Verdana"/>
          <w:color w:val="0070C0"/>
        </w:rPr>
        <w:t xml:space="preserve"> przez </w:t>
      </w:r>
      <w:r w:rsidR="007849BA" w:rsidRPr="00AF5E6F">
        <w:rPr>
          <w:rFonts w:ascii="Verdana" w:eastAsia="Verdana" w:hAnsi="Verdana"/>
          <w:color w:val="0070C0"/>
        </w:rPr>
        <w:lastRenderedPageBreak/>
        <w:t xml:space="preserve">stosunkowo krótki </w:t>
      </w:r>
      <w:r w:rsidR="007849BA" w:rsidRPr="006712EC">
        <w:rPr>
          <w:rFonts w:ascii="Verdana" w:eastAsia="Verdana" w:hAnsi="Verdana"/>
          <w:color w:val="0070C0"/>
        </w:rPr>
        <w:t>okre</w:t>
      </w:r>
      <w:r w:rsidR="007849BA" w:rsidRPr="006D358D">
        <w:rPr>
          <w:rFonts w:ascii="Verdana" w:eastAsia="Verdana" w:hAnsi="Verdana"/>
          <w:color w:val="0070C0"/>
        </w:rPr>
        <w:t>s (około trzech miesięcy) i dotyczył</w:t>
      </w:r>
      <w:r w:rsidR="00BA2493">
        <w:rPr>
          <w:rFonts w:ascii="Verdana" w:eastAsia="Verdana" w:hAnsi="Verdana"/>
          <w:color w:val="0070C0"/>
        </w:rPr>
        <w:t>a</w:t>
      </w:r>
      <w:r w:rsidR="007849BA" w:rsidRPr="006D358D">
        <w:rPr>
          <w:rFonts w:ascii="Verdana" w:eastAsia="Verdana" w:hAnsi="Verdana"/>
          <w:color w:val="0070C0"/>
        </w:rPr>
        <w:t xml:space="preserve"> </w:t>
      </w:r>
      <w:r w:rsidR="00BA2493">
        <w:rPr>
          <w:rFonts w:ascii="Verdana" w:eastAsia="Verdana" w:hAnsi="Verdana"/>
          <w:color w:val="0070C0"/>
        </w:rPr>
        <w:t>skarżącego</w:t>
      </w:r>
      <w:r w:rsidR="00950775" w:rsidRPr="005003E7">
        <w:rPr>
          <w:rFonts w:ascii="Verdana" w:eastAsia="Verdana" w:hAnsi="Verdana"/>
          <w:color w:val="0070C0"/>
        </w:rPr>
        <w:t xml:space="preserve"> tylko wted</w:t>
      </w:r>
      <w:r w:rsidR="00950775" w:rsidRPr="009C0ACB">
        <w:rPr>
          <w:rFonts w:ascii="Verdana" w:eastAsia="Verdana" w:hAnsi="Verdana"/>
          <w:color w:val="0070C0"/>
        </w:rPr>
        <w:t xml:space="preserve">y, gdy </w:t>
      </w:r>
      <w:r w:rsidR="00950775" w:rsidRPr="00B06720">
        <w:rPr>
          <w:rFonts w:ascii="Verdana" w:eastAsia="Verdana" w:hAnsi="Verdana"/>
          <w:color w:val="0070C0"/>
        </w:rPr>
        <w:t xml:space="preserve">podróżował samochodem wspólnika. W związku z tym nie można było </w:t>
      </w:r>
      <w:r w:rsidR="00B971C9" w:rsidRPr="00F8489F">
        <w:rPr>
          <w:rFonts w:ascii="Verdana" w:eastAsia="Verdana" w:hAnsi="Verdana"/>
          <w:color w:val="0070C0"/>
        </w:rPr>
        <w:t>uznać</w:t>
      </w:r>
      <w:r w:rsidR="00950775" w:rsidRPr="00DD417D">
        <w:rPr>
          <w:rFonts w:ascii="Verdana" w:eastAsia="Verdana" w:hAnsi="Verdana"/>
          <w:color w:val="0070C0"/>
        </w:rPr>
        <w:t xml:space="preserve">, że </w:t>
      </w:r>
      <w:r w:rsidR="00647839">
        <w:rPr>
          <w:rFonts w:ascii="Verdana" w:eastAsia="Verdana" w:hAnsi="Verdana"/>
          <w:color w:val="0070C0"/>
        </w:rPr>
        <w:t>skarżący</w:t>
      </w:r>
      <w:r w:rsidR="00950775" w:rsidRPr="00DD417D">
        <w:rPr>
          <w:rFonts w:ascii="Verdana" w:eastAsia="Verdana" w:hAnsi="Verdana"/>
          <w:color w:val="0070C0"/>
        </w:rPr>
        <w:t xml:space="preserve"> został poddany całkowit</w:t>
      </w:r>
      <w:r w:rsidR="00647839">
        <w:rPr>
          <w:rFonts w:ascii="Verdana" w:eastAsia="Verdana" w:hAnsi="Verdana"/>
          <w:color w:val="0070C0"/>
        </w:rPr>
        <w:t>ej</w:t>
      </w:r>
      <w:r w:rsidR="00950775" w:rsidRPr="00DD417D">
        <w:rPr>
          <w:rFonts w:ascii="Verdana" w:eastAsia="Verdana" w:hAnsi="Verdana"/>
          <w:color w:val="0070C0"/>
        </w:rPr>
        <w:t xml:space="preserve"> i komplek</w:t>
      </w:r>
      <w:r w:rsidR="00950775" w:rsidRPr="00AF5E6F">
        <w:rPr>
          <w:rFonts w:ascii="Verdana" w:eastAsia="Verdana" w:hAnsi="Verdana"/>
          <w:color w:val="0070C0"/>
        </w:rPr>
        <w:t>sowe</w:t>
      </w:r>
      <w:r w:rsidR="00647839">
        <w:rPr>
          <w:rFonts w:ascii="Verdana" w:eastAsia="Verdana" w:hAnsi="Verdana"/>
          <w:color w:val="0070C0"/>
        </w:rPr>
        <w:t>j</w:t>
      </w:r>
      <w:r w:rsidR="00950775" w:rsidRPr="00AF5E6F">
        <w:rPr>
          <w:rFonts w:ascii="Verdana" w:eastAsia="Verdana" w:hAnsi="Verdana"/>
          <w:color w:val="0070C0"/>
        </w:rPr>
        <w:t xml:space="preserve"> </w:t>
      </w:r>
      <w:r w:rsidR="00647839">
        <w:rPr>
          <w:rFonts w:ascii="Verdana" w:eastAsia="Verdana" w:hAnsi="Verdana"/>
          <w:color w:val="0070C0"/>
        </w:rPr>
        <w:t>obserwacji</w:t>
      </w:r>
      <w:r w:rsidR="00950775" w:rsidRPr="00AF5E6F">
        <w:rPr>
          <w:rFonts w:ascii="Verdana" w:eastAsia="Verdana" w:hAnsi="Verdana"/>
          <w:color w:val="0070C0"/>
        </w:rPr>
        <w:t xml:space="preserve">. </w:t>
      </w:r>
      <w:r w:rsidR="00950775" w:rsidRPr="006712EC">
        <w:rPr>
          <w:rFonts w:ascii="Verdana" w:eastAsia="Verdana" w:hAnsi="Verdana"/>
          <w:color w:val="0070C0"/>
        </w:rPr>
        <w:t xml:space="preserve">Biorąc pod uwagę, że dochodzenie dotyczyło bardzo poważnych przestępstw, </w:t>
      </w:r>
      <w:r w:rsidR="00647839">
        <w:rPr>
          <w:rFonts w:ascii="Verdana" w:eastAsia="Verdana" w:hAnsi="Verdana"/>
          <w:color w:val="0070C0"/>
        </w:rPr>
        <w:t>obserwacja</w:t>
      </w:r>
      <w:r w:rsidR="00B971C9" w:rsidRPr="00F8489F">
        <w:rPr>
          <w:rFonts w:ascii="Verdana" w:eastAsia="Verdana" w:hAnsi="Verdana"/>
          <w:color w:val="0070C0"/>
        </w:rPr>
        <w:t xml:space="preserve"> skarżącego z użyciem danych GPS był</w:t>
      </w:r>
      <w:r w:rsidR="00647839">
        <w:rPr>
          <w:rFonts w:ascii="Verdana" w:eastAsia="Verdana" w:hAnsi="Verdana"/>
          <w:color w:val="0070C0"/>
        </w:rPr>
        <w:t>a</w:t>
      </w:r>
      <w:r w:rsidR="00B971C9" w:rsidRPr="00F8489F">
        <w:rPr>
          <w:rFonts w:ascii="Verdana" w:eastAsia="Verdana" w:hAnsi="Verdana"/>
          <w:color w:val="0070C0"/>
        </w:rPr>
        <w:t xml:space="preserve"> konieczn</w:t>
      </w:r>
      <w:r w:rsidR="00647839">
        <w:rPr>
          <w:rFonts w:ascii="Verdana" w:eastAsia="Verdana" w:hAnsi="Verdana"/>
          <w:color w:val="0070C0"/>
        </w:rPr>
        <w:t>a</w:t>
      </w:r>
      <w:r w:rsidR="00B971C9" w:rsidRPr="00F8489F">
        <w:rPr>
          <w:rFonts w:ascii="Verdana" w:eastAsia="Verdana" w:hAnsi="Verdana"/>
          <w:color w:val="0070C0"/>
        </w:rPr>
        <w:t xml:space="preserve"> w społeczeństwie demokratycznym.</w:t>
      </w:r>
    </w:p>
    <w:p w14:paraId="29E726B6" w14:textId="77777777" w:rsidR="00F832FE" w:rsidRDefault="00F832FE" w:rsidP="00AB713F">
      <w:pPr>
        <w:spacing w:line="125" w:lineRule="exact"/>
        <w:ind w:left="740"/>
        <w:rPr>
          <w:rFonts w:ascii="Times New Roman" w:eastAsia="Times New Roman" w:hAnsi="Times New Roman"/>
          <w:sz w:val="24"/>
        </w:rPr>
      </w:pPr>
    </w:p>
    <w:p w14:paraId="23C4D11C" w14:textId="5D7E528F" w:rsidR="00F832FE" w:rsidRPr="00A14197" w:rsidRDefault="00F832FE" w:rsidP="00AB713F">
      <w:pPr>
        <w:spacing w:line="0" w:lineRule="atLeast"/>
        <w:ind w:left="740"/>
        <w:rPr>
          <w:rStyle w:val="Hipercze"/>
          <w:color w:val="0072BC"/>
        </w:rPr>
      </w:pPr>
      <w:hyperlink r:id="rId12" w:anchor="{%22itemid%22:[%22003-5999245-7685292%22]}" w:history="1">
        <w:r w:rsidRPr="00A14197">
          <w:rPr>
            <w:rStyle w:val="Hipercze"/>
            <w:rFonts w:ascii="Verdana" w:eastAsia="Verdana" w:hAnsi="Verdana"/>
            <w:b/>
            <w:color w:val="0072BC"/>
          </w:rPr>
          <w:t xml:space="preserve">Ben Faiza </w:t>
        </w:r>
        <w:r w:rsidR="00060A54" w:rsidRPr="00A14197">
          <w:rPr>
            <w:rStyle w:val="Hipercze"/>
            <w:rFonts w:ascii="Verdana" w:eastAsia="Verdana" w:hAnsi="Verdana"/>
            <w:b/>
            <w:color w:val="0072BC"/>
          </w:rPr>
          <w:t>przeciwko Francji</w:t>
        </w:r>
      </w:hyperlink>
      <w:r w:rsidR="00060A54" w:rsidRPr="00A14197">
        <w:rPr>
          <w:rStyle w:val="Hipercze"/>
          <w:color w:val="0072BC"/>
        </w:rPr>
        <w:t xml:space="preserve"> </w:t>
      </w:r>
    </w:p>
    <w:p w14:paraId="5096F377" w14:textId="77777777" w:rsidR="00F832FE" w:rsidRDefault="00F832FE" w:rsidP="00AB713F">
      <w:pPr>
        <w:spacing w:line="66" w:lineRule="exact"/>
        <w:ind w:left="740"/>
        <w:rPr>
          <w:rFonts w:ascii="Times New Roman" w:eastAsia="Times New Roman" w:hAnsi="Times New Roman"/>
        </w:rPr>
      </w:pPr>
    </w:p>
    <w:p w14:paraId="4A070355" w14:textId="77777777" w:rsidR="00F832FE" w:rsidRDefault="00F832FE" w:rsidP="00AB713F">
      <w:pPr>
        <w:spacing w:line="0" w:lineRule="atLeast"/>
        <w:ind w:left="740"/>
        <w:rPr>
          <w:rFonts w:ascii="Verdana" w:eastAsia="Verdana" w:hAnsi="Verdana"/>
          <w:color w:val="808080"/>
          <w:sz w:val="18"/>
        </w:rPr>
      </w:pPr>
      <w:bookmarkStart w:id="2" w:name="_Hlk17381225"/>
      <w:r>
        <w:rPr>
          <w:rFonts w:ascii="Verdana" w:eastAsia="Verdana" w:hAnsi="Verdana"/>
          <w:color w:val="808080"/>
          <w:sz w:val="18"/>
        </w:rPr>
        <w:t>8</w:t>
      </w:r>
      <w:r w:rsidR="00060A54">
        <w:rPr>
          <w:rFonts w:ascii="Verdana" w:eastAsia="Verdana" w:hAnsi="Verdana"/>
          <w:color w:val="808080"/>
          <w:sz w:val="18"/>
        </w:rPr>
        <w:t xml:space="preserve"> lutego</w:t>
      </w:r>
      <w:r>
        <w:rPr>
          <w:rFonts w:ascii="Verdana" w:eastAsia="Verdana" w:hAnsi="Verdana"/>
          <w:color w:val="808080"/>
          <w:sz w:val="18"/>
        </w:rPr>
        <w:t xml:space="preserve"> 2018</w:t>
      </w:r>
      <w:r w:rsidR="00A95B2F">
        <w:rPr>
          <w:rFonts w:ascii="Verdana" w:eastAsia="Verdana" w:hAnsi="Verdana"/>
          <w:color w:val="808080"/>
          <w:sz w:val="18"/>
        </w:rPr>
        <w:t xml:space="preserve"> roku</w:t>
      </w:r>
    </w:p>
    <w:bookmarkEnd w:id="2"/>
    <w:p w14:paraId="0A17AB53" w14:textId="77777777" w:rsidR="00F832FE" w:rsidRDefault="00437024" w:rsidP="00AB713F">
      <w:pPr>
        <w:spacing w:line="239" w:lineRule="auto"/>
        <w:ind w:left="740" w:right="20"/>
        <w:jc w:val="both"/>
        <w:rPr>
          <w:rFonts w:ascii="Verdana" w:eastAsia="Verdana" w:hAnsi="Verdana"/>
        </w:rPr>
      </w:pPr>
      <w:r>
        <w:rPr>
          <w:rFonts w:ascii="Verdana" w:eastAsia="Verdana" w:hAnsi="Verdana"/>
        </w:rPr>
        <w:t>Sprawa ta</w:t>
      </w:r>
      <w:r w:rsidR="00060A54">
        <w:rPr>
          <w:rFonts w:ascii="Verdana" w:eastAsia="Verdana" w:hAnsi="Verdana"/>
        </w:rPr>
        <w:t xml:space="preserve"> dotyczyła środków </w:t>
      </w:r>
      <w:r w:rsidR="00647839">
        <w:rPr>
          <w:rFonts w:ascii="Verdana" w:eastAsia="Verdana" w:hAnsi="Verdana"/>
        </w:rPr>
        <w:t>obserwacji</w:t>
      </w:r>
      <w:r w:rsidR="00060A54">
        <w:rPr>
          <w:rFonts w:ascii="Verdana" w:eastAsia="Verdana" w:hAnsi="Verdana"/>
        </w:rPr>
        <w:t xml:space="preserve"> zastosowanych wobec skarżącego podczas prowadzonego przeciwko niemu dochodzeni</w:t>
      </w:r>
      <w:r w:rsidR="00647839">
        <w:rPr>
          <w:rFonts w:ascii="Verdana" w:eastAsia="Verdana" w:hAnsi="Verdana"/>
        </w:rPr>
        <w:t>a</w:t>
      </w:r>
      <w:r w:rsidR="00060A54">
        <w:rPr>
          <w:rFonts w:ascii="Verdana" w:eastAsia="Verdana" w:hAnsi="Verdana"/>
        </w:rPr>
        <w:t xml:space="preserve"> pod kątem udziału w przestępstwach </w:t>
      </w:r>
      <w:r w:rsidR="008C345D">
        <w:rPr>
          <w:rFonts w:ascii="Verdana" w:eastAsia="Verdana" w:hAnsi="Verdana"/>
        </w:rPr>
        <w:t xml:space="preserve">związanych z </w:t>
      </w:r>
      <w:r>
        <w:rPr>
          <w:rFonts w:ascii="Verdana" w:eastAsia="Verdana" w:hAnsi="Verdana"/>
        </w:rPr>
        <w:t>handl</w:t>
      </w:r>
      <w:r w:rsidR="008C345D">
        <w:rPr>
          <w:rFonts w:ascii="Verdana" w:eastAsia="Verdana" w:hAnsi="Verdana"/>
        </w:rPr>
        <w:t>em</w:t>
      </w:r>
      <w:r>
        <w:rPr>
          <w:rFonts w:ascii="Verdana" w:eastAsia="Verdana" w:hAnsi="Verdana"/>
        </w:rPr>
        <w:t xml:space="preserve"> narkotykami. </w:t>
      </w:r>
      <w:r w:rsidR="00060A54">
        <w:rPr>
          <w:rFonts w:ascii="Verdana" w:eastAsia="Verdana" w:hAnsi="Verdana"/>
        </w:rPr>
        <w:t>Skarżący podnosił, że środki te (zarówno zainstalowanie</w:t>
      </w:r>
      <w:r w:rsidR="00931955">
        <w:rPr>
          <w:rFonts w:ascii="Verdana" w:eastAsia="Verdana" w:hAnsi="Verdana"/>
        </w:rPr>
        <w:t xml:space="preserve"> urządzenia geolokalizującego w jego pojeździe oraz nakaz </w:t>
      </w:r>
      <w:r w:rsidR="00DD417D">
        <w:rPr>
          <w:rFonts w:ascii="Verdana" w:eastAsia="Verdana" w:hAnsi="Verdana"/>
        </w:rPr>
        <w:t xml:space="preserve">sądowy </w:t>
      </w:r>
      <w:r w:rsidR="00931955">
        <w:rPr>
          <w:rFonts w:ascii="Verdana" w:eastAsia="Verdana" w:hAnsi="Verdana"/>
        </w:rPr>
        <w:t>nałożony na operatora komó</w:t>
      </w:r>
      <w:r>
        <w:rPr>
          <w:rFonts w:ascii="Verdana" w:eastAsia="Verdana" w:hAnsi="Verdana"/>
        </w:rPr>
        <w:t>rkowego mający na celu uzyskanie</w:t>
      </w:r>
      <w:r w:rsidR="00931955">
        <w:rPr>
          <w:rFonts w:ascii="Verdana" w:eastAsia="Verdana" w:hAnsi="Verdana"/>
        </w:rPr>
        <w:t xml:space="preserve"> rejestrów połączeń przychodzących i wychodzących, razem z sygnałami z wież telefonicznych, umożliwiły śledzenie każdego jego kroku) stanowiły naruszenie jego praw</w:t>
      </w:r>
      <w:r w:rsidR="00DD417D">
        <w:rPr>
          <w:rFonts w:ascii="Verdana" w:eastAsia="Verdana" w:hAnsi="Verdana"/>
        </w:rPr>
        <w:t>a</w:t>
      </w:r>
      <w:r w:rsidR="00931955">
        <w:rPr>
          <w:rFonts w:ascii="Verdana" w:eastAsia="Verdana" w:hAnsi="Verdana"/>
        </w:rPr>
        <w:t xml:space="preserve"> do poszanowania życia prywatnego.  </w:t>
      </w:r>
      <w:r w:rsidR="00060A54">
        <w:rPr>
          <w:rFonts w:ascii="Verdana" w:eastAsia="Verdana" w:hAnsi="Verdana"/>
        </w:rPr>
        <w:t xml:space="preserve"> </w:t>
      </w:r>
    </w:p>
    <w:p w14:paraId="491441A7" w14:textId="77777777" w:rsidR="00F832FE" w:rsidRDefault="00F832FE" w:rsidP="00AB713F">
      <w:pPr>
        <w:spacing w:line="3" w:lineRule="exact"/>
        <w:ind w:left="740"/>
        <w:rPr>
          <w:rFonts w:ascii="Times New Roman" w:eastAsia="Times New Roman" w:hAnsi="Times New Roman"/>
        </w:rPr>
      </w:pPr>
    </w:p>
    <w:p w14:paraId="29278DD8" w14:textId="77777777" w:rsidR="00DD417D" w:rsidRDefault="00931955" w:rsidP="00AB713F">
      <w:pPr>
        <w:spacing w:line="241" w:lineRule="auto"/>
        <w:ind w:left="740"/>
        <w:jc w:val="both"/>
        <w:rPr>
          <w:rFonts w:ascii="Verdana" w:eastAsia="Verdana" w:hAnsi="Verdana"/>
          <w:color w:val="0072BC"/>
        </w:rPr>
      </w:pPr>
      <w:r>
        <w:rPr>
          <w:rFonts w:ascii="Verdana" w:eastAsia="Verdana" w:hAnsi="Verdana"/>
          <w:color w:val="0072BC"/>
        </w:rPr>
        <w:t xml:space="preserve">Trybunał stwierdził, że </w:t>
      </w:r>
      <w:r w:rsidRPr="00931955">
        <w:rPr>
          <w:rFonts w:ascii="Verdana" w:eastAsia="Verdana" w:hAnsi="Verdana"/>
          <w:b/>
          <w:color w:val="0072BC"/>
        </w:rPr>
        <w:t xml:space="preserve">doszło do naruszenia </w:t>
      </w:r>
      <w:r w:rsidR="009E4C68">
        <w:rPr>
          <w:rFonts w:ascii="Verdana" w:eastAsia="Verdana" w:hAnsi="Verdana"/>
          <w:b/>
          <w:color w:val="0072BC"/>
        </w:rPr>
        <w:t>art.</w:t>
      </w:r>
      <w:r w:rsidRPr="00931955">
        <w:rPr>
          <w:rFonts w:ascii="Verdana" w:eastAsia="Verdana" w:hAnsi="Verdana"/>
          <w:b/>
          <w:color w:val="0072BC"/>
        </w:rPr>
        <w:t xml:space="preserve"> 8</w:t>
      </w:r>
      <w:r>
        <w:rPr>
          <w:rFonts w:ascii="Verdana" w:eastAsia="Verdana" w:hAnsi="Verdana"/>
          <w:b/>
          <w:color w:val="0072BC"/>
        </w:rPr>
        <w:t xml:space="preserve"> Konwencji</w:t>
      </w:r>
      <w:r>
        <w:rPr>
          <w:rFonts w:ascii="Verdana" w:eastAsia="Verdana" w:hAnsi="Verdana"/>
          <w:color w:val="0072BC"/>
        </w:rPr>
        <w:t xml:space="preserve"> (prawo do poszanowania życia prywatnego) </w:t>
      </w:r>
      <w:r w:rsidR="00437024">
        <w:rPr>
          <w:rFonts w:ascii="Verdana" w:eastAsia="Verdana" w:hAnsi="Verdana"/>
          <w:color w:val="0072BC"/>
        </w:rPr>
        <w:t>w odniesieniu do geolokalizacji pojazdu skarżącego w czasie rzeczywistym, przy użyciu GPS w dniu 3 czerwca 2010 r</w:t>
      </w:r>
      <w:r w:rsidR="00647839">
        <w:rPr>
          <w:rFonts w:ascii="Verdana" w:eastAsia="Verdana" w:hAnsi="Verdana"/>
          <w:color w:val="0072BC"/>
        </w:rPr>
        <w:t>oku</w:t>
      </w:r>
      <w:r w:rsidR="00437024">
        <w:rPr>
          <w:rFonts w:ascii="Verdana" w:eastAsia="Verdana" w:hAnsi="Verdana"/>
          <w:color w:val="0072BC"/>
        </w:rPr>
        <w:t xml:space="preserve"> i uznał, że w </w:t>
      </w:r>
      <w:r w:rsidR="001B0505">
        <w:rPr>
          <w:rFonts w:ascii="Verdana" w:eastAsia="Verdana" w:hAnsi="Verdana"/>
          <w:color w:val="0072BC"/>
        </w:rPr>
        <w:t>tym zakresie</w:t>
      </w:r>
      <w:r w:rsidR="00437024">
        <w:rPr>
          <w:rFonts w:ascii="Verdana" w:eastAsia="Verdana" w:hAnsi="Verdana"/>
          <w:color w:val="0072BC"/>
        </w:rPr>
        <w:t xml:space="preserve"> prawo francuskie (ani prawo stanowione ani orzecznictwo) nie wskazywało w </w:t>
      </w:r>
      <w:r w:rsidR="001B0505">
        <w:rPr>
          <w:rFonts w:ascii="Verdana" w:eastAsia="Verdana" w:hAnsi="Verdana"/>
          <w:color w:val="0072BC"/>
        </w:rPr>
        <w:t>tamtym</w:t>
      </w:r>
      <w:r w:rsidR="00437024">
        <w:rPr>
          <w:rFonts w:ascii="Verdana" w:eastAsia="Verdana" w:hAnsi="Verdana"/>
          <w:color w:val="0072BC"/>
        </w:rPr>
        <w:t xml:space="preserve"> czasie wystarczająco klarownie w jakim zakresie i w jaki sposób organy władzy były uprawnione do skorzystania z przysługuj</w:t>
      </w:r>
      <w:r w:rsidR="00647839">
        <w:rPr>
          <w:rFonts w:ascii="Verdana" w:eastAsia="Verdana" w:hAnsi="Verdana"/>
          <w:color w:val="0072BC"/>
        </w:rPr>
        <w:t>ących im uprawnień</w:t>
      </w:r>
      <w:r w:rsidR="00437024">
        <w:rPr>
          <w:rFonts w:ascii="Verdana" w:eastAsia="Verdana" w:hAnsi="Verdana"/>
          <w:color w:val="0072BC"/>
        </w:rPr>
        <w:t xml:space="preserve">. </w:t>
      </w:r>
      <w:r w:rsidR="007824FB" w:rsidRPr="00AF5E6F">
        <w:rPr>
          <w:rFonts w:ascii="Verdana" w:eastAsia="Verdana" w:hAnsi="Verdana"/>
          <w:color w:val="0072BC"/>
        </w:rPr>
        <w:t>Skarżący</w:t>
      </w:r>
      <w:r w:rsidR="00437024" w:rsidRPr="006712EC">
        <w:rPr>
          <w:rFonts w:ascii="Verdana" w:eastAsia="Verdana" w:hAnsi="Verdana"/>
          <w:color w:val="0072BC"/>
        </w:rPr>
        <w:t xml:space="preserve"> zatem nie </w:t>
      </w:r>
      <w:r w:rsidR="001D1606">
        <w:rPr>
          <w:rFonts w:ascii="Verdana" w:eastAsia="Verdana" w:hAnsi="Verdana"/>
          <w:color w:val="0072BC"/>
        </w:rPr>
        <w:t>cieszył się</w:t>
      </w:r>
      <w:r w:rsidR="00771945" w:rsidRPr="006712EC">
        <w:rPr>
          <w:rFonts w:ascii="Verdana" w:eastAsia="Verdana" w:hAnsi="Verdana"/>
          <w:color w:val="0072BC"/>
        </w:rPr>
        <w:t xml:space="preserve"> minimum ochrony </w:t>
      </w:r>
      <w:r w:rsidR="001D1606">
        <w:rPr>
          <w:rFonts w:ascii="Verdana" w:eastAsia="Verdana" w:hAnsi="Verdana"/>
          <w:color w:val="0072BC"/>
        </w:rPr>
        <w:t>gwarantowanym zasadą praworządności</w:t>
      </w:r>
      <w:r w:rsidR="00771945" w:rsidRPr="006712EC">
        <w:rPr>
          <w:rFonts w:ascii="Verdana" w:eastAsia="Verdana" w:hAnsi="Verdana"/>
          <w:color w:val="0072BC"/>
        </w:rPr>
        <w:t xml:space="preserve"> w </w:t>
      </w:r>
      <w:r w:rsidR="001D1606">
        <w:rPr>
          <w:rFonts w:ascii="Verdana" w:eastAsia="Verdana" w:hAnsi="Verdana"/>
          <w:color w:val="0072BC"/>
        </w:rPr>
        <w:t>społeczeństwie</w:t>
      </w:r>
      <w:r w:rsidR="00771945" w:rsidRPr="006712EC">
        <w:rPr>
          <w:rFonts w:ascii="Verdana" w:eastAsia="Verdana" w:hAnsi="Verdana"/>
          <w:color w:val="0072BC"/>
        </w:rPr>
        <w:t xml:space="preserve"> demokratycznym.</w:t>
      </w:r>
      <w:r w:rsidR="001D1606">
        <w:rPr>
          <w:rFonts w:ascii="Verdana" w:eastAsia="Verdana" w:hAnsi="Verdana"/>
          <w:color w:val="0072BC"/>
        </w:rPr>
        <w:t xml:space="preserve"> </w:t>
      </w:r>
      <w:r w:rsidR="00771945" w:rsidRPr="006D358D">
        <w:rPr>
          <w:rFonts w:ascii="Verdana" w:eastAsia="Verdana" w:hAnsi="Verdana"/>
          <w:color w:val="0072BC"/>
        </w:rPr>
        <w:t>Trybunał zauważył jednak, że Francja wprowadziła</w:t>
      </w:r>
      <w:r w:rsidR="00771945">
        <w:rPr>
          <w:rFonts w:ascii="Verdana" w:eastAsia="Verdana" w:hAnsi="Verdana"/>
          <w:color w:val="0072BC"/>
        </w:rPr>
        <w:t xml:space="preserve"> </w:t>
      </w:r>
      <w:r w:rsidR="00DD417D">
        <w:rPr>
          <w:rFonts w:ascii="Verdana" w:eastAsia="Verdana" w:hAnsi="Verdana"/>
          <w:color w:val="0072BC"/>
        </w:rPr>
        <w:t xml:space="preserve">później </w:t>
      </w:r>
      <w:r w:rsidR="00771945">
        <w:rPr>
          <w:rFonts w:ascii="Verdana" w:eastAsia="Verdana" w:hAnsi="Verdana"/>
          <w:color w:val="0072BC"/>
        </w:rPr>
        <w:t xml:space="preserve">mechanizm regulujący korzystanie z geolokalizacji i </w:t>
      </w:r>
      <w:r w:rsidR="007824FB">
        <w:rPr>
          <w:rFonts w:ascii="Verdana" w:eastAsia="Verdana" w:hAnsi="Verdana"/>
          <w:color w:val="0072BC"/>
        </w:rPr>
        <w:t>wzmacniający</w:t>
      </w:r>
      <w:r w:rsidR="00771945">
        <w:rPr>
          <w:rFonts w:ascii="Verdana" w:eastAsia="Verdana" w:hAnsi="Verdana"/>
          <w:color w:val="0072BC"/>
        </w:rPr>
        <w:t xml:space="preserve"> poszanowanie prawa do prywatności (ustawa z dnia 28 marca 2014 r</w:t>
      </w:r>
      <w:r w:rsidR="001D1606">
        <w:rPr>
          <w:rFonts w:ascii="Verdana" w:eastAsia="Verdana" w:hAnsi="Verdana"/>
          <w:color w:val="0072BC"/>
        </w:rPr>
        <w:t>oku</w:t>
      </w:r>
      <w:r w:rsidR="00771945">
        <w:rPr>
          <w:rFonts w:ascii="Verdana" w:eastAsia="Verdana" w:hAnsi="Verdana"/>
          <w:color w:val="0072BC"/>
        </w:rPr>
        <w:t>).</w:t>
      </w:r>
      <w:r w:rsidR="00B642AF">
        <w:rPr>
          <w:rFonts w:ascii="Verdana" w:eastAsia="Verdana" w:hAnsi="Verdana"/>
          <w:color w:val="0072BC"/>
        </w:rPr>
        <w:t xml:space="preserve"> </w:t>
      </w:r>
      <w:r w:rsidR="001B0505">
        <w:rPr>
          <w:rFonts w:ascii="Verdana" w:eastAsia="Verdana" w:hAnsi="Verdana"/>
          <w:color w:val="0072BC"/>
        </w:rPr>
        <w:t xml:space="preserve">Ponadto </w:t>
      </w:r>
      <w:r w:rsidR="0066304A" w:rsidRPr="0066304A">
        <w:rPr>
          <w:rFonts w:ascii="Verdana" w:eastAsia="Verdana" w:hAnsi="Verdana"/>
          <w:color w:val="0072BC"/>
        </w:rPr>
        <w:t xml:space="preserve">stwierdził, </w:t>
      </w:r>
      <w:r w:rsidR="0066304A">
        <w:rPr>
          <w:rFonts w:ascii="Verdana" w:eastAsia="Verdana" w:hAnsi="Verdana"/>
          <w:color w:val="0072BC"/>
        </w:rPr>
        <w:t xml:space="preserve">że </w:t>
      </w:r>
      <w:r w:rsidR="0066304A" w:rsidRPr="00F8489F">
        <w:rPr>
          <w:rFonts w:ascii="Verdana" w:eastAsia="Verdana" w:hAnsi="Verdana"/>
          <w:b/>
          <w:color w:val="0072BC"/>
        </w:rPr>
        <w:t xml:space="preserve">nie doszło do naruszenia </w:t>
      </w:r>
      <w:r w:rsidR="009E4C68">
        <w:rPr>
          <w:rFonts w:ascii="Verdana" w:eastAsia="Verdana" w:hAnsi="Verdana"/>
          <w:b/>
          <w:color w:val="0072BC"/>
        </w:rPr>
        <w:t>art.</w:t>
      </w:r>
      <w:r w:rsidR="0066304A" w:rsidRPr="00F8489F">
        <w:rPr>
          <w:rFonts w:ascii="Verdana" w:eastAsia="Verdana" w:hAnsi="Verdana"/>
          <w:b/>
          <w:color w:val="0072BC"/>
        </w:rPr>
        <w:t xml:space="preserve"> 8</w:t>
      </w:r>
      <w:r w:rsidR="0066304A">
        <w:rPr>
          <w:rFonts w:ascii="Verdana" w:eastAsia="Verdana" w:hAnsi="Verdana"/>
          <w:color w:val="0072BC"/>
        </w:rPr>
        <w:t xml:space="preserve"> w odniesieniu do</w:t>
      </w:r>
      <w:r w:rsidR="0066304A" w:rsidRPr="0066304A">
        <w:rPr>
          <w:rFonts w:ascii="Verdana" w:eastAsia="Verdana" w:hAnsi="Verdana"/>
          <w:color w:val="0072BC"/>
        </w:rPr>
        <w:t xml:space="preserve"> nakazu sądowego wydanego operatorowi telefonii komórkowej w dniu 24 lipca 2009 r</w:t>
      </w:r>
      <w:r w:rsidR="001D1606">
        <w:rPr>
          <w:rFonts w:ascii="Verdana" w:eastAsia="Verdana" w:hAnsi="Verdana"/>
          <w:color w:val="0072BC"/>
        </w:rPr>
        <w:t>oku</w:t>
      </w:r>
      <w:r w:rsidR="0066304A" w:rsidRPr="0066304A">
        <w:rPr>
          <w:rFonts w:ascii="Verdana" w:eastAsia="Verdana" w:hAnsi="Verdana"/>
          <w:color w:val="0072BC"/>
        </w:rPr>
        <w:t xml:space="preserve"> w celu uzyskania wykazu </w:t>
      </w:r>
      <w:r w:rsidR="00FC17C3">
        <w:rPr>
          <w:rFonts w:ascii="Verdana" w:eastAsia="Verdana" w:hAnsi="Verdana"/>
          <w:color w:val="0072BC"/>
        </w:rPr>
        <w:t xml:space="preserve">rejestrowania się telefonu w okolicach </w:t>
      </w:r>
      <w:r w:rsidR="0066304A" w:rsidRPr="0066304A">
        <w:rPr>
          <w:rFonts w:ascii="Verdana" w:eastAsia="Verdana" w:hAnsi="Verdana"/>
          <w:color w:val="0072BC"/>
        </w:rPr>
        <w:t>wież telefonii komórkowej</w:t>
      </w:r>
      <w:r w:rsidR="00DD417D">
        <w:rPr>
          <w:rFonts w:ascii="Verdana" w:eastAsia="Verdana" w:hAnsi="Verdana"/>
          <w:color w:val="0072BC"/>
        </w:rPr>
        <w:t xml:space="preserve"> umożliwiającego</w:t>
      </w:r>
      <w:r w:rsidR="0066304A" w:rsidRPr="0066304A">
        <w:rPr>
          <w:rFonts w:ascii="Verdana" w:eastAsia="Verdana" w:hAnsi="Verdana"/>
          <w:color w:val="0072BC"/>
        </w:rPr>
        <w:t xml:space="preserve"> późniejsze śledzeni</w:t>
      </w:r>
      <w:r w:rsidR="00DD417D">
        <w:rPr>
          <w:rFonts w:ascii="Verdana" w:eastAsia="Verdana" w:hAnsi="Verdana"/>
          <w:color w:val="0072BC"/>
        </w:rPr>
        <w:t>e</w:t>
      </w:r>
      <w:r w:rsidR="00FC17C3">
        <w:rPr>
          <w:rFonts w:ascii="Verdana" w:eastAsia="Verdana" w:hAnsi="Verdana"/>
          <w:color w:val="0072BC"/>
        </w:rPr>
        <w:t xml:space="preserve"> położenia</w:t>
      </w:r>
      <w:r w:rsidR="001B0505">
        <w:rPr>
          <w:rFonts w:ascii="Verdana" w:eastAsia="Verdana" w:hAnsi="Verdana"/>
          <w:color w:val="0072BC"/>
        </w:rPr>
        <w:t xml:space="preserve"> </w:t>
      </w:r>
      <w:r w:rsidR="007824FB">
        <w:rPr>
          <w:rFonts w:ascii="Verdana" w:eastAsia="Verdana" w:hAnsi="Verdana"/>
          <w:color w:val="0072BC"/>
        </w:rPr>
        <w:t>skarżącego</w:t>
      </w:r>
      <w:r w:rsidR="00FC17C3">
        <w:rPr>
          <w:rFonts w:ascii="Verdana" w:eastAsia="Verdana" w:hAnsi="Verdana"/>
          <w:color w:val="0072BC"/>
        </w:rPr>
        <w:t xml:space="preserve">. </w:t>
      </w:r>
      <w:r w:rsidR="00DD417D">
        <w:rPr>
          <w:rFonts w:ascii="Verdana" w:eastAsia="Verdana" w:hAnsi="Verdana"/>
          <w:color w:val="0072BC"/>
        </w:rPr>
        <w:t>Trybunał z</w:t>
      </w:r>
      <w:r w:rsidR="00FC17C3">
        <w:rPr>
          <w:rFonts w:ascii="Verdana" w:eastAsia="Verdana" w:hAnsi="Verdana"/>
          <w:color w:val="0072BC"/>
        </w:rPr>
        <w:t>auważył</w:t>
      </w:r>
      <w:r w:rsidR="0066304A" w:rsidRPr="0066304A">
        <w:rPr>
          <w:rFonts w:ascii="Verdana" w:eastAsia="Verdana" w:hAnsi="Verdana"/>
          <w:color w:val="0072BC"/>
        </w:rPr>
        <w:t xml:space="preserve"> w szczególności, że nakaz sądowy stanowił ingerencję w życie prywatne skarżącego, ale był zgodny z prawem. </w:t>
      </w:r>
      <w:r w:rsidR="001B0505">
        <w:rPr>
          <w:rFonts w:ascii="Verdana" w:eastAsia="Verdana" w:hAnsi="Verdana"/>
          <w:color w:val="0072BC"/>
        </w:rPr>
        <w:t xml:space="preserve">Co </w:t>
      </w:r>
      <w:r w:rsidR="007824FB">
        <w:rPr>
          <w:rFonts w:ascii="Verdana" w:eastAsia="Verdana" w:hAnsi="Verdana"/>
          <w:color w:val="0072BC"/>
        </w:rPr>
        <w:t>więcej</w:t>
      </w:r>
      <w:r w:rsidR="00DD417D">
        <w:rPr>
          <w:rFonts w:ascii="Verdana" w:eastAsia="Verdana" w:hAnsi="Verdana"/>
          <w:color w:val="0072BC"/>
        </w:rPr>
        <w:t>,</w:t>
      </w:r>
      <w:r w:rsidR="0066304A" w:rsidRPr="0066304A">
        <w:rPr>
          <w:rFonts w:ascii="Verdana" w:eastAsia="Verdana" w:hAnsi="Verdana"/>
          <w:color w:val="0072BC"/>
        </w:rPr>
        <w:t xml:space="preserve"> nakaz ten miał na celu ustalenie prawdy w ramach postępowania karnego dotyczącego </w:t>
      </w:r>
      <w:r w:rsidR="00DD417D">
        <w:rPr>
          <w:rFonts w:ascii="Verdana" w:eastAsia="Verdana" w:hAnsi="Verdana"/>
          <w:color w:val="0072BC"/>
        </w:rPr>
        <w:t xml:space="preserve">importu </w:t>
      </w:r>
      <w:r w:rsidR="001B0505">
        <w:rPr>
          <w:rFonts w:ascii="Verdana" w:eastAsia="Verdana" w:hAnsi="Verdana"/>
          <w:color w:val="0072BC"/>
        </w:rPr>
        <w:t>narkotyków przez zorganizowaną grupę</w:t>
      </w:r>
      <w:r w:rsidR="0066304A" w:rsidRPr="0066304A">
        <w:rPr>
          <w:rFonts w:ascii="Verdana" w:eastAsia="Verdana" w:hAnsi="Verdana"/>
          <w:color w:val="0072BC"/>
        </w:rPr>
        <w:t xml:space="preserve">, zmowy przestępczej i prania brudnych pieniędzy, a zatem służył słusznym celom zapobiegania zakłóceniom porządku, przestępstwom lub ochronie zdrowia publicznego. Trybunał uznał również, że środek ten był konieczny w społeczeństwie demokratycznym ponieważ </w:t>
      </w:r>
      <w:r w:rsidR="00FC17C3">
        <w:rPr>
          <w:rFonts w:ascii="Verdana" w:eastAsia="Verdana" w:hAnsi="Verdana"/>
          <w:color w:val="0072BC"/>
        </w:rPr>
        <w:t xml:space="preserve">miał na celu </w:t>
      </w:r>
      <w:r w:rsidR="00DD417D">
        <w:rPr>
          <w:rFonts w:ascii="Verdana" w:eastAsia="Verdana" w:hAnsi="Verdana"/>
          <w:color w:val="0072BC"/>
        </w:rPr>
        <w:t xml:space="preserve">zatrzymanie </w:t>
      </w:r>
      <w:r w:rsidR="00FC17C3">
        <w:rPr>
          <w:rFonts w:ascii="Verdana" w:eastAsia="Verdana" w:hAnsi="Verdana"/>
          <w:color w:val="0072BC"/>
        </w:rPr>
        <w:t>poważ</w:t>
      </w:r>
      <w:r w:rsidR="00DD417D">
        <w:rPr>
          <w:rFonts w:ascii="Verdana" w:eastAsia="Verdana" w:hAnsi="Verdana"/>
          <w:color w:val="0072BC"/>
        </w:rPr>
        <w:t>nego procederu</w:t>
      </w:r>
      <w:r w:rsidR="00FC17C3">
        <w:rPr>
          <w:rFonts w:ascii="Verdana" w:eastAsia="Verdana" w:hAnsi="Verdana"/>
          <w:color w:val="0072BC"/>
        </w:rPr>
        <w:t xml:space="preserve"> dotycząc</w:t>
      </w:r>
      <w:r w:rsidR="00DD417D">
        <w:rPr>
          <w:rFonts w:ascii="Verdana" w:eastAsia="Verdana" w:hAnsi="Verdana"/>
          <w:color w:val="0072BC"/>
        </w:rPr>
        <w:t>ego</w:t>
      </w:r>
      <w:r w:rsidR="0066304A" w:rsidRPr="0066304A">
        <w:rPr>
          <w:rFonts w:ascii="Verdana" w:eastAsia="Verdana" w:hAnsi="Verdana"/>
          <w:color w:val="0072BC"/>
        </w:rPr>
        <w:t xml:space="preserve"> handlu narkotykami. Wreszcie, uzyskane informacje zostały wykorzystane w </w:t>
      </w:r>
      <w:r w:rsidR="001B0505">
        <w:rPr>
          <w:rFonts w:ascii="Verdana" w:eastAsia="Verdana" w:hAnsi="Verdana"/>
          <w:color w:val="0072BC"/>
        </w:rPr>
        <w:t>prowadzonym dochodzeniu</w:t>
      </w:r>
      <w:r w:rsidR="00FC17C3">
        <w:rPr>
          <w:rFonts w:ascii="Verdana" w:eastAsia="Verdana" w:hAnsi="Verdana"/>
          <w:color w:val="0072BC"/>
        </w:rPr>
        <w:t xml:space="preserve"> oraz</w:t>
      </w:r>
      <w:r w:rsidR="001B0505">
        <w:rPr>
          <w:rFonts w:ascii="Verdana" w:eastAsia="Verdana" w:hAnsi="Verdana"/>
          <w:color w:val="0072BC"/>
        </w:rPr>
        <w:t xml:space="preserve"> w</w:t>
      </w:r>
      <w:r w:rsidR="0066304A" w:rsidRPr="0066304A">
        <w:rPr>
          <w:rFonts w:ascii="Verdana" w:eastAsia="Verdana" w:hAnsi="Verdana"/>
          <w:color w:val="0072BC"/>
        </w:rPr>
        <w:t xml:space="preserve"> postępowaniu karnym, w trakcie którego </w:t>
      </w:r>
      <w:r w:rsidR="00FC17C3">
        <w:rPr>
          <w:rFonts w:ascii="Verdana" w:eastAsia="Verdana" w:hAnsi="Verdana"/>
          <w:color w:val="0072BC"/>
        </w:rPr>
        <w:t>skarżącemu</w:t>
      </w:r>
      <w:r w:rsidR="0066304A" w:rsidRPr="0066304A">
        <w:rPr>
          <w:rFonts w:ascii="Verdana" w:eastAsia="Verdana" w:hAnsi="Verdana"/>
          <w:color w:val="0072BC"/>
        </w:rPr>
        <w:t xml:space="preserve"> zagwarantowano skuteczną </w:t>
      </w:r>
      <w:r w:rsidR="00FC17C3">
        <w:rPr>
          <w:rFonts w:ascii="Verdana" w:eastAsia="Verdana" w:hAnsi="Verdana"/>
          <w:color w:val="0072BC"/>
        </w:rPr>
        <w:t xml:space="preserve">możliwość odwołania się, </w:t>
      </w:r>
      <w:r w:rsidR="0066304A" w:rsidRPr="0066304A">
        <w:rPr>
          <w:rFonts w:ascii="Verdana" w:eastAsia="Verdana" w:hAnsi="Verdana"/>
          <w:color w:val="0072BC"/>
        </w:rPr>
        <w:t>zgodną z zasadą państwa prawa.</w:t>
      </w:r>
    </w:p>
    <w:p w14:paraId="01049A99" w14:textId="77777777" w:rsidR="00B52125" w:rsidRDefault="00B52125" w:rsidP="00AB713F">
      <w:pPr>
        <w:spacing w:line="241" w:lineRule="auto"/>
        <w:ind w:left="740"/>
        <w:jc w:val="both"/>
        <w:rPr>
          <w:rFonts w:ascii="Verdana" w:eastAsia="Verdana" w:hAnsi="Verdana"/>
          <w:color w:val="0072BC"/>
        </w:rPr>
      </w:pPr>
    </w:p>
    <w:p w14:paraId="4EA5ECFC" w14:textId="3A6CA22D" w:rsidR="00B52125" w:rsidRPr="00E16914" w:rsidRDefault="00B52125" w:rsidP="00B52125">
      <w:pPr>
        <w:spacing w:line="241" w:lineRule="auto"/>
        <w:ind w:left="740"/>
        <w:jc w:val="both"/>
        <w:rPr>
          <w:rFonts w:ascii="Verdana" w:eastAsia="Times New Roman" w:hAnsi="Verdana"/>
          <w:b/>
          <w:bCs/>
          <w:color w:val="005A9E"/>
        </w:rPr>
      </w:pPr>
      <w:hyperlink r:id="rId13" w:anchor="{%22itemid%22:[%22003-7520329-10322810%22]}" w:history="1">
        <w:r w:rsidRPr="00E16914">
          <w:rPr>
            <w:rStyle w:val="Hipercze"/>
            <w:rFonts w:ascii="Verdana" w:eastAsia="Times New Roman" w:hAnsi="Verdana"/>
            <w:b/>
            <w:bCs/>
          </w:rPr>
          <w:t>Florindo de Almeida Vasconcelos Gramaxo przeciwko Portugalii</w:t>
        </w:r>
      </w:hyperlink>
    </w:p>
    <w:p w14:paraId="4E8157E3" w14:textId="58F663D2" w:rsidR="00B52125" w:rsidRPr="008B33E0" w:rsidRDefault="00B52125" w:rsidP="00B52125">
      <w:pPr>
        <w:spacing w:line="241" w:lineRule="auto"/>
        <w:ind w:left="740"/>
        <w:jc w:val="both"/>
        <w:rPr>
          <w:rFonts w:ascii="Verdana" w:eastAsia="Times New Roman" w:hAnsi="Verdana"/>
          <w:color w:val="808080" w:themeColor="background1" w:themeShade="80"/>
          <w:sz w:val="16"/>
          <w:szCs w:val="16"/>
        </w:rPr>
      </w:pPr>
      <w:r w:rsidRPr="008B33E0">
        <w:rPr>
          <w:rFonts w:ascii="Verdana" w:eastAsia="Times New Roman" w:hAnsi="Verdana"/>
          <w:color w:val="808080" w:themeColor="background1" w:themeShade="80"/>
          <w:sz w:val="16"/>
          <w:szCs w:val="16"/>
        </w:rPr>
        <w:t>13 grudnia 2022 r</w:t>
      </w:r>
      <w:r w:rsidR="008B33E0" w:rsidRPr="008B33E0">
        <w:rPr>
          <w:rFonts w:ascii="Verdana" w:eastAsia="Times New Roman" w:hAnsi="Verdana"/>
          <w:color w:val="808080" w:themeColor="background1" w:themeShade="80"/>
          <w:sz w:val="16"/>
          <w:szCs w:val="16"/>
        </w:rPr>
        <w:t>oku</w:t>
      </w:r>
    </w:p>
    <w:p w14:paraId="53157F39" w14:textId="77777777" w:rsidR="00B52125" w:rsidRPr="00B52125" w:rsidRDefault="00B52125" w:rsidP="00B52125">
      <w:pPr>
        <w:spacing w:line="241" w:lineRule="auto"/>
        <w:ind w:left="740"/>
        <w:jc w:val="both"/>
        <w:rPr>
          <w:rFonts w:ascii="Verdana" w:eastAsia="Times New Roman" w:hAnsi="Verdana"/>
        </w:rPr>
      </w:pPr>
      <w:r w:rsidRPr="00B52125">
        <w:rPr>
          <w:rFonts w:ascii="Verdana" w:eastAsia="Times New Roman" w:hAnsi="Verdana"/>
        </w:rPr>
        <w:t>Sprawa ta dotyczyła zwolnienia skarżącego na podstawie danych uzyskanych z systemu geolokalizacji zamontowanego w samochodzie, który jego pracodawca udostępnił mu do celów jego pracy jako przedstawiciela medycznego. Skarżący podniósł, że przetwarzanie danych geolokalizacyjnych uzyskanych z systemu GPS zainstalowanego w jego pojeździe służbowym oraz wykorzystanie tych danych jako podstawy jego zwolnienia naruszyło jego prawo do poszanowania życia prywatnego. Zarzucił również, że postępowanie przed sądami krajowymi było niesprawiedliwe, ponieważ decyzje sądów opierały się niemal wyłącznie na niezgodnych z prawem dowodach uzyskanych za pomocą systemu GPS zainstalowanego w jego pojeździe służbowym.</w:t>
      </w:r>
    </w:p>
    <w:p w14:paraId="2F377868" w14:textId="461709C2" w:rsidR="00B52125" w:rsidRPr="00754015" w:rsidRDefault="00B52125" w:rsidP="00B52125">
      <w:pPr>
        <w:spacing w:line="241" w:lineRule="auto"/>
        <w:ind w:left="740"/>
        <w:jc w:val="both"/>
        <w:rPr>
          <w:rFonts w:ascii="Verdana" w:eastAsia="Times New Roman" w:hAnsi="Verdana"/>
          <w:color w:val="0077D0"/>
        </w:rPr>
      </w:pPr>
      <w:r w:rsidRPr="00754015">
        <w:rPr>
          <w:rFonts w:ascii="Verdana" w:eastAsia="Times New Roman" w:hAnsi="Verdana"/>
          <w:color w:val="0077D0"/>
        </w:rPr>
        <w:t xml:space="preserve">Trybunał uznał, że </w:t>
      </w:r>
      <w:r w:rsidRPr="00754015">
        <w:rPr>
          <w:rFonts w:ascii="Verdana" w:eastAsia="Times New Roman" w:hAnsi="Verdana"/>
          <w:b/>
          <w:bCs/>
          <w:color w:val="0077D0"/>
        </w:rPr>
        <w:t>nie doszło do naruszenia art. 8 Konwencji</w:t>
      </w:r>
      <w:r w:rsidRPr="00754015">
        <w:rPr>
          <w:rFonts w:ascii="Verdana" w:eastAsia="Times New Roman" w:hAnsi="Verdana"/>
          <w:color w:val="0077D0"/>
        </w:rPr>
        <w:t xml:space="preserve">, stwierdzając, że władze krajowe nie uchybiły pozytywnemu obowiązkowi ochrony prawa skarżącego do poszanowania jego życia prywatnego. Trybunał zauważył na wstępie, że skarżący był świadomy, iż spółka zainstalowała system GPS w jego pojeździe w celu monitorowania odległości pokonywanych w trakcie jego działalności zawodowej oraz, w stosownych przypadkach, podczas podróży prywatnych. Zauważył również, że biorąc pod uwagę jedynie dane geolokalizacyjne odnoszące się do przebytych odległości, Sąd Apelacyjny ograniczył zakres ingerencji w życie prywatne skarżącego do tego, co było ściśle niezbędne </w:t>
      </w:r>
      <w:r w:rsidRPr="00754015">
        <w:rPr>
          <w:rFonts w:ascii="Verdana" w:eastAsia="Times New Roman" w:hAnsi="Verdana"/>
          <w:color w:val="0077D0"/>
        </w:rPr>
        <w:lastRenderedPageBreak/>
        <w:t>do osiągnięcia uzasadnionego celu, a mianowicie monitorowania wydatków spółki. W sprawie skarżącego Trybunał uznał, że Sąd Apelacyjny dokonał szczegółowego wyważenia prawa skarżącego do poszanowania jego życia prywatnego i prawa jego pracodawcy do zapewnienia sprawnego funkcjonowania spółki, biorąc pod uwagę uzasadniony cel realizowany przez spółkę, a mianowicie prawo do monitorowania jej wydatków. W związku z tym państwo nie przekroczyło swojego marginesu oceny w niniejszej sprawie. Trybunał uznał również, że nie doszło do naruszenia art. 6 § 1 (prawo do rzetelnego procesu sądowego) Konwencji, stwierdzając, że wykorzystanie w postępowaniu dowodowym danych geolokalizacyjnych dotyczących odległości pokonanych przez skarżącego w jego pojeździe służbowym nie podważyło rzetelności postępowania w niniejszej sprawie.</w:t>
      </w:r>
    </w:p>
    <w:p w14:paraId="6D7959B4" w14:textId="77777777" w:rsidR="00DD417D" w:rsidRPr="00B52125" w:rsidRDefault="00DD417D" w:rsidP="00AB713F">
      <w:pPr>
        <w:spacing w:line="214" w:lineRule="exact"/>
        <w:ind w:left="740"/>
        <w:rPr>
          <w:rFonts w:ascii="Times New Roman" w:eastAsia="Times New Roman" w:hAnsi="Times New Roman"/>
          <w:color w:val="005A9E"/>
        </w:rPr>
      </w:pPr>
    </w:p>
    <w:p w14:paraId="63733E1B" w14:textId="77777777" w:rsidR="00DD417D" w:rsidRDefault="00DD417D" w:rsidP="00AB713F">
      <w:pPr>
        <w:spacing w:after="240" w:line="0" w:lineRule="atLeast"/>
        <w:ind w:left="740"/>
        <w:rPr>
          <w:rFonts w:ascii="Verdana" w:eastAsia="Verdana" w:hAnsi="Verdana"/>
          <w:color w:val="808080"/>
          <w:sz w:val="28"/>
        </w:rPr>
      </w:pPr>
      <w:r>
        <w:rPr>
          <w:rFonts w:ascii="Verdana" w:eastAsia="Verdana" w:hAnsi="Verdana"/>
          <w:color w:val="808080"/>
          <w:sz w:val="28"/>
        </w:rPr>
        <w:t>Dane dotyczące stanu zdrowia</w:t>
      </w:r>
    </w:p>
    <w:p w14:paraId="57228B6B" w14:textId="42936189" w:rsidR="00DD417D" w:rsidRPr="00A14197" w:rsidRDefault="00DD417D" w:rsidP="00AB713F">
      <w:pPr>
        <w:spacing w:line="0" w:lineRule="atLeast"/>
        <w:ind w:left="740"/>
        <w:rPr>
          <w:rStyle w:val="Hipercze"/>
          <w:color w:val="0072BC"/>
        </w:rPr>
      </w:pPr>
      <w:hyperlink r:id="rId14" w:anchor="{%22itemid%22:[%22002-9365%22]}" w:history="1">
        <w:r w:rsidRPr="00A14197">
          <w:rPr>
            <w:rStyle w:val="Hipercze"/>
            <w:rFonts w:ascii="Verdana" w:eastAsia="Verdana" w:hAnsi="Verdana"/>
            <w:b/>
            <w:color w:val="0072BC"/>
          </w:rPr>
          <w:t>L.H. przeciwko Łotwie (skarga nr 52019/07)</w:t>
        </w:r>
      </w:hyperlink>
      <w:r w:rsidRPr="00A14197">
        <w:rPr>
          <w:rStyle w:val="Hipercze"/>
          <w:color w:val="0072BC"/>
        </w:rPr>
        <w:t xml:space="preserve"> </w:t>
      </w:r>
    </w:p>
    <w:p w14:paraId="634B5A24" w14:textId="77777777" w:rsidR="00DD417D" w:rsidRDefault="00DD417D" w:rsidP="00AB713F">
      <w:pPr>
        <w:spacing w:line="66" w:lineRule="exact"/>
        <w:ind w:left="740"/>
        <w:rPr>
          <w:rFonts w:ascii="Times New Roman" w:eastAsia="Times New Roman" w:hAnsi="Times New Roman"/>
        </w:rPr>
      </w:pPr>
    </w:p>
    <w:p w14:paraId="5CCE01D9" w14:textId="77777777" w:rsidR="00DD417D" w:rsidRDefault="00DD417D" w:rsidP="00AB713F">
      <w:pPr>
        <w:spacing w:line="0" w:lineRule="atLeast"/>
        <w:ind w:left="740"/>
        <w:rPr>
          <w:rFonts w:ascii="Verdana" w:eastAsia="Verdana" w:hAnsi="Verdana"/>
          <w:color w:val="808080"/>
          <w:sz w:val="18"/>
        </w:rPr>
      </w:pPr>
      <w:bookmarkStart w:id="3" w:name="_Hlk17712447"/>
      <w:r>
        <w:rPr>
          <w:rFonts w:ascii="Verdana" w:eastAsia="Verdana" w:hAnsi="Verdana"/>
          <w:color w:val="808080"/>
          <w:sz w:val="18"/>
        </w:rPr>
        <w:t>29 kwietnia 2014 roku</w:t>
      </w:r>
    </w:p>
    <w:p w14:paraId="6629DBD0" w14:textId="77777777" w:rsidR="00CE6AF2" w:rsidRDefault="00DD417D" w:rsidP="00AB713F">
      <w:pPr>
        <w:spacing w:line="0" w:lineRule="atLeast"/>
        <w:ind w:left="740"/>
        <w:jc w:val="both"/>
        <w:rPr>
          <w:rFonts w:ascii="Verdana" w:eastAsia="Verdana" w:hAnsi="Verdana"/>
        </w:rPr>
      </w:pPr>
      <w:r>
        <w:rPr>
          <w:rFonts w:ascii="Verdana" w:eastAsia="Verdana" w:hAnsi="Verdana"/>
        </w:rPr>
        <w:t>Skarżąc</w:t>
      </w:r>
      <w:r w:rsidR="00372A63">
        <w:rPr>
          <w:rFonts w:ascii="Verdana" w:eastAsia="Verdana" w:hAnsi="Verdana"/>
        </w:rPr>
        <w:t>a</w:t>
      </w:r>
      <w:r>
        <w:rPr>
          <w:rFonts w:ascii="Verdana" w:eastAsia="Verdana" w:hAnsi="Verdana"/>
        </w:rPr>
        <w:t xml:space="preserve"> twierdziła w szczególności, że gromadzenie danych medycznych przez agencję państwową </w:t>
      </w:r>
      <w:bookmarkEnd w:id="3"/>
      <w:r>
        <w:rPr>
          <w:rFonts w:ascii="Verdana" w:eastAsia="Verdana" w:hAnsi="Verdana"/>
        </w:rPr>
        <w:t>– w tym przypadku Inspektorat Kontroli Jakości w zakresie Opieki Medycznej i Zdolności do Pracy („MADEKKI”) – bez jej zgody</w:t>
      </w:r>
      <w:r w:rsidR="00CE6AF2">
        <w:rPr>
          <w:rFonts w:ascii="Verdana" w:eastAsia="Verdana" w:hAnsi="Verdana"/>
        </w:rPr>
        <w:t>,</w:t>
      </w:r>
      <w:r>
        <w:rPr>
          <w:rFonts w:ascii="Verdana" w:eastAsia="Verdana" w:hAnsi="Verdana"/>
        </w:rPr>
        <w:t xml:space="preserve"> naruszyło </w:t>
      </w:r>
      <w:r w:rsidR="00CE6AF2">
        <w:rPr>
          <w:rFonts w:ascii="Verdana" w:eastAsia="Verdana" w:hAnsi="Verdana"/>
        </w:rPr>
        <w:t xml:space="preserve">jej </w:t>
      </w:r>
      <w:r>
        <w:rPr>
          <w:rFonts w:ascii="Verdana" w:eastAsia="Verdana" w:hAnsi="Verdana"/>
        </w:rPr>
        <w:t xml:space="preserve">prawo do poszanowania życia prywatnego. </w:t>
      </w:r>
    </w:p>
    <w:p w14:paraId="6EE2AFAC" w14:textId="77777777" w:rsidR="00DD417D" w:rsidRPr="00F8489F" w:rsidRDefault="00CE6AF2" w:rsidP="00AB713F">
      <w:pPr>
        <w:spacing w:line="0" w:lineRule="atLeast"/>
        <w:ind w:left="740"/>
        <w:jc w:val="both"/>
        <w:rPr>
          <w:rFonts w:ascii="Verdana" w:eastAsia="Verdana" w:hAnsi="Verdana"/>
          <w:color w:val="0070C0"/>
        </w:rPr>
      </w:pPr>
      <w:r w:rsidRPr="00F8489F">
        <w:rPr>
          <w:rFonts w:ascii="Verdana" w:eastAsia="Verdana" w:hAnsi="Verdana"/>
          <w:color w:val="0070C0"/>
        </w:rPr>
        <w:t>W wyroku Trybunał przypomniał znaczenie ochrony danych medycznych w związku z prawem do poszanowania życia prywatnego.</w:t>
      </w:r>
      <w:r w:rsidR="001C3631" w:rsidRPr="00F8489F">
        <w:rPr>
          <w:rFonts w:ascii="Verdana" w:eastAsia="Verdana" w:hAnsi="Verdana"/>
          <w:color w:val="0070C0"/>
        </w:rPr>
        <w:t xml:space="preserve"> </w:t>
      </w:r>
      <w:r w:rsidR="00DD417D" w:rsidRPr="00F8489F">
        <w:rPr>
          <w:rFonts w:ascii="Verdana" w:eastAsia="Verdana" w:hAnsi="Verdana"/>
          <w:color w:val="0070C0"/>
        </w:rPr>
        <w:t>Trybunał orzekł, że w przypadku skarżące</w:t>
      </w:r>
      <w:r w:rsidRPr="00F8489F">
        <w:rPr>
          <w:rFonts w:ascii="Verdana" w:eastAsia="Verdana" w:hAnsi="Verdana"/>
          <w:color w:val="0070C0"/>
        </w:rPr>
        <w:t>j</w:t>
      </w:r>
      <w:r w:rsidR="00DD417D" w:rsidRPr="00F8489F">
        <w:rPr>
          <w:rFonts w:ascii="Verdana" w:eastAsia="Verdana" w:hAnsi="Verdana"/>
          <w:color w:val="0070C0"/>
        </w:rPr>
        <w:t xml:space="preserve"> doszło do </w:t>
      </w:r>
      <w:r w:rsidR="00DD417D" w:rsidRPr="00F8489F">
        <w:rPr>
          <w:rFonts w:ascii="Verdana" w:eastAsia="Verdana" w:hAnsi="Verdana"/>
          <w:b/>
          <w:color w:val="0070C0"/>
        </w:rPr>
        <w:t xml:space="preserve">naruszenia </w:t>
      </w:r>
      <w:r w:rsidR="009E4C68">
        <w:rPr>
          <w:rFonts w:ascii="Verdana" w:eastAsia="Verdana" w:hAnsi="Verdana"/>
          <w:b/>
          <w:color w:val="0070C0"/>
        </w:rPr>
        <w:t>art.</w:t>
      </w:r>
      <w:r w:rsidR="00DD417D" w:rsidRPr="00F8489F">
        <w:rPr>
          <w:rFonts w:ascii="Verdana" w:eastAsia="Verdana" w:hAnsi="Verdana"/>
          <w:b/>
          <w:color w:val="0070C0"/>
        </w:rPr>
        <w:t xml:space="preserve"> 8 </w:t>
      </w:r>
      <w:r w:rsidRPr="00F8489F">
        <w:rPr>
          <w:rFonts w:ascii="Verdana" w:eastAsia="Verdana" w:hAnsi="Verdana"/>
          <w:b/>
          <w:color w:val="0070C0"/>
        </w:rPr>
        <w:t>K</w:t>
      </w:r>
      <w:r w:rsidR="00DD417D" w:rsidRPr="00F8489F">
        <w:rPr>
          <w:rFonts w:ascii="Verdana" w:eastAsia="Verdana" w:hAnsi="Verdana"/>
          <w:b/>
          <w:color w:val="0070C0"/>
        </w:rPr>
        <w:t>onwencji</w:t>
      </w:r>
      <w:r w:rsidR="00DD417D" w:rsidRPr="00F8489F">
        <w:rPr>
          <w:rFonts w:ascii="Verdana" w:eastAsia="Verdana" w:hAnsi="Verdana"/>
          <w:color w:val="0070C0"/>
        </w:rPr>
        <w:t>, stwierdzając, że prawo</w:t>
      </w:r>
      <w:r w:rsidR="009E4C68">
        <w:rPr>
          <w:rFonts w:ascii="Verdana" w:eastAsia="Verdana" w:hAnsi="Verdana"/>
          <w:color w:val="0070C0"/>
        </w:rPr>
        <w:t xml:space="preserve"> </w:t>
      </w:r>
      <w:r w:rsidR="00DD417D" w:rsidRPr="00F8489F">
        <w:rPr>
          <w:rFonts w:ascii="Verdana" w:eastAsia="Verdana" w:hAnsi="Verdana"/>
          <w:color w:val="0070C0"/>
        </w:rPr>
        <w:t>nie wskaz</w:t>
      </w:r>
      <w:r w:rsidR="009E4C68">
        <w:rPr>
          <w:rFonts w:ascii="Verdana" w:eastAsia="Verdana" w:hAnsi="Verdana"/>
          <w:color w:val="0070C0"/>
        </w:rPr>
        <w:t>yw</w:t>
      </w:r>
      <w:r w:rsidR="00DD417D" w:rsidRPr="00F8489F">
        <w:rPr>
          <w:rFonts w:ascii="Verdana" w:eastAsia="Verdana" w:hAnsi="Verdana"/>
          <w:color w:val="0070C0"/>
        </w:rPr>
        <w:t xml:space="preserve">ało wystarczająco jasno zakresu swobodnego uznania </w:t>
      </w:r>
      <w:r w:rsidR="009E4C68">
        <w:rPr>
          <w:rFonts w:ascii="Verdana" w:eastAsia="Verdana" w:hAnsi="Verdana"/>
          <w:color w:val="0070C0"/>
        </w:rPr>
        <w:t>przysługującego</w:t>
      </w:r>
      <w:r w:rsidR="00DD417D" w:rsidRPr="00F8489F">
        <w:rPr>
          <w:rFonts w:ascii="Verdana" w:eastAsia="Verdana" w:hAnsi="Verdana"/>
          <w:color w:val="0070C0"/>
        </w:rPr>
        <w:t xml:space="preserve"> właściwym organom oraz sposobu jego wykonywania. Trybunał zauważył w szczególności, że prawo łotewskie w żaden sposób nie ogranicz</w:t>
      </w:r>
      <w:r w:rsidR="00663480">
        <w:rPr>
          <w:rFonts w:ascii="Verdana" w:eastAsia="Verdana" w:hAnsi="Verdana"/>
          <w:color w:val="0070C0"/>
        </w:rPr>
        <w:t>a</w:t>
      </w:r>
      <w:r w:rsidR="00DD417D" w:rsidRPr="00F8489F">
        <w:rPr>
          <w:rFonts w:ascii="Verdana" w:eastAsia="Verdana" w:hAnsi="Verdana"/>
          <w:color w:val="0070C0"/>
        </w:rPr>
        <w:t xml:space="preserve">ło zakresu danych </w:t>
      </w:r>
      <w:r w:rsidR="001C3631" w:rsidRPr="00F8489F">
        <w:rPr>
          <w:rFonts w:ascii="Verdana" w:eastAsia="Verdana" w:hAnsi="Verdana"/>
          <w:color w:val="0070C0"/>
        </w:rPr>
        <w:t>osobowych</w:t>
      </w:r>
      <w:r w:rsidR="00DD417D" w:rsidRPr="00F8489F">
        <w:rPr>
          <w:rFonts w:ascii="Verdana" w:eastAsia="Verdana" w:hAnsi="Verdana"/>
          <w:color w:val="0070C0"/>
        </w:rPr>
        <w:t xml:space="preserve">, które </w:t>
      </w:r>
      <w:r w:rsidR="001C3631" w:rsidRPr="00F8489F">
        <w:rPr>
          <w:rFonts w:ascii="Verdana" w:eastAsia="Verdana" w:hAnsi="Verdana"/>
          <w:color w:val="0070C0"/>
        </w:rPr>
        <w:t>mogł</w:t>
      </w:r>
      <w:r w:rsidR="00663480">
        <w:rPr>
          <w:rFonts w:ascii="Verdana" w:eastAsia="Verdana" w:hAnsi="Verdana"/>
          <w:color w:val="0070C0"/>
        </w:rPr>
        <w:t>y</w:t>
      </w:r>
      <w:r w:rsidR="00DD417D" w:rsidRPr="00F8489F">
        <w:rPr>
          <w:rFonts w:ascii="Verdana" w:eastAsia="Verdana" w:hAnsi="Verdana"/>
          <w:color w:val="0070C0"/>
        </w:rPr>
        <w:t xml:space="preserve"> być gromadzone przez MADEKKI, co </w:t>
      </w:r>
      <w:r w:rsidR="007F7CA3" w:rsidRPr="00F8489F">
        <w:rPr>
          <w:rFonts w:ascii="Verdana" w:eastAsia="Verdana" w:hAnsi="Verdana"/>
          <w:color w:val="0070C0"/>
        </w:rPr>
        <w:t xml:space="preserve">skutkowało </w:t>
      </w:r>
      <w:r w:rsidR="00DD417D" w:rsidRPr="00F8489F">
        <w:rPr>
          <w:rFonts w:ascii="Verdana" w:eastAsia="Verdana" w:hAnsi="Verdana"/>
          <w:color w:val="0070C0"/>
        </w:rPr>
        <w:t>gromadzeni</w:t>
      </w:r>
      <w:r w:rsidR="007F7CA3" w:rsidRPr="00F8489F">
        <w:rPr>
          <w:rFonts w:ascii="Verdana" w:eastAsia="Verdana" w:hAnsi="Verdana"/>
          <w:color w:val="0070C0"/>
        </w:rPr>
        <w:t>em</w:t>
      </w:r>
      <w:r w:rsidR="00DD417D" w:rsidRPr="00F8489F">
        <w:rPr>
          <w:rFonts w:ascii="Verdana" w:eastAsia="Verdana" w:hAnsi="Verdana"/>
          <w:color w:val="0070C0"/>
        </w:rPr>
        <w:t xml:space="preserve"> danych medycznych skarżącej </w:t>
      </w:r>
      <w:r w:rsidR="006633EC">
        <w:rPr>
          <w:rFonts w:ascii="Verdana" w:eastAsia="Verdana" w:hAnsi="Verdana"/>
          <w:color w:val="0070C0"/>
        </w:rPr>
        <w:t xml:space="preserve">przez okres siedmiu lat, </w:t>
      </w:r>
      <w:r w:rsidR="00DD417D" w:rsidRPr="00F8489F">
        <w:rPr>
          <w:rFonts w:ascii="Verdana" w:eastAsia="Verdana" w:hAnsi="Verdana"/>
          <w:color w:val="0070C0"/>
        </w:rPr>
        <w:t>bez rozróżnienia i bez uprzedniej oceny, czy dane te mogą być potencjalnie decydujące</w:t>
      </w:r>
      <w:r w:rsidR="00663480">
        <w:rPr>
          <w:rFonts w:ascii="Verdana" w:eastAsia="Verdana" w:hAnsi="Verdana"/>
          <w:color w:val="0070C0"/>
        </w:rPr>
        <w:t xml:space="preserve">, </w:t>
      </w:r>
      <w:r w:rsidR="00DD417D" w:rsidRPr="00F8489F">
        <w:rPr>
          <w:rFonts w:ascii="Verdana" w:eastAsia="Verdana" w:hAnsi="Verdana"/>
          <w:color w:val="0070C0"/>
        </w:rPr>
        <w:t xml:space="preserve">istotne </w:t>
      </w:r>
      <w:r w:rsidR="00663480">
        <w:rPr>
          <w:rFonts w:ascii="Verdana" w:eastAsia="Verdana" w:hAnsi="Verdana"/>
          <w:color w:val="0070C0"/>
        </w:rPr>
        <w:t xml:space="preserve">lub mieć znaczenie </w:t>
      </w:r>
      <w:r w:rsidR="00DD417D" w:rsidRPr="00F8489F">
        <w:rPr>
          <w:rFonts w:ascii="Verdana" w:eastAsia="Verdana" w:hAnsi="Verdana"/>
          <w:color w:val="0070C0"/>
        </w:rPr>
        <w:t>dla osiągnięcia jakiegokolwiek celu, do którego zmierza</w:t>
      </w:r>
      <w:r w:rsidR="00663480">
        <w:rPr>
          <w:rFonts w:ascii="Verdana" w:eastAsia="Verdana" w:hAnsi="Verdana"/>
          <w:color w:val="0070C0"/>
        </w:rPr>
        <w:t>ć miały omawiane działania</w:t>
      </w:r>
      <w:r w:rsidR="00DD417D" w:rsidRPr="00F8489F">
        <w:rPr>
          <w:rFonts w:ascii="Verdana" w:eastAsia="Verdana" w:hAnsi="Verdana"/>
          <w:color w:val="0070C0"/>
        </w:rPr>
        <w:t>.</w:t>
      </w:r>
    </w:p>
    <w:p w14:paraId="4914FF37" w14:textId="669CD531" w:rsidR="00E16914" w:rsidRPr="00E16914" w:rsidRDefault="00E16914" w:rsidP="00E16914">
      <w:pPr>
        <w:autoSpaceDE w:val="0"/>
        <w:autoSpaceDN w:val="0"/>
        <w:adjustRightInd w:val="0"/>
        <w:rPr>
          <w:rStyle w:val="Hipercze"/>
          <w:rFonts w:ascii="Verdana" w:hAnsi="Verdana" w:cs="Verdana"/>
        </w:rPr>
      </w:pPr>
      <w:r>
        <w:rPr>
          <w:rFonts w:ascii="Verdana" w:eastAsia="Times New Roman" w:hAnsi="Verdana"/>
          <w:b/>
          <w:bCs/>
          <w:color w:val="005A9E"/>
        </w:rPr>
        <w:fldChar w:fldCharType="begin"/>
      </w:r>
      <w:r>
        <w:rPr>
          <w:rFonts w:ascii="Verdana" w:eastAsia="Times New Roman" w:hAnsi="Verdana"/>
          <w:b/>
          <w:bCs/>
          <w:color w:val="005A9E"/>
        </w:rPr>
        <w:instrText>HYPERLINK "https://hudoc.echr.coe.int/fre" \l "{%22itemid%22:[%22002-13761%22]}"</w:instrText>
      </w:r>
      <w:r>
        <w:rPr>
          <w:rFonts w:ascii="Verdana" w:eastAsia="Times New Roman" w:hAnsi="Verdana"/>
          <w:b/>
          <w:bCs/>
          <w:color w:val="005A9E"/>
        </w:rPr>
      </w:r>
      <w:r>
        <w:rPr>
          <w:rFonts w:ascii="Verdana" w:eastAsia="Times New Roman" w:hAnsi="Verdana"/>
          <w:b/>
          <w:bCs/>
          <w:color w:val="005A9E"/>
        </w:rPr>
        <w:fldChar w:fldCharType="separate"/>
      </w:r>
    </w:p>
    <w:p w14:paraId="1ABB07F1" w14:textId="2FABCF90" w:rsidR="00E16914" w:rsidRPr="00E16914" w:rsidRDefault="00E16914" w:rsidP="00E16914">
      <w:pPr>
        <w:spacing w:line="214" w:lineRule="exact"/>
        <w:ind w:left="740"/>
        <w:rPr>
          <w:rFonts w:ascii="Verdana" w:eastAsia="Times New Roman" w:hAnsi="Verdana"/>
        </w:rPr>
      </w:pPr>
      <w:r w:rsidRPr="00E16914">
        <w:rPr>
          <w:rStyle w:val="Hipercze"/>
          <w:rFonts w:ascii="Verdana" w:eastAsia="Times New Roman" w:hAnsi="Verdana"/>
          <w:b/>
          <w:bCs/>
        </w:rPr>
        <w:t>Y.G. przeciwko Rosji (nr 8647/12)</w:t>
      </w:r>
      <w:r w:rsidRPr="00E16914">
        <w:rPr>
          <w:rStyle w:val="Hipercze"/>
          <w:rFonts w:ascii="Verdana" w:eastAsia="Times New Roman" w:hAnsi="Verdana"/>
          <w:b/>
          <w:bCs/>
          <w:vertAlign w:val="superscript"/>
        </w:rPr>
        <w:footnoteReference w:id="2"/>
      </w:r>
      <w:r>
        <w:rPr>
          <w:rFonts w:ascii="Verdana" w:eastAsia="Times New Roman" w:hAnsi="Verdana"/>
          <w:b/>
          <w:bCs/>
          <w:color w:val="005A9E"/>
        </w:rPr>
        <w:fldChar w:fldCharType="end"/>
      </w:r>
    </w:p>
    <w:p w14:paraId="142C780D" w14:textId="49A5C6AA" w:rsidR="00E16914" w:rsidRPr="008B33E0" w:rsidRDefault="00E16914" w:rsidP="00E16914">
      <w:pPr>
        <w:spacing w:line="214" w:lineRule="exact"/>
        <w:ind w:left="740"/>
        <w:rPr>
          <w:rFonts w:ascii="Verdana" w:eastAsia="Times New Roman" w:hAnsi="Verdana"/>
          <w:color w:val="808080" w:themeColor="background1" w:themeShade="80"/>
          <w:sz w:val="16"/>
          <w:szCs w:val="16"/>
        </w:rPr>
      </w:pPr>
      <w:r w:rsidRPr="008B33E0">
        <w:rPr>
          <w:rFonts w:ascii="Verdana" w:eastAsia="Times New Roman" w:hAnsi="Verdana"/>
          <w:color w:val="808080" w:themeColor="background1" w:themeShade="80"/>
          <w:sz w:val="16"/>
          <w:szCs w:val="16"/>
        </w:rPr>
        <w:t>30 sierpnia 2022 r</w:t>
      </w:r>
      <w:r w:rsidR="008B33E0" w:rsidRPr="008B33E0">
        <w:rPr>
          <w:rFonts w:ascii="Verdana" w:eastAsia="Times New Roman" w:hAnsi="Verdana"/>
          <w:color w:val="808080" w:themeColor="background1" w:themeShade="80"/>
          <w:sz w:val="16"/>
          <w:szCs w:val="16"/>
        </w:rPr>
        <w:t>oku</w:t>
      </w:r>
    </w:p>
    <w:p w14:paraId="090659DA" w14:textId="77777777" w:rsidR="00E16914" w:rsidRPr="00E16914" w:rsidRDefault="00E16914" w:rsidP="00E16914">
      <w:pPr>
        <w:spacing w:line="214" w:lineRule="exact"/>
        <w:ind w:left="740"/>
        <w:rPr>
          <w:rFonts w:ascii="Verdana" w:eastAsia="Times New Roman" w:hAnsi="Verdana"/>
          <w:sz w:val="18"/>
          <w:szCs w:val="18"/>
        </w:rPr>
      </w:pPr>
      <w:r w:rsidRPr="00E16914">
        <w:rPr>
          <w:rFonts w:ascii="Verdana" w:eastAsia="Times New Roman" w:hAnsi="Verdana"/>
          <w:sz w:val="18"/>
          <w:szCs w:val="18"/>
        </w:rPr>
        <w:t>Patrz poniżej, punkt „Ujawnianie danych osobowych”.</w:t>
      </w:r>
    </w:p>
    <w:p w14:paraId="59F76329" w14:textId="77777777" w:rsidR="00F832FE" w:rsidRPr="00E16914" w:rsidRDefault="00F832FE" w:rsidP="00AB713F">
      <w:pPr>
        <w:spacing w:line="211" w:lineRule="exact"/>
        <w:ind w:left="740"/>
        <w:rPr>
          <w:rFonts w:ascii="Verdana" w:eastAsia="Times New Roman" w:hAnsi="Verdana"/>
        </w:rPr>
      </w:pPr>
    </w:p>
    <w:p w14:paraId="02A3F5E3" w14:textId="77777777" w:rsidR="00F832FE" w:rsidRDefault="00635E31" w:rsidP="00AB713F">
      <w:pPr>
        <w:spacing w:line="267" w:lineRule="auto"/>
        <w:ind w:left="740" w:right="20"/>
        <w:rPr>
          <w:rFonts w:ascii="Verdana" w:eastAsia="Verdana" w:hAnsi="Verdana"/>
          <w:color w:val="808080"/>
          <w:sz w:val="28"/>
        </w:rPr>
      </w:pPr>
      <w:r>
        <w:rPr>
          <w:rFonts w:ascii="Verdana" w:eastAsia="Verdana" w:hAnsi="Verdana"/>
          <w:color w:val="808080"/>
          <w:sz w:val="28"/>
        </w:rPr>
        <w:t>Przechwytywanie</w:t>
      </w:r>
      <w:r w:rsidR="00663480">
        <w:rPr>
          <w:rFonts w:ascii="Verdana" w:eastAsia="Verdana" w:hAnsi="Verdana"/>
          <w:color w:val="808080"/>
          <w:sz w:val="28"/>
        </w:rPr>
        <w:t xml:space="preserve"> </w:t>
      </w:r>
      <w:r>
        <w:rPr>
          <w:rFonts w:ascii="Verdana" w:eastAsia="Verdana" w:hAnsi="Verdana"/>
          <w:color w:val="808080"/>
          <w:sz w:val="28"/>
        </w:rPr>
        <w:t>połączeń, podsłuchiwanie rozmów</w:t>
      </w:r>
      <w:r w:rsidR="00663480">
        <w:rPr>
          <w:rFonts w:ascii="Verdana" w:eastAsia="Verdana" w:hAnsi="Verdana"/>
          <w:color w:val="808080"/>
          <w:sz w:val="28"/>
        </w:rPr>
        <w:t xml:space="preserve">                       </w:t>
      </w:r>
      <w:r>
        <w:rPr>
          <w:rFonts w:ascii="Verdana" w:eastAsia="Verdana" w:hAnsi="Verdana"/>
          <w:color w:val="808080"/>
          <w:sz w:val="28"/>
        </w:rPr>
        <w:t>telefonicznych oraz tajny nadzór</w:t>
      </w:r>
    </w:p>
    <w:p w14:paraId="671CBEB5" w14:textId="77777777" w:rsidR="00F832FE" w:rsidRDefault="00F832FE" w:rsidP="00AB713F">
      <w:pPr>
        <w:spacing w:line="47" w:lineRule="exact"/>
        <w:ind w:left="740"/>
        <w:rPr>
          <w:rFonts w:ascii="Times New Roman" w:eastAsia="Times New Roman" w:hAnsi="Times New Roman"/>
        </w:rPr>
      </w:pPr>
    </w:p>
    <w:p w14:paraId="54CD1D44" w14:textId="7B91998E" w:rsidR="00AF5E6F" w:rsidRPr="00A14197" w:rsidRDefault="003F38F5" w:rsidP="00AB713F">
      <w:pPr>
        <w:spacing w:before="120" w:line="0" w:lineRule="atLeast"/>
        <w:ind w:left="740"/>
        <w:rPr>
          <w:rStyle w:val="Hipercze"/>
          <w:rFonts w:ascii="Verdana" w:eastAsia="Verdana" w:hAnsi="Verdana"/>
          <w:b/>
          <w:color w:val="0072BC"/>
        </w:rPr>
      </w:pPr>
      <w:r w:rsidRPr="00A14197">
        <w:rPr>
          <w:rStyle w:val="Hipercze"/>
          <w:color w:val="0072BC"/>
        </w:rPr>
        <w:fldChar w:fldCharType="begin"/>
      </w:r>
      <w:r w:rsidR="00B75579">
        <w:rPr>
          <w:rStyle w:val="Hipercze"/>
          <w:color w:val="0072BC"/>
        </w:rPr>
        <w:instrText>HYPERLINK "https://hudoc.echr.coe.int/app/conversion/pdf/?library=ECHR&amp;id=001-188086&amp;filename=CASE%20OF%20KLASS%20AND%20OTHERS%20v.%20GERMANY%20-%20%5BGerman%20Translation%5D%20summary%20by%20N.%20P.%20Engel%20Verlag.pdf"</w:instrText>
      </w:r>
      <w:r w:rsidRPr="00A14197">
        <w:rPr>
          <w:rStyle w:val="Hipercze"/>
          <w:color w:val="0072BC"/>
        </w:rPr>
      </w:r>
      <w:r w:rsidRPr="00A14197">
        <w:rPr>
          <w:rStyle w:val="Hipercze"/>
          <w:color w:val="0072BC"/>
        </w:rPr>
        <w:fldChar w:fldCharType="separate"/>
      </w:r>
      <w:proofErr w:type="spellStart"/>
      <w:r w:rsidR="00AF5E6F" w:rsidRPr="00A14197">
        <w:rPr>
          <w:rStyle w:val="Hipercze"/>
          <w:rFonts w:ascii="Verdana" w:eastAsia="Verdana" w:hAnsi="Verdana"/>
          <w:b/>
          <w:color w:val="0072BC"/>
        </w:rPr>
        <w:t>Klass</w:t>
      </w:r>
      <w:proofErr w:type="spellEnd"/>
      <w:r w:rsidR="00AF5E6F" w:rsidRPr="00A14197">
        <w:rPr>
          <w:rStyle w:val="Hipercze"/>
          <w:rFonts w:ascii="Verdana" w:eastAsia="Verdana" w:hAnsi="Verdana"/>
          <w:b/>
          <w:color w:val="0072BC"/>
        </w:rPr>
        <w:t xml:space="preserve"> i Inni przeciwko Niemcom</w:t>
      </w:r>
    </w:p>
    <w:bookmarkStart w:id="4" w:name="_Hlk17714537"/>
    <w:p w14:paraId="5BE89FAE" w14:textId="77777777" w:rsidR="003A50F5" w:rsidRDefault="003F38F5" w:rsidP="00AB713F">
      <w:pPr>
        <w:spacing w:line="0" w:lineRule="atLeast"/>
        <w:ind w:left="740"/>
        <w:rPr>
          <w:rFonts w:ascii="Verdana" w:eastAsia="Verdana" w:hAnsi="Verdana"/>
          <w:color w:val="808080"/>
          <w:sz w:val="18"/>
        </w:rPr>
      </w:pPr>
      <w:r w:rsidRPr="00A14197">
        <w:rPr>
          <w:rStyle w:val="Hipercze"/>
          <w:color w:val="0072BC"/>
        </w:rPr>
        <w:fldChar w:fldCharType="end"/>
      </w:r>
      <w:r w:rsidR="003A50F5">
        <w:rPr>
          <w:rFonts w:ascii="Verdana" w:eastAsia="Verdana" w:hAnsi="Verdana"/>
          <w:color w:val="808080"/>
          <w:sz w:val="18"/>
        </w:rPr>
        <w:t>6 września 1978 roku</w:t>
      </w:r>
    </w:p>
    <w:bookmarkEnd w:id="4"/>
    <w:p w14:paraId="0642B839" w14:textId="77777777" w:rsidR="003A50F5" w:rsidRDefault="003A50F5" w:rsidP="00AB713F">
      <w:pPr>
        <w:spacing w:line="0" w:lineRule="atLeast"/>
        <w:ind w:left="740"/>
        <w:jc w:val="both"/>
        <w:rPr>
          <w:rFonts w:ascii="Verdana" w:eastAsia="Verdana" w:hAnsi="Verdana"/>
        </w:rPr>
      </w:pPr>
      <w:r>
        <w:rPr>
          <w:rFonts w:ascii="Verdana" w:eastAsia="Verdana" w:hAnsi="Verdana"/>
        </w:rPr>
        <w:t>W niniejszej</w:t>
      </w:r>
      <w:r w:rsidR="00C561D3">
        <w:rPr>
          <w:rFonts w:ascii="Verdana" w:eastAsia="Verdana" w:hAnsi="Verdana"/>
        </w:rPr>
        <w:t xml:space="preserve"> sprawie </w:t>
      </w:r>
      <w:r w:rsidR="00D432C8">
        <w:rPr>
          <w:rFonts w:ascii="Verdana" w:eastAsia="Verdana" w:hAnsi="Verdana"/>
        </w:rPr>
        <w:t xml:space="preserve">skarżący, </w:t>
      </w:r>
      <w:r w:rsidR="00C561D3">
        <w:rPr>
          <w:rFonts w:ascii="Verdana" w:eastAsia="Verdana" w:hAnsi="Verdana"/>
        </w:rPr>
        <w:t>pięciu niemieckich prawników</w:t>
      </w:r>
      <w:r w:rsidR="00D432C8">
        <w:rPr>
          <w:rFonts w:ascii="Verdana" w:eastAsia="Verdana" w:hAnsi="Verdana"/>
        </w:rPr>
        <w:t>,</w:t>
      </w:r>
      <w:r w:rsidR="00C561D3">
        <w:rPr>
          <w:rFonts w:ascii="Verdana" w:eastAsia="Verdana" w:hAnsi="Verdana"/>
        </w:rPr>
        <w:t xml:space="preserve"> </w:t>
      </w:r>
      <w:r w:rsidR="00372B0B">
        <w:rPr>
          <w:rFonts w:ascii="Verdana" w:eastAsia="Verdana" w:hAnsi="Verdana"/>
        </w:rPr>
        <w:t>wnieśli</w:t>
      </w:r>
      <w:r w:rsidR="00C561D3">
        <w:rPr>
          <w:rFonts w:ascii="Verdana" w:eastAsia="Verdana" w:hAnsi="Verdana"/>
        </w:rPr>
        <w:t xml:space="preserve"> skargę </w:t>
      </w:r>
      <w:r w:rsidR="00D432C8">
        <w:rPr>
          <w:rFonts w:ascii="Verdana" w:eastAsia="Verdana" w:hAnsi="Verdana"/>
        </w:rPr>
        <w:t>dotyczącą</w:t>
      </w:r>
      <w:r w:rsidR="00C561D3">
        <w:rPr>
          <w:rFonts w:ascii="Verdana" w:eastAsia="Verdana" w:hAnsi="Verdana"/>
        </w:rPr>
        <w:t xml:space="preserve"> niemieckiego ustawodawstwa, które uprawnia</w:t>
      </w:r>
      <w:r w:rsidR="00663480">
        <w:rPr>
          <w:rFonts w:ascii="Verdana" w:eastAsia="Verdana" w:hAnsi="Verdana"/>
        </w:rPr>
        <w:t>ło</w:t>
      </w:r>
      <w:r w:rsidR="00C561D3">
        <w:rPr>
          <w:rFonts w:ascii="Verdana" w:eastAsia="Verdana" w:hAnsi="Verdana"/>
        </w:rPr>
        <w:t xml:space="preserve"> władz</w:t>
      </w:r>
      <w:r w:rsidR="00663480">
        <w:rPr>
          <w:rFonts w:ascii="Verdana" w:eastAsia="Verdana" w:hAnsi="Verdana"/>
        </w:rPr>
        <w:t>e</w:t>
      </w:r>
      <w:r w:rsidR="00C561D3">
        <w:rPr>
          <w:rFonts w:ascii="Verdana" w:eastAsia="Verdana" w:hAnsi="Verdana"/>
        </w:rPr>
        <w:t xml:space="preserve"> do monitorowania ich korespondencji oraz połączeń telefonicznych, </w:t>
      </w:r>
      <w:r w:rsidR="00D432C8">
        <w:rPr>
          <w:rFonts w:ascii="Verdana" w:eastAsia="Verdana" w:hAnsi="Verdana"/>
        </w:rPr>
        <w:t>przy jednoczesnym braku zobowiązania</w:t>
      </w:r>
      <w:r w:rsidR="00C561D3">
        <w:rPr>
          <w:rFonts w:ascii="Verdana" w:eastAsia="Verdana" w:hAnsi="Verdana"/>
        </w:rPr>
        <w:t xml:space="preserve"> władz </w:t>
      </w:r>
      <w:r w:rsidR="00D432C8">
        <w:rPr>
          <w:rFonts w:ascii="Verdana" w:eastAsia="Verdana" w:hAnsi="Verdana"/>
        </w:rPr>
        <w:t>do późniejszego poinformowania o środkach podjętych przeciwko nim.</w:t>
      </w:r>
    </w:p>
    <w:p w14:paraId="48A2064C" w14:textId="77777777" w:rsidR="007B270A" w:rsidRPr="00F8489F" w:rsidRDefault="00D432C8" w:rsidP="00AB713F">
      <w:pPr>
        <w:spacing w:line="0" w:lineRule="atLeast"/>
        <w:ind w:left="740"/>
        <w:jc w:val="both"/>
        <w:rPr>
          <w:rFonts w:ascii="Verdana" w:eastAsia="Verdana" w:hAnsi="Verdana"/>
          <w:color w:val="0070C0"/>
        </w:rPr>
      </w:pPr>
      <w:r w:rsidRPr="00F8489F">
        <w:rPr>
          <w:rFonts w:ascii="Verdana" w:eastAsia="Verdana" w:hAnsi="Verdana"/>
          <w:color w:val="0070C0"/>
        </w:rPr>
        <w:t>Trybunał orzekł, że</w:t>
      </w:r>
      <w:r w:rsidRPr="006712EC">
        <w:rPr>
          <w:rFonts w:ascii="Verdana" w:eastAsia="Verdana" w:hAnsi="Verdana"/>
          <w:color w:val="0070C0"/>
        </w:rPr>
        <w:t xml:space="preserve"> </w:t>
      </w:r>
      <w:r w:rsidRPr="00F8489F">
        <w:rPr>
          <w:rFonts w:ascii="Verdana" w:eastAsia="Verdana" w:hAnsi="Verdana"/>
          <w:b/>
          <w:color w:val="0070C0"/>
        </w:rPr>
        <w:t xml:space="preserve">nie doszło do naruszenia </w:t>
      </w:r>
      <w:r w:rsidR="00663480">
        <w:rPr>
          <w:rFonts w:ascii="Verdana" w:eastAsia="Verdana" w:hAnsi="Verdana"/>
          <w:b/>
          <w:color w:val="0070C0"/>
        </w:rPr>
        <w:t>art.</w:t>
      </w:r>
      <w:r w:rsidRPr="00F8489F">
        <w:rPr>
          <w:rFonts w:ascii="Verdana" w:eastAsia="Verdana" w:hAnsi="Verdana"/>
          <w:b/>
          <w:color w:val="0070C0"/>
        </w:rPr>
        <w:t xml:space="preserve"> 8 Konwencj</w:t>
      </w:r>
      <w:r w:rsidRPr="006712EC">
        <w:rPr>
          <w:rFonts w:ascii="Verdana" w:eastAsia="Verdana" w:hAnsi="Verdana"/>
          <w:b/>
          <w:color w:val="0070C0"/>
        </w:rPr>
        <w:t>i</w:t>
      </w:r>
      <w:r w:rsidR="00DF6D64" w:rsidRPr="006712EC">
        <w:rPr>
          <w:rFonts w:ascii="Verdana" w:eastAsia="Verdana" w:hAnsi="Verdana"/>
          <w:b/>
          <w:color w:val="0070C0"/>
        </w:rPr>
        <w:t xml:space="preserve"> </w:t>
      </w:r>
      <w:r w:rsidR="00DF6D64" w:rsidRPr="00F8489F">
        <w:rPr>
          <w:rFonts w:ascii="Verdana" w:eastAsia="Verdana" w:hAnsi="Verdana"/>
          <w:color w:val="0070C0"/>
        </w:rPr>
        <w:t>stwierdzając,</w:t>
      </w:r>
      <w:r w:rsidR="00DF6D64" w:rsidRPr="006712EC">
        <w:rPr>
          <w:rFonts w:ascii="Verdana" w:eastAsia="Verdana" w:hAnsi="Verdana"/>
          <w:b/>
          <w:color w:val="0070C0"/>
        </w:rPr>
        <w:t xml:space="preserve"> </w:t>
      </w:r>
      <w:r w:rsidR="00DF6D64" w:rsidRPr="00F8489F">
        <w:rPr>
          <w:rFonts w:ascii="Verdana" w:eastAsia="Verdana" w:hAnsi="Verdana"/>
          <w:color w:val="0070C0"/>
        </w:rPr>
        <w:t>że ustawodawca niemiecki</w:t>
      </w:r>
      <w:r w:rsidR="00F837E4" w:rsidRPr="006712EC">
        <w:rPr>
          <w:rFonts w:ascii="Verdana" w:eastAsia="Verdana" w:hAnsi="Verdana"/>
          <w:color w:val="0070C0"/>
        </w:rPr>
        <w:t xml:space="preserve"> ma prawo uznać ingerencję wynikającą z zaskarżonych przepisów </w:t>
      </w:r>
      <w:r w:rsidR="00F837E4" w:rsidRPr="00F8489F">
        <w:rPr>
          <w:rFonts w:ascii="Verdana" w:eastAsia="Verdana" w:hAnsi="Verdana"/>
          <w:color w:val="0070C0"/>
        </w:rPr>
        <w:t>w wykonywanie prawa zagwarantowanego w art. 8 ust. 1</w:t>
      </w:r>
      <w:r w:rsidR="00810540">
        <w:rPr>
          <w:rFonts w:ascii="Verdana" w:eastAsia="Verdana" w:hAnsi="Verdana"/>
          <w:color w:val="0070C0"/>
        </w:rPr>
        <w:t>,</w:t>
      </w:r>
      <w:r w:rsidR="00F837E4" w:rsidRPr="00F8489F">
        <w:rPr>
          <w:rFonts w:ascii="Verdana" w:eastAsia="Verdana" w:hAnsi="Verdana"/>
          <w:color w:val="0070C0"/>
        </w:rPr>
        <w:t xml:space="preserve"> za konieczną w społeczeństwie demokratycznym w interesie bezpieczeństwa </w:t>
      </w:r>
      <w:r w:rsidR="00435C38">
        <w:rPr>
          <w:rFonts w:ascii="Verdana" w:eastAsia="Verdana" w:hAnsi="Verdana"/>
          <w:color w:val="0070C0"/>
        </w:rPr>
        <w:t>narodowego</w:t>
      </w:r>
      <w:r w:rsidR="00F837E4" w:rsidRPr="00F8489F">
        <w:rPr>
          <w:rFonts w:ascii="Verdana" w:eastAsia="Verdana" w:hAnsi="Verdana"/>
          <w:color w:val="0070C0"/>
        </w:rPr>
        <w:t xml:space="preserve"> oraz w celu </w:t>
      </w:r>
      <w:r w:rsidR="00BD7B95" w:rsidRPr="00F8489F">
        <w:rPr>
          <w:rFonts w:ascii="Verdana" w:eastAsia="Verdana" w:hAnsi="Verdana"/>
          <w:color w:val="0070C0"/>
        </w:rPr>
        <w:t>ochrony</w:t>
      </w:r>
      <w:r w:rsidR="00F837E4" w:rsidRPr="00F8489F">
        <w:rPr>
          <w:rFonts w:ascii="Verdana" w:eastAsia="Verdana" w:hAnsi="Verdana"/>
          <w:color w:val="0070C0"/>
        </w:rPr>
        <w:t xml:space="preserve"> porządku </w:t>
      </w:r>
      <w:r w:rsidR="00BD7B95" w:rsidRPr="00F8489F">
        <w:rPr>
          <w:rFonts w:ascii="Verdana" w:eastAsia="Verdana" w:hAnsi="Verdana"/>
          <w:color w:val="0070C0"/>
        </w:rPr>
        <w:t>i zapobiegania</w:t>
      </w:r>
      <w:r w:rsidR="00372B0B">
        <w:rPr>
          <w:rFonts w:ascii="Verdana" w:eastAsia="Verdana" w:hAnsi="Verdana"/>
          <w:color w:val="0070C0"/>
        </w:rPr>
        <w:t xml:space="preserve"> przestępczości</w:t>
      </w:r>
      <w:r w:rsidR="00F837E4" w:rsidRPr="00F8489F">
        <w:rPr>
          <w:rFonts w:ascii="Verdana" w:eastAsia="Verdana" w:hAnsi="Verdana"/>
          <w:color w:val="0070C0"/>
        </w:rPr>
        <w:t xml:space="preserve"> (art. 8 ust. 2). Trybunał zauważył w szczególności, że uprawnienia do niejawnej kontroli obywateli, charakteryzujące państwo policyjne, są dopuszczalne na mocy </w:t>
      </w:r>
      <w:r w:rsidR="006712EC" w:rsidRPr="00F8489F">
        <w:rPr>
          <w:rFonts w:ascii="Verdana" w:eastAsia="Verdana" w:hAnsi="Verdana"/>
          <w:color w:val="0070C0"/>
        </w:rPr>
        <w:t>K</w:t>
      </w:r>
      <w:r w:rsidR="00F837E4" w:rsidRPr="00F8489F">
        <w:rPr>
          <w:rFonts w:ascii="Verdana" w:eastAsia="Verdana" w:hAnsi="Verdana"/>
          <w:color w:val="0070C0"/>
        </w:rPr>
        <w:t>onwencji tylko w takim zakresie, w jakim jest to bezwzględnie konieczne dla ochrony instytucji</w:t>
      </w:r>
      <w:r w:rsidR="00372B0B">
        <w:rPr>
          <w:rFonts w:ascii="Verdana" w:eastAsia="Verdana" w:hAnsi="Verdana"/>
          <w:color w:val="0070C0"/>
        </w:rPr>
        <w:t xml:space="preserve"> </w:t>
      </w:r>
      <w:r w:rsidR="00F837E4" w:rsidRPr="00F8489F">
        <w:rPr>
          <w:rFonts w:ascii="Verdana" w:eastAsia="Verdana" w:hAnsi="Verdana"/>
          <w:color w:val="0070C0"/>
        </w:rPr>
        <w:t>demokratycznych.</w:t>
      </w:r>
      <w:r w:rsidR="006D358D">
        <w:rPr>
          <w:rFonts w:ascii="Verdana" w:eastAsia="Verdana" w:hAnsi="Verdana"/>
          <w:color w:val="0070C0"/>
        </w:rPr>
        <w:t xml:space="preserve"> </w:t>
      </w:r>
      <w:r w:rsidR="006D358D" w:rsidRPr="00F8489F">
        <w:rPr>
          <w:rFonts w:ascii="Verdana" w:eastAsia="Verdana" w:hAnsi="Verdana"/>
          <w:color w:val="0070C0"/>
        </w:rPr>
        <w:t>Mając</w:t>
      </w:r>
      <w:r w:rsidR="00F837E4" w:rsidRPr="00F8489F">
        <w:rPr>
          <w:rFonts w:ascii="Verdana" w:eastAsia="Verdana" w:hAnsi="Verdana"/>
          <w:color w:val="0070C0"/>
        </w:rPr>
        <w:t xml:space="preserve"> jednak</w:t>
      </w:r>
      <w:r w:rsidR="006D358D" w:rsidRPr="00F8489F">
        <w:rPr>
          <w:rFonts w:ascii="Verdana" w:eastAsia="Verdana" w:hAnsi="Verdana"/>
          <w:color w:val="0070C0"/>
        </w:rPr>
        <w:t xml:space="preserve"> na uwadze</w:t>
      </w:r>
      <w:r w:rsidR="00F837E4" w:rsidRPr="00F8489F">
        <w:rPr>
          <w:rFonts w:ascii="Verdana" w:eastAsia="Verdana" w:hAnsi="Verdana"/>
          <w:color w:val="0070C0"/>
        </w:rPr>
        <w:t xml:space="preserve">, że społeczeństwa demokratyczne są obecnie zagrożone </w:t>
      </w:r>
      <w:r w:rsidR="00372B0B">
        <w:rPr>
          <w:rFonts w:ascii="Verdana" w:eastAsia="Verdana" w:hAnsi="Verdana"/>
          <w:color w:val="0070C0"/>
        </w:rPr>
        <w:t>niezwykle</w:t>
      </w:r>
      <w:r w:rsidR="00F837E4" w:rsidRPr="00F8489F">
        <w:rPr>
          <w:rFonts w:ascii="Verdana" w:eastAsia="Verdana" w:hAnsi="Verdana"/>
          <w:color w:val="0070C0"/>
        </w:rPr>
        <w:t xml:space="preserve"> </w:t>
      </w:r>
      <w:r w:rsidR="00372B0B">
        <w:rPr>
          <w:rFonts w:ascii="Verdana" w:eastAsia="Verdana" w:hAnsi="Verdana"/>
          <w:color w:val="0070C0"/>
        </w:rPr>
        <w:t>wyszukanymi</w:t>
      </w:r>
      <w:r w:rsidR="00F837E4" w:rsidRPr="00F8489F">
        <w:rPr>
          <w:rFonts w:ascii="Verdana" w:eastAsia="Verdana" w:hAnsi="Verdana"/>
          <w:color w:val="0070C0"/>
        </w:rPr>
        <w:t xml:space="preserve"> formami szpiegostwa </w:t>
      </w:r>
      <w:r w:rsidR="00372B0B">
        <w:rPr>
          <w:rFonts w:ascii="Verdana" w:eastAsia="Verdana" w:hAnsi="Verdana"/>
          <w:color w:val="0070C0"/>
        </w:rPr>
        <w:t>oraz</w:t>
      </w:r>
      <w:r w:rsidR="00F837E4" w:rsidRPr="00F8489F">
        <w:rPr>
          <w:rFonts w:ascii="Verdana" w:eastAsia="Verdana" w:hAnsi="Verdana"/>
          <w:color w:val="0070C0"/>
        </w:rPr>
        <w:t xml:space="preserve"> terroryzmem, w związku z czym państwo musi być w stanie</w:t>
      </w:r>
      <w:r w:rsidR="005256B8">
        <w:rPr>
          <w:rFonts w:ascii="Verdana" w:eastAsia="Verdana" w:hAnsi="Verdana"/>
          <w:color w:val="0070C0"/>
        </w:rPr>
        <w:t>,</w:t>
      </w:r>
      <w:r w:rsidR="00810540">
        <w:rPr>
          <w:rFonts w:ascii="Verdana" w:eastAsia="Verdana" w:hAnsi="Verdana"/>
          <w:color w:val="0070C0"/>
        </w:rPr>
        <w:t xml:space="preserve"> </w:t>
      </w:r>
      <w:r w:rsidR="00435C38">
        <w:rPr>
          <w:rFonts w:ascii="Verdana" w:eastAsia="Verdana" w:hAnsi="Verdana"/>
          <w:color w:val="0070C0"/>
        </w:rPr>
        <w:t>w celu skutecznego zapobiegania takim zagrożeniom</w:t>
      </w:r>
      <w:r w:rsidR="005256B8">
        <w:rPr>
          <w:rFonts w:ascii="Verdana" w:eastAsia="Verdana" w:hAnsi="Verdana"/>
          <w:color w:val="0070C0"/>
        </w:rPr>
        <w:t>,</w:t>
      </w:r>
      <w:r w:rsidR="00810540">
        <w:rPr>
          <w:rFonts w:ascii="Verdana" w:eastAsia="Verdana" w:hAnsi="Verdana"/>
          <w:color w:val="0070C0"/>
        </w:rPr>
        <w:t xml:space="preserve"> </w:t>
      </w:r>
      <w:r w:rsidR="00665E12">
        <w:rPr>
          <w:rFonts w:ascii="Verdana" w:eastAsia="Verdana" w:hAnsi="Verdana"/>
          <w:color w:val="0070C0"/>
        </w:rPr>
        <w:t xml:space="preserve">powziąć tajną obserwację elementów szkodliwych działających w </w:t>
      </w:r>
      <w:r w:rsidR="005256B8">
        <w:rPr>
          <w:rFonts w:ascii="Verdana" w:eastAsia="Verdana" w:hAnsi="Verdana"/>
          <w:color w:val="0070C0"/>
        </w:rPr>
        <w:t>jego</w:t>
      </w:r>
      <w:r w:rsidR="00665E12">
        <w:rPr>
          <w:rFonts w:ascii="Verdana" w:eastAsia="Verdana" w:hAnsi="Verdana"/>
          <w:color w:val="0070C0"/>
        </w:rPr>
        <w:t xml:space="preserve"> jurysdykcji</w:t>
      </w:r>
      <w:r w:rsidR="00810540" w:rsidRPr="008F4B62">
        <w:rPr>
          <w:rFonts w:ascii="Verdana" w:eastAsia="Verdana" w:hAnsi="Verdana"/>
          <w:color w:val="0070C0"/>
        </w:rPr>
        <w:t>,</w:t>
      </w:r>
      <w:r w:rsidR="00665E12">
        <w:rPr>
          <w:rFonts w:ascii="Verdana" w:eastAsia="Verdana" w:hAnsi="Verdana"/>
          <w:color w:val="0070C0"/>
        </w:rPr>
        <w:t xml:space="preserve"> </w:t>
      </w:r>
      <w:r w:rsidR="00F837E4" w:rsidRPr="00F8489F">
        <w:rPr>
          <w:rFonts w:ascii="Verdana" w:eastAsia="Verdana" w:hAnsi="Verdana"/>
          <w:color w:val="0070C0"/>
        </w:rPr>
        <w:t>Trybunał uznał, że istnienie niektórych przepisów przyznających kompetencje tajn</w:t>
      </w:r>
      <w:r w:rsidR="005256B8">
        <w:rPr>
          <w:rFonts w:ascii="Verdana" w:eastAsia="Verdana" w:hAnsi="Verdana"/>
          <w:color w:val="0070C0"/>
        </w:rPr>
        <w:t>ej</w:t>
      </w:r>
      <w:r w:rsidR="00F837E4" w:rsidRPr="00F8489F">
        <w:rPr>
          <w:rFonts w:ascii="Verdana" w:eastAsia="Verdana" w:hAnsi="Verdana"/>
          <w:color w:val="0070C0"/>
        </w:rPr>
        <w:t xml:space="preserve"> </w:t>
      </w:r>
      <w:r w:rsidR="005256B8">
        <w:rPr>
          <w:rFonts w:ascii="Verdana" w:eastAsia="Verdana" w:hAnsi="Verdana"/>
          <w:color w:val="0070C0"/>
        </w:rPr>
        <w:t>obserwacji</w:t>
      </w:r>
      <w:r w:rsidR="00F837E4" w:rsidRPr="00F8489F">
        <w:rPr>
          <w:rFonts w:ascii="Verdana" w:eastAsia="Verdana" w:hAnsi="Verdana"/>
          <w:color w:val="0070C0"/>
        </w:rPr>
        <w:t xml:space="preserve"> poczt</w:t>
      </w:r>
      <w:r w:rsidR="005256B8">
        <w:rPr>
          <w:rFonts w:ascii="Verdana" w:eastAsia="Verdana" w:hAnsi="Verdana"/>
          <w:color w:val="0070C0"/>
        </w:rPr>
        <w:t>y</w:t>
      </w:r>
      <w:r w:rsidR="000467ED">
        <w:rPr>
          <w:rFonts w:ascii="Verdana" w:eastAsia="Verdana" w:hAnsi="Verdana"/>
          <w:color w:val="0070C0"/>
        </w:rPr>
        <w:t xml:space="preserve"> elektroniczn</w:t>
      </w:r>
      <w:r w:rsidR="005256B8">
        <w:rPr>
          <w:rFonts w:ascii="Verdana" w:eastAsia="Verdana" w:hAnsi="Verdana"/>
          <w:color w:val="0070C0"/>
        </w:rPr>
        <w:t>ej</w:t>
      </w:r>
      <w:r w:rsidR="00F837E4" w:rsidRPr="00F8489F">
        <w:rPr>
          <w:rFonts w:ascii="Verdana" w:eastAsia="Verdana" w:hAnsi="Verdana"/>
          <w:color w:val="0070C0"/>
        </w:rPr>
        <w:t xml:space="preserve">, </w:t>
      </w:r>
      <w:r w:rsidR="005256B8">
        <w:rPr>
          <w:rFonts w:ascii="Verdana" w:eastAsia="Verdana" w:hAnsi="Verdana"/>
          <w:color w:val="0070C0"/>
        </w:rPr>
        <w:t>listów</w:t>
      </w:r>
      <w:r w:rsidR="00F837E4" w:rsidRPr="00F8489F">
        <w:rPr>
          <w:rFonts w:ascii="Verdana" w:eastAsia="Verdana" w:hAnsi="Verdana"/>
          <w:color w:val="0070C0"/>
        </w:rPr>
        <w:t xml:space="preserve"> i </w:t>
      </w:r>
      <w:r w:rsidR="00F837E4" w:rsidRPr="00F8489F">
        <w:rPr>
          <w:rFonts w:ascii="Verdana" w:eastAsia="Verdana" w:hAnsi="Verdana"/>
          <w:color w:val="0070C0"/>
        </w:rPr>
        <w:lastRenderedPageBreak/>
        <w:t>telekomunikacj</w:t>
      </w:r>
      <w:r w:rsidR="005256B8">
        <w:rPr>
          <w:rFonts w:ascii="Verdana" w:eastAsia="Verdana" w:hAnsi="Verdana"/>
          <w:color w:val="0070C0"/>
        </w:rPr>
        <w:t>i</w:t>
      </w:r>
      <w:r w:rsidR="00F837E4" w:rsidRPr="00F8489F">
        <w:rPr>
          <w:rFonts w:ascii="Verdana" w:eastAsia="Verdana" w:hAnsi="Verdana"/>
          <w:color w:val="0070C0"/>
        </w:rPr>
        <w:t xml:space="preserve"> było w wyjątkowych </w:t>
      </w:r>
      <w:r w:rsidR="00D55611" w:rsidRPr="00F8489F">
        <w:rPr>
          <w:rFonts w:ascii="Verdana" w:eastAsia="Verdana" w:hAnsi="Verdana"/>
          <w:color w:val="0070C0"/>
        </w:rPr>
        <w:t>sytuacjach</w:t>
      </w:r>
      <w:r w:rsidR="00F837E4" w:rsidRPr="00F8489F">
        <w:rPr>
          <w:rFonts w:ascii="Verdana" w:eastAsia="Verdana" w:hAnsi="Verdana"/>
          <w:color w:val="0070C0"/>
        </w:rPr>
        <w:t xml:space="preserve"> konieczne w społeczeństwie demokratycznym w interesie bezpieczeństwa </w:t>
      </w:r>
      <w:r w:rsidR="00D55611">
        <w:rPr>
          <w:rFonts w:ascii="Verdana" w:eastAsia="Verdana" w:hAnsi="Verdana"/>
          <w:color w:val="0070C0"/>
        </w:rPr>
        <w:t>państwowego</w:t>
      </w:r>
      <w:r w:rsidR="00F837E4" w:rsidRPr="00F8489F">
        <w:rPr>
          <w:rFonts w:ascii="Verdana" w:eastAsia="Verdana" w:hAnsi="Verdana"/>
          <w:color w:val="0070C0"/>
        </w:rPr>
        <w:t xml:space="preserve"> i/lub</w:t>
      </w:r>
      <w:r w:rsidR="000467ED" w:rsidRPr="00F8489F">
        <w:rPr>
          <w:rFonts w:ascii="Verdana" w:eastAsia="Verdana" w:hAnsi="Verdana"/>
          <w:color w:val="0070C0"/>
        </w:rPr>
        <w:t xml:space="preserve"> </w:t>
      </w:r>
      <w:r w:rsidR="00F837E4" w:rsidRPr="00F8489F">
        <w:rPr>
          <w:rFonts w:ascii="Verdana" w:eastAsia="Verdana" w:hAnsi="Verdana"/>
          <w:color w:val="0070C0"/>
        </w:rPr>
        <w:t xml:space="preserve">dla </w:t>
      </w:r>
      <w:r w:rsidR="000467ED" w:rsidRPr="00F8489F">
        <w:rPr>
          <w:rFonts w:ascii="Verdana" w:eastAsia="Verdana" w:hAnsi="Verdana"/>
          <w:color w:val="0070C0"/>
        </w:rPr>
        <w:t>ochrony</w:t>
      </w:r>
      <w:r w:rsidR="00F837E4" w:rsidRPr="00F8489F">
        <w:rPr>
          <w:rFonts w:ascii="Verdana" w:eastAsia="Verdana" w:hAnsi="Verdana"/>
          <w:color w:val="0070C0"/>
        </w:rPr>
        <w:t xml:space="preserve"> porządku lub </w:t>
      </w:r>
      <w:r w:rsidR="000467ED" w:rsidRPr="00F8489F">
        <w:rPr>
          <w:rFonts w:ascii="Verdana" w:eastAsia="Verdana" w:hAnsi="Verdana"/>
          <w:color w:val="0070C0"/>
        </w:rPr>
        <w:t xml:space="preserve">zapobiegania </w:t>
      </w:r>
      <w:r w:rsidR="00F837E4" w:rsidRPr="00F8489F">
        <w:rPr>
          <w:rFonts w:ascii="Verdana" w:eastAsia="Verdana" w:hAnsi="Verdana"/>
          <w:color w:val="0070C0"/>
        </w:rPr>
        <w:t>przestępczości.</w:t>
      </w:r>
    </w:p>
    <w:p w14:paraId="0AD8762B" w14:textId="2775CFFA" w:rsidR="00AF5E6F" w:rsidRPr="00B75579" w:rsidRDefault="00B75579" w:rsidP="00AB713F">
      <w:pPr>
        <w:spacing w:before="120" w:line="0" w:lineRule="atLeast"/>
        <w:ind w:left="740"/>
        <w:rPr>
          <w:rStyle w:val="Hipercze"/>
          <w:rFonts w:ascii="Verdana" w:eastAsia="Verdana" w:hAnsi="Verdana"/>
          <w:b/>
        </w:rPr>
      </w:pPr>
      <w:r>
        <w:rPr>
          <w:rFonts w:ascii="Verdana" w:eastAsia="Verdana" w:hAnsi="Verdana"/>
          <w:b/>
        </w:rPr>
        <w:fldChar w:fldCharType="begin"/>
      </w:r>
      <w:r>
        <w:rPr>
          <w:rFonts w:ascii="Verdana" w:eastAsia="Verdana" w:hAnsi="Verdana"/>
          <w:b/>
        </w:rPr>
        <w:instrText>HYPERLINK "https://hudoc.echr.coe.int/eng" \l "{%22itemid%22:[%22001-57533%22]}"</w:instrText>
      </w:r>
      <w:r>
        <w:rPr>
          <w:rFonts w:ascii="Verdana" w:eastAsia="Verdana" w:hAnsi="Verdana"/>
          <w:b/>
        </w:rPr>
      </w:r>
      <w:r>
        <w:rPr>
          <w:rFonts w:ascii="Verdana" w:eastAsia="Verdana" w:hAnsi="Verdana"/>
          <w:b/>
        </w:rPr>
        <w:fldChar w:fldCharType="separate"/>
      </w:r>
      <w:proofErr w:type="spellStart"/>
      <w:r w:rsidR="00AF5E6F" w:rsidRPr="00B75579">
        <w:rPr>
          <w:rStyle w:val="Hipercze"/>
          <w:rFonts w:ascii="Verdana" w:eastAsia="Verdana" w:hAnsi="Verdana"/>
          <w:b/>
        </w:rPr>
        <w:t>Malone</w:t>
      </w:r>
      <w:proofErr w:type="spellEnd"/>
      <w:r w:rsidR="00AF5E6F" w:rsidRPr="00B75579">
        <w:rPr>
          <w:rStyle w:val="Hipercze"/>
          <w:rFonts w:ascii="Verdana" w:eastAsia="Verdana" w:hAnsi="Verdana"/>
          <w:b/>
        </w:rPr>
        <w:t xml:space="preserve"> przeciwko Zjednoczonemu Królestwu</w:t>
      </w:r>
    </w:p>
    <w:p w14:paraId="2D39F9F5" w14:textId="46472DE5" w:rsidR="00F837E4" w:rsidRPr="00F8489F" w:rsidRDefault="00B75579" w:rsidP="00AB713F">
      <w:pPr>
        <w:spacing w:line="0" w:lineRule="atLeast"/>
        <w:ind w:left="740"/>
        <w:rPr>
          <w:rFonts w:ascii="Verdana" w:eastAsia="Verdana" w:hAnsi="Verdana"/>
          <w:color w:val="808080"/>
          <w:sz w:val="18"/>
        </w:rPr>
      </w:pPr>
      <w:r>
        <w:rPr>
          <w:rFonts w:ascii="Verdana" w:eastAsia="Verdana" w:hAnsi="Verdana"/>
          <w:b/>
        </w:rPr>
        <w:fldChar w:fldCharType="end"/>
      </w:r>
      <w:r w:rsidR="000273B6">
        <w:rPr>
          <w:rFonts w:ascii="Verdana" w:eastAsia="Verdana" w:hAnsi="Verdana"/>
          <w:color w:val="808080"/>
          <w:sz w:val="18"/>
        </w:rPr>
        <w:t>2</w:t>
      </w:r>
      <w:r w:rsidR="003D664D">
        <w:rPr>
          <w:rFonts w:ascii="Verdana" w:eastAsia="Verdana" w:hAnsi="Verdana"/>
          <w:color w:val="808080"/>
          <w:sz w:val="18"/>
        </w:rPr>
        <w:t xml:space="preserve"> </w:t>
      </w:r>
      <w:r w:rsidR="000273B6">
        <w:rPr>
          <w:rFonts w:ascii="Verdana" w:eastAsia="Verdana" w:hAnsi="Verdana"/>
          <w:color w:val="808080"/>
          <w:sz w:val="18"/>
        </w:rPr>
        <w:t>sierpnia</w:t>
      </w:r>
      <w:r w:rsidR="003D664D">
        <w:rPr>
          <w:rFonts w:ascii="Verdana" w:eastAsia="Verdana" w:hAnsi="Verdana"/>
          <w:color w:val="808080"/>
          <w:sz w:val="18"/>
        </w:rPr>
        <w:t xml:space="preserve"> 19</w:t>
      </w:r>
      <w:r w:rsidR="000273B6">
        <w:rPr>
          <w:rFonts w:ascii="Verdana" w:eastAsia="Verdana" w:hAnsi="Verdana"/>
          <w:color w:val="808080"/>
          <w:sz w:val="18"/>
        </w:rPr>
        <w:t>84</w:t>
      </w:r>
      <w:r w:rsidR="003D664D">
        <w:rPr>
          <w:rFonts w:ascii="Verdana" w:eastAsia="Verdana" w:hAnsi="Verdana"/>
          <w:color w:val="808080"/>
          <w:sz w:val="18"/>
        </w:rPr>
        <w:t xml:space="preserve"> roku</w:t>
      </w:r>
    </w:p>
    <w:p w14:paraId="2436F789" w14:textId="77777777" w:rsidR="00F837E4" w:rsidRPr="00DC7924" w:rsidRDefault="00B04391" w:rsidP="00AB713F">
      <w:pPr>
        <w:spacing w:line="0" w:lineRule="atLeast"/>
        <w:ind w:left="740"/>
        <w:jc w:val="both"/>
        <w:rPr>
          <w:rFonts w:ascii="Verdana" w:eastAsia="Verdana" w:hAnsi="Verdana"/>
        </w:rPr>
      </w:pPr>
      <w:r>
        <w:rPr>
          <w:rFonts w:ascii="Verdana" w:eastAsia="Verdana" w:hAnsi="Verdana"/>
        </w:rPr>
        <w:t>Skarżący</w:t>
      </w:r>
      <w:r w:rsidR="00F837E4" w:rsidRPr="00DC7924">
        <w:rPr>
          <w:rFonts w:ascii="Verdana" w:eastAsia="Verdana" w:hAnsi="Verdana"/>
        </w:rPr>
        <w:t xml:space="preserve">, oskarżony o popełnienie szeregu przestępstw związanych z nieuczciwym </w:t>
      </w:r>
      <w:r>
        <w:rPr>
          <w:rFonts w:ascii="Verdana" w:eastAsia="Verdana" w:hAnsi="Verdana"/>
        </w:rPr>
        <w:t>traktowaniem</w:t>
      </w:r>
      <w:r w:rsidR="00F837E4" w:rsidRPr="00DC7924">
        <w:rPr>
          <w:rFonts w:ascii="Verdana" w:eastAsia="Verdana" w:hAnsi="Verdana"/>
        </w:rPr>
        <w:t xml:space="preserve"> skradziony</w:t>
      </w:r>
      <w:r>
        <w:rPr>
          <w:rFonts w:ascii="Verdana" w:eastAsia="Verdana" w:hAnsi="Verdana"/>
        </w:rPr>
        <w:t>ch</w:t>
      </w:r>
      <w:r w:rsidR="00F837E4" w:rsidRPr="00DC7924">
        <w:rPr>
          <w:rFonts w:ascii="Verdana" w:eastAsia="Verdana" w:hAnsi="Verdana"/>
        </w:rPr>
        <w:t xml:space="preserve"> towar</w:t>
      </w:r>
      <w:r>
        <w:rPr>
          <w:rFonts w:ascii="Verdana" w:eastAsia="Verdana" w:hAnsi="Verdana"/>
        </w:rPr>
        <w:t>ów</w:t>
      </w:r>
      <w:r w:rsidR="00F837E4" w:rsidRPr="00DC7924">
        <w:rPr>
          <w:rFonts w:ascii="Verdana" w:eastAsia="Verdana" w:hAnsi="Verdana"/>
        </w:rPr>
        <w:t xml:space="preserve">, skarżył się w szczególności na przechwycenie jego korespondencji </w:t>
      </w:r>
      <w:r>
        <w:rPr>
          <w:rFonts w:ascii="Verdana" w:eastAsia="Verdana" w:hAnsi="Verdana"/>
        </w:rPr>
        <w:t>listownej</w:t>
      </w:r>
      <w:r w:rsidR="00F837E4" w:rsidRPr="00DC7924">
        <w:rPr>
          <w:rFonts w:ascii="Verdana" w:eastAsia="Verdana" w:hAnsi="Verdana"/>
        </w:rPr>
        <w:t xml:space="preserve"> i telefonicznej przez policję lub w jej imieniu oraz na "</w:t>
      </w:r>
      <w:r w:rsidR="001F55B2">
        <w:rPr>
          <w:rFonts w:ascii="Verdana" w:eastAsia="Verdana" w:hAnsi="Verdana"/>
        </w:rPr>
        <w:t>monitorowanie</w:t>
      </w:r>
      <w:r w:rsidR="00F837E4" w:rsidRPr="00DC7924">
        <w:rPr>
          <w:rFonts w:ascii="Verdana" w:eastAsia="Verdana" w:hAnsi="Verdana"/>
        </w:rPr>
        <w:t xml:space="preserve">" jego telefonu (proces polegający na użyciu urządzenia rejestrującego numery wybierane </w:t>
      </w:r>
      <w:r>
        <w:rPr>
          <w:rFonts w:ascii="Verdana" w:eastAsia="Verdana" w:hAnsi="Verdana"/>
        </w:rPr>
        <w:t>na</w:t>
      </w:r>
      <w:r w:rsidR="00F837E4" w:rsidRPr="00DC7924">
        <w:rPr>
          <w:rFonts w:ascii="Verdana" w:eastAsia="Verdana" w:hAnsi="Verdana"/>
        </w:rPr>
        <w:t xml:space="preserve"> danym telefonie oraz czas</w:t>
      </w:r>
      <w:r w:rsidR="008F4B62">
        <w:rPr>
          <w:rFonts w:ascii="Verdana" w:eastAsia="Verdana" w:hAnsi="Verdana"/>
        </w:rPr>
        <w:t xml:space="preserve"> </w:t>
      </w:r>
      <w:r w:rsidR="00F837E4" w:rsidRPr="00DC7924">
        <w:rPr>
          <w:rFonts w:ascii="Verdana" w:eastAsia="Verdana" w:hAnsi="Verdana"/>
        </w:rPr>
        <w:t>trwania każdego połączenia).</w:t>
      </w:r>
    </w:p>
    <w:p w14:paraId="6BC2F9D7" w14:textId="608C6B44" w:rsidR="003D664D" w:rsidRPr="00A14197" w:rsidRDefault="00F837E4" w:rsidP="00AB713F">
      <w:pPr>
        <w:spacing w:line="0" w:lineRule="atLeast"/>
        <w:ind w:left="740"/>
        <w:jc w:val="both"/>
        <w:rPr>
          <w:rStyle w:val="Hipercze"/>
          <w:rFonts w:ascii="Verdana" w:eastAsia="Verdana" w:hAnsi="Verdana"/>
          <w:color w:val="0070C0"/>
          <w:u w:val="none"/>
        </w:rPr>
      </w:pPr>
      <w:r w:rsidRPr="00F8489F">
        <w:rPr>
          <w:rFonts w:ascii="Verdana" w:eastAsia="Verdana" w:hAnsi="Verdana"/>
          <w:color w:val="0070C0"/>
        </w:rPr>
        <w:t xml:space="preserve">Trybunał orzekł, że nastąpiło </w:t>
      </w:r>
      <w:r w:rsidRPr="00F8489F">
        <w:rPr>
          <w:rFonts w:ascii="Verdana" w:eastAsia="Verdana" w:hAnsi="Verdana"/>
          <w:b/>
          <w:color w:val="0070C0"/>
        </w:rPr>
        <w:t xml:space="preserve">naruszenie </w:t>
      </w:r>
      <w:r w:rsidR="00B04391">
        <w:rPr>
          <w:rFonts w:ascii="Verdana" w:eastAsia="Verdana" w:hAnsi="Verdana"/>
          <w:b/>
          <w:color w:val="0070C0"/>
        </w:rPr>
        <w:t>art.</w:t>
      </w:r>
      <w:r w:rsidRPr="00F8489F">
        <w:rPr>
          <w:rFonts w:ascii="Verdana" w:eastAsia="Verdana" w:hAnsi="Verdana"/>
          <w:b/>
          <w:color w:val="0070C0"/>
        </w:rPr>
        <w:t xml:space="preserve"> 8 </w:t>
      </w:r>
      <w:r w:rsidR="00B01D0F"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zarówno w odniesieniu do przechwytywania </w:t>
      </w:r>
      <w:r w:rsidR="00B01D0F" w:rsidRPr="00F8489F">
        <w:rPr>
          <w:rFonts w:ascii="Verdana" w:eastAsia="Verdana" w:hAnsi="Verdana"/>
          <w:color w:val="0070C0"/>
        </w:rPr>
        <w:t>korespondencji</w:t>
      </w:r>
      <w:r w:rsidRPr="00F8489F">
        <w:rPr>
          <w:rFonts w:ascii="Verdana" w:eastAsia="Verdana" w:hAnsi="Verdana"/>
          <w:color w:val="0070C0"/>
        </w:rPr>
        <w:t>, jak i udostępniania</w:t>
      </w:r>
      <w:r w:rsidR="00B07954" w:rsidRPr="00F8489F">
        <w:rPr>
          <w:rFonts w:ascii="Verdana" w:eastAsia="Verdana" w:hAnsi="Verdana"/>
          <w:color w:val="0070C0"/>
        </w:rPr>
        <w:t xml:space="preserve"> policji</w:t>
      </w:r>
      <w:r w:rsidRPr="00F8489F">
        <w:rPr>
          <w:rFonts w:ascii="Verdana" w:eastAsia="Verdana" w:hAnsi="Verdana"/>
          <w:color w:val="0070C0"/>
        </w:rPr>
        <w:t xml:space="preserve"> rejestrów </w:t>
      </w:r>
      <w:r w:rsidR="001F55B2">
        <w:rPr>
          <w:rFonts w:ascii="Verdana" w:eastAsia="Verdana" w:hAnsi="Verdana"/>
          <w:color w:val="0070C0"/>
        </w:rPr>
        <w:t>monitorowania</w:t>
      </w:r>
      <w:r w:rsidR="00B07954" w:rsidRPr="00F8489F">
        <w:rPr>
          <w:rFonts w:ascii="Verdana" w:eastAsia="Verdana" w:hAnsi="Verdana"/>
          <w:color w:val="0070C0"/>
        </w:rPr>
        <w:t xml:space="preserve"> telefonu</w:t>
      </w:r>
      <w:r w:rsidRPr="00F8489F">
        <w:rPr>
          <w:rFonts w:ascii="Verdana" w:eastAsia="Verdana" w:hAnsi="Verdana"/>
          <w:color w:val="0070C0"/>
        </w:rPr>
        <w:t xml:space="preserve">, ponieważ </w:t>
      </w:r>
      <w:r w:rsidR="00B04391">
        <w:rPr>
          <w:rFonts w:ascii="Verdana" w:eastAsia="Verdana" w:hAnsi="Verdana"/>
          <w:color w:val="0070C0"/>
        </w:rPr>
        <w:t>działania</w:t>
      </w:r>
      <w:r w:rsidR="00B01D0F" w:rsidRPr="00F8489F">
        <w:rPr>
          <w:rFonts w:ascii="Verdana" w:eastAsia="Verdana" w:hAnsi="Verdana"/>
          <w:color w:val="0070C0"/>
        </w:rPr>
        <w:t xml:space="preserve"> te</w:t>
      </w:r>
      <w:r w:rsidRPr="00F8489F">
        <w:rPr>
          <w:rFonts w:ascii="Verdana" w:eastAsia="Verdana" w:hAnsi="Verdana"/>
          <w:color w:val="0070C0"/>
        </w:rPr>
        <w:t xml:space="preserve"> były </w:t>
      </w:r>
      <w:r w:rsidR="00B01D0F" w:rsidRPr="00F8489F">
        <w:rPr>
          <w:rFonts w:ascii="Verdana" w:eastAsia="Verdana" w:hAnsi="Verdana"/>
          <w:color w:val="0070C0"/>
        </w:rPr>
        <w:t>nie</w:t>
      </w:r>
      <w:r w:rsidRPr="00F8489F">
        <w:rPr>
          <w:rFonts w:ascii="Verdana" w:eastAsia="Verdana" w:hAnsi="Verdana"/>
          <w:color w:val="0070C0"/>
        </w:rPr>
        <w:t>zgodne z prawem.</w:t>
      </w:r>
      <w:r w:rsidR="003F38F5" w:rsidRPr="00A14197">
        <w:rPr>
          <w:rStyle w:val="Hipercze"/>
          <w:rFonts w:ascii="Verdana" w:eastAsia="Verdana" w:hAnsi="Verdana"/>
          <w:b/>
          <w:color w:val="0072BC"/>
        </w:rPr>
        <w:fldChar w:fldCharType="begin"/>
      </w:r>
      <w:r w:rsidR="00B75579">
        <w:rPr>
          <w:rStyle w:val="Hipercze"/>
          <w:rFonts w:ascii="Verdana" w:eastAsia="Verdana" w:hAnsi="Verdana"/>
          <w:b/>
          <w:color w:val="0072BC"/>
        </w:rPr>
        <w:instrText>HYPERLINK "https://hudoc.echr.coe.int/eng" \l "{%22itemid%22:[%22001-57626%22]}"</w:instrText>
      </w:r>
      <w:r w:rsidR="003F38F5" w:rsidRPr="00A14197">
        <w:rPr>
          <w:rStyle w:val="Hipercze"/>
          <w:rFonts w:ascii="Verdana" w:eastAsia="Verdana" w:hAnsi="Verdana"/>
          <w:b/>
          <w:color w:val="0072BC"/>
        </w:rPr>
      </w:r>
      <w:r w:rsidR="003F38F5" w:rsidRPr="00A14197">
        <w:rPr>
          <w:rStyle w:val="Hipercze"/>
          <w:rFonts w:ascii="Verdana" w:eastAsia="Verdana" w:hAnsi="Verdana"/>
          <w:b/>
          <w:color w:val="0072BC"/>
        </w:rPr>
        <w:fldChar w:fldCharType="separate"/>
      </w:r>
    </w:p>
    <w:p w14:paraId="31F79A5A" w14:textId="77777777" w:rsidR="00AF5E6F" w:rsidRPr="00A14197" w:rsidRDefault="00AF5E6F" w:rsidP="00AB713F">
      <w:pPr>
        <w:spacing w:before="120" w:line="0" w:lineRule="atLeast"/>
        <w:ind w:left="740"/>
        <w:rPr>
          <w:rStyle w:val="Hipercze"/>
          <w:rFonts w:ascii="Verdana" w:eastAsia="Verdana" w:hAnsi="Verdana"/>
          <w:b/>
          <w:color w:val="0072BC"/>
        </w:rPr>
      </w:pPr>
      <w:proofErr w:type="spellStart"/>
      <w:r w:rsidRPr="00A14197">
        <w:rPr>
          <w:rStyle w:val="Hipercze"/>
          <w:rFonts w:ascii="Verdana" w:eastAsia="Verdana" w:hAnsi="Verdana"/>
          <w:b/>
          <w:color w:val="0072BC"/>
        </w:rPr>
        <w:t>Kruslin</w:t>
      </w:r>
      <w:proofErr w:type="spellEnd"/>
      <w:r w:rsidRPr="00A14197">
        <w:rPr>
          <w:rStyle w:val="Hipercze"/>
          <w:rFonts w:ascii="Verdana" w:eastAsia="Verdana" w:hAnsi="Verdana"/>
          <w:b/>
          <w:color w:val="0072BC"/>
        </w:rPr>
        <w:t xml:space="preserve"> przeciwko Francji</w:t>
      </w:r>
      <w:r w:rsidR="003F38F5" w:rsidRPr="00A14197">
        <w:rPr>
          <w:rStyle w:val="Hipercze"/>
          <w:rFonts w:ascii="Verdana" w:eastAsia="Verdana" w:hAnsi="Verdana"/>
          <w:b/>
          <w:color w:val="0072BC"/>
        </w:rPr>
        <w:fldChar w:fldCharType="end"/>
      </w:r>
    </w:p>
    <w:p w14:paraId="02E9423F" w14:textId="77777777" w:rsidR="00F837E4"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24 kwietnia 1990 roku</w:t>
      </w:r>
    </w:p>
    <w:p w14:paraId="499F0C4E" w14:textId="77777777" w:rsidR="00F837E4" w:rsidRPr="001F55B2" w:rsidRDefault="00366153" w:rsidP="00AB713F">
      <w:pPr>
        <w:spacing w:line="0" w:lineRule="atLeast"/>
        <w:ind w:left="740"/>
        <w:jc w:val="both"/>
        <w:rPr>
          <w:rFonts w:ascii="Verdana" w:eastAsia="Verdana" w:hAnsi="Verdana"/>
        </w:rPr>
      </w:pPr>
      <w:r w:rsidRPr="001F55B2">
        <w:rPr>
          <w:rFonts w:ascii="Verdana" w:eastAsia="Verdana" w:hAnsi="Verdana"/>
        </w:rPr>
        <w:t>Niniejsza</w:t>
      </w:r>
      <w:r w:rsidR="00F837E4" w:rsidRPr="001F55B2">
        <w:rPr>
          <w:rFonts w:ascii="Verdana" w:eastAsia="Verdana" w:hAnsi="Verdana"/>
        </w:rPr>
        <w:t xml:space="preserve"> sprawa dotyczyła</w:t>
      </w:r>
      <w:r w:rsidRPr="001F55B2">
        <w:rPr>
          <w:rFonts w:ascii="Verdana" w:eastAsia="Verdana" w:hAnsi="Verdana"/>
        </w:rPr>
        <w:t xml:space="preserve"> </w:t>
      </w:r>
      <w:r w:rsidR="00F837E4" w:rsidRPr="001F55B2">
        <w:rPr>
          <w:rFonts w:ascii="Verdana" w:eastAsia="Verdana" w:hAnsi="Verdana"/>
        </w:rPr>
        <w:t xml:space="preserve">podsłuchu telefonicznego </w:t>
      </w:r>
      <w:r w:rsidR="00C60524" w:rsidRPr="001F55B2">
        <w:rPr>
          <w:rFonts w:ascii="Verdana" w:eastAsia="Verdana" w:hAnsi="Verdana"/>
        </w:rPr>
        <w:t xml:space="preserve">zarządzonego przez sędziego śledczego </w:t>
      </w:r>
      <w:r w:rsidR="00F837E4" w:rsidRPr="001F55B2">
        <w:rPr>
          <w:rFonts w:ascii="Verdana" w:eastAsia="Verdana" w:hAnsi="Verdana"/>
        </w:rPr>
        <w:t xml:space="preserve">w sprawie </w:t>
      </w:r>
      <w:r w:rsidR="00C60524" w:rsidRPr="001F55B2">
        <w:rPr>
          <w:rFonts w:ascii="Verdana" w:eastAsia="Verdana" w:hAnsi="Verdana"/>
        </w:rPr>
        <w:t>o</w:t>
      </w:r>
      <w:r w:rsidR="00F837E4" w:rsidRPr="001F55B2">
        <w:rPr>
          <w:rFonts w:ascii="Verdana" w:eastAsia="Verdana" w:hAnsi="Verdana"/>
        </w:rPr>
        <w:t xml:space="preserve"> morderstw</w:t>
      </w:r>
      <w:r w:rsidR="00C60524" w:rsidRPr="001F55B2">
        <w:rPr>
          <w:rFonts w:ascii="Verdana" w:eastAsia="Verdana" w:hAnsi="Verdana"/>
        </w:rPr>
        <w:t>o</w:t>
      </w:r>
      <w:r w:rsidR="00F837E4" w:rsidRPr="001F55B2">
        <w:rPr>
          <w:rFonts w:ascii="Verdana" w:eastAsia="Verdana" w:hAnsi="Verdana"/>
        </w:rPr>
        <w:t>.</w:t>
      </w:r>
    </w:p>
    <w:p w14:paraId="75A7E6A0" w14:textId="77777777" w:rsidR="00F837E4" w:rsidRPr="00F8489F" w:rsidRDefault="00F837E4"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w:t>
      </w:r>
      <w:r w:rsidR="001F55B2">
        <w:rPr>
          <w:rFonts w:ascii="Verdana" w:eastAsia="Verdana" w:hAnsi="Verdana"/>
          <w:b/>
          <w:color w:val="0070C0"/>
        </w:rPr>
        <w:t>art.</w:t>
      </w:r>
      <w:r w:rsidRPr="00F8489F">
        <w:rPr>
          <w:rFonts w:ascii="Verdana" w:eastAsia="Verdana" w:hAnsi="Verdana"/>
          <w:b/>
          <w:color w:val="0070C0"/>
        </w:rPr>
        <w:t xml:space="preserve"> 8 </w:t>
      </w:r>
      <w:r w:rsidR="00366153"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stwierdzając, że prawo francuskie nie określa</w:t>
      </w:r>
      <w:r w:rsidR="001F55B2">
        <w:rPr>
          <w:rFonts w:ascii="Verdana" w:eastAsia="Verdana" w:hAnsi="Verdana"/>
          <w:color w:val="0070C0"/>
        </w:rPr>
        <w:t>ło</w:t>
      </w:r>
      <w:r w:rsidRPr="00F8489F">
        <w:rPr>
          <w:rFonts w:ascii="Verdana" w:eastAsia="Verdana" w:hAnsi="Verdana"/>
          <w:color w:val="0070C0"/>
        </w:rPr>
        <w:t xml:space="preserve"> w sposób wystarczająco jasny zakresu i sposobu wykonywania uprawnień przez władze w t</w:t>
      </w:r>
      <w:r w:rsidR="00C60524">
        <w:rPr>
          <w:rFonts w:ascii="Verdana" w:eastAsia="Verdana" w:hAnsi="Verdana"/>
          <w:color w:val="0070C0"/>
        </w:rPr>
        <w:t>ym</w:t>
      </w:r>
      <w:r w:rsidRPr="00F8489F">
        <w:rPr>
          <w:rFonts w:ascii="Verdana" w:eastAsia="Verdana" w:hAnsi="Verdana"/>
          <w:color w:val="0070C0"/>
        </w:rPr>
        <w:t xml:space="preserve"> </w:t>
      </w:r>
      <w:r w:rsidR="00C60524">
        <w:rPr>
          <w:rFonts w:ascii="Verdana" w:eastAsia="Verdana" w:hAnsi="Verdana"/>
          <w:color w:val="0070C0"/>
        </w:rPr>
        <w:t>obszarze</w:t>
      </w:r>
      <w:r w:rsidRPr="00F8489F">
        <w:rPr>
          <w:rFonts w:ascii="Verdana" w:eastAsia="Verdana" w:hAnsi="Verdana"/>
          <w:color w:val="0070C0"/>
        </w:rPr>
        <w:t xml:space="preserve">. Było to </w:t>
      </w:r>
      <w:r w:rsidR="001F55B2">
        <w:rPr>
          <w:rFonts w:ascii="Verdana" w:eastAsia="Verdana" w:hAnsi="Verdana"/>
          <w:color w:val="0070C0"/>
        </w:rPr>
        <w:t xml:space="preserve">szczególnie </w:t>
      </w:r>
      <w:r w:rsidRPr="00F8489F">
        <w:rPr>
          <w:rFonts w:ascii="Verdana" w:eastAsia="Verdana" w:hAnsi="Verdana"/>
          <w:color w:val="0070C0"/>
        </w:rPr>
        <w:t xml:space="preserve">prawdą w czasie, gdy miały miejsce okoliczności faktyczne, w związku z czym Trybunał uznał, że </w:t>
      </w:r>
      <w:r w:rsidR="001F55B2">
        <w:rPr>
          <w:rFonts w:ascii="Verdana" w:eastAsia="Verdana" w:hAnsi="Verdana"/>
          <w:color w:val="0070C0"/>
        </w:rPr>
        <w:t>skarżący</w:t>
      </w:r>
      <w:r w:rsidRPr="00F8489F">
        <w:rPr>
          <w:rFonts w:ascii="Verdana" w:eastAsia="Verdana" w:hAnsi="Verdana"/>
          <w:color w:val="0070C0"/>
        </w:rPr>
        <w:t xml:space="preserve"> nie </w:t>
      </w:r>
      <w:r w:rsidR="001F55B2">
        <w:rPr>
          <w:rFonts w:ascii="Verdana" w:eastAsia="Verdana" w:hAnsi="Verdana"/>
          <w:color w:val="0070C0"/>
        </w:rPr>
        <w:t>cieszył się</w:t>
      </w:r>
      <w:r w:rsidRPr="00F8489F">
        <w:rPr>
          <w:rFonts w:ascii="Verdana" w:eastAsia="Verdana" w:hAnsi="Verdana"/>
          <w:color w:val="0070C0"/>
        </w:rPr>
        <w:t xml:space="preserve"> minimaln</w:t>
      </w:r>
      <w:r w:rsidR="001F55B2">
        <w:rPr>
          <w:rFonts w:ascii="Verdana" w:eastAsia="Verdana" w:hAnsi="Verdana"/>
          <w:color w:val="0070C0"/>
        </w:rPr>
        <w:t>ym</w:t>
      </w:r>
      <w:r w:rsidRPr="00F8489F">
        <w:rPr>
          <w:rFonts w:ascii="Verdana" w:eastAsia="Verdana" w:hAnsi="Verdana"/>
          <w:color w:val="0070C0"/>
        </w:rPr>
        <w:t xml:space="preserve"> poziom</w:t>
      </w:r>
      <w:r w:rsidR="001F55B2">
        <w:rPr>
          <w:rFonts w:ascii="Verdana" w:eastAsia="Verdana" w:hAnsi="Verdana"/>
          <w:color w:val="0070C0"/>
        </w:rPr>
        <w:t>em</w:t>
      </w:r>
      <w:r w:rsidRPr="00F8489F">
        <w:rPr>
          <w:rFonts w:ascii="Verdana" w:eastAsia="Verdana" w:hAnsi="Verdana"/>
          <w:color w:val="0070C0"/>
        </w:rPr>
        <w:t xml:space="preserve"> ochrony</w:t>
      </w:r>
      <w:r w:rsidR="003F38F5">
        <w:rPr>
          <w:rFonts w:ascii="Verdana" w:eastAsia="Verdana" w:hAnsi="Verdana"/>
          <w:color w:val="0070C0"/>
        </w:rPr>
        <w:t xml:space="preserve"> </w:t>
      </w:r>
      <w:bookmarkStart w:id="5" w:name="_Hlk17719772"/>
      <w:r w:rsidRPr="00F8489F">
        <w:rPr>
          <w:rFonts w:ascii="Verdana" w:eastAsia="Verdana" w:hAnsi="Verdana"/>
          <w:color w:val="0070C0"/>
        </w:rPr>
        <w:t>do której</w:t>
      </w:r>
      <w:r w:rsidR="003F38F5" w:rsidRPr="00F8489F">
        <w:rPr>
          <w:rFonts w:ascii="Verdana" w:eastAsia="Verdana" w:hAnsi="Verdana"/>
          <w:color w:val="0070C0"/>
        </w:rPr>
        <w:t>, na mocy rządów prawa,</w:t>
      </w:r>
      <w:r w:rsidRPr="00F8489F">
        <w:rPr>
          <w:rFonts w:ascii="Verdana" w:eastAsia="Verdana" w:hAnsi="Verdana"/>
          <w:color w:val="0070C0"/>
        </w:rPr>
        <w:t xml:space="preserve"> uprawnieni są obywatele w społeczeństwie demokratycznym.</w:t>
      </w:r>
    </w:p>
    <w:bookmarkEnd w:id="5"/>
    <w:p w14:paraId="4547743F" w14:textId="4F6D319E" w:rsidR="000273B6" w:rsidRPr="00A14197" w:rsidRDefault="00F837E4" w:rsidP="00AB713F">
      <w:pPr>
        <w:spacing w:line="0" w:lineRule="atLeast"/>
        <w:ind w:left="740"/>
        <w:jc w:val="both"/>
        <w:rPr>
          <w:rFonts w:ascii="Verdana" w:eastAsia="Verdana" w:hAnsi="Verdana"/>
        </w:rPr>
      </w:pPr>
      <w:r w:rsidRPr="00F8489F">
        <w:rPr>
          <w:rFonts w:ascii="Verdana" w:eastAsia="Verdana" w:hAnsi="Verdana"/>
          <w:i/>
        </w:rPr>
        <w:t>Zob. również</w:t>
      </w:r>
      <w:r w:rsidRPr="00DC7924">
        <w:rPr>
          <w:rFonts w:ascii="Verdana" w:eastAsia="Verdana" w:hAnsi="Verdana"/>
        </w:rPr>
        <w:t xml:space="preserve">, między innymi: </w:t>
      </w:r>
      <w:hyperlink r:id="rId15" w:anchor="{&quot;itemid&quot;:[&quot;001-57627&quot;]}" w:history="1">
        <w:r w:rsidRPr="00A14197">
          <w:rPr>
            <w:rStyle w:val="Hipercze"/>
            <w:rFonts w:ascii="Verdana" w:eastAsia="Verdana" w:hAnsi="Verdana"/>
            <w:b/>
            <w:color w:val="0072BC"/>
          </w:rPr>
          <w:t>Huvig przeciwko Francji</w:t>
        </w:r>
      </w:hyperlink>
      <w:r w:rsidRPr="00A14197">
        <w:rPr>
          <w:rStyle w:val="Hipercze"/>
          <w:b/>
          <w:color w:val="0072BC"/>
        </w:rPr>
        <w:t xml:space="preserve">, </w:t>
      </w:r>
      <w:r w:rsidRPr="00DC7924">
        <w:rPr>
          <w:rFonts w:ascii="Verdana" w:eastAsia="Verdana" w:hAnsi="Verdana"/>
        </w:rPr>
        <w:t>wyrok z dnia 24 kwietnia 1990</w:t>
      </w:r>
      <w:r w:rsidR="00612645">
        <w:rPr>
          <w:rFonts w:ascii="Verdana" w:eastAsia="Verdana" w:hAnsi="Verdana"/>
        </w:rPr>
        <w:t xml:space="preserve"> </w:t>
      </w:r>
      <w:r w:rsidRPr="00DC7924">
        <w:rPr>
          <w:rFonts w:ascii="Verdana" w:eastAsia="Verdana" w:hAnsi="Verdana"/>
        </w:rPr>
        <w:t xml:space="preserve">r.; </w:t>
      </w:r>
      <w:hyperlink r:id="rId16" w:anchor="{%22itemid%22:[%22001-58039%22]}" w:history="1">
        <w:r w:rsidRPr="00B75579">
          <w:rPr>
            <w:rStyle w:val="Hipercze"/>
            <w:rFonts w:ascii="Verdana" w:eastAsia="Verdana" w:hAnsi="Verdana"/>
            <w:b/>
          </w:rPr>
          <w:t>Halford przeciwko Zjednoczonemu Królestwu</w:t>
        </w:r>
        <w:r w:rsidRPr="00B75579">
          <w:rPr>
            <w:rStyle w:val="Hipercze"/>
            <w:rFonts w:ascii="Verdana" w:eastAsia="Verdana" w:hAnsi="Verdana"/>
          </w:rPr>
          <w:t>,</w:t>
        </w:r>
      </w:hyperlink>
      <w:r w:rsidRPr="00DC7924">
        <w:rPr>
          <w:rFonts w:ascii="Verdana" w:eastAsia="Verdana" w:hAnsi="Verdana"/>
        </w:rPr>
        <w:t xml:space="preserve"> wyrok z dnia 25 czerwca 1997 r.</w:t>
      </w:r>
    </w:p>
    <w:p w14:paraId="614372EC" w14:textId="77777777" w:rsidR="00AF5E6F" w:rsidRPr="00A14197" w:rsidRDefault="00AF5E6F" w:rsidP="00AB713F">
      <w:pPr>
        <w:spacing w:before="120" w:line="0" w:lineRule="atLeast"/>
        <w:ind w:left="740"/>
        <w:rPr>
          <w:rStyle w:val="Hipercze"/>
          <w:rFonts w:ascii="Verdana" w:eastAsia="Verdana" w:hAnsi="Verdana"/>
          <w:b/>
          <w:color w:val="0072BC"/>
        </w:rPr>
      </w:pPr>
      <w:hyperlink r:id="rId17" w:history="1">
        <w:r w:rsidRPr="00A14197">
          <w:rPr>
            <w:rStyle w:val="Hipercze"/>
            <w:rFonts w:ascii="Verdana" w:eastAsia="Verdana" w:hAnsi="Verdana"/>
            <w:b/>
            <w:color w:val="0072BC"/>
          </w:rPr>
          <w:t>Kopp przeciwko Szwajcarii</w:t>
        </w:r>
      </w:hyperlink>
    </w:p>
    <w:p w14:paraId="739C9FFF" w14:textId="77777777" w:rsidR="000273B6"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25 marca 1998 roku</w:t>
      </w:r>
    </w:p>
    <w:p w14:paraId="5AB2F8CA" w14:textId="77777777" w:rsidR="007B270A" w:rsidRPr="00F8489F" w:rsidRDefault="007B270A" w:rsidP="00AB713F">
      <w:pPr>
        <w:spacing w:line="0" w:lineRule="atLeast"/>
        <w:ind w:left="740"/>
        <w:jc w:val="both"/>
        <w:rPr>
          <w:rFonts w:ascii="Verdana" w:eastAsia="Verdana" w:hAnsi="Verdana"/>
          <w:highlight w:val="magenta"/>
        </w:rPr>
      </w:pPr>
      <w:r w:rsidRPr="005003E7">
        <w:rPr>
          <w:rFonts w:ascii="Verdana" w:eastAsia="Verdana" w:hAnsi="Verdana"/>
        </w:rPr>
        <w:t>Niniejsza sprawa dotyczyła monitorowania linii telefonicznych kancelarii prawnej</w:t>
      </w:r>
      <w:r w:rsidR="00DC7924" w:rsidRPr="00F8489F">
        <w:rPr>
          <w:rFonts w:ascii="Verdana" w:eastAsia="Verdana" w:hAnsi="Verdana"/>
        </w:rPr>
        <w:t xml:space="preserve"> </w:t>
      </w:r>
      <w:r w:rsidRPr="005003E7">
        <w:rPr>
          <w:rFonts w:ascii="Verdana" w:eastAsia="Verdana" w:hAnsi="Verdana"/>
        </w:rPr>
        <w:t>skarżące</w:t>
      </w:r>
      <w:r w:rsidR="004A58FD">
        <w:rPr>
          <w:rFonts w:ascii="Verdana" w:eastAsia="Verdana" w:hAnsi="Verdana"/>
        </w:rPr>
        <w:t>go</w:t>
      </w:r>
      <w:r w:rsidRPr="005003E7">
        <w:rPr>
          <w:rFonts w:ascii="Verdana" w:eastAsia="Verdana" w:hAnsi="Verdana"/>
        </w:rPr>
        <w:t xml:space="preserve"> na zlecenie prokuratora federalnego.</w:t>
      </w:r>
    </w:p>
    <w:p w14:paraId="41608716" w14:textId="29ABB855" w:rsidR="007B270A" w:rsidRPr="00E16914" w:rsidRDefault="007B270A" w:rsidP="00E16914">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art. 8 </w:t>
      </w:r>
      <w:r w:rsidR="00612645"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stwierdzając, że prawo szwajcarskie nie określa wystarczająco jasno zakresu i sposobu wykonywania </w:t>
      </w:r>
      <w:r w:rsidR="004A58FD" w:rsidRPr="00F8489F">
        <w:rPr>
          <w:rFonts w:ascii="Verdana" w:eastAsia="Verdana" w:hAnsi="Verdana"/>
          <w:color w:val="0070C0"/>
        </w:rPr>
        <w:t xml:space="preserve">przez władze </w:t>
      </w:r>
      <w:r w:rsidRPr="00F8489F">
        <w:rPr>
          <w:rFonts w:ascii="Verdana" w:eastAsia="Verdana" w:hAnsi="Verdana"/>
          <w:color w:val="0070C0"/>
        </w:rPr>
        <w:t xml:space="preserve">uprawnień w tej </w:t>
      </w:r>
      <w:r w:rsidR="004A58FD">
        <w:rPr>
          <w:rFonts w:ascii="Verdana" w:eastAsia="Verdana" w:hAnsi="Verdana"/>
          <w:color w:val="0070C0"/>
        </w:rPr>
        <w:t>kwestii</w:t>
      </w:r>
      <w:r w:rsidRPr="00F8489F">
        <w:rPr>
          <w:rFonts w:ascii="Verdana" w:eastAsia="Verdana" w:hAnsi="Verdana"/>
          <w:color w:val="0070C0"/>
        </w:rPr>
        <w:t xml:space="preserve">. W konsekwencji Trybunał uznał, że skarżący, jako prawnik, nie </w:t>
      </w:r>
      <w:r w:rsidR="004A58FD">
        <w:rPr>
          <w:rFonts w:ascii="Verdana" w:eastAsia="Verdana" w:hAnsi="Verdana"/>
          <w:color w:val="0070C0"/>
        </w:rPr>
        <w:t>cieszył się</w:t>
      </w:r>
      <w:r w:rsidRPr="00F8489F">
        <w:rPr>
          <w:rFonts w:ascii="Verdana" w:eastAsia="Verdana" w:hAnsi="Verdana"/>
          <w:color w:val="0070C0"/>
        </w:rPr>
        <w:t xml:space="preserve"> minimaln</w:t>
      </w:r>
      <w:r w:rsidR="004A58FD">
        <w:rPr>
          <w:rFonts w:ascii="Verdana" w:eastAsia="Verdana" w:hAnsi="Verdana"/>
          <w:color w:val="0070C0"/>
        </w:rPr>
        <w:t>ym</w:t>
      </w:r>
      <w:r w:rsidRPr="00F8489F">
        <w:rPr>
          <w:rFonts w:ascii="Verdana" w:eastAsia="Verdana" w:hAnsi="Verdana"/>
          <w:color w:val="0070C0"/>
        </w:rPr>
        <w:t xml:space="preserve"> poziom</w:t>
      </w:r>
      <w:r w:rsidR="004A58FD">
        <w:rPr>
          <w:rFonts w:ascii="Verdana" w:eastAsia="Verdana" w:hAnsi="Verdana"/>
          <w:color w:val="0070C0"/>
        </w:rPr>
        <w:t>em</w:t>
      </w:r>
      <w:r w:rsidRPr="00F8489F">
        <w:rPr>
          <w:rFonts w:ascii="Verdana" w:eastAsia="Verdana" w:hAnsi="Verdana"/>
          <w:color w:val="0070C0"/>
        </w:rPr>
        <w:t xml:space="preserve"> ochrony </w:t>
      </w:r>
      <w:bookmarkStart w:id="6" w:name="_Hlk17724251"/>
      <w:r w:rsidR="00DC7924" w:rsidRPr="002F1555">
        <w:rPr>
          <w:rFonts w:ascii="Verdana" w:eastAsia="Verdana" w:hAnsi="Verdana"/>
          <w:color w:val="0070C0"/>
        </w:rPr>
        <w:t>do której, na mocy rządów prawa, uprawnieni są obywatele w społeczeństwie demokratycznym.</w:t>
      </w:r>
      <w:r w:rsidR="004A58FD">
        <w:rPr>
          <w:rFonts w:ascii="Verdana" w:eastAsia="Verdana" w:hAnsi="Verdana"/>
          <w:color w:val="0070C0"/>
        </w:rPr>
        <w:t xml:space="preserve"> </w:t>
      </w:r>
      <w:bookmarkEnd w:id="6"/>
    </w:p>
    <w:p w14:paraId="2F2B1BDA" w14:textId="162C9B51" w:rsidR="00AF5E6F" w:rsidRPr="00B75579" w:rsidRDefault="00B75579" w:rsidP="00AB713F">
      <w:pPr>
        <w:spacing w:before="120" w:line="0" w:lineRule="atLeast"/>
        <w:ind w:left="740"/>
        <w:rPr>
          <w:rStyle w:val="Hipercze"/>
          <w:rFonts w:ascii="Verdana" w:eastAsia="Verdana" w:hAnsi="Verdana"/>
          <w:b/>
        </w:rPr>
      </w:pPr>
      <w:r>
        <w:rPr>
          <w:rFonts w:ascii="Verdana" w:eastAsia="Verdana" w:hAnsi="Verdana"/>
          <w:b/>
        </w:rPr>
        <w:fldChar w:fldCharType="begin"/>
      </w:r>
      <w:r>
        <w:rPr>
          <w:rFonts w:ascii="Verdana" w:eastAsia="Verdana" w:hAnsi="Verdana"/>
          <w:b/>
        </w:rPr>
        <w:instrText>HYPERLINK "https://hudoc.echr.coe.int/eng" \l "{%22itemid%22:[%22001-58497%22]}"</w:instrText>
      </w:r>
      <w:r>
        <w:rPr>
          <w:rFonts w:ascii="Verdana" w:eastAsia="Verdana" w:hAnsi="Verdana"/>
          <w:b/>
        </w:rPr>
      </w:r>
      <w:r>
        <w:rPr>
          <w:rFonts w:ascii="Verdana" w:eastAsia="Verdana" w:hAnsi="Verdana"/>
          <w:b/>
        </w:rPr>
        <w:fldChar w:fldCharType="separate"/>
      </w:r>
      <w:proofErr w:type="spellStart"/>
      <w:r w:rsidR="00AF5E6F" w:rsidRPr="00B75579">
        <w:rPr>
          <w:rStyle w:val="Hipercze"/>
          <w:rFonts w:ascii="Verdana" w:eastAsia="Verdana" w:hAnsi="Verdana"/>
          <w:b/>
        </w:rPr>
        <w:t>Amann</w:t>
      </w:r>
      <w:proofErr w:type="spellEnd"/>
      <w:r w:rsidR="00AF5E6F" w:rsidRPr="00B75579">
        <w:rPr>
          <w:rStyle w:val="Hipercze"/>
          <w:rFonts w:ascii="Verdana" w:eastAsia="Verdana" w:hAnsi="Verdana"/>
          <w:b/>
        </w:rPr>
        <w:t xml:space="preserve"> przeciwko Szwajcarii</w:t>
      </w:r>
    </w:p>
    <w:p w14:paraId="23D85144" w14:textId="5679229B" w:rsidR="007B270A" w:rsidRPr="00F8489F" w:rsidRDefault="00B75579" w:rsidP="00AB713F">
      <w:pPr>
        <w:spacing w:line="0" w:lineRule="atLeast"/>
        <w:ind w:left="740"/>
        <w:rPr>
          <w:rFonts w:ascii="Verdana" w:eastAsia="Verdana" w:hAnsi="Verdana"/>
          <w:color w:val="808080"/>
          <w:sz w:val="18"/>
        </w:rPr>
      </w:pPr>
      <w:r>
        <w:rPr>
          <w:rFonts w:ascii="Verdana" w:eastAsia="Verdana" w:hAnsi="Verdana"/>
          <w:b/>
        </w:rPr>
        <w:fldChar w:fldCharType="end"/>
      </w:r>
      <w:r w:rsidR="000273B6">
        <w:rPr>
          <w:rFonts w:ascii="Verdana" w:eastAsia="Verdana" w:hAnsi="Verdana"/>
          <w:color w:val="808080"/>
          <w:sz w:val="18"/>
        </w:rPr>
        <w:t>16 lutego 2000 roku</w:t>
      </w:r>
      <w:r w:rsidR="007B270A">
        <w:rPr>
          <w:rFonts w:ascii="Verdana" w:eastAsia="Verdana" w:hAnsi="Verdana"/>
          <w:color w:val="808080"/>
          <w:sz w:val="18"/>
        </w:rPr>
        <w:t xml:space="preserve"> (Wielka Izba)</w:t>
      </w:r>
    </w:p>
    <w:p w14:paraId="3CB253BA" w14:textId="77777777" w:rsidR="00B83C66" w:rsidRDefault="00B83C66" w:rsidP="00AB713F">
      <w:pPr>
        <w:spacing w:line="0" w:lineRule="atLeast"/>
        <w:ind w:left="740"/>
        <w:jc w:val="both"/>
        <w:rPr>
          <w:rFonts w:ascii="Verdana" w:eastAsia="Verdana" w:hAnsi="Verdana"/>
          <w:highlight w:val="magenta"/>
        </w:rPr>
      </w:pPr>
      <w:r w:rsidRPr="00F8489F">
        <w:rPr>
          <w:rFonts w:ascii="Verdana" w:eastAsia="Verdana" w:hAnsi="Verdana"/>
        </w:rPr>
        <w:t>Niniejsza s</w:t>
      </w:r>
      <w:r w:rsidR="007B270A" w:rsidRPr="005003E7">
        <w:rPr>
          <w:rFonts w:ascii="Verdana" w:eastAsia="Verdana" w:hAnsi="Verdana"/>
        </w:rPr>
        <w:t xml:space="preserve">prawa dotyczyła rozmowy telefonicznej </w:t>
      </w:r>
      <w:r w:rsidR="00CB58F1">
        <w:rPr>
          <w:rFonts w:ascii="Verdana" w:eastAsia="Verdana" w:hAnsi="Verdana"/>
        </w:rPr>
        <w:t>skarżącego z pracownicą byłej ambasady radzieckiej</w:t>
      </w:r>
      <w:r w:rsidR="00CB58F1" w:rsidRPr="00F8489F">
        <w:rPr>
          <w:rFonts w:ascii="Verdana" w:eastAsia="Verdana" w:hAnsi="Verdana"/>
        </w:rPr>
        <w:t xml:space="preserve"> - </w:t>
      </w:r>
      <w:r w:rsidR="007B270A" w:rsidRPr="005003E7">
        <w:rPr>
          <w:rFonts w:ascii="Verdana" w:eastAsia="Verdana" w:hAnsi="Verdana"/>
        </w:rPr>
        <w:t>w celu zamówienia reklamowanego przez niego urządzenia depilacyjnego - przechwycone</w:t>
      </w:r>
      <w:r w:rsidR="002E1C8E" w:rsidRPr="00F8489F">
        <w:rPr>
          <w:rFonts w:ascii="Verdana" w:eastAsia="Verdana" w:hAnsi="Verdana"/>
        </w:rPr>
        <w:t>j</w:t>
      </w:r>
      <w:r w:rsidR="007B270A" w:rsidRPr="005003E7">
        <w:rPr>
          <w:rFonts w:ascii="Verdana" w:eastAsia="Verdana" w:hAnsi="Verdana"/>
        </w:rPr>
        <w:t xml:space="preserve"> przez </w:t>
      </w:r>
      <w:r w:rsidR="002E1C8E" w:rsidRPr="00F8489F">
        <w:rPr>
          <w:rFonts w:ascii="Verdana" w:eastAsia="Verdana" w:hAnsi="Verdana"/>
        </w:rPr>
        <w:t>biuro</w:t>
      </w:r>
      <w:r w:rsidR="007B270A" w:rsidRPr="005003E7">
        <w:rPr>
          <w:rFonts w:ascii="Verdana" w:eastAsia="Verdana" w:hAnsi="Verdana"/>
        </w:rPr>
        <w:t xml:space="preserve"> prokurat</w:t>
      </w:r>
      <w:r w:rsidR="004A58FD">
        <w:rPr>
          <w:rFonts w:ascii="Verdana" w:eastAsia="Verdana" w:hAnsi="Verdana"/>
        </w:rPr>
        <w:t>o</w:t>
      </w:r>
      <w:r w:rsidR="007B270A" w:rsidRPr="005003E7">
        <w:rPr>
          <w:rFonts w:ascii="Verdana" w:eastAsia="Verdana" w:hAnsi="Verdana"/>
        </w:rPr>
        <w:t>r</w:t>
      </w:r>
      <w:r w:rsidR="002E1C8E" w:rsidRPr="00F8489F">
        <w:rPr>
          <w:rFonts w:ascii="Verdana" w:eastAsia="Verdana" w:hAnsi="Verdana"/>
        </w:rPr>
        <w:t>a</w:t>
      </w:r>
      <w:r w:rsidR="007B270A" w:rsidRPr="005003E7">
        <w:rPr>
          <w:rFonts w:ascii="Verdana" w:eastAsia="Verdana" w:hAnsi="Verdana"/>
        </w:rPr>
        <w:t>, któr</w:t>
      </w:r>
      <w:r w:rsidR="002E1C8E" w:rsidRPr="00F8489F">
        <w:rPr>
          <w:rFonts w:ascii="Verdana" w:eastAsia="Verdana" w:hAnsi="Verdana"/>
        </w:rPr>
        <w:t>e</w:t>
      </w:r>
      <w:r w:rsidR="007B270A" w:rsidRPr="005003E7">
        <w:rPr>
          <w:rFonts w:ascii="Verdana" w:eastAsia="Verdana" w:hAnsi="Verdana"/>
        </w:rPr>
        <w:t xml:space="preserve"> zwrócił</w:t>
      </w:r>
      <w:r w:rsidR="002E1C8E" w:rsidRPr="00F8489F">
        <w:rPr>
          <w:rFonts w:ascii="Verdana" w:eastAsia="Verdana" w:hAnsi="Verdana"/>
        </w:rPr>
        <w:t>o</w:t>
      </w:r>
      <w:r w:rsidR="007B270A" w:rsidRPr="005003E7">
        <w:rPr>
          <w:rFonts w:ascii="Verdana" w:eastAsia="Verdana" w:hAnsi="Verdana"/>
        </w:rPr>
        <w:t xml:space="preserve"> się do służb wywiadowczych o </w:t>
      </w:r>
      <w:r w:rsidR="004A58FD">
        <w:rPr>
          <w:rFonts w:ascii="Verdana" w:eastAsia="Verdana" w:hAnsi="Verdana"/>
        </w:rPr>
        <w:t>założenie</w:t>
      </w:r>
      <w:r w:rsidR="007B270A" w:rsidRPr="005003E7">
        <w:rPr>
          <w:rFonts w:ascii="Verdana" w:eastAsia="Verdana" w:hAnsi="Verdana"/>
        </w:rPr>
        <w:t xml:space="preserve"> </w:t>
      </w:r>
      <w:r w:rsidR="002E1C8E" w:rsidRPr="00F8489F">
        <w:rPr>
          <w:rFonts w:ascii="Verdana" w:eastAsia="Verdana" w:hAnsi="Verdana"/>
        </w:rPr>
        <w:t xml:space="preserve">akt </w:t>
      </w:r>
      <w:r w:rsidR="004A58FD">
        <w:rPr>
          <w:rFonts w:ascii="Verdana" w:eastAsia="Verdana" w:hAnsi="Verdana"/>
        </w:rPr>
        <w:t>skarżącego</w:t>
      </w:r>
      <w:r w:rsidR="007B270A" w:rsidRPr="005003E7">
        <w:rPr>
          <w:rFonts w:ascii="Verdana" w:eastAsia="Verdana" w:hAnsi="Verdana"/>
        </w:rPr>
        <w:t>.</w:t>
      </w:r>
    </w:p>
    <w:p w14:paraId="2042DEFD" w14:textId="77777777" w:rsidR="000273B6" w:rsidRPr="00A14197" w:rsidRDefault="007B270A" w:rsidP="00AB713F">
      <w:pPr>
        <w:spacing w:line="0" w:lineRule="atLeast"/>
        <w:ind w:left="740"/>
        <w:jc w:val="both"/>
        <w:rPr>
          <w:rFonts w:ascii="Verdana" w:eastAsia="Verdana" w:hAnsi="Verdana"/>
          <w:color w:val="0070C0"/>
          <w:highlight w:val="magenta"/>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art. 8 Konwencji </w:t>
      </w:r>
      <w:r w:rsidRPr="00F8489F">
        <w:rPr>
          <w:rFonts w:ascii="Verdana" w:eastAsia="Verdana" w:hAnsi="Verdana"/>
          <w:color w:val="0070C0"/>
        </w:rPr>
        <w:t xml:space="preserve">ze względu na nagranie rozmowy telefonicznej oraz </w:t>
      </w:r>
      <w:r w:rsidRPr="00F8489F">
        <w:rPr>
          <w:rFonts w:ascii="Verdana" w:eastAsia="Verdana" w:hAnsi="Verdana"/>
          <w:b/>
          <w:color w:val="0070C0"/>
        </w:rPr>
        <w:t xml:space="preserve">naruszenia tego samego </w:t>
      </w:r>
      <w:r w:rsidR="004A58FD">
        <w:rPr>
          <w:rFonts w:ascii="Verdana" w:eastAsia="Verdana" w:hAnsi="Verdana"/>
          <w:b/>
          <w:color w:val="0070C0"/>
        </w:rPr>
        <w:t>artykułu</w:t>
      </w:r>
      <w:r w:rsidRPr="00F8489F">
        <w:rPr>
          <w:rFonts w:ascii="Verdana" w:eastAsia="Verdana" w:hAnsi="Verdana"/>
          <w:color w:val="0070C0"/>
        </w:rPr>
        <w:t xml:space="preserve"> ze względu na utworzenie i przechowywanie akt, stwierdzając, że ingerencja w prawo skarżącego do poszanowania jego życia prywatnego nie była zgodna z prawem,</w:t>
      </w:r>
      <w:r w:rsidR="00C072FE" w:rsidRPr="00F8489F">
        <w:rPr>
          <w:rFonts w:ascii="Verdana" w:eastAsia="Verdana" w:hAnsi="Verdana"/>
          <w:color w:val="0070C0"/>
        </w:rPr>
        <w:t xml:space="preserve"> gdyż</w:t>
      </w:r>
      <w:r w:rsidRPr="00F8489F">
        <w:rPr>
          <w:rFonts w:ascii="Verdana" w:eastAsia="Verdana" w:hAnsi="Verdana"/>
          <w:color w:val="0070C0"/>
        </w:rPr>
        <w:t xml:space="preserve"> prawo szwajcarskie było niejasne co do uprawnień dyskrecjonalnych władz w </w:t>
      </w:r>
      <w:r w:rsidR="00C072FE" w:rsidRPr="00F8489F">
        <w:rPr>
          <w:rFonts w:ascii="Verdana" w:eastAsia="Verdana" w:hAnsi="Verdana"/>
          <w:color w:val="0070C0"/>
        </w:rPr>
        <w:t>tym obszarze.</w:t>
      </w:r>
    </w:p>
    <w:p w14:paraId="40715046" w14:textId="1D8210F6" w:rsidR="00AF5E6F" w:rsidRPr="00B75579" w:rsidRDefault="00B75579" w:rsidP="00AB713F">
      <w:pPr>
        <w:spacing w:before="120" w:line="0" w:lineRule="atLeast"/>
        <w:ind w:left="740"/>
        <w:rPr>
          <w:rStyle w:val="Hipercze"/>
          <w:rFonts w:ascii="Verdana" w:eastAsia="Verdana" w:hAnsi="Verdana"/>
          <w:b/>
        </w:rPr>
      </w:pPr>
      <w:r>
        <w:rPr>
          <w:rFonts w:ascii="Verdana" w:eastAsia="Verdana" w:hAnsi="Verdana"/>
          <w:b/>
        </w:rPr>
        <w:fldChar w:fldCharType="begin"/>
      </w:r>
      <w:r>
        <w:rPr>
          <w:rFonts w:ascii="Verdana" w:eastAsia="Verdana" w:hAnsi="Verdana"/>
          <w:b/>
        </w:rPr>
        <w:instrText>HYPERLINK "https://hudoc.echr.coe.int/eng" \l "{%22itemid%22:[%22001-60696%22]}"</w:instrText>
      </w:r>
      <w:r>
        <w:rPr>
          <w:rFonts w:ascii="Verdana" w:eastAsia="Verdana" w:hAnsi="Verdana"/>
          <w:b/>
        </w:rPr>
      </w:r>
      <w:r>
        <w:rPr>
          <w:rFonts w:ascii="Verdana" w:eastAsia="Verdana" w:hAnsi="Verdana"/>
          <w:b/>
        </w:rPr>
        <w:fldChar w:fldCharType="separate"/>
      </w:r>
      <w:r w:rsidR="00AF5E6F" w:rsidRPr="00B75579">
        <w:rPr>
          <w:rStyle w:val="Hipercze"/>
          <w:rFonts w:ascii="Verdana" w:eastAsia="Verdana" w:hAnsi="Verdana"/>
          <w:b/>
        </w:rPr>
        <w:t>Taylor-</w:t>
      </w:r>
      <w:proofErr w:type="spellStart"/>
      <w:r w:rsidR="00AF5E6F" w:rsidRPr="00B75579">
        <w:rPr>
          <w:rStyle w:val="Hipercze"/>
          <w:rFonts w:ascii="Verdana" w:eastAsia="Verdana" w:hAnsi="Verdana"/>
          <w:b/>
        </w:rPr>
        <w:t>Sabori</w:t>
      </w:r>
      <w:proofErr w:type="spellEnd"/>
      <w:r w:rsidR="00AF5E6F" w:rsidRPr="00B75579">
        <w:rPr>
          <w:rStyle w:val="Hipercze"/>
          <w:rFonts w:ascii="Verdana" w:eastAsia="Verdana" w:hAnsi="Verdana"/>
          <w:b/>
        </w:rPr>
        <w:t xml:space="preserve"> przeciwko Zjednoczonemu Królestwu</w:t>
      </w:r>
    </w:p>
    <w:p w14:paraId="56216864" w14:textId="49557D2D" w:rsidR="007B270A" w:rsidRPr="00F8489F" w:rsidRDefault="00B75579" w:rsidP="00AB713F">
      <w:pPr>
        <w:spacing w:line="0" w:lineRule="atLeast"/>
        <w:ind w:left="740"/>
        <w:rPr>
          <w:rFonts w:ascii="Verdana" w:eastAsia="Verdana" w:hAnsi="Verdana"/>
          <w:color w:val="808080"/>
          <w:sz w:val="18"/>
        </w:rPr>
      </w:pPr>
      <w:r>
        <w:rPr>
          <w:rFonts w:ascii="Verdana" w:eastAsia="Verdana" w:hAnsi="Verdana"/>
          <w:b/>
        </w:rPr>
        <w:fldChar w:fldCharType="end"/>
      </w:r>
      <w:r w:rsidR="000273B6">
        <w:rPr>
          <w:rFonts w:ascii="Verdana" w:eastAsia="Verdana" w:hAnsi="Verdana"/>
          <w:color w:val="808080"/>
          <w:sz w:val="18"/>
        </w:rPr>
        <w:t>22 października 2002 roku</w:t>
      </w:r>
    </w:p>
    <w:p w14:paraId="5AAEB1CC" w14:textId="77777777" w:rsidR="007B270A" w:rsidRPr="005003E7" w:rsidRDefault="007B270A" w:rsidP="00AB713F">
      <w:pPr>
        <w:spacing w:line="0" w:lineRule="atLeast"/>
        <w:ind w:left="740"/>
        <w:jc w:val="both"/>
        <w:rPr>
          <w:rFonts w:ascii="Verdana" w:eastAsia="Verdana" w:hAnsi="Verdana"/>
        </w:rPr>
      </w:pPr>
      <w:r w:rsidRPr="005003E7">
        <w:rPr>
          <w:rFonts w:ascii="Verdana" w:eastAsia="Verdana" w:hAnsi="Verdana"/>
        </w:rPr>
        <w:t>Sprawa ta dotyczyła w szczególności przechwytywani</w:t>
      </w:r>
      <w:r w:rsidRPr="009C0ACB">
        <w:rPr>
          <w:rFonts w:ascii="Verdana" w:eastAsia="Verdana" w:hAnsi="Verdana"/>
        </w:rPr>
        <w:t xml:space="preserve">a przez policję, w ramach tajnej operacji obserwacyjnej, wiadomości wysyłanych na pager </w:t>
      </w:r>
      <w:r w:rsidR="003913C5" w:rsidRPr="00F8489F">
        <w:rPr>
          <w:rFonts w:ascii="Verdana" w:eastAsia="Verdana" w:hAnsi="Verdana"/>
        </w:rPr>
        <w:t>skarżącego</w:t>
      </w:r>
      <w:r w:rsidRPr="005003E7">
        <w:rPr>
          <w:rFonts w:ascii="Verdana" w:eastAsia="Verdana" w:hAnsi="Verdana"/>
        </w:rPr>
        <w:t>.</w:t>
      </w:r>
    </w:p>
    <w:p w14:paraId="7AE7C768" w14:textId="77777777" w:rsidR="003913C5" w:rsidRDefault="007B270A"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naruszenia</w:t>
      </w:r>
      <w:r w:rsidRPr="00F8489F">
        <w:rPr>
          <w:rFonts w:ascii="Verdana" w:eastAsia="Verdana" w:hAnsi="Verdana"/>
          <w:color w:val="0070C0"/>
        </w:rPr>
        <w:t xml:space="preserve"> </w:t>
      </w:r>
      <w:r w:rsidR="004A58FD">
        <w:rPr>
          <w:rFonts w:ascii="Verdana" w:eastAsia="Verdana" w:hAnsi="Verdana"/>
          <w:b/>
          <w:color w:val="0070C0"/>
        </w:rPr>
        <w:t>art.</w:t>
      </w:r>
      <w:r w:rsidRPr="00F8489F">
        <w:rPr>
          <w:rFonts w:ascii="Verdana" w:eastAsia="Verdana" w:hAnsi="Verdana"/>
          <w:b/>
          <w:color w:val="0070C0"/>
        </w:rPr>
        <w:t xml:space="preserve"> 8 Konwencji.</w:t>
      </w:r>
      <w:r w:rsidRPr="00F8489F">
        <w:rPr>
          <w:rFonts w:ascii="Verdana" w:eastAsia="Verdana" w:hAnsi="Verdana"/>
          <w:color w:val="0070C0"/>
        </w:rPr>
        <w:t xml:space="preserve"> </w:t>
      </w:r>
      <w:r w:rsidR="003913C5" w:rsidRPr="00F8489F">
        <w:rPr>
          <w:rFonts w:ascii="Verdana" w:eastAsia="Verdana" w:hAnsi="Verdana"/>
          <w:color w:val="0070C0"/>
        </w:rPr>
        <w:t>Mając</w:t>
      </w:r>
      <w:r w:rsidRPr="00F8489F">
        <w:rPr>
          <w:rFonts w:ascii="Verdana" w:eastAsia="Verdana" w:hAnsi="Verdana"/>
          <w:color w:val="0070C0"/>
        </w:rPr>
        <w:t xml:space="preserve"> w szczególności</w:t>
      </w:r>
      <w:r w:rsidR="003913C5" w:rsidRPr="00F8489F">
        <w:rPr>
          <w:rFonts w:ascii="Verdana" w:eastAsia="Verdana" w:hAnsi="Verdana"/>
          <w:color w:val="0070C0"/>
        </w:rPr>
        <w:t xml:space="preserve"> na uwadze</w:t>
      </w:r>
      <w:r w:rsidRPr="00F8489F">
        <w:rPr>
          <w:rFonts w:ascii="Verdana" w:eastAsia="Verdana" w:hAnsi="Verdana"/>
          <w:color w:val="0070C0"/>
        </w:rPr>
        <w:t xml:space="preserve">, że w czasie omawianych wydarzeń nie istniał żaden ustawowy system regulujący przechwytywanie wiadomości na pager przekazywanych za pośrednictwem prywatnego systemu telekomunikacyjnego, Trybunał stwierdził, </w:t>
      </w:r>
      <w:r w:rsidR="003913C5" w:rsidRPr="00F8489F">
        <w:rPr>
          <w:rFonts w:ascii="Verdana" w:eastAsia="Verdana" w:hAnsi="Verdana"/>
          <w:color w:val="0070C0"/>
        </w:rPr>
        <w:t>co również</w:t>
      </w:r>
      <w:r w:rsidRPr="00F8489F">
        <w:rPr>
          <w:rFonts w:ascii="Verdana" w:eastAsia="Verdana" w:hAnsi="Verdana"/>
          <w:color w:val="0070C0"/>
        </w:rPr>
        <w:t xml:space="preserve"> przyznał rząd brytyjski, że ingerencja nie była zgodna z prawem.</w:t>
      </w:r>
    </w:p>
    <w:p w14:paraId="0664F438" w14:textId="77777777" w:rsidR="00754015" w:rsidRPr="00F8489F" w:rsidRDefault="00754015" w:rsidP="00AB713F">
      <w:pPr>
        <w:spacing w:line="0" w:lineRule="atLeast"/>
        <w:ind w:left="740"/>
        <w:jc w:val="both"/>
        <w:rPr>
          <w:rFonts w:ascii="Verdana" w:eastAsia="Verdana" w:hAnsi="Verdana"/>
          <w:color w:val="0070C0"/>
        </w:rPr>
      </w:pPr>
    </w:p>
    <w:p w14:paraId="28D9DAFE" w14:textId="77777777" w:rsidR="00AF5E6F" w:rsidRPr="00A14197" w:rsidRDefault="00AF5E6F" w:rsidP="00AB713F">
      <w:pPr>
        <w:spacing w:before="120" w:line="0" w:lineRule="atLeast"/>
        <w:ind w:left="740"/>
        <w:rPr>
          <w:rStyle w:val="Hipercze"/>
          <w:rFonts w:ascii="Verdana" w:eastAsia="Verdana" w:hAnsi="Verdana"/>
          <w:b/>
          <w:color w:val="0072BC"/>
        </w:rPr>
      </w:pPr>
      <w:hyperlink r:id="rId18" w:history="1">
        <w:r w:rsidRPr="00A14197">
          <w:rPr>
            <w:rStyle w:val="Hipercze"/>
            <w:rFonts w:ascii="Verdana" w:eastAsia="Verdana" w:hAnsi="Verdana"/>
            <w:b/>
            <w:color w:val="0072BC"/>
          </w:rPr>
          <w:t>Wisse przeciwko Francji</w:t>
        </w:r>
      </w:hyperlink>
    </w:p>
    <w:p w14:paraId="48B2FFA4" w14:textId="77777777" w:rsidR="007B270A" w:rsidRPr="00F8489F"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lastRenderedPageBreak/>
        <w:t>22 grudnia 2005 roku</w:t>
      </w:r>
    </w:p>
    <w:p w14:paraId="1606075B" w14:textId="77777777" w:rsidR="007B270A" w:rsidRPr="00B06720" w:rsidRDefault="007B270A" w:rsidP="00AB713F">
      <w:pPr>
        <w:spacing w:line="0" w:lineRule="atLeast"/>
        <w:ind w:left="740"/>
        <w:jc w:val="both"/>
        <w:rPr>
          <w:rFonts w:ascii="Verdana" w:eastAsia="Verdana" w:hAnsi="Verdana"/>
        </w:rPr>
      </w:pPr>
      <w:r w:rsidRPr="005003E7">
        <w:rPr>
          <w:rFonts w:ascii="Verdana" w:eastAsia="Verdana" w:hAnsi="Verdana"/>
        </w:rPr>
        <w:t xml:space="preserve">Dwóch skarżących </w:t>
      </w:r>
      <w:r w:rsidR="003A5C95">
        <w:rPr>
          <w:rFonts w:ascii="Verdana" w:eastAsia="Verdana" w:hAnsi="Verdana"/>
        </w:rPr>
        <w:t xml:space="preserve">zostało zatrzymanych, a następnie tymczasowo aresztowanych w związku z </w:t>
      </w:r>
      <w:r w:rsidRPr="005003E7">
        <w:rPr>
          <w:rFonts w:ascii="Verdana" w:eastAsia="Verdana" w:hAnsi="Verdana"/>
        </w:rPr>
        <w:t>zarzutem popełnienia rozboju z bronią w ręku. Na podstaw</w:t>
      </w:r>
      <w:r w:rsidRPr="009C0ACB">
        <w:rPr>
          <w:rFonts w:ascii="Verdana" w:eastAsia="Verdana" w:hAnsi="Verdana"/>
        </w:rPr>
        <w:t>ie nakazu wydanego przez sędziego</w:t>
      </w:r>
      <w:r w:rsidRPr="00B06720">
        <w:rPr>
          <w:rFonts w:ascii="Verdana" w:eastAsia="Verdana" w:hAnsi="Verdana"/>
        </w:rPr>
        <w:t xml:space="preserve"> śledczego nagrano rozmowy telefo</w:t>
      </w:r>
      <w:r w:rsidRPr="007C26FA">
        <w:rPr>
          <w:rFonts w:ascii="Verdana" w:eastAsia="Verdana" w:hAnsi="Verdana"/>
        </w:rPr>
        <w:t>niczne</w:t>
      </w:r>
      <w:r w:rsidR="00620D23">
        <w:rPr>
          <w:rFonts w:ascii="Verdana" w:eastAsia="Verdana" w:hAnsi="Verdana"/>
        </w:rPr>
        <w:t xml:space="preserve"> w </w:t>
      </w:r>
      <w:r w:rsidR="00427C06">
        <w:rPr>
          <w:rFonts w:ascii="Verdana" w:eastAsia="Verdana" w:hAnsi="Verdana"/>
        </w:rPr>
        <w:t>więziennym pokoju wizyt</w:t>
      </w:r>
      <w:r w:rsidRPr="005003E7">
        <w:rPr>
          <w:rFonts w:ascii="Verdana" w:eastAsia="Verdana" w:hAnsi="Verdana"/>
        </w:rPr>
        <w:t xml:space="preserve"> między nimi a ich krewnym</w:t>
      </w:r>
      <w:r w:rsidR="00620D23" w:rsidRPr="005003E7">
        <w:rPr>
          <w:rFonts w:ascii="Verdana" w:eastAsia="Verdana" w:hAnsi="Verdana"/>
        </w:rPr>
        <w:t>i</w:t>
      </w:r>
      <w:r w:rsidRPr="009C0ACB">
        <w:rPr>
          <w:rFonts w:ascii="Verdana" w:eastAsia="Verdana" w:hAnsi="Verdana"/>
        </w:rPr>
        <w:t xml:space="preserve">. </w:t>
      </w:r>
      <w:r w:rsidRPr="00B06720">
        <w:rPr>
          <w:rFonts w:ascii="Verdana" w:eastAsia="Verdana" w:hAnsi="Verdana"/>
        </w:rPr>
        <w:t>Skarżący wnieśli bezskuteczny wniosek o uznanie za nieważne kroków podjętych w postępowaniu dotyczącym nagrywania ich rozmów.</w:t>
      </w:r>
      <w:r w:rsidR="00427C06">
        <w:rPr>
          <w:rFonts w:ascii="Verdana" w:eastAsia="Verdana" w:hAnsi="Verdana"/>
        </w:rPr>
        <w:t xml:space="preserve"> </w:t>
      </w:r>
      <w:r w:rsidRPr="005003E7">
        <w:rPr>
          <w:rFonts w:ascii="Verdana" w:eastAsia="Verdana" w:hAnsi="Verdana"/>
        </w:rPr>
        <w:t xml:space="preserve">Twierdzili, że nagrywanie ich rozmów w pokojach wizyt w </w:t>
      </w:r>
      <w:r w:rsidR="00BF56B0">
        <w:rPr>
          <w:rFonts w:ascii="Verdana" w:eastAsia="Verdana" w:hAnsi="Verdana"/>
        </w:rPr>
        <w:t>jednostce penite</w:t>
      </w:r>
      <w:r w:rsidR="00633FB6">
        <w:rPr>
          <w:rFonts w:ascii="Verdana" w:eastAsia="Verdana" w:hAnsi="Verdana"/>
        </w:rPr>
        <w:t>n</w:t>
      </w:r>
      <w:r w:rsidR="00BF56B0">
        <w:rPr>
          <w:rFonts w:ascii="Verdana" w:eastAsia="Verdana" w:hAnsi="Verdana"/>
        </w:rPr>
        <w:t>cjarnej</w:t>
      </w:r>
      <w:r w:rsidRPr="009C0ACB">
        <w:rPr>
          <w:rFonts w:ascii="Verdana" w:eastAsia="Verdana" w:hAnsi="Verdana"/>
        </w:rPr>
        <w:t xml:space="preserve"> stanowiło ingerencję w ich prawo do poszanowania życia prywatnego i rodzinnego.</w:t>
      </w:r>
    </w:p>
    <w:p w14:paraId="0054DA32" w14:textId="77777777" w:rsidR="00427C06" w:rsidRPr="00A14197" w:rsidRDefault="007B270A"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w:t>
      </w:r>
      <w:r w:rsidR="00633FB6">
        <w:rPr>
          <w:rFonts w:ascii="Verdana" w:eastAsia="Verdana" w:hAnsi="Verdana"/>
          <w:b/>
          <w:color w:val="0070C0"/>
        </w:rPr>
        <w:t>art.</w:t>
      </w:r>
      <w:r w:rsidRPr="00F8489F">
        <w:rPr>
          <w:rFonts w:ascii="Verdana" w:eastAsia="Verdana" w:hAnsi="Verdana"/>
          <w:b/>
          <w:color w:val="0070C0"/>
        </w:rPr>
        <w:t xml:space="preserve"> 8 </w:t>
      </w:r>
      <w:r w:rsidR="00620D23"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stwierdzając, że prawo francuskie nie wskazywało wystarczająco jasno, w jaki sposób i w jakim zakresie władze mogły ingerować w życie prywatne zatrzymanych, a</w:t>
      </w:r>
      <w:r w:rsidR="00633FB6">
        <w:rPr>
          <w:rFonts w:ascii="Verdana" w:eastAsia="Verdana" w:hAnsi="Verdana"/>
          <w:color w:val="0070C0"/>
        </w:rPr>
        <w:t xml:space="preserve"> także</w:t>
      </w:r>
      <w:r w:rsidRPr="00F8489F">
        <w:rPr>
          <w:rFonts w:ascii="Verdana" w:eastAsia="Verdana" w:hAnsi="Verdana"/>
          <w:color w:val="0070C0"/>
        </w:rPr>
        <w:t xml:space="preserve"> zakres</w:t>
      </w:r>
      <w:r w:rsidR="00633FB6">
        <w:rPr>
          <w:rFonts w:ascii="Verdana" w:eastAsia="Verdana" w:hAnsi="Verdana"/>
          <w:color w:val="0070C0"/>
        </w:rPr>
        <w:t>u</w:t>
      </w:r>
      <w:r w:rsidRPr="00F8489F">
        <w:rPr>
          <w:rFonts w:ascii="Verdana" w:eastAsia="Verdana" w:hAnsi="Verdana"/>
          <w:color w:val="0070C0"/>
        </w:rPr>
        <w:t xml:space="preserve"> i spos</w:t>
      </w:r>
      <w:r w:rsidR="00633FB6">
        <w:rPr>
          <w:rFonts w:ascii="Verdana" w:eastAsia="Verdana" w:hAnsi="Verdana"/>
          <w:color w:val="0070C0"/>
        </w:rPr>
        <w:t>obu</w:t>
      </w:r>
      <w:r w:rsidRPr="00F8489F">
        <w:rPr>
          <w:rFonts w:ascii="Verdana" w:eastAsia="Verdana" w:hAnsi="Verdana"/>
          <w:color w:val="0070C0"/>
        </w:rPr>
        <w:t xml:space="preserve"> korzystania z uprawnień dyskrecjonalnych w tej dziedzinie. </w:t>
      </w:r>
      <w:r w:rsidR="00640BBA" w:rsidRPr="00F8489F">
        <w:rPr>
          <w:rFonts w:ascii="Verdana" w:eastAsia="Verdana" w:hAnsi="Verdana"/>
          <w:color w:val="0070C0"/>
        </w:rPr>
        <w:t>Rezultatem tego skarżący</w:t>
      </w:r>
      <w:r w:rsidRPr="00F8489F">
        <w:rPr>
          <w:rFonts w:ascii="Verdana" w:eastAsia="Verdana" w:hAnsi="Verdana"/>
          <w:color w:val="0070C0"/>
        </w:rPr>
        <w:t xml:space="preserve"> nie korzystali z minimalnego poziomu ochrony </w:t>
      </w:r>
      <w:r w:rsidR="00640BBA" w:rsidRPr="002F1555">
        <w:rPr>
          <w:rFonts w:ascii="Verdana" w:eastAsia="Verdana" w:hAnsi="Verdana"/>
          <w:color w:val="0070C0"/>
        </w:rPr>
        <w:t>do której, na mocy rządów prawa, uprawnieni są obywatele w społeczeństwie demokratycznym</w:t>
      </w:r>
      <w:r w:rsidR="00640BBA">
        <w:rPr>
          <w:rFonts w:ascii="Verdana" w:eastAsia="Verdana" w:hAnsi="Verdana"/>
          <w:color w:val="0070C0"/>
        </w:rPr>
        <w:t xml:space="preserve">. </w:t>
      </w:r>
      <w:r w:rsidRPr="00F8489F">
        <w:rPr>
          <w:rFonts w:ascii="Verdana" w:eastAsia="Verdana" w:hAnsi="Verdana"/>
          <w:color w:val="0070C0"/>
        </w:rPr>
        <w:t xml:space="preserve">Trybunał zauważył w szczególności, że </w:t>
      </w:r>
      <w:r w:rsidR="00640BBA" w:rsidRPr="00F8489F">
        <w:rPr>
          <w:rFonts w:ascii="Verdana" w:eastAsia="Verdana" w:hAnsi="Verdana"/>
          <w:color w:val="0070C0"/>
        </w:rPr>
        <w:t>regularne</w:t>
      </w:r>
      <w:r w:rsidRPr="00F8489F">
        <w:rPr>
          <w:rFonts w:ascii="Verdana" w:eastAsia="Verdana" w:hAnsi="Verdana"/>
          <w:color w:val="0070C0"/>
        </w:rPr>
        <w:t xml:space="preserve"> rejestrowanie rozmów w pokoju </w:t>
      </w:r>
      <w:r w:rsidR="00633FB6">
        <w:rPr>
          <w:rFonts w:ascii="Verdana" w:eastAsia="Verdana" w:hAnsi="Verdana"/>
          <w:color w:val="0070C0"/>
        </w:rPr>
        <w:t>wizyt</w:t>
      </w:r>
      <w:r w:rsidRPr="00F8489F">
        <w:rPr>
          <w:rFonts w:ascii="Verdana" w:eastAsia="Verdana" w:hAnsi="Verdana"/>
          <w:color w:val="0070C0"/>
        </w:rPr>
        <w:t xml:space="preserve"> w celach innych niż ochrona </w:t>
      </w:r>
      <w:r w:rsidR="00633FB6">
        <w:rPr>
          <w:rFonts w:ascii="Verdana" w:eastAsia="Verdana" w:hAnsi="Verdana"/>
          <w:color w:val="0070C0"/>
        </w:rPr>
        <w:t>jednostki penitencjarnej</w:t>
      </w:r>
      <w:r w:rsidRPr="00F8489F">
        <w:rPr>
          <w:rFonts w:ascii="Verdana" w:eastAsia="Verdana" w:hAnsi="Verdana"/>
          <w:color w:val="0070C0"/>
        </w:rPr>
        <w:t xml:space="preserve"> pozbawiło </w:t>
      </w:r>
      <w:r w:rsidR="009F0447">
        <w:rPr>
          <w:rFonts w:ascii="Verdana" w:eastAsia="Verdana" w:hAnsi="Verdana"/>
          <w:color w:val="0070C0"/>
        </w:rPr>
        <w:t xml:space="preserve">te </w:t>
      </w:r>
      <w:r w:rsidRPr="00F8489F">
        <w:rPr>
          <w:rFonts w:ascii="Verdana" w:eastAsia="Verdana" w:hAnsi="Verdana"/>
          <w:color w:val="0070C0"/>
        </w:rPr>
        <w:t>pomieszczenia</w:t>
      </w:r>
      <w:r w:rsidR="00640BBA" w:rsidRPr="00F8489F">
        <w:rPr>
          <w:rFonts w:ascii="Verdana" w:eastAsia="Verdana" w:hAnsi="Verdana"/>
          <w:color w:val="0070C0"/>
        </w:rPr>
        <w:t xml:space="preserve"> </w:t>
      </w:r>
      <w:r w:rsidRPr="00F8489F">
        <w:rPr>
          <w:rFonts w:ascii="Verdana" w:eastAsia="Verdana" w:hAnsi="Verdana"/>
          <w:color w:val="0070C0"/>
        </w:rPr>
        <w:t>ich jedynej racji bytu, a mianowicie umożliwi</w:t>
      </w:r>
      <w:r w:rsidR="009F0447">
        <w:rPr>
          <w:rFonts w:ascii="Verdana" w:eastAsia="Verdana" w:hAnsi="Verdana"/>
          <w:color w:val="0070C0"/>
        </w:rPr>
        <w:t>ania</w:t>
      </w:r>
      <w:r w:rsidRPr="00F8489F">
        <w:rPr>
          <w:rFonts w:ascii="Verdana" w:eastAsia="Verdana" w:hAnsi="Verdana"/>
          <w:color w:val="0070C0"/>
        </w:rPr>
        <w:t xml:space="preserve"> zatrzymanym zachowani</w:t>
      </w:r>
      <w:r w:rsidR="009F0447">
        <w:rPr>
          <w:rFonts w:ascii="Verdana" w:eastAsia="Verdana" w:hAnsi="Verdana"/>
          <w:color w:val="0070C0"/>
        </w:rPr>
        <w:t>a</w:t>
      </w:r>
      <w:r w:rsidRPr="00F8489F">
        <w:rPr>
          <w:rFonts w:ascii="Verdana" w:eastAsia="Verdana" w:hAnsi="Verdana"/>
          <w:color w:val="0070C0"/>
        </w:rPr>
        <w:t xml:space="preserve"> pewnego stopnia ży</w:t>
      </w:r>
      <w:r w:rsidR="009F0447">
        <w:rPr>
          <w:rFonts w:ascii="Verdana" w:eastAsia="Verdana" w:hAnsi="Verdana"/>
          <w:color w:val="0070C0"/>
        </w:rPr>
        <w:t>cia prywatnego</w:t>
      </w:r>
      <w:r w:rsidRPr="00F8489F">
        <w:rPr>
          <w:rFonts w:ascii="Verdana" w:eastAsia="Verdana" w:hAnsi="Verdana"/>
          <w:color w:val="0070C0"/>
        </w:rPr>
        <w:t>, w tym prywatności</w:t>
      </w:r>
      <w:r w:rsidR="003D3C49">
        <w:rPr>
          <w:rFonts w:ascii="Verdana" w:eastAsia="Verdana" w:hAnsi="Verdana"/>
          <w:color w:val="0070C0"/>
        </w:rPr>
        <w:t xml:space="preserve"> </w:t>
      </w:r>
      <w:r w:rsidRPr="00F8489F">
        <w:rPr>
          <w:rFonts w:ascii="Verdana" w:eastAsia="Verdana" w:hAnsi="Verdana"/>
          <w:color w:val="0070C0"/>
        </w:rPr>
        <w:t>rozmów z rodzinami.</w:t>
      </w:r>
    </w:p>
    <w:p w14:paraId="5243631D" w14:textId="77777777" w:rsidR="00AF5E6F" w:rsidRPr="00A14197" w:rsidRDefault="00AF5E6F" w:rsidP="00AB713F">
      <w:pPr>
        <w:spacing w:before="120" w:line="0" w:lineRule="atLeast"/>
        <w:ind w:left="740"/>
        <w:rPr>
          <w:rStyle w:val="Hipercze"/>
          <w:rFonts w:ascii="Verdana" w:eastAsia="Verdana" w:hAnsi="Verdana"/>
          <w:b/>
          <w:color w:val="0072BC"/>
        </w:rPr>
      </w:pPr>
      <w:hyperlink r:id="rId19" w:history="1">
        <w:r w:rsidRPr="00A14197">
          <w:rPr>
            <w:rStyle w:val="Hipercze"/>
            <w:rFonts w:ascii="Verdana" w:eastAsia="Verdana" w:hAnsi="Verdana"/>
            <w:b/>
            <w:color w:val="0072BC"/>
          </w:rPr>
          <w:t>Kennedy przeciwko Zjednoczonemu Królestwu</w:t>
        </w:r>
      </w:hyperlink>
    </w:p>
    <w:p w14:paraId="7E3E3D27" w14:textId="77777777" w:rsidR="000273B6" w:rsidRDefault="000273B6" w:rsidP="00AB713F">
      <w:pPr>
        <w:spacing w:line="0" w:lineRule="atLeast"/>
        <w:ind w:left="740"/>
        <w:rPr>
          <w:rFonts w:ascii="Verdana" w:eastAsia="Verdana" w:hAnsi="Verdana"/>
          <w:color w:val="808080"/>
          <w:sz w:val="18"/>
        </w:rPr>
      </w:pPr>
      <w:r>
        <w:rPr>
          <w:rFonts w:ascii="Verdana" w:eastAsia="Verdana" w:hAnsi="Verdana"/>
          <w:color w:val="808080"/>
          <w:sz w:val="18"/>
        </w:rPr>
        <w:t>18 maja 2010 roku</w:t>
      </w:r>
    </w:p>
    <w:p w14:paraId="34BD05CB" w14:textId="77777777" w:rsidR="00AF5E6F" w:rsidRPr="00F8489F" w:rsidRDefault="00AF5E6F" w:rsidP="00AB713F">
      <w:pPr>
        <w:spacing w:line="0" w:lineRule="atLeast"/>
        <w:ind w:left="740"/>
        <w:jc w:val="both"/>
        <w:rPr>
          <w:rFonts w:ascii="Verdana" w:eastAsia="Verdana" w:hAnsi="Verdana"/>
        </w:rPr>
      </w:pPr>
      <w:r w:rsidRPr="00F8489F">
        <w:rPr>
          <w:rFonts w:ascii="Verdana" w:eastAsia="Verdana" w:hAnsi="Verdana"/>
        </w:rPr>
        <w:t>Skazany za nieumyślne spowodowanie śmierci - w sprawie kontrowersyjnej z powodu brakujących i sprzecznych dowodów - i zwolniony z więzienia w 1996 r</w:t>
      </w:r>
      <w:r w:rsidR="00DE5D1A">
        <w:rPr>
          <w:rFonts w:ascii="Verdana" w:eastAsia="Verdana" w:hAnsi="Verdana"/>
        </w:rPr>
        <w:t>oku</w:t>
      </w:r>
      <w:r w:rsidRPr="00F8489F">
        <w:rPr>
          <w:rFonts w:ascii="Verdana" w:eastAsia="Verdana" w:hAnsi="Verdana"/>
        </w:rPr>
        <w:t xml:space="preserve">, </w:t>
      </w:r>
      <w:r w:rsidR="00DE5D1A">
        <w:rPr>
          <w:rFonts w:ascii="Verdana" w:eastAsia="Verdana" w:hAnsi="Verdana"/>
        </w:rPr>
        <w:t xml:space="preserve">skarżący </w:t>
      </w:r>
      <w:r w:rsidRPr="00F8489F">
        <w:rPr>
          <w:rFonts w:ascii="Verdana" w:eastAsia="Verdana" w:hAnsi="Verdana"/>
        </w:rPr>
        <w:t>zaangażował się w kampanię przeciwko pomyłkom sądowym. Podejrzewając, że policja przechwyciła jego korespondencję</w:t>
      </w:r>
      <w:r w:rsidR="00DE5D1A">
        <w:rPr>
          <w:rFonts w:ascii="Verdana" w:eastAsia="Verdana" w:hAnsi="Verdana"/>
        </w:rPr>
        <w:t xml:space="preserve"> po tym jak założył małe przedsiębiorstwo</w:t>
      </w:r>
      <w:r w:rsidR="00792A1A">
        <w:rPr>
          <w:rFonts w:ascii="Verdana" w:eastAsia="Verdana" w:hAnsi="Verdana"/>
        </w:rPr>
        <w:t xml:space="preserve">, </w:t>
      </w:r>
      <w:r w:rsidRPr="00F8489F">
        <w:rPr>
          <w:rFonts w:ascii="Verdana" w:eastAsia="Verdana" w:hAnsi="Verdana"/>
        </w:rPr>
        <w:t xml:space="preserve">skarżący wniósł skargę do </w:t>
      </w:r>
      <w:r w:rsidR="00993C2D" w:rsidRPr="00F8489F">
        <w:rPr>
          <w:rFonts w:ascii="Verdana" w:eastAsia="Verdana" w:hAnsi="Verdana"/>
        </w:rPr>
        <w:t>Investigatory Powers Tribunal</w:t>
      </w:r>
      <w:r w:rsidR="009866C0" w:rsidRPr="00F8489F">
        <w:rPr>
          <w:rFonts w:ascii="Verdana" w:eastAsia="Verdana" w:hAnsi="Verdana"/>
        </w:rPr>
        <w:t xml:space="preserve"> (</w:t>
      </w:r>
      <w:r w:rsidRPr="00F8489F">
        <w:rPr>
          <w:rFonts w:ascii="Verdana" w:eastAsia="Verdana" w:hAnsi="Verdana"/>
        </w:rPr>
        <w:t>IPT).</w:t>
      </w:r>
      <w:r w:rsidR="00DE5D1A">
        <w:rPr>
          <w:rFonts w:ascii="Verdana" w:eastAsia="Verdana" w:hAnsi="Verdana"/>
        </w:rPr>
        <w:t xml:space="preserve"> </w:t>
      </w:r>
      <w:r w:rsidRPr="00F8489F">
        <w:rPr>
          <w:rFonts w:ascii="Verdana" w:eastAsia="Verdana" w:hAnsi="Verdana"/>
        </w:rPr>
        <w:t>W 2005</w:t>
      </w:r>
      <w:r w:rsidR="00792A1A">
        <w:rPr>
          <w:rFonts w:ascii="Verdana" w:eastAsia="Verdana" w:hAnsi="Verdana"/>
        </w:rPr>
        <w:t xml:space="preserve"> </w:t>
      </w:r>
      <w:r w:rsidRPr="00F8489F">
        <w:rPr>
          <w:rFonts w:ascii="Verdana" w:eastAsia="Verdana" w:hAnsi="Verdana"/>
        </w:rPr>
        <w:t>r</w:t>
      </w:r>
      <w:r w:rsidR="00DE5D1A">
        <w:rPr>
          <w:rFonts w:ascii="Verdana" w:eastAsia="Verdana" w:hAnsi="Verdana"/>
        </w:rPr>
        <w:t>oku</w:t>
      </w:r>
      <w:r w:rsidR="00792A1A">
        <w:rPr>
          <w:rFonts w:ascii="Verdana" w:eastAsia="Verdana" w:hAnsi="Verdana"/>
        </w:rPr>
        <w:t xml:space="preserve"> </w:t>
      </w:r>
      <w:r w:rsidRPr="00F8489F">
        <w:rPr>
          <w:rFonts w:ascii="Verdana" w:eastAsia="Verdana" w:hAnsi="Verdana"/>
        </w:rPr>
        <w:t>został poinformowany, że w odniesieniu do jego skarg nie podjęto żadn</w:t>
      </w:r>
      <w:r w:rsidR="00DE5D1A">
        <w:rPr>
          <w:rFonts w:ascii="Verdana" w:eastAsia="Verdana" w:hAnsi="Verdana"/>
        </w:rPr>
        <w:t>ego</w:t>
      </w:r>
      <w:r w:rsidRPr="00F8489F">
        <w:rPr>
          <w:rFonts w:ascii="Verdana" w:eastAsia="Verdana" w:hAnsi="Verdana"/>
        </w:rPr>
        <w:t xml:space="preserve"> rozstrzygnię</w:t>
      </w:r>
      <w:r w:rsidR="00DE5D1A">
        <w:rPr>
          <w:rFonts w:ascii="Verdana" w:eastAsia="Verdana" w:hAnsi="Verdana"/>
        </w:rPr>
        <w:t>cia</w:t>
      </w:r>
      <w:r w:rsidRPr="00F8489F">
        <w:rPr>
          <w:rFonts w:ascii="Verdana" w:eastAsia="Verdana" w:hAnsi="Verdana"/>
        </w:rPr>
        <w:t xml:space="preserve"> na </w:t>
      </w:r>
      <w:r w:rsidR="00DE5D1A">
        <w:rPr>
          <w:rFonts w:ascii="Verdana" w:eastAsia="Verdana" w:hAnsi="Verdana"/>
        </w:rPr>
        <w:t xml:space="preserve">jego </w:t>
      </w:r>
      <w:r w:rsidRPr="00F8489F">
        <w:rPr>
          <w:rFonts w:ascii="Verdana" w:eastAsia="Verdana" w:hAnsi="Verdana"/>
        </w:rPr>
        <w:t xml:space="preserve">korzyść. Oznaczało to, że albo jego korespondencja nie została przechwycona, albo że IPT uznał </w:t>
      </w:r>
      <w:r w:rsidR="00E51267">
        <w:rPr>
          <w:rFonts w:ascii="Verdana" w:eastAsia="Verdana" w:hAnsi="Verdana"/>
        </w:rPr>
        <w:t xml:space="preserve">ewentualne </w:t>
      </w:r>
      <w:r w:rsidRPr="00F8489F">
        <w:rPr>
          <w:rFonts w:ascii="Verdana" w:eastAsia="Verdana" w:hAnsi="Verdana"/>
        </w:rPr>
        <w:t>przechwycenie za zgodne z prawem. IPT nie dostarczył</w:t>
      </w:r>
      <w:r w:rsidR="00A97A92">
        <w:rPr>
          <w:rFonts w:ascii="Verdana" w:eastAsia="Verdana" w:hAnsi="Verdana"/>
        </w:rPr>
        <w:t>o</w:t>
      </w:r>
      <w:r w:rsidRPr="00F8489F">
        <w:rPr>
          <w:rFonts w:ascii="Verdana" w:eastAsia="Verdana" w:hAnsi="Verdana"/>
        </w:rPr>
        <w:t xml:space="preserve"> dalszych informacji. </w:t>
      </w:r>
      <w:r w:rsidR="00E51267">
        <w:rPr>
          <w:rFonts w:ascii="Verdana" w:eastAsia="Verdana" w:hAnsi="Verdana"/>
        </w:rPr>
        <w:t>Skarżący</w:t>
      </w:r>
      <w:r w:rsidRPr="00F8489F">
        <w:rPr>
          <w:rFonts w:ascii="Verdana" w:eastAsia="Verdana" w:hAnsi="Verdana"/>
        </w:rPr>
        <w:t xml:space="preserve"> </w:t>
      </w:r>
      <w:r w:rsidR="00E51267">
        <w:rPr>
          <w:rFonts w:ascii="Verdana" w:eastAsia="Verdana" w:hAnsi="Verdana"/>
        </w:rPr>
        <w:t>zarzucił</w:t>
      </w:r>
      <w:r w:rsidRPr="00F8489F">
        <w:rPr>
          <w:rFonts w:ascii="Verdana" w:eastAsia="Verdana" w:hAnsi="Verdana"/>
        </w:rPr>
        <w:t xml:space="preserve"> domniemane przechwycenie jego korespondencji.</w:t>
      </w:r>
    </w:p>
    <w:p w14:paraId="529403B4" w14:textId="77777777" w:rsidR="00B34A20" w:rsidRPr="00F8489F" w:rsidRDefault="00AF5E6F"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nie doszło do</w:t>
      </w:r>
      <w:r w:rsidRPr="00F8489F">
        <w:rPr>
          <w:rFonts w:ascii="Verdana" w:eastAsia="Verdana" w:hAnsi="Verdana"/>
          <w:color w:val="0070C0"/>
        </w:rPr>
        <w:t xml:space="preserve"> </w:t>
      </w:r>
      <w:r w:rsidRPr="00F8489F">
        <w:rPr>
          <w:rFonts w:ascii="Verdana" w:eastAsia="Verdana" w:hAnsi="Verdana"/>
          <w:b/>
          <w:color w:val="0070C0"/>
        </w:rPr>
        <w:t xml:space="preserve">naruszenia </w:t>
      </w:r>
      <w:r w:rsidR="00E51267">
        <w:rPr>
          <w:rFonts w:ascii="Verdana" w:eastAsia="Verdana" w:hAnsi="Verdana"/>
          <w:b/>
          <w:color w:val="0070C0"/>
        </w:rPr>
        <w:t>art.</w:t>
      </w:r>
      <w:r w:rsidRPr="00F8489F">
        <w:rPr>
          <w:rFonts w:ascii="Verdana" w:eastAsia="Verdana" w:hAnsi="Verdana"/>
          <w:b/>
          <w:color w:val="0070C0"/>
        </w:rPr>
        <w:t xml:space="preserve"> 8 Konwencji</w:t>
      </w:r>
      <w:r w:rsidRPr="00F8489F">
        <w:rPr>
          <w:rFonts w:ascii="Verdana" w:eastAsia="Verdana" w:hAnsi="Verdana"/>
          <w:color w:val="0070C0"/>
        </w:rPr>
        <w:t xml:space="preserve">, stwierdzając, że prawo </w:t>
      </w:r>
      <w:r w:rsidR="00E51267">
        <w:rPr>
          <w:rFonts w:ascii="Verdana" w:eastAsia="Verdana" w:hAnsi="Verdana"/>
          <w:color w:val="0070C0"/>
        </w:rPr>
        <w:t>Zjednoczonego Królestwa</w:t>
      </w:r>
      <w:r w:rsidRPr="00F8489F">
        <w:rPr>
          <w:rFonts w:ascii="Verdana" w:eastAsia="Verdana" w:hAnsi="Verdana"/>
          <w:color w:val="0070C0"/>
        </w:rPr>
        <w:t xml:space="preserve"> dotyczące przechwytywania komunikacji wewnętrznej wraz z wyjaśnieniami </w:t>
      </w:r>
      <w:r w:rsidR="00E51267">
        <w:rPr>
          <w:rFonts w:ascii="Verdana" w:eastAsia="Verdana" w:hAnsi="Verdana"/>
          <w:color w:val="0070C0"/>
        </w:rPr>
        <w:t>zawartymi w</w:t>
      </w:r>
      <w:r w:rsidRPr="00F8489F">
        <w:rPr>
          <w:rFonts w:ascii="Verdana" w:eastAsia="Verdana" w:hAnsi="Verdana"/>
          <w:color w:val="0070C0"/>
        </w:rPr>
        <w:t xml:space="preserve"> publikacji </w:t>
      </w:r>
      <w:r w:rsidR="00E51267">
        <w:rPr>
          <w:rFonts w:ascii="Verdana" w:eastAsia="Verdana" w:hAnsi="Verdana"/>
          <w:color w:val="0070C0"/>
        </w:rPr>
        <w:t>Code of Practice</w:t>
      </w:r>
      <w:r w:rsidRPr="00F8489F">
        <w:rPr>
          <w:rFonts w:ascii="Verdana" w:eastAsia="Verdana" w:hAnsi="Verdana"/>
          <w:color w:val="0070C0"/>
        </w:rPr>
        <w:t xml:space="preserve"> wskazało z wystarczającą jasnością procedury wydawania zezwoleń i przetwarzania nakazów przechwycenia</w:t>
      </w:r>
      <w:r w:rsidR="00E51267">
        <w:rPr>
          <w:rFonts w:ascii="Verdana" w:eastAsia="Verdana" w:hAnsi="Verdana"/>
          <w:color w:val="0070C0"/>
        </w:rPr>
        <w:t xml:space="preserve"> korespondencji</w:t>
      </w:r>
      <w:r w:rsidRPr="00F8489F">
        <w:rPr>
          <w:rFonts w:ascii="Verdana" w:eastAsia="Verdana" w:hAnsi="Verdana"/>
          <w:color w:val="0070C0"/>
        </w:rPr>
        <w:t xml:space="preserve">, jak również przetwarzania, przekazywania i niszczenia zebranych danych. Ponadto nie stwierdzono żadnych istotnych </w:t>
      </w:r>
      <w:r w:rsidR="00E51267">
        <w:rPr>
          <w:rFonts w:ascii="Verdana" w:eastAsia="Verdana" w:hAnsi="Verdana"/>
          <w:color w:val="0070C0"/>
        </w:rPr>
        <w:t>uchybień</w:t>
      </w:r>
      <w:r w:rsidRPr="00F8489F">
        <w:rPr>
          <w:rFonts w:ascii="Verdana" w:eastAsia="Verdana" w:hAnsi="Verdana"/>
          <w:color w:val="0070C0"/>
        </w:rPr>
        <w:t xml:space="preserve"> w stosowaniu i funkcjonowaniu </w:t>
      </w:r>
      <w:r w:rsidR="001933B7">
        <w:rPr>
          <w:rFonts w:ascii="Verdana" w:eastAsia="Verdana" w:hAnsi="Verdana"/>
          <w:color w:val="0070C0"/>
        </w:rPr>
        <w:t>reżimu obserwacji</w:t>
      </w:r>
      <w:r w:rsidRPr="00F8489F">
        <w:rPr>
          <w:rFonts w:ascii="Verdana" w:eastAsia="Verdana" w:hAnsi="Verdana"/>
          <w:color w:val="0070C0"/>
        </w:rPr>
        <w:t xml:space="preserve">. W związku z tym, a także mając na uwadze zabezpieczenia przed nadużyciami </w:t>
      </w:r>
      <w:r w:rsidR="00757447" w:rsidRPr="00F8489F">
        <w:rPr>
          <w:rFonts w:ascii="Verdana" w:eastAsia="Verdana" w:hAnsi="Verdana"/>
          <w:color w:val="0070C0"/>
        </w:rPr>
        <w:t>proceduralnymi</w:t>
      </w:r>
      <w:r w:rsidRPr="00F8489F">
        <w:rPr>
          <w:rFonts w:ascii="Verdana" w:eastAsia="Verdana" w:hAnsi="Verdana"/>
          <w:color w:val="0070C0"/>
        </w:rPr>
        <w:t>, jak również bardziej ogólne zabezpieczenia</w:t>
      </w:r>
      <w:r w:rsidR="00993C2D">
        <w:rPr>
          <w:rFonts w:ascii="Verdana" w:eastAsia="Verdana" w:hAnsi="Verdana"/>
          <w:color w:val="0070C0"/>
        </w:rPr>
        <w:t xml:space="preserve"> tj.</w:t>
      </w:r>
      <w:r w:rsidRPr="00F8489F">
        <w:rPr>
          <w:rFonts w:ascii="Verdana" w:eastAsia="Verdana" w:hAnsi="Verdana"/>
          <w:color w:val="0070C0"/>
        </w:rPr>
        <w:t xml:space="preserve"> nadzór </w:t>
      </w:r>
      <w:r w:rsidR="00757447" w:rsidRPr="00F8489F">
        <w:rPr>
          <w:rFonts w:ascii="Verdana" w:eastAsia="Verdana" w:hAnsi="Verdana"/>
          <w:color w:val="0070C0"/>
        </w:rPr>
        <w:t>Komisarza</w:t>
      </w:r>
      <w:r w:rsidRPr="00F8489F">
        <w:rPr>
          <w:rFonts w:ascii="Verdana" w:eastAsia="Verdana" w:hAnsi="Verdana"/>
          <w:color w:val="0070C0"/>
        </w:rPr>
        <w:t xml:space="preserve"> i </w:t>
      </w:r>
      <w:r w:rsidR="00993C2D" w:rsidRPr="00F8489F">
        <w:rPr>
          <w:rFonts w:ascii="Verdana" w:eastAsia="Verdana" w:hAnsi="Verdana"/>
          <w:color w:val="0070C0"/>
        </w:rPr>
        <w:t>ocena</w:t>
      </w:r>
      <w:r w:rsidRPr="00F8489F">
        <w:rPr>
          <w:rFonts w:ascii="Verdana" w:eastAsia="Verdana" w:hAnsi="Verdana"/>
          <w:color w:val="0070C0"/>
        </w:rPr>
        <w:t xml:space="preserve"> IPT, zakwestionowane środki </w:t>
      </w:r>
      <w:r w:rsidR="001933B7">
        <w:rPr>
          <w:rFonts w:ascii="Verdana" w:eastAsia="Verdana" w:hAnsi="Verdana"/>
          <w:color w:val="0070C0"/>
        </w:rPr>
        <w:t>obserwacji</w:t>
      </w:r>
      <w:r w:rsidRPr="00F8489F">
        <w:rPr>
          <w:rFonts w:ascii="Verdana" w:eastAsia="Verdana" w:hAnsi="Verdana"/>
          <w:color w:val="0070C0"/>
        </w:rPr>
        <w:t xml:space="preserve">, </w:t>
      </w:r>
      <w:r w:rsidR="00B34A20" w:rsidRPr="00F8489F">
        <w:rPr>
          <w:rFonts w:ascii="Verdana" w:eastAsia="Verdana" w:hAnsi="Verdana"/>
          <w:color w:val="0070C0"/>
        </w:rPr>
        <w:t>które</w:t>
      </w:r>
      <w:r w:rsidRPr="00F8489F">
        <w:rPr>
          <w:rFonts w:ascii="Verdana" w:eastAsia="Verdana" w:hAnsi="Verdana"/>
          <w:color w:val="0070C0"/>
        </w:rPr>
        <w:t xml:space="preserve"> </w:t>
      </w:r>
      <w:r w:rsidR="00117B60">
        <w:rPr>
          <w:rFonts w:ascii="Verdana" w:eastAsia="Verdana" w:hAnsi="Verdana"/>
          <w:color w:val="0070C0"/>
        </w:rPr>
        <w:t>miały</w:t>
      </w:r>
      <w:r w:rsidRPr="00F8489F">
        <w:rPr>
          <w:rFonts w:ascii="Verdana" w:eastAsia="Verdana" w:hAnsi="Verdana"/>
          <w:color w:val="0070C0"/>
        </w:rPr>
        <w:t xml:space="preserve"> zostać zastosowane wobec </w:t>
      </w:r>
      <w:r w:rsidR="001933B7">
        <w:rPr>
          <w:rFonts w:ascii="Verdana" w:eastAsia="Verdana" w:hAnsi="Verdana"/>
          <w:color w:val="0070C0"/>
        </w:rPr>
        <w:t>skarżącego</w:t>
      </w:r>
      <w:r w:rsidRPr="00F8489F">
        <w:rPr>
          <w:rFonts w:ascii="Verdana" w:eastAsia="Verdana" w:hAnsi="Verdana"/>
          <w:color w:val="0070C0"/>
        </w:rPr>
        <w:t xml:space="preserve">, były uzasadnione na mocy art. 8 </w:t>
      </w:r>
      <w:r w:rsidR="00993C2D">
        <w:rPr>
          <w:rFonts w:ascii="Verdana" w:eastAsia="Verdana" w:hAnsi="Verdana"/>
          <w:color w:val="0070C0"/>
        </w:rPr>
        <w:t>ust.</w:t>
      </w:r>
      <w:r w:rsidRPr="00F8489F">
        <w:rPr>
          <w:rFonts w:ascii="Verdana" w:eastAsia="Verdana" w:hAnsi="Verdana"/>
          <w:color w:val="0070C0"/>
        </w:rPr>
        <w:t xml:space="preserve"> 2 Konwencji.</w:t>
      </w:r>
    </w:p>
    <w:p w14:paraId="135EEAC2" w14:textId="32169BAA" w:rsidR="00F832FE" w:rsidRPr="00A14197" w:rsidRDefault="00635E31" w:rsidP="00AB713F">
      <w:pPr>
        <w:spacing w:before="120" w:line="0" w:lineRule="atLeast"/>
        <w:ind w:left="740"/>
        <w:rPr>
          <w:rStyle w:val="Hipercze"/>
          <w:rFonts w:ascii="Verdana" w:eastAsia="Verdana" w:hAnsi="Verdana"/>
          <w:b/>
          <w:color w:val="0072BC"/>
        </w:rPr>
      </w:pPr>
      <w:hyperlink r:id="rId20" w:anchor="{%22itemid%22:[%22003-4982444-6110006%22]}" w:history="1">
        <w:r w:rsidRPr="00500BF2">
          <w:rPr>
            <w:rStyle w:val="Hipercze"/>
            <w:rFonts w:ascii="Verdana" w:eastAsia="Verdana" w:hAnsi="Verdana"/>
            <w:b/>
          </w:rPr>
          <w:t>Dragojević przeciwko Chorwacji</w:t>
        </w:r>
      </w:hyperlink>
    </w:p>
    <w:p w14:paraId="3B60CA33" w14:textId="77777777" w:rsidR="00F832FE" w:rsidRDefault="00F832FE" w:rsidP="00AB713F">
      <w:pPr>
        <w:spacing w:line="63" w:lineRule="exact"/>
        <w:ind w:left="740"/>
        <w:rPr>
          <w:rFonts w:ascii="Times New Roman" w:eastAsia="Times New Roman" w:hAnsi="Times New Roman"/>
        </w:rPr>
      </w:pPr>
    </w:p>
    <w:p w14:paraId="0B39E970" w14:textId="77777777" w:rsidR="00F832FE" w:rsidRDefault="00635E31" w:rsidP="00AB713F">
      <w:pPr>
        <w:spacing w:line="0" w:lineRule="atLeast"/>
        <w:ind w:left="740"/>
        <w:rPr>
          <w:rFonts w:ascii="Verdana" w:eastAsia="Verdana" w:hAnsi="Verdana"/>
          <w:color w:val="808080"/>
          <w:sz w:val="18"/>
        </w:rPr>
      </w:pPr>
      <w:r>
        <w:rPr>
          <w:rFonts w:ascii="Verdana" w:eastAsia="Verdana" w:hAnsi="Verdana"/>
          <w:color w:val="808080"/>
          <w:sz w:val="18"/>
        </w:rPr>
        <w:t>15 stycznia</w:t>
      </w:r>
      <w:r w:rsidR="00F832FE">
        <w:rPr>
          <w:rFonts w:ascii="Verdana" w:eastAsia="Verdana" w:hAnsi="Verdana"/>
          <w:color w:val="808080"/>
          <w:sz w:val="18"/>
        </w:rPr>
        <w:t xml:space="preserve"> 2015</w:t>
      </w:r>
      <w:r w:rsidR="00A95B2F">
        <w:rPr>
          <w:rFonts w:ascii="Verdana" w:eastAsia="Verdana" w:hAnsi="Verdana"/>
          <w:color w:val="808080"/>
          <w:sz w:val="18"/>
        </w:rPr>
        <w:t xml:space="preserve"> roku</w:t>
      </w:r>
    </w:p>
    <w:p w14:paraId="47BD182C" w14:textId="77777777" w:rsidR="00F832FE" w:rsidRDefault="001B0505" w:rsidP="00AB713F">
      <w:pPr>
        <w:spacing w:line="239" w:lineRule="auto"/>
        <w:ind w:left="740" w:right="20"/>
        <w:jc w:val="both"/>
        <w:rPr>
          <w:rFonts w:ascii="Verdana" w:eastAsia="Verdana" w:hAnsi="Verdana"/>
        </w:rPr>
      </w:pPr>
      <w:r>
        <w:rPr>
          <w:rFonts w:ascii="Verdana" w:eastAsia="Verdana" w:hAnsi="Verdana"/>
        </w:rPr>
        <w:t>Sprawa</w:t>
      </w:r>
      <w:r w:rsidR="00635E31">
        <w:rPr>
          <w:rFonts w:ascii="Verdana" w:eastAsia="Verdana" w:hAnsi="Verdana"/>
        </w:rPr>
        <w:t xml:space="preserve"> dotyczyła</w:t>
      </w:r>
      <w:r w:rsidR="009C68F2">
        <w:rPr>
          <w:rFonts w:ascii="Verdana" w:eastAsia="Verdana" w:hAnsi="Verdana"/>
        </w:rPr>
        <w:t xml:space="preserve"> głównie</w:t>
      </w:r>
      <w:r w:rsidR="00635E31">
        <w:rPr>
          <w:rFonts w:ascii="Verdana" w:eastAsia="Verdana" w:hAnsi="Verdana"/>
        </w:rPr>
        <w:t xml:space="preserve"> tajne</w:t>
      </w:r>
      <w:r w:rsidR="00117B60">
        <w:rPr>
          <w:rFonts w:ascii="Verdana" w:eastAsia="Verdana" w:hAnsi="Verdana"/>
        </w:rPr>
        <w:t>go</w:t>
      </w:r>
      <w:r w:rsidR="00635E31">
        <w:rPr>
          <w:rFonts w:ascii="Verdana" w:eastAsia="Verdana" w:hAnsi="Verdana"/>
        </w:rPr>
        <w:t xml:space="preserve"> </w:t>
      </w:r>
      <w:r w:rsidR="00117B60">
        <w:rPr>
          <w:rFonts w:ascii="Verdana" w:eastAsia="Verdana" w:hAnsi="Verdana"/>
        </w:rPr>
        <w:t>podsłuchu</w:t>
      </w:r>
      <w:r w:rsidR="00635E31">
        <w:rPr>
          <w:rFonts w:ascii="Verdana" w:eastAsia="Verdana" w:hAnsi="Verdana"/>
        </w:rPr>
        <w:t xml:space="preserve"> rozmów telefonicznych os</w:t>
      </w:r>
      <w:r>
        <w:rPr>
          <w:rFonts w:ascii="Verdana" w:eastAsia="Verdana" w:hAnsi="Verdana"/>
        </w:rPr>
        <w:t>ob</w:t>
      </w:r>
      <w:r w:rsidR="00635E31">
        <w:rPr>
          <w:rFonts w:ascii="Verdana" w:eastAsia="Verdana" w:hAnsi="Verdana"/>
        </w:rPr>
        <w:t>y podejrzanej o handel narkotykami. Skarżący zarzucał w szczególności</w:t>
      </w:r>
      <w:r w:rsidR="004C0C9B">
        <w:rPr>
          <w:rFonts w:ascii="Verdana" w:eastAsia="Verdana" w:hAnsi="Verdana"/>
        </w:rPr>
        <w:t>,</w:t>
      </w:r>
      <w:r w:rsidR="00635E31">
        <w:rPr>
          <w:rFonts w:ascii="Verdana" w:eastAsia="Verdana" w:hAnsi="Verdana"/>
        </w:rPr>
        <w:t xml:space="preserve"> że sędzia </w:t>
      </w:r>
      <w:r w:rsidR="007824FB">
        <w:rPr>
          <w:rFonts w:ascii="Verdana" w:eastAsia="Verdana" w:hAnsi="Verdana"/>
        </w:rPr>
        <w:t>śledczy</w:t>
      </w:r>
      <w:r w:rsidR="00635E31">
        <w:rPr>
          <w:rFonts w:ascii="Verdana" w:eastAsia="Verdana" w:hAnsi="Verdana"/>
        </w:rPr>
        <w:t xml:space="preserve"> nie zastosował się do procedury w</w:t>
      </w:r>
      <w:r>
        <w:rPr>
          <w:rFonts w:ascii="Verdana" w:eastAsia="Verdana" w:hAnsi="Verdana"/>
        </w:rPr>
        <w:t>ymaganej przez chorwackie prawo, tj.</w:t>
      </w:r>
      <w:r w:rsidR="004C0C9B">
        <w:rPr>
          <w:rFonts w:ascii="Verdana" w:eastAsia="Verdana" w:hAnsi="Verdana"/>
        </w:rPr>
        <w:t xml:space="preserve"> skutecznej oceny czy zastosowanie tajne</w:t>
      </w:r>
      <w:r w:rsidR="00117B60">
        <w:rPr>
          <w:rFonts w:ascii="Verdana" w:eastAsia="Verdana" w:hAnsi="Verdana"/>
        </w:rPr>
        <w:t xml:space="preserve">j obserwacji </w:t>
      </w:r>
      <w:r w:rsidR="004C0C9B">
        <w:rPr>
          <w:rFonts w:ascii="Verdana" w:eastAsia="Verdana" w:hAnsi="Verdana"/>
        </w:rPr>
        <w:t>jest konieczne i uzasadnione w konkretnym przypadku.</w:t>
      </w:r>
    </w:p>
    <w:p w14:paraId="3C552973" w14:textId="77777777" w:rsidR="004C0C9B" w:rsidRPr="00F8489F" w:rsidRDefault="004C0C9B" w:rsidP="00AB713F">
      <w:pPr>
        <w:spacing w:line="239" w:lineRule="auto"/>
        <w:ind w:left="740" w:right="20"/>
        <w:jc w:val="both"/>
        <w:rPr>
          <w:rFonts w:ascii="Verdana" w:eastAsia="Verdana" w:hAnsi="Verdana"/>
          <w:color w:val="0070C0"/>
          <w:highlight w:val="magenta"/>
        </w:rPr>
      </w:pPr>
      <w:r w:rsidRPr="004C0C9B">
        <w:rPr>
          <w:rFonts w:ascii="Verdana" w:eastAsia="Verdana" w:hAnsi="Verdana"/>
          <w:color w:val="0070C0"/>
        </w:rPr>
        <w:t xml:space="preserve">Trybunał orzekł, że </w:t>
      </w:r>
      <w:r>
        <w:rPr>
          <w:rFonts w:ascii="Verdana" w:eastAsia="Verdana" w:hAnsi="Verdana"/>
          <w:b/>
          <w:color w:val="0070C0"/>
        </w:rPr>
        <w:t xml:space="preserve">doszło do naruszenia </w:t>
      </w:r>
      <w:r w:rsidR="00117B60">
        <w:rPr>
          <w:rFonts w:ascii="Verdana" w:eastAsia="Verdana" w:hAnsi="Verdana"/>
          <w:b/>
          <w:color w:val="0070C0"/>
        </w:rPr>
        <w:t>art.</w:t>
      </w:r>
      <w:r w:rsidRPr="004C0C9B">
        <w:rPr>
          <w:rFonts w:ascii="Verdana" w:eastAsia="Verdana" w:hAnsi="Verdana"/>
          <w:b/>
          <w:color w:val="0070C0"/>
        </w:rPr>
        <w:t xml:space="preserve"> 8</w:t>
      </w:r>
      <w:r w:rsidRPr="004C0C9B">
        <w:rPr>
          <w:rFonts w:ascii="Verdana" w:eastAsia="Verdana" w:hAnsi="Verdana"/>
          <w:color w:val="0070C0"/>
        </w:rPr>
        <w:t xml:space="preserve"> Konwencji.  Trybunał stwierdził w szczególności, że prawo chorwackie, zgodnie z wykładnią sądów krajowych, nie zapewnia dostatecznej jasności co do swobody </w:t>
      </w:r>
      <w:r>
        <w:rPr>
          <w:rFonts w:ascii="Verdana" w:eastAsia="Verdana" w:hAnsi="Verdana"/>
          <w:color w:val="0070C0"/>
        </w:rPr>
        <w:t>organów</w:t>
      </w:r>
      <w:r w:rsidRPr="004C0C9B">
        <w:rPr>
          <w:rFonts w:ascii="Verdana" w:eastAsia="Verdana" w:hAnsi="Verdana"/>
          <w:color w:val="0070C0"/>
        </w:rPr>
        <w:t xml:space="preserve"> </w:t>
      </w:r>
      <w:r w:rsidR="00117B60">
        <w:rPr>
          <w:rFonts w:ascii="Verdana" w:eastAsia="Verdana" w:hAnsi="Verdana"/>
          <w:color w:val="0070C0"/>
        </w:rPr>
        <w:t xml:space="preserve">władzy </w:t>
      </w:r>
      <w:r w:rsidRPr="004C0C9B">
        <w:rPr>
          <w:rFonts w:ascii="Verdana" w:eastAsia="Verdana" w:hAnsi="Verdana"/>
          <w:color w:val="0070C0"/>
        </w:rPr>
        <w:t xml:space="preserve">w zakresie </w:t>
      </w:r>
      <w:r>
        <w:rPr>
          <w:rFonts w:ascii="Verdana" w:eastAsia="Verdana" w:hAnsi="Verdana"/>
          <w:color w:val="0070C0"/>
        </w:rPr>
        <w:t xml:space="preserve">nakładania środków nadzoru i </w:t>
      </w:r>
      <w:r w:rsidRPr="004C0C9B">
        <w:rPr>
          <w:rFonts w:ascii="Verdana" w:eastAsia="Verdana" w:hAnsi="Verdana"/>
          <w:color w:val="0070C0"/>
        </w:rPr>
        <w:t>w prak</w:t>
      </w:r>
      <w:r>
        <w:rPr>
          <w:rFonts w:ascii="Verdana" w:eastAsia="Verdana" w:hAnsi="Verdana"/>
          <w:color w:val="0070C0"/>
        </w:rPr>
        <w:t>tyce - jak w przypadku skarżącego</w:t>
      </w:r>
      <w:r w:rsidRPr="004C0C9B">
        <w:rPr>
          <w:rFonts w:ascii="Verdana" w:eastAsia="Verdana" w:hAnsi="Verdana"/>
          <w:color w:val="0070C0"/>
        </w:rPr>
        <w:t xml:space="preserve"> </w:t>
      </w:r>
      <w:r>
        <w:rPr>
          <w:rFonts w:ascii="Verdana" w:eastAsia="Verdana" w:hAnsi="Verdana"/>
          <w:color w:val="0070C0"/>
        </w:rPr>
        <w:t xml:space="preserve">– nie </w:t>
      </w:r>
      <w:r w:rsidRPr="005003E7">
        <w:rPr>
          <w:rFonts w:ascii="Verdana" w:eastAsia="Verdana" w:hAnsi="Verdana"/>
          <w:color w:val="0070C0"/>
        </w:rPr>
        <w:t>jest wystarczającym zabezpieczeniem przed ewentualnymi nadużyciami.</w:t>
      </w:r>
    </w:p>
    <w:p w14:paraId="2A23F5F9" w14:textId="77777777" w:rsidR="00F832FE" w:rsidRPr="00F8489F" w:rsidRDefault="00F832FE" w:rsidP="00AB713F">
      <w:pPr>
        <w:spacing w:line="2" w:lineRule="exact"/>
        <w:ind w:left="740"/>
        <w:rPr>
          <w:rFonts w:ascii="Times New Roman" w:eastAsia="Times New Roman" w:hAnsi="Times New Roman"/>
          <w:highlight w:val="magenta"/>
        </w:rPr>
      </w:pPr>
    </w:p>
    <w:p w14:paraId="40A01917" w14:textId="77777777" w:rsidR="00F832FE" w:rsidRPr="00F8489F" w:rsidRDefault="00F832FE" w:rsidP="00AB713F">
      <w:pPr>
        <w:spacing w:line="2" w:lineRule="exact"/>
        <w:ind w:left="740"/>
        <w:rPr>
          <w:rFonts w:ascii="Times New Roman" w:eastAsia="Times New Roman" w:hAnsi="Times New Roman"/>
          <w:highlight w:val="magenta"/>
        </w:rPr>
      </w:pPr>
    </w:p>
    <w:p w14:paraId="58EF53B5" w14:textId="2A2D1554" w:rsidR="004A3C14" w:rsidRPr="00A14197" w:rsidRDefault="004C0C9B" w:rsidP="00AB713F">
      <w:pPr>
        <w:spacing w:before="120" w:line="271" w:lineRule="auto"/>
        <w:ind w:left="740" w:right="20"/>
        <w:jc w:val="both"/>
        <w:rPr>
          <w:rFonts w:ascii="Verdana" w:eastAsia="Verdana" w:hAnsi="Verdana"/>
          <w:color w:val="404040"/>
        </w:rPr>
      </w:pPr>
      <w:r w:rsidRPr="000F7D8D">
        <w:rPr>
          <w:rFonts w:ascii="Verdana" w:eastAsia="Verdana" w:hAnsi="Verdana"/>
          <w:i/>
          <w:color w:val="404040"/>
        </w:rPr>
        <w:t>Zobacz również</w:t>
      </w:r>
      <w:r w:rsidR="00F832FE" w:rsidRPr="000F7D8D">
        <w:rPr>
          <w:rFonts w:ascii="Verdana" w:eastAsia="Verdana" w:hAnsi="Verdana"/>
          <w:color w:val="404040"/>
        </w:rPr>
        <w:t>:</w:t>
      </w:r>
      <w:r w:rsidR="00F832FE" w:rsidRPr="000F7D8D">
        <w:rPr>
          <w:rFonts w:ascii="Verdana" w:eastAsia="Verdana" w:hAnsi="Verdana"/>
          <w:i/>
          <w:color w:val="404040"/>
        </w:rPr>
        <w:t xml:space="preserve"> </w:t>
      </w:r>
      <w:hyperlink r:id="rId21" w:history="1">
        <w:r w:rsidRPr="000F7D8D">
          <w:rPr>
            <w:rFonts w:ascii="Verdana" w:eastAsia="Verdana" w:hAnsi="Verdana"/>
            <w:b/>
            <w:color w:val="0072BC"/>
            <w:u w:val="single"/>
          </w:rPr>
          <w:t>Bašić przeciwko Chorwacji</w:t>
        </w:r>
        <w:r w:rsidR="00F832FE" w:rsidRPr="000F7D8D">
          <w:rPr>
            <w:rFonts w:ascii="Verdana" w:eastAsia="Verdana" w:hAnsi="Verdana"/>
            <w:color w:val="404040"/>
            <w:u w:val="single"/>
          </w:rPr>
          <w:t xml:space="preserve">, </w:t>
        </w:r>
      </w:hyperlink>
      <w:r w:rsidRPr="00117B60">
        <w:rPr>
          <w:rFonts w:ascii="Verdana" w:eastAsia="Verdana" w:hAnsi="Verdana"/>
          <w:iCs/>
          <w:color w:val="404040"/>
        </w:rPr>
        <w:t>wyrok</w:t>
      </w:r>
      <w:r w:rsidRPr="000F7D8D">
        <w:rPr>
          <w:rFonts w:ascii="Verdana" w:eastAsia="Verdana" w:hAnsi="Verdana"/>
          <w:i/>
          <w:color w:val="404040"/>
        </w:rPr>
        <w:t xml:space="preserve"> </w:t>
      </w:r>
      <w:r w:rsidRPr="000F7D8D">
        <w:rPr>
          <w:rFonts w:ascii="Verdana" w:eastAsia="Verdana" w:hAnsi="Verdana"/>
          <w:color w:val="404040"/>
        </w:rPr>
        <w:t>z dnia 25 października</w:t>
      </w:r>
      <w:r w:rsidR="00F832FE" w:rsidRPr="000F7D8D">
        <w:rPr>
          <w:rFonts w:ascii="Verdana" w:eastAsia="Verdana" w:hAnsi="Verdana"/>
          <w:color w:val="404040"/>
        </w:rPr>
        <w:t xml:space="preserve"> 2016</w:t>
      </w:r>
      <w:r w:rsidRPr="000F7D8D">
        <w:rPr>
          <w:rFonts w:ascii="Verdana" w:eastAsia="Verdana" w:hAnsi="Verdana"/>
          <w:color w:val="404040"/>
        </w:rPr>
        <w:t xml:space="preserve"> r</w:t>
      </w:r>
      <w:r w:rsidR="00117B60">
        <w:rPr>
          <w:rFonts w:ascii="Verdana" w:eastAsia="Verdana" w:hAnsi="Verdana"/>
          <w:color w:val="404040"/>
        </w:rPr>
        <w:t>oku</w:t>
      </w:r>
      <w:r w:rsidRPr="000F7D8D">
        <w:rPr>
          <w:rFonts w:ascii="Verdana" w:eastAsia="Verdana" w:hAnsi="Verdana"/>
          <w:color w:val="404040"/>
        </w:rPr>
        <w:t xml:space="preserve">, </w:t>
      </w:r>
      <w:hyperlink r:id="rId22" w:anchor="{%22itemid%22:[%22003-5674799-7195198%22]}" w:history="1">
        <w:r w:rsidRPr="00500BF2">
          <w:rPr>
            <w:rStyle w:val="Hipercze"/>
            <w:rFonts w:ascii="Verdana" w:eastAsia="Verdana" w:hAnsi="Verdana"/>
            <w:b/>
          </w:rPr>
          <w:t>Matanović przeciwko</w:t>
        </w:r>
        <w:r w:rsidR="00F832FE" w:rsidRPr="00500BF2">
          <w:rPr>
            <w:rStyle w:val="Hipercze"/>
            <w:rFonts w:ascii="Verdana" w:eastAsia="Verdana" w:hAnsi="Verdana"/>
            <w:b/>
          </w:rPr>
          <w:t xml:space="preserve"> C</w:t>
        </w:r>
        <w:r w:rsidRPr="00500BF2">
          <w:rPr>
            <w:rStyle w:val="Hipercze"/>
            <w:rFonts w:ascii="Verdana" w:eastAsia="Verdana" w:hAnsi="Verdana"/>
            <w:b/>
          </w:rPr>
          <w:t>horwacji</w:t>
        </w:r>
      </w:hyperlink>
      <w:r w:rsidR="00F832FE" w:rsidRPr="000F7D8D">
        <w:rPr>
          <w:rFonts w:ascii="Verdana" w:eastAsia="Verdana" w:hAnsi="Verdana"/>
          <w:color w:val="404040"/>
        </w:rPr>
        <w:t>,</w:t>
      </w:r>
      <w:r w:rsidR="00F832FE" w:rsidRPr="000F7D8D">
        <w:rPr>
          <w:rFonts w:ascii="Verdana" w:eastAsia="Verdana" w:hAnsi="Verdana"/>
          <w:i/>
          <w:color w:val="404040"/>
        </w:rPr>
        <w:t xml:space="preserve"> </w:t>
      </w:r>
      <w:r w:rsidRPr="000F7D8D">
        <w:rPr>
          <w:rFonts w:ascii="Verdana" w:eastAsia="Verdana" w:hAnsi="Verdana"/>
          <w:color w:val="404040"/>
        </w:rPr>
        <w:t xml:space="preserve">wyrok z dnia 4 kwietnia </w:t>
      </w:r>
      <w:r w:rsidR="00F832FE" w:rsidRPr="000F7D8D">
        <w:rPr>
          <w:rFonts w:ascii="Verdana" w:eastAsia="Verdana" w:hAnsi="Verdana"/>
          <w:color w:val="404040"/>
        </w:rPr>
        <w:t>2017</w:t>
      </w:r>
      <w:r w:rsidRPr="000F7D8D">
        <w:rPr>
          <w:rFonts w:ascii="Verdana" w:eastAsia="Verdana" w:hAnsi="Verdana"/>
          <w:color w:val="404040"/>
        </w:rPr>
        <w:t xml:space="preserve"> r</w:t>
      </w:r>
      <w:r w:rsidR="00117B60">
        <w:rPr>
          <w:rFonts w:ascii="Verdana" w:eastAsia="Verdana" w:hAnsi="Verdana"/>
          <w:color w:val="404040"/>
        </w:rPr>
        <w:t>oku</w:t>
      </w:r>
      <w:r w:rsidR="00F832FE" w:rsidRPr="000F7D8D">
        <w:rPr>
          <w:rFonts w:ascii="Verdana" w:eastAsia="Verdana" w:hAnsi="Verdana"/>
          <w:color w:val="404040"/>
        </w:rPr>
        <w:t>.</w:t>
      </w:r>
    </w:p>
    <w:p w14:paraId="706B241D" w14:textId="6DBADDBB" w:rsidR="004A3C14" w:rsidRPr="00500BF2" w:rsidRDefault="00500BF2" w:rsidP="00AB713F">
      <w:pPr>
        <w:spacing w:before="120" w:line="0" w:lineRule="atLeast"/>
        <w:ind w:left="740"/>
        <w:rPr>
          <w:rStyle w:val="Hipercze"/>
          <w:rFonts w:ascii="Verdana" w:eastAsia="Verdana" w:hAnsi="Verdana"/>
          <w:b/>
        </w:rPr>
      </w:pPr>
      <w:r>
        <w:rPr>
          <w:rFonts w:ascii="Verdana" w:eastAsia="Verdana" w:hAnsi="Verdana"/>
          <w:b/>
        </w:rPr>
        <w:fldChar w:fldCharType="begin"/>
      </w:r>
      <w:r>
        <w:rPr>
          <w:rFonts w:ascii="Verdana" w:eastAsia="Verdana" w:hAnsi="Verdana"/>
          <w:b/>
        </w:rPr>
        <w:instrText>HYPERLINK "https://hudoc.echr.coe.int/eng-press" \l "{%22itemid%22:[%22003-5209726-6454540%22]}"</w:instrText>
      </w:r>
      <w:r>
        <w:rPr>
          <w:rFonts w:ascii="Verdana" w:eastAsia="Verdana" w:hAnsi="Verdana"/>
          <w:b/>
        </w:rPr>
      </w:r>
      <w:r>
        <w:rPr>
          <w:rFonts w:ascii="Verdana" w:eastAsia="Verdana" w:hAnsi="Verdana"/>
          <w:b/>
        </w:rPr>
        <w:fldChar w:fldCharType="separate"/>
      </w:r>
      <w:r w:rsidR="004A3C14" w:rsidRPr="00500BF2">
        <w:rPr>
          <w:rStyle w:val="Hipercze"/>
          <w:rFonts w:ascii="Verdana" w:eastAsia="Verdana" w:hAnsi="Verdana"/>
          <w:b/>
        </w:rPr>
        <w:t>R.E. przeciwko Zjednoczonemu Królestwu</w:t>
      </w:r>
    </w:p>
    <w:p w14:paraId="595552D0" w14:textId="705ADD58" w:rsidR="004A3C14" w:rsidRPr="005E0F6A" w:rsidRDefault="00500BF2" w:rsidP="00AB713F">
      <w:pPr>
        <w:spacing w:line="271" w:lineRule="auto"/>
        <w:ind w:left="740" w:right="20"/>
        <w:jc w:val="both"/>
        <w:rPr>
          <w:rFonts w:ascii="Verdana" w:eastAsia="Verdana" w:hAnsi="Verdana"/>
          <w:color w:val="767171"/>
          <w:sz w:val="18"/>
        </w:rPr>
      </w:pPr>
      <w:r>
        <w:rPr>
          <w:rFonts w:ascii="Verdana" w:eastAsia="Verdana" w:hAnsi="Verdana"/>
          <w:b/>
        </w:rPr>
        <w:fldChar w:fldCharType="end"/>
      </w:r>
      <w:r w:rsidR="004A3C14" w:rsidRPr="00F8489F">
        <w:rPr>
          <w:rFonts w:ascii="Verdana" w:eastAsia="Verdana" w:hAnsi="Verdana"/>
          <w:color w:val="767171"/>
          <w:sz w:val="18"/>
        </w:rPr>
        <w:t>27 października 2015 r</w:t>
      </w:r>
      <w:r w:rsidR="004A3C14" w:rsidRPr="005E0F6A">
        <w:rPr>
          <w:rFonts w:ascii="Verdana" w:eastAsia="Verdana" w:hAnsi="Verdana"/>
          <w:color w:val="767171"/>
          <w:sz w:val="18"/>
        </w:rPr>
        <w:t>oku</w:t>
      </w:r>
    </w:p>
    <w:p w14:paraId="3956CD28" w14:textId="77777777" w:rsidR="000F7D8D" w:rsidRPr="00F8489F" w:rsidRDefault="000F7D8D" w:rsidP="00AB713F">
      <w:pPr>
        <w:spacing w:line="271" w:lineRule="auto"/>
        <w:ind w:left="740" w:right="20"/>
        <w:jc w:val="both"/>
        <w:rPr>
          <w:rFonts w:ascii="Verdana" w:eastAsia="Verdana" w:hAnsi="Verdana"/>
          <w:highlight w:val="magenta"/>
        </w:rPr>
      </w:pPr>
      <w:r w:rsidRPr="00F8489F">
        <w:rPr>
          <w:rFonts w:ascii="Verdana" w:eastAsia="Verdana" w:hAnsi="Verdana"/>
        </w:rPr>
        <w:t>Skarżący, który został trzykrotnie zatrzymany</w:t>
      </w:r>
      <w:r w:rsidR="00D93331">
        <w:rPr>
          <w:rFonts w:ascii="Verdana" w:eastAsia="Verdana" w:hAnsi="Verdana"/>
        </w:rPr>
        <w:t xml:space="preserve"> i</w:t>
      </w:r>
      <w:r w:rsidRPr="00F8489F">
        <w:rPr>
          <w:rFonts w:ascii="Verdana" w:eastAsia="Verdana" w:hAnsi="Verdana"/>
        </w:rPr>
        <w:t xml:space="preserve"> </w:t>
      </w:r>
      <w:r w:rsidR="00D93331" w:rsidRPr="00F8489F">
        <w:rPr>
          <w:rFonts w:ascii="Verdana" w:eastAsia="Verdana" w:hAnsi="Verdana"/>
        </w:rPr>
        <w:t xml:space="preserve">aresztowany </w:t>
      </w:r>
      <w:r w:rsidRPr="00F8489F">
        <w:rPr>
          <w:rFonts w:ascii="Verdana" w:eastAsia="Verdana" w:hAnsi="Verdana"/>
        </w:rPr>
        <w:t xml:space="preserve">w Irlandii Północnej w związku z zabójstwem policjanta, skarżył się w szczególności na </w:t>
      </w:r>
      <w:r w:rsidR="00724A45" w:rsidRPr="00F8489F">
        <w:rPr>
          <w:rFonts w:ascii="Verdana" w:eastAsia="Verdana" w:hAnsi="Verdana"/>
        </w:rPr>
        <w:t>tajn</w:t>
      </w:r>
      <w:r w:rsidR="00D93331">
        <w:rPr>
          <w:rFonts w:ascii="Verdana" w:eastAsia="Verdana" w:hAnsi="Verdana"/>
        </w:rPr>
        <w:t xml:space="preserve">ą obserwację </w:t>
      </w:r>
      <w:r w:rsidR="00632431">
        <w:rPr>
          <w:rFonts w:ascii="Verdana" w:eastAsia="Verdana" w:hAnsi="Verdana"/>
        </w:rPr>
        <w:t xml:space="preserve">spotkań </w:t>
      </w:r>
      <w:r w:rsidRPr="00F8489F">
        <w:rPr>
          <w:rFonts w:ascii="Verdana" w:eastAsia="Verdana" w:hAnsi="Verdana"/>
        </w:rPr>
        <w:lastRenderedPageBreak/>
        <w:t xml:space="preserve">między zatrzymanymi a ich prawnikami oraz między zatrzymanymi </w:t>
      </w:r>
      <w:r w:rsidR="006F73B8">
        <w:rPr>
          <w:rFonts w:ascii="Verdana" w:eastAsia="Verdana" w:hAnsi="Verdana"/>
        </w:rPr>
        <w:t xml:space="preserve">poddanymi </w:t>
      </w:r>
      <w:r w:rsidRPr="00F8489F">
        <w:rPr>
          <w:rFonts w:ascii="Verdana" w:eastAsia="Verdana" w:hAnsi="Verdana"/>
        </w:rPr>
        <w:t>szczególn</w:t>
      </w:r>
      <w:r w:rsidR="006F73B8">
        <w:rPr>
          <w:rFonts w:ascii="Verdana" w:eastAsia="Verdana" w:hAnsi="Verdana"/>
        </w:rPr>
        <w:t>ej ochronie</w:t>
      </w:r>
      <w:r w:rsidRPr="005003E7">
        <w:rPr>
          <w:rStyle w:val="Odwoanieprzypisudolnego"/>
          <w:rFonts w:ascii="Verdana" w:eastAsia="Verdana" w:hAnsi="Verdana"/>
        </w:rPr>
        <w:footnoteReference w:id="3"/>
      </w:r>
      <w:r w:rsidRPr="00F8489F">
        <w:rPr>
          <w:rFonts w:ascii="Verdana" w:eastAsia="Verdana" w:hAnsi="Verdana"/>
        </w:rPr>
        <w:t xml:space="preserve"> i </w:t>
      </w:r>
      <w:r w:rsidR="00151E02" w:rsidRPr="00F8489F">
        <w:rPr>
          <w:rFonts w:ascii="Verdana" w:eastAsia="Verdana" w:hAnsi="Verdana"/>
        </w:rPr>
        <w:t>ich opiekunami</w:t>
      </w:r>
      <w:r w:rsidRPr="005003E7">
        <w:rPr>
          <w:rStyle w:val="Odwoanieprzypisudolnego"/>
          <w:rFonts w:ascii="Verdana" w:eastAsia="Verdana" w:hAnsi="Verdana"/>
        </w:rPr>
        <w:footnoteReference w:id="4"/>
      </w:r>
      <w:r w:rsidR="00D93331">
        <w:rPr>
          <w:rFonts w:ascii="Verdana" w:eastAsia="Verdana" w:hAnsi="Verdana"/>
        </w:rPr>
        <w:t xml:space="preserve"> („</w:t>
      </w:r>
      <w:proofErr w:type="spellStart"/>
      <w:r w:rsidR="00D93331" w:rsidRPr="00104353">
        <w:rPr>
          <w:rFonts w:ascii="Verdana" w:eastAsia="Verdana" w:hAnsi="Verdana"/>
          <w:i/>
        </w:rPr>
        <w:t>appropriate</w:t>
      </w:r>
      <w:proofErr w:type="spellEnd"/>
      <w:r w:rsidR="00D93331" w:rsidRPr="00104353">
        <w:rPr>
          <w:rFonts w:ascii="Verdana" w:eastAsia="Verdana" w:hAnsi="Verdana"/>
          <w:i/>
        </w:rPr>
        <w:t xml:space="preserve"> </w:t>
      </w:r>
      <w:proofErr w:type="spellStart"/>
      <w:r w:rsidR="00D93331" w:rsidRPr="00104353">
        <w:rPr>
          <w:rFonts w:ascii="Verdana" w:eastAsia="Verdana" w:hAnsi="Verdana"/>
          <w:i/>
        </w:rPr>
        <w:t>adults</w:t>
      </w:r>
      <w:proofErr w:type="spellEnd"/>
      <w:r w:rsidR="00D93331">
        <w:rPr>
          <w:rFonts w:ascii="Verdana" w:eastAsia="Verdana" w:hAnsi="Verdana"/>
        </w:rPr>
        <w:t>”)</w:t>
      </w:r>
      <w:r w:rsidRPr="00F8489F">
        <w:rPr>
          <w:rFonts w:ascii="Verdana" w:eastAsia="Verdana" w:hAnsi="Verdana"/>
        </w:rPr>
        <w:t>.</w:t>
      </w:r>
    </w:p>
    <w:p w14:paraId="520937F8" w14:textId="77777777" w:rsidR="000F7D8D" w:rsidRDefault="000F7D8D" w:rsidP="00AB713F">
      <w:pPr>
        <w:spacing w:line="271" w:lineRule="auto"/>
        <w:ind w:left="740" w:right="20"/>
        <w:jc w:val="both"/>
        <w:rPr>
          <w:rFonts w:ascii="Verdana" w:eastAsia="Verdana" w:hAnsi="Verdana"/>
          <w:color w:val="0070C0"/>
          <w:highlight w:val="magenta"/>
        </w:rPr>
      </w:pPr>
      <w:r w:rsidRPr="00F8489F">
        <w:rPr>
          <w:rFonts w:ascii="Verdana" w:eastAsia="Verdana" w:hAnsi="Verdana"/>
          <w:color w:val="0070C0"/>
        </w:rPr>
        <w:t xml:space="preserve">Sprawa ta została rozpatrzona z punktu widzenia zasad opracowanych przez Trybunał w dziedzinie przechwytywania rozmów telefonicznych między prawnikiem a klientem, które wymagają rygorystycznych zabezpieczeń. Trybunał stwierdził, że zasady te powinny być stosowane do </w:t>
      </w:r>
      <w:r w:rsidR="005A4523">
        <w:rPr>
          <w:rFonts w:ascii="Verdana" w:eastAsia="Verdana" w:hAnsi="Verdana"/>
          <w:color w:val="0070C0"/>
        </w:rPr>
        <w:t>tajnej</w:t>
      </w:r>
      <w:r w:rsidRPr="00F8489F">
        <w:rPr>
          <w:rFonts w:ascii="Verdana" w:eastAsia="Verdana" w:hAnsi="Verdana"/>
          <w:color w:val="0070C0"/>
        </w:rPr>
        <w:t xml:space="preserve"> </w:t>
      </w:r>
      <w:r w:rsidR="005A4523">
        <w:rPr>
          <w:rFonts w:ascii="Verdana" w:eastAsia="Verdana" w:hAnsi="Verdana"/>
          <w:color w:val="0070C0"/>
        </w:rPr>
        <w:t>obserwacji</w:t>
      </w:r>
      <w:r w:rsidRPr="00F8489F">
        <w:rPr>
          <w:rFonts w:ascii="Verdana" w:eastAsia="Verdana" w:hAnsi="Verdana"/>
          <w:color w:val="0070C0"/>
        </w:rPr>
        <w:t xml:space="preserve"> konsultacji </w:t>
      </w:r>
      <w:r w:rsidR="003469F5" w:rsidRPr="00F8489F">
        <w:rPr>
          <w:rFonts w:ascii="Verdana" w:eastAsia="Verdana" w:hAnsi="Verdana"/>
          <w:color w:val="0070C0"/>
        </w:rPr>
        <w:t xml:space="preserve">między </w:t>
      </w:r>
      <w:r w:rsidRPr="00F8489F">
        <w:rPr>
          <w:rFonts w:ascii="Verdana" w:eastAsia="Verdana" w:hAnsi="Verdana"/>
          <w:color w:val="0070C0"/>
        </w:rPr>
        <w:t>prawnik</w:t>
      </w:r>
      <w:r w:rsidR="003469F5" w:rsidRPr="00F8489F">
        <w:rPr>
          <w:rFonts w:ascii="Verdana" w:eastAsia="Verdana" w:hAnsi="Verdana"/>
          <w:color w:val="0070C0"/>
        </w:rPr>
        <w:t xml:space="preserve">iem a </w:t>
      </w:r>
      <w:r w:rsidRPr="00F8489F">
        <w:rPr>
          <w:rFonts w:ascii="Verdana" w:eastAsia="Verdana" w:hAnsi="Verdana"/>
          <w:color w:val="0070C0"/>
        </w:rPr>
        <w:t>klient</w:t>
      </w:r>
      <w:r w:rsidR="003469F5" w:rsidRPr="00F8489F">
        <w:rPr>
          <w:rFonts w:ascii="Verdana" w:eastAsia="Verdana" w:hAnsi="Verdana"/>
          <w:color w:val="0070C0"/>
        </w:rPr>
        <w:t>em</w:t>
      </w:r>
      <w:r w:rsidRPr="00F8489F">
        <w:rPr>
          <w:rFonts w:ascii="Verdana" w:eastAsia="Verdana" w:hAnsi="Verdana"/>
          <w:color w:val="0070C0"/>
        </w:rPr>
        <w:t xml:space="preserve"> na posterunku policji. W niniejszej sprawie Trybunał orzekł, że </w:t>
      </w:r>
      <w:r w:rsidRPr="00754015">
        <w:rPr>
          <w:rFonts w:ascii="Verdana" w:eastAsia="Verdana" w:hAnsi="Verdana"/>
          <w:b/>
          <w:bCs/>
          <w:color w:val="0070C0"/>
        </w:rPr>
        <w:t>doszło do</w:t>
      </w:r>
      <w:r w:rsidRPr="00F8489F">
        <w:rPr>
          <w:rFonts w:ascii="Verdana" w:eastAsia="Verdana" w:hAnsi="Verdana"/>
          <w:color w:val="0070C0"/>
        </w:rPr>
        <w:t xml:space="preserve"> </w:t>
      </w:r>
      <w:r w:rsidRPr="00F8489F">
        <w:rPr>
          <w:rFonts w:ascii="Verdana" w:eastAsia="Verdana" w:hAnsi="Verdana"/>
          <w:b/>
          <w:color w:val="0070C0"/>
        </w:rPr>
        <w:t xml:space="preserve">naruszenia </w:t>
      </w:r>
      <w:r w:rsidR="008C5273">
        <w:rPr>
          <w:rFonts w:ascii="Verdana" w:eastAsia="Verdana" w:hAnsi="Verdana"/>
          <w:b/>
          <w:color w:val="0070C0"/>
        </w:rPr>
        <w:t>art.</w:t>
      </w:r>
      <w:r w:rsidRPr="00F8489F">
        <w:rPr>
          <w:rFonts w:ascii="Verdana" w:eastAsia="Verdana" w:hAnsi="Verdana"/>
          <w:b/>
          <w:color w:val="0070C0"/>
        </w:rPr>
        <w:t xml:space="preserve"> 8</w:t>
      </w:r>
      <w:r w:rsidRPr="00F8489F">
        <w:rPr>
          <w:rFonts w:ascii="Verdana" w:eastAsia="Verdana" w:hAnsi="Verdana"/>
          <w:color w:val="0070C0"/>
        </w:rPr>
        <w:t xml:space="preserve"> </w:t>
      </w:r>
      <w:r w:rsidR="003C171D" w:rsidRPr="00F8489F">
        <w:rPr>
          <w:rFonts w:ascii="Verdana" w:eastAsia="Verdana" w:hAnsi="Verdana"/>
          <w:color w:val="0070C0"/>
        </w:rPr>
        <w:t>K</w:t>
      </w:r>
      <w:r w:rsidRPr="00F8489F">
        <w:rPr>
          <w:rFonts w:ascii="Verdana" w:eastAsia="Verdana" w:hAnsi="Verdana"/>
          <w:color w:val="0070C0"/>
        </w:rPr>
        <w:t xml:space="preserve">onwencji w odniesieniu do </w:t>
      </w:r>
      <w:r w:rsidR="005A4523">
        <w:rPr>
          <w:rFonts w:ascii="Verdana" w:eastAsia="Verdana" w:hAnsi="Verdana"/>
          <w:color w:val="0070C0"/>
        </w:rPr>
        <w:t>tajnej</w:t>
      </w:r>
      <w:r w:rsidRPr="00F8489F">
        <w:rPr>
          <w:rFonts w:ascii="Verdana" w:eastAsia="Verdana" w:hAnsi="Verdana"/>
          <w:color w:val="0070C0"/>
        </w:rPr>
        <w:t xml:space="preserve"> </w:t>
      </w:r>
      <w:r w:rsidR="005A4523">
        <w:rPr>
          <w:rFonts w:ascii="Verdana" w:eastAsia="Verdana" w:hAnsi="Verdana"/>
          <w:color w:val="0070C0"/>
        </w:rPr>
        <w:t>obserwacji</w:t>
      </w:r>
      <w:r w:rsidRPr="00F8489F">
        <w:rPr>
          <w:rFonts w:ascii="Verdana" w:eastAsia="Verdana" w:hAnsi="Verdana"/>
          <w:color w:val="0070C0"/>
        </w:rPr>
        <w:t xml:space="preserve"> konsultacji prawnych. Trybunał zauważył w szczególności, że od dnia 22 czerwca 2010 r</w:t>
      </w:r>
      <w:r w:rsidR="005A4523">
        <w:rPr>
          <w:rFonts w:ascii="Verdana" w:eastAsia="Verdana" w:hAnsi="Verdana"/>
          <w:color w:val="0070C0"/>
        </w:rPr>
        <w:t>oku</w:t>
      </w:r>
      <w:r w:rsidRPr="00F8489F">
        <w:rPr>
          <w:rFonts w:ascii="Verdana" w:eastAsia="Verdana" w:hAnsi="Verdana"/>
          <w:color w:val="0070C0"/>
        </w:rPr>
        <w:t xml:space="preserve"> wdrożono wytyczne dotyczące bezpiecznego obchodzenia się z materiałami uzyskanymi w wyniku taki</w:t>
      </w:r>
      <w:r w:rsidR="00CC1B08">
        <w:rPr>
          <w:rFonts w:ascii="Verdana" w:eastAsia="Verdana" w:hAnsi="Verdana"/>
          <w:color w:val="0070C0"/>
        </w:rPr>
        <w:t>ch</w:t>
      </w:r>
      <w:r w:rsidRPr="00F8489F">
        <w:rPr>
          <w:rFonts w:ascii="Verdana" w:eastAsia="Verdana" w:hAnsi="Verdana"/>
          <w:color w:val="0070C0"/>
        </w:rPr>
        <w:t xml:space="preserve"> </w:t>
      </w:r>
      <w:r w:rsidR="00CC1B08">
        <w:rPr>
          <w:rFonts w:ascii="Verdana" w:eastAsia="Verdana" w:hAnsi="Verdana"/>
          <w:color w:val="0070C0"/>
        </w:rPr>
        <w:t>tajnych</w:t>
      </w:r>
      <w:r w:rsidRPr="00F8489F">
        <w:rPr>
          <w:rFonts w:ascii="Verdana" w:eastAsia="Verdana" w:hAnsi="Verdana"/>
          <w:color w:val="0070C0"/>
        </w:rPr>
        <w:t xml:space="preserve"> </w:t>
      </w:r>
      <w:r w:rsidR="00CC1B08">
        <w:rPr>
          <w:rFonts w:ascii="Verdana" w:eastAsia="Verdana" w:hAnsi="Verdana"/>
          <w:color w:val="0070C0"/>
        </w:rPr>
        <w:t>obserwacji</w:t>
      </w:r>
      <w:r w:rsidRPr="00F8489F">
        <w:rPr>
          <w:rFonts w:ascii="Verdana" w:eastAsia="Verdana" w:hAnsi="Verdana"/>
          <w:color w:val="0070C0"/>
        </w:rPr>
        <w:t xml:space="preserve">, ich przechowywania i niszczenia. Jednakże w momencie zatrzymania </w:t>
      </w:r>
      <w:r w:rsidR="005A4523">
        <w:rPr>
          <w:rFonts w:ascii="Verdana" w:eastAsia="Verdana" w:hAnsi="Verdana"/>
          <w:color w:val="0070C0"/>
        </w:rPr>
        <w:t>skarżącego</w:t>
      </w:r>
      <w:r w:rsidRPr="00F8489F">
        <w:rPr>
          <w:rFonts w:ascii="Verdana" w:eastAsia="Verdana" w:hAnsi="Verdana"/>
          <w:color w:val="0070C0"/>
        </w:rPr>
        <w:t xml:space="preserve"> w maju 2010 r</w:t>
      </w:r>
      <w:r w:rsidR="005A4523">
        <w:rPr>
          <w:rFonts w:ascii="Verdana" w:eastAsia="Verdana" w:hAnsi="Verdana"/>
          <w:color w:val="0070C0"/>
        </w:rPr>
        <w:t>oku</w:t>
      </w:r>
      <w:r w:rsidRPr="00F8489F">
        <w:rPr>
          <w:rFonts w:ascii="Verdana" w:eastAsia="Verdana" w:hAnsi="Verdana"/>
          <w:color w:val="0070C0"/>
        </w:rPr>
        <w:t xml:space="preserve"> wytyczne te nie weszły jeszcze w życie. </w:t>
      </w:r>
      <w:r w:rsidR="00C45565" w:rsidRPr="00F8489F">
        <w:rPr>
          <w:rFonts w:ascii="Verdana" w:eastAsia="Verdana" w:hAnsi="Verdana"/>
          <w:color w:val="0070C0"/>
        </w:rPr>
        <w:t>Trybunał</w:t>
      </w:r>
      <w:r w:rsidRPr="00F8489F">
        <w:rPr>
          <w:rFonts w:ascii="Verdana" w:eastAsia="Verdana" w:hAnsi="Verdana"/>
          <w:color w:val="0070C0"/>
        </w:rPr>
        <w:t xml:space="preserve"> nie </w:t>
      </w:r>
      <w:r w:rsidR="005A4523">
        <w:rPr>
          <w:rFonts w:ascii="Verdana" w:eastAsia="Verdana" w:hAnsi="Verdana"/>
          <w:color w:val="0070C0"/>
        </w:rPr>
        <w:t>uznał zatem za wykazane</w:t>
      </w:r>
      <w:r w:rsidRPr="00F8489F">
        <w:rPr>
          <w:rFonts w:ascii="Verdana" w:eastAsia="Verdana" w:hAnsi="Verdana"/>
          <w:color w:val="0070C0"/>
        </w:rPr>
        <w:t xml:space="preserve">, że obowiązujące wówczas odpowiednie przepisy prawa krajowego zapewniały wystarczające gwarancje ochrony konsultacji skarżącego z jego prawnikiem, uzyskanych w drodze </w:t>
      </w:r>
      <w:r w:rsidR="00165F6E">
        <w:rPr>
          <w:rFonts w:ascii="Verdana" w:eastAsia="Verdana" w:hAnsi="Verdana"/>
          <w:color w:val="0070C0"/>
        </w:rPr>
        <w:t>tajnych obserwacji</w:t>
      </w:r>
      <w:r w:rsidRPr="00F8489F">
        <w:rPr>
          <w:rFonts w:ascii="Verdana" w:eastAsia="Verdana" w:hAnsi="Verdana"/>
          <w:color w:val="0070C0"/>
        </w:rPr>
        <w:t xml:space="preserve">. </w:t>
      </w:r>
      <w:r w:rsidR="00C45565" w:rsidRPr="00F8489F">
        <w:rPr>
          <w:rFonts w:ascii="Verdana" w:eastAsia="Verdana" w:hAnsi="Verdana"/>
          <w:color w:val="0070C0"/>
        </w:rPr>
        <w:t>Trybunał</w:t>
      </w:r>
      <w:r w:rsidRPr="00F8489F">
        <w:rPr>
          <w:rFonts w:ascii="Verdana" w:eastAsia="Verdana" w:hAnsi="Verdana"/>
          <w:color w:val="0070C0"/>
        </w:rPr>
        <w:t xml:space="preserve"> orzekł ponadto, że </w:t>
      </w:r>
      <w:r w:rsidRPr="00F8489F">
        <w:rPr>
          <w:rFonts w:ascii="Verdana" w:eastAsia="Verdana" w:hAnsi="Verdana"/>
          <w:b/>
          <w:color w:val="0070C0"/>
        </w:rPr>
        <w:t xml:space="preserve">nie doszło do naruszenia </w:t>
      </w:r>
      <w:r w:rsidR="008C5273">
        <w:rPr>
          <w:rFonts w:ascii="Verdana" w:eastAsia="Verdana" w:hAnsi="Verdana"/>
          <w:b/>
          <w:color w:val="0070C0"/>
        </w:rPr>
        <w:t>art.</w:t>
      </w:r>
      <w:r w:rsidRPr="00F8489F">
        <w:rPr>
          <w:rFonts w:ascii="Verdana" w:eastAsia="Verdana" w:hAnsi="Verdana"/>
          <w:b/>
          <w:color w:val="0070C0"/>
        </w:rPr>
        <w:t xml:space="preserve"> 8</w:t>
      </w:r>
      <w:r w:rsidRPr="00F8489F">
        <w:rPr>
          <w:rFonts w:ascii="Verdana" w:eastAsia="Verdana" w:hAnsi="Verdana"/>
          <w:color w:val="0070C0"/>
        </w:rPr>
        <w:t xml:space="preserve"> w odniesieniu do </w:t>
      </w:r>
      <w:r w:rsidR="00CC1B08">
        <w:rPr>
          <w:rFonts w:ascii="Verdana" w:eastAsia="Verdana" w:hAnsi="Verdana"/>
          <w:color w:val="0070C0"/>
        </w:rPr>
        <w:t>tajnej</w:t>
      </w:r>
      <w:r w:rsidRPr="00F8489F">
        <w:rPr>
          <w:rFonts w:ascii="Verdana" w:eastAsia="Verdana" w:hAnsi="Verdana"/>
          <w:color w:val="0070C0"/>
        </w:rPr>
        <w:t xml:space="preserve"> </w:t>
      </w:r>
      <w:r w:rsidR="00CC1B08">
        <w:rPr>
          <w:rFonts w:ascii="Verdana" w:eastAsia="Verdana" w:hAnsi="Verdana"/>
          <w:color w:val="0070C0"/>
        </w:rPr>
        <w:t>obserwacji</w:t>
      </w:r>
      <w:r w:rsidRPr="00F8489F">
        <w:rPr>
          <w:rFonts w:ascii="Verdana" w:eastAsia="Verdana" w:hAnsi="Verdana"/>
          <w:color w:val="0070C0"/>
        </w:rPr>
        <w:t xml:space="preserve"> konsultacji między zatrzymanymi i ich </w:t>
      </w:r>
      <w:r w:rsidR="000C02CB" w:rsidRPr="00F8489F">
        <w:rPr>
          <w:rFonts w:ascii="Verdana" w:eastAsia="Verdana" w:hAnsi="Verdana"/>
          <w:color w:val="0070C0"/>
        </w:rPr>
        <w:t>opiekunami</w:t>
      </w:r>
      <w:r w:rsidRPr="00F8489F">
        <w:rPr>
          <w:rFonts w:ascii="Verdana" w:eastAsia="Verdana" w:hAnsi="Verdana"/>
          <w:color w:val="0070C0"/>
        </w:rPr>
        <w:t xml:space="preserve">, stwierdzając w szczególności, że nie są oni objęci tajemnicą </w:t>
      </w:r>
      <w:r w:rsidR="000C02CB" w:rsidRPr="00F8489F">
        <w:rPr>
          <w:rFonts w:ascii="Verdana" w:eastAsia="Verdana" w:hAnsi="Verdana"/>
          <w:color w:val="0070C0"/>
        </w:rPr>
        <w:t>adwokacką</w:t>
      </w:r>
      <w:r w:rsidRPr="00F8489F">
        <w:rPr>
          <w:rFonts w:ascii="Verdana" w:eastAsia="Verdana" w:hAnsi="Verdana"/>
          <w:color w:val="0070C0"/>
        </w:rPr>
        <w:t xml:space="preserve">, a zatem zatrzymany nie miałby takich samych oczekiwań co </w:t>
      </w:r>
      <w:r w:rsidR="000C02CB" w:rsidRPr="00F8489F">
        <w:rPr>
          <w:rFonts w:ascii="Verdana" w:eastAsia="Verdana" w:hAnsi="Verdana"/>
          <w:color w:val="0070C0"/>
        </w:rPr>
        <w:t xml:space="preserve">do zachowania prywatności jak </w:t>
      </w:r>
      <w:r w:rsidRPr="00F8489F">
        <w:rPr>
          <w:rFonts w:ascii="Verdana" w:eastAsia="Verdana" w:hAnsi="Verdana"/>
          <w:color w:val="0070C0"/>
        </w:rPr>
        <w:t>w przypadku konsultacji prawnych. Ponadto Trybunał wyraził zadowolenie, że odpowiednim przepisom krajowym, o ile dotyczyły one ewentualn</w:t>
      </w:r>
      <w:r w:rsidR="00A2410A">
        <w:rPr>
          <w:rFonts w:ascii="Verdana" w:eastAsia="Verdana" w:hAnsi="Verdana"/>
          <w:color w:val="0070C0"/>
        </w:rPr>
        <w:t>ych</w:t>
      </w:r>
      <w:r w:rsidRPr="00F8489F">
        <w:rPr>
          <w:rFonts w:ascii="Verdana" w:eastAsia="Verdana" w:hAnsi="Verdana"/>
          <w:color w:val="0070C0"/>
        </w:rPr>
        <w:t xml:space="preserve"> </w:t>
      </w:r>
      <w:r w:rsidR="00CC1B08">
        <w:rPr>
          <w:rFonts w:ascii="Verdana" w:eastAsia="Verdana" w:hAnsi="Verdana"/>
          <w:color w:val="0070C0"/>
        </w:rPr>
        <w:t>obserwacji</w:t>
      </w:r>
      <w:r w:rsidRPr="00F8489F">
        <w:rPr>
          <w:rFonts w:ascii="Verdana" w:eastAsia="Verdana" w:hAnsi="Verdana"/>
          <w:color w:val="0070C0"/>
        </w:rPr>
        <w:t xml:space="preserve"> konsultacji pomiędzy zatrzymanymi i </w:t>
      </w:r>
      <w:r w:rsidR="00042FCF" w:rsidRPr="00F8489F">
        <w:rPr>
          <w:rFonts w:ascii="Verdana" w:eastAsia="Verdana" w:hAnsi="Verdana"/>
          <w:color w:val="0070C0"/>
        </w:rPr>
        <w:t>ich opiekunami,</w:t>
      </w:r>
      <w:r w:rsidRPr="00F8489F">
        <w:rPr>
          <w:rFonts w:ascii="Verdana" w:eastAsia="Verdana" w:hAnsi="Verdana"/>
          <w:color w:val="0070C0"/>
        </w:rPr>
        <w:t xml:space="preserve"> towarzyszyły odpowiednie zabezpieczenia przed nadużyciami.</w:t>
      </w:r>
      <w:r w:rsidR="000C02CB">
        <w:rPr>
          <w:rFonts w:ascii="Verdana" w:eastAsia="Verdana" w:hAnsi="Verdana"/>
          <w:color w:val="0070C0"/>
          <w:sz w:val="18"/>
        </w:rPr>
        <w:t xml:space="preserve"> </w:t>
      </w:r>
    </w:p>
    <w:p w14:paraId="46B50706" w14:textId="0EAD081E" w:rsidR="000F7D8D" w:rsidRPr="00A14197" w:rsidRDefault="000F7D8D" w:rsidP="00AB713F">
      <w:pPr>
        <w:spacing w:before="120" w:line="0" w:lineRule="atLeast"/>
        <w:ind w:left="740"/>
        <w:rPr>
          <w:rStyle w:val="Hipercze"/>
          <w:color w:val="0072BC"/>
        </w:rPr>
      </w:pPr>
      <w:hyperlink r:id="rId23" w:anchor="{%22itemid%22:[%22003-5246347-6510358%22]}" w:history="1">
        <w:r w:rsidRPr="00A14197">
          <w:rPr>
            <w:rStyle w:val="Hipercze"/>
            <w:rFonts w:ascii="Verdana" w:eastAsia="Verdana" w:hAnsi="Verdana"/>
            <w:b/>
            <w:color w:val="0072BC"/>
          </w:rPr>
          <w:t>Roman Zakharov przeciwko Rosji</w:t>
        </w:r>
      </w:hyperlink>
      <w:r w:rsidR="00754015">
        <w:rPr>
          <w:rStyle w:val="Odwoanieprzypisudolnego"/>
          <w:rFonts w:ascii="Verdana" w:eastAsia="Verdana" w:hAnsi="Verdana"/>
          <w:b/>
          <w:color w:val="0072BC"/>
          <w:u w:val="single"/>
        </w:rPr>
        <w:footnoteReference w:id="5"/>
      </w:r>
    </w:p>
    <w:p w14:paraId="29DB5A88" w14:textId="77777777" w:rsidR="000F7D8D" w:rsidRDefault="005611CB" w:rsidP="00AB713F">
      <w:pPr>
        <w:spacing w:line="271" w:lineRule="auto"/>
        <w:ind w:left="740" w:right="20"/>
        <w:jc w:val="both"/>
        <w:rPr>
          <w:rFonts w:ascii="Verdana" w:eastAsia="Verdana" w:hAnsi="Verdana"/>
          <w:color w:val="767171"/>
          <w:sz w:val="18"/>
        </w:rPr>
      </w:pPr>
      <w:r>
        <w:rPr>
          <w:rFonts w:ascii="Verdana" w:eastAsia="Verdana" w:hAnsi="Verdana"/>
          <w:color w:val="767171"/>
          <w:sz w:val="18"/>
        </w:rPr>
        <w:t>4 grudnia</w:t>
      </w:r>
      <w:r w:rsidR="000F7D8D" w:rsidRPr="000F7D8D">
        <w:rPr>
          <w:rFonts w:ascii="Verdana" w:eastAsia="Verdana" w:hAnsi="Verdana"/>
          <w:color w:val="767171"/>
          <w:sz w:val="18"/>
        </w:rPr>
        <w:t xml:space="preserve"> 2015 roku</w:t>
      </w:r>
      <w:r>
        <w:rPr>
          <w:rFonts w:ascii="Verdana" w:eastAsia="Verdana" w:hAnsi="Verdana"/>
          <w:color w:val="767171"/>
          <w:sz w:val="18"/>
        </w:rPr>
        <w:t xml:space="preserve"> (Wielka Izba)</w:t>
      </w:r>
    </w:p>
    <w:p w14:paraId="5F2CD5B7" w14:textId="77777777" w:rsidR="005611CB" w:rsidRPr="00F8489F" w:rsidRDefault="005611CB" w:rsidP="00AB713F">
      <w:pPr>
        <w:spacing w:line="271" w:lineRule="auto"/>
        <w:ind w:left="740" w:right="20"/>
        <w:jc w:val="both"/>
        <w:rPr>
          <w:rFonts w:ascii="Verdana" w:eastAsia="Verdana" w:hAnsi="Verdana"/>
          <w:highlight w:val="magenta"/>
        </w:rPr>
      </w:pPr>
      <w:r w:rsidRPr="00F8489F">
        <w:rPr>
          <w:rFonts w:ascii="Verdana" w:eastAsia="Verdana" w:hAnsi="Verdana"/>
        </w:rPr>
        <w:t>Sprawa ta dotyczyła systemu tajnego przechwytywania połączeń telefonii komórkowej w Rosji.</w:t>
      </w:r>
      <w:r w:rsidR="008C5F0F" w:rsidRPr="00F8489F">
        <w:rPr>
          <w:rFonts w:ascii="Verdana" w:eastAsia="Verdana" w:hAnsi="Verdana"/>
        </w:rPr>
        <w:t xml:space="preserve"> </w:t>
      </w:r>
      <w:r w:rsidRPr="00F8489F">
        <w:rPr>
          <w:rFonts w:ascii="Verdana" w:eastAsia="Verdana" w:hAnsi="Verdana"/>
        </w:rPr>
        <w:t>Skarżący, redaktor naczelny wydawnictwa, skarżył się w szczególności, że operatorzy sieci komórkowych w Rosji są prawnie zobowiązani do instalowania urządzeń umożliwiających organom ścigania prowadzenie działań operacyjnych w zakresie przeszukiwania oraz że, bez wystarczających zabezpieczeń na mocy prawa rosyjskiego, zezwalało to na ogólne przechwytywanie połączeń.</w:t>
      </w:r>
    </w:p>
    <w:p w14:paraId="560FC42A" w14:textId="77777777" w:rsidR="008C5F0F" w:rsidRPr="00F8489F" w:rsidRDefault="005611CB" w:rsidP="00AB713F">
      <w:pPr>
        <w:spacing w:line="271" w:lineRule="auto"/>
        <w:ind w:left="740" w:right="20"/>
        <w:jc w:val="both"/>
        <w:rPr>
          <w:rFonts w:ascii="Verdana" w:eastAsia="Verdana" w:hAnsi="Verdana"/>
          <w:color w:val="0070C0"/>
          <w:highlight w:val="magenta"/>
        </w:rPr>
      </w:pPr>
      <w:r w:rsidRPr="00F8489F">
        <w:rPr>
          <w:rFonts w:ascii="Verdana" w:eastAsia="Verdana" w:hAnsi="Verdana"/>
          <w:color w:val="0070C0"/>
        </w:rPr>
        <w:t xml:space="preserve">Trybunał orzekł, że doszło do </w:t>
      </w:r>
      <w:r w:rsidRPr="00F8489F">
        <w:rPr>
          <w:rFonts w:ascii="Verdana" w:eastAsia="Verdana" w:hAnsi="Verdana"/>
          <w:b/>
          <w:color w:val="0070C0"/>
        </w:rPr>
        <w:t xml:space="preserve">naruszenia </w:t>
      </w:r>
      <w:r w:rsidR="00A2410A">
        <w:rPr>
          <w:rFonts w:ascii="Verdana" w:eastAsia="Verdana" w:hAnsi="Verdana"/>
          <w:b/>
          <w:color w:val="0070C0"/>
        </w:rPr>
        <w:t>art.</w:t>
      </w:r>
      <w:r w:rsidRPr="00F8489F">
        <w:rPr>
          <w:rFonts w:ascii="Verdana" w:eastAsia="Verdana" w:hAnsi="Verdana"/>
          <w:b/>
          <w:color w:val="0070C0"/>
        </w:rPr>
        <w:t xml:space="preserve"> 8 </w:t>
      </w:r>
      <w:r w:rsidR="00C30A0D" w:rsidRPr="00F8489F">
        <w:rPr>
          <w:rFonts w:ascii="Verdana" w:eastAsia="Verdana" w:hAnsi="Verdana"/>
          <w:b/>
          <w:color w:val="0070C0"/>
        </w:rPr>
        <w:t>K</w:t>
      </w:r>
      <w:r w:rsidRPr="00F8489F">
        <w:rPr>
          <w:rFonts w:ascii="Verdana" w:eastAsia="Verdana" w:hAnsi="Verdana"/>
          <w:b/>
          <w:color w:val="0070C0"/>
        </w:rPr>
        <w:t>onwencji</w:t>
      </w:r>
      <w:r w:rsidRPr="00F8489F">
        <w:rPr>
          <w:rFonts w:ascii="Verdana" w:eastAsia="Verdana" w:hAnsi="Verdana"/>
          <w:color w:val="0070C0"/>
        </w:rPr>
        <w:t xml:space="preserve">, stwierdzając, że rosyjskie przepisy regulujące przechwytywanie </w:t>
      </w:r>
      <w:r w:rsidR="00A2410A">
        <w:rPr>
          <w:rFonts w:ascii="Verdana" w:eastAsia="Verdana" w:hAnsi="Verdana"/>
          <w:color w:val="0070C0"/>
        </w:rPr>
        <w:t>komunikacji</w:t>
      </w:r>
      <w:r w:rsidRPr="00F8489F">
        <w:rPr>
          <w:rFonts w:ascii="Verdana" w:eastAsia="Verdana" w:hAnsi="Verdana"/>
          <w:color w:val="0070C0"/>
        </w:rPr>
        <w:t xml:space="preserve"> nie zapewni</w:t>
      </w:r>
      <w:r w:rsidR="00EA4B0B" w:rsidRPr="00F8489F">
        <w:rPr>
          <w:rFonts w:ascii="Verdana" w:eastAsia="Verdana" w:hAnsi="Verdana"/>
          <w:color w:val="0070C0"/>
        </w:rPr>
        <w:t>ają</w:t>
      </w:r>
      <w:r w:rsidRPr="00F8489F">
        <w:rPr>
          <w:rFonts w:ascii="Verdana" w:eastAsia="Verdana" w:hAnsi="Verdana"/>
          <w:color w:val="0070C0"/>
        </w:rPr>
        <w:t xml:space="preserve"> odpowiednich i skutecznych gwarancji chroniących przed arbitralnością i ryzykiem nadużyć któr</w:t>
      </w:r>
      <w:r w:rsidR="00EA4B0B" w:rsidRPr="00F8489F">
        <w:rPr>
          <w:rFonts w:ascii="Verdana" w:eastAsia="Verdana" w:hAnsi="Verdana"/>
          <w:color w:val="0070C0"/>
        </w:rPr>
        <w:t>e</w:t>
      </w:r>
      <w:r w:rsidRPr="00F8489F">
        <w:rPr>
          <w:rFonts w:ascii="Verdana" w:eastAsia="Verdana" w:hAnsi="Verdana"/>
          <w:color w:val="0070C0"/>
        </w:rPr>
        <w:t xml:space="preserve"> był</w:t>
      </w:r>
      <w:r w:rsidR="00EA4B0B" w:rsidRPr="00F8489F">
        <w:rPr>
          <w:rFonts w:ascii="Verdana" w:eastAsia="Verdana" w:hAnsi="Verdana"/>
          <w:color w:val="0070C0"/>
        </w:rPr>
        <w:t>y</w:t>
      </w:r>
      <w:r w:rsidRPr="00F8489F">
        <w:rPr>
          <w:rFonts w:ascii="Verdana" w:eastAsia="Verdana" w:hAnsi="Verdana"/>
          <w:color w:val="0070C0"/>
        </w:rPr>
        <w:t xml:space="preserve"> nieodłącznie związan</w:t>
      </w:r>
      <w:r w:rsidR="00EA4B0B" w:rsidRPr="00F8489F">
        <w:rPr>
          <w:rFonts w:ascii="Verdana" w:eastAsia="Verdana" w:hAnsi="Verdana"/>
          <w:color w:val="0070C0"/>
        </w:rPr>
        <w:t>e</w:t>
      </w:r>
      <w:r w:rsidRPr="00F8489F">
        <w:rPr>
          <w:rFonts w:ascii="Verdana" w:eastAsia="Verdana" w:hAnsi="Verdana"/>
          <w:color w:val="0070C0"/>
        </w:rPr>
        <w:t xml:space="preserve"> z każdym systemem tajne</w:t>
      </w:r>
      <w:r w:rsidR="00A2410A">
        <w:rPr>
          <w:rFonts w:ascii="Verdana" w:eastAsia="Verdana" w:hAnsi="Verdana"/>
          <w:color w:val="0070C0"/>
        </w:rPr>
        <w:t>j</w:t>
      </w:r>
      <w:r w:rsidRPr="00F8489F">
        <w:rPr>
          <w:rFonts w:ascii="Verdana" w:eastAsia="Verdana" w:hAnsi="Verdana"/>
          <w:color w:val="0070C0"/>
        </w:rPr>
        <w:t xml:space="preserve"> </w:t>
      </w:r>
      <w:r w:rsidR="00A2410A">
        <w:rPr>
          <w:rFonts w:ascii="Verdana" w:eastAsia="Verdana" w:hAnsi="Verdana"/>
          <w:color w:val="0070C0"/>
        </w:rPr>
        <w:t>obserwacji</w:t>
      </w:r>
      <w:r w:rsidRPr="00F8489F">
        <w:rPr>
          <w:rFonts w:ascii="Verdana" w:eastAsia="Verdana" w:hAnsi="Verdana"/>
          <w:color w:val="0070C0"/>
        </w:rPr>
        <w:t xml:space="preserve"> i któr</w:t>
      </w:r>
      <w:r w:rsidR="00A2410A">
        <w:rPr>
          <w:rFonts w:ascii="Verdana" w:eastAsia="Verdana" w:hAnsi="Verdana"/>
          <w:color w:val="0070C0"/>
        </w:rPr>
        <w:t>e</w:t>
      </w:r>
      <w:r w:rsidRPr="00F8489F">
        <w:rPr>
          <w:rFonts w:ascii="Verdana" w:eastAsia="Verdana" w:hAnsi="Verdana"/>
          <w:color w:val="0070C0"/>
        </w:rPr>
        <w:t xml:space="preserve"> był</w:t>
      </w:r>
      <w:r w:rsidR="00A2410A">
        <w:rPr>
          <w:rFonts w:ascii="Verdana" w:eastAsia="Verdana" w:hAnsi="Verdana"/>
          <w:color w:val="0070C0"/>
        </w:rPr>
        <w:t>y</w:t>
      </w:r>
      <w:r w:rsidRPr="00F8489F">
        <w:rPr>
          <w:rFonts w:ascii="Verdana" w:eastAsia="Verdana" w:hAnsi="Verdana"/>
          <w:color w:val="0070C0"/>
        </w:rPr>
        <w:t xml:space="preserve"> szczególnie wysoki</w:t>
      </w:r>
      <w:r w:rsidR="00A2410A">
        <w:rPr>
          <w:rFonts w:ascii="Verdana" w:eastAsia="Verdana" w:hAnsi="Verdana"/>
          <w:color w:val="0070C0"/>
        </w:rPr>
        <w:t>e</w:t>
      </w:r>
      <w:r w:rsidRPr="00F8489F">
        <w:rPr>
          <w:rFonts w:ascii="Verdana" w:eastAsia="Verdana" w:hAnsi="Verdana"/>
          <w:color w:val="0070C0"/>
        </w:rPr>
        <w:t xml:space="preserve"> w systemie takim jak w Rosji, gdzie tajne służby i policja miały bezpośredni dostęp, za pomocą środków technicznych, do wszystkich połączeń telefonii komórkowej. W szczególności Trybunał stwierdził niedociągnięcia w </w:t>
      </w:r>
      <w:r w:rsidR="00A2410A">
        <w:rPr>
          <w:rFonts w:ascii="Verdana" w:eastAsia="Verdana" w:hAnsi="Verdana"/>
          <w:color w:val="0070C0"/>
        </w:rPr>
        <w:t>systemie</w:t>
      </w:r>
      <w:r w:rsidRPr="00F8489F">
        <w:rPr>
          <w:rFonts w:ascii="Verdana" w:eastAsia="Verdana" w:hAnsi="Verdana"/>
          <w:color w:val="0070C0"/>
        </w:rPr>
        <w:t xml:space="preserve"> prawny</w:t>
      </w:r>
      <w:r w:rsidR="00A2410A">
        <w:rPr>
          <w:rFonts w:ascii="Verdana" w:eastAsia="Verdana" w:hAnsi="Verdana"/>
          <w:color w:val="0070C0"/>
        </w:rPr>
        <w:t>m</w:t>
      </w:r>
      <w:r w:rsidRPr="00F8489F">
        <w:rPr>
          <w:rFonts w:ascii="Verdana" w:eastAsia="Verdana" w:hAnsi="Verdana"/>
          <w:color w:val="0070C0"/>
        </w:rPr>
        <w:t xml:space="preserve"> w następujących obszarach: okoliczności, w których władze publiczne w Rosji są uprawnione do stosowania tajnych środków </w:t>
      </w:r>
      <w:r w:rsidR="00A2410A">
        <w:rPr>
          <w:rFonts w:ascii="Verdana" w:eastAsia="Verdana" w:hAnsi="Verdana"/>
          <w:color w:val="0070C0"/>
        </w:rPr>
        <w:t>obserwacji</w:t>
      </w:r>
      <w:r w:rsidRPr="00F8489F">
        <w:rPr>
          <w:rFonts w:ascii="Verdana" w:eastAsia="Verdana" w:hAnsi="Verdana"/>
          <w:color w:val="0070C0"/>
        </w:rPr>
        <w:t xml:space="preserve">; </w:t>
      </w:r>
      <w:r w:rsidR="00E12DC7" w:rsidRPr="00F8489F">
        <w:rPr>
          <w:rFonts w:ascii="Verdana" w:eastAsia="Verdana" w:hAnsi="Verdana"/>
          <w:color w:val="0070C0"/>
        </w:rPr>
        <w:t>okres</w:t>
      </w:r>
      <w:r w:rsidRPr="00F8489F">
        <w:rPr>
          <w:rFonts w:ascii="Verdana" w:eastAsia="Verdana" w:hAnsi="Verdana"/>
          <w:color w:val="0070C0"/>
        </w:rPr>
        <w:t xml:space="preserve"> obowiązywania takich środków, a zwłaszcza okoliczności, w których powin</w:t>
      </w:r>
      <w:r w:rsidR="0065699E">
        <w:rPr>
          <w:rFonts w:ascii="Verdana" w:eastAsia="Verdana" w:hAnsi="Verdana"/>
          <w:color w:val="0070C0"/>
        </w:rPr>
        <w:t>ien</w:t>
      </w:r>
      <w:r w:rsidRPr="00F8489F">
        <w:rPr>
          <w:rFonts w:ascii="Verdana" w:eastAsia="Verdana" w:hAnsi="Verdana"/>
          <w:color w:val="0070C0"/>
        </w:rPr>
        <w:t xml:space="preserve"> on zostać przerwan</w:t>
      </w:r>
      <w:r w:rsidR="0065699E">
        <w:rPr>
          <w:rFonts w:ascii="Verdana" w:eastAsia="Verdana" w:hAnsi="Verdana"/>
          <w:color w:val="0070C0"/>
        </w:rPr>
        <w:t>y</w:t>
      </w:r>
      <w:r w:rsidRPr="00F8489F">
        <w:rPr>
          <w:rFonts w:ascii="Verdana" w:eastAsia="Verdana" w:hAnsi="Verdana"/>
          <w:color w:val="0070C0"/>
        </w:rPr>
        <w:t xml:space="preserve">; procedury zezwalające na przechwytywanie, jak również przechowywanie i niszczenie przechwyconych danych; nadzór nad przechwytywaniem. Ponadto skuteczność środków odwoławczych dostępnych w celu zakwestionowania przechwycenia komunikacji </w:t>
      </w:r>
      <w:r w:rsidR="0065699E">
        <w:rPr>
          <w:rFonts w:ascii="Verdana" w:eastAsia="Verdana" w:hAnsi="Verdana"/>
          <w:color w:val="0070C0"/>
        </w:rPr>
        <w:t xml:space="preserve">była podważona </w:t>
      </w:r>
      <w:r w:rsidRPr="00F8489F">
        <w:rPr>
          <w:rFonts w:ascii="Verdana" w:eastAsia="Verdana" w:hAnsi="Verdana"/>
          <w:color w:val="0070C0"/>
        </w:rPr>
        <w:t>przez fakt, że były one dostępne wyłącznie dla osób, które były w stanie przedstawić dowód przechwycenia</w:t>
      </w:r>
      <w:r w:rsidR="00E12DC7" w:rsidRPr="00F8489F">
        <w:rPr>
          <w:rFonts w:ascii="Verdana" w:eastAsia="Verdana" w:hAnsi="Verdana"/>
          <w:color w:val="0070C0"/>
        </w:rPr>
        <w:t xml:space="preserve"> choć </w:t>
      </w:r>
      <w:r w:rsidRPr="00F8489F">
        <w:rPr>
          <w:rFonts w:ascii="Verdana" w:eastAsia="Verdana" w:hAnsi="Verdana"/>
          <w:color w:val="0070C0"/>
        </w:rPr>
        <w:t xml:space="preserve">uzyskanie takiego dowodu było niemożliwe </w:t>
      </w:r>
      <w:r w:rsidR="0065699E">
        <w:rPr>
          <w:rFonts w:ascii="Verdana" w:eastAsia="Verdana" w:hAnsi="Verdana"/>
          <w:color w:val="0070C0"/>
        </w:rPr>
        <w:t>w</w:t>
      </w:r>
      <w:r w:rsidR="00E12DC7" w:rsidRPr="00F8489F">
        <w:rPr>
          <w:rFonts w:ascii="Verdana" w:eastAsia="Verdana" w:hAnsi="Verdana"/>
          <w:color w:val="0070C0"/>
        </w:rPr>
        <w:t xml:space="preserve"> związku z</w:t>
      </w:r>
      <w:r w:rsidRPr="00F8489F">
        <w:rPr>
          <w:rFonts w:ascii="Verdana" w:eastAsia="Verdana" w:hAnsi="Verdana"/>
          <w:color w:val="0070C0"/>
        </w:rPr>
        <w:t xml:space="preserve"> brak</w:t>
      </w:r>
      <w:r w:rsidR="00E12DC7" w:rsidRPr="00F8489F">
        <w:rPr>
          <w:rFonts w:ascii="Verdana" w:eastAsia="Verdana" w:hAnsi="Verdana"/>
          <w:color w:val="0070C0"/>
        </w:rPr>
        <w:t>iem</w:t>
      </w:r>
      <w:r w:rsidRPr="00F8489F">
        <w:rPr>
          <w:rFonts w:ascii="Verdana" w:eastAsia="Verdana" w:hAnsi="Verdana"/>
          <w:color w:val="0070C0"/>
        </w:rPr>
        <w:t xml:space="preserve"> jakiegokolwiek systemu powiadamiania lub możliwości dostępu do informacji o przechwyceniu.</w:t>
      </w:r>
    </w:p>
    <w:p w14:paraId="35E574AC" w14:textId="158B7678" w:rsidR="00ED7BD0" w:rsidRPr="00F8489F" w:rsidRDefault="005611CB" w:rsidP="00AB713F">
      <w:pPr>
        <w:spacing w:before="120" w:line="271" w:lineRule="auto"/>
        <w:ind w:left="740" w:right="20"/>
        <w:jc w:val="both"/>
        <w:rPr>
          <w:rFonts w:ascii="Verdana" w:eastAsia="Verdana" w:hAnsi="Verdana"/>
          <w:color w:val="0070C0"/>
          <w:sz w:val="18"/>
          <w:highlight w:val="magenta"/>
        </w:rPr>
      </w:pPr>
      <w:r w:rsidRPr="00F8489F">
        <w:rPr>
          <w:rFonts w:ascii="Verdana" w:eastAsia="Verdana" w:hAnsi="Verdana"/>
          <w:i/>
        </w:rPr>
        <w:lastRenderedPageBreak/>
        <w:t>Zob</w:t>
      </w:r>
      <w:r w:rsidR="00EE316A" w:rsidRPr="00F8489F">
        <w:rPr>
          <w:rFonts w:ascii="Verdana" w:eastAsia="Verdana" w:hAnsi="Verdana"/>
          <w:i/>
        </w:rPr>
        <w:t>acz</w:t>
      </w:r>
      <w:r w:rsidRPr="00F8489F">
        <w:rPr>
          <w:rFonts w:ascii="Verdana" w:eastAsia="Verdana" w:hAnsi="Verdana"/>
          <w:i/>
        </w:rPr>
        <w:t xml:space="preserve"> również,</w:t>
      </w:r>
      <w:r w:rsidRPr="00F8489F">
        <w:rPr>
          <w:rFonts w:ascii="Verdana" w:eastAsia="Verdana" w:hAnsi="Verdana"/>
        </w:rPr>
        <w:t xml:space="preserve"> w odniesieniu do tajnych środków </w:t>
      </w:r>
      <w:r w:rsidR="0065699E">
        <w:rPr>
          <w:rFonts w:ascii="Verdana" w:eastAsia="Verdana" w:hAnsi="Verdana"/>
        </w:rPr>
        <w:t>obserwacji</w:t>
      </w:r>
      <w:r w:rsidRPr="00F8489F">
        <w:rPr>
          <w:rFonts w:ascii="Verdana" w:eastAsia="Verdana" w:hAnsi="Verdana"/>
        </w:rPr>
        <w:t xml:space="preserve"> w kontekście postępowania karnego: </w:t>
      </w:r>
      <w:hyperlink r:id="rId24" w:anchor="{%22itemid%22:[%22002-11743%22]}" w:history="1">
        <w:r w:rsidRPr="00F8489F">
          <w:rPr>
            <w:rStyle w:val="Hipercze"/>
            <w:rFonts w:ascii="Verdana" w:eastAsia="Verdana" w:hAnsi="Verdana"/>
            <w:b/>
          </w:rPr>
          <w:t xml:space="preserve">Akhlyustin przeciwko Rosji, Zubkov i </w:t>
        </w:r>
        <w:r w:rsidR="00EE316A" w:rsidRPr="00F8489F">
          <w:rPr>
            <w:rStyle w:val="Hipercze"/>
            <w:rFonts w:ascii="Verdana" w:eastAsia="Verdana" w:hAnsi="Verdana"/>
            <w:b/>
          </w:rPr>
          <w:t>I</w:t>
        </w:r>
        <w:r w:rsidRPr="00F8489F">
          <w:rPr>
            <w:rStyle w:val="Hipercze"/>
            <w:rFonts w:ascii="Verdana" w:eastAsia="Verdana" w:hAnsi="Verdana"/>
            <w:b/>
          </w:rPr>
          <w:t xml:space="preserve">nni przeciwko Rosji, Moskalev przeciwko Rosji </w:t>
        </w:r>
        <w:r w:rsidRPr="00F8489F">
          <w:rPr>
            <w:rStyle w:val="Hipercze"/>
            <w:rFonts w:ascii="Verdana" w:eastAsia="Verdana" w:hAnsi="Verdana"/>
          </w:rPr>
          <w:t>i</w:t>
        </w:r>
        <w:r w:rsidRPr="00F8489F">
          <w:rPr>
            <w:rStyle w:val="Hipercze"/>
            <w:rFonts w:ascii="Verdana" w:eastAsia="Verdana" w:hAnsi="Verdana"/>
            <w:b/>
          </w:rPr>
          <w:t xml:space="preserve"> Konstantin Moskalev przeciwko Rosji</w:t>
        </w:r>
      </w:hyperlink>
      <w:r w:rsidR="00BF08D2">
        <w:rPr>
          <w:rStyle w:val="Odwoanieprzypisudolnego"/>
          <w:rFonts w:ascii="Verdana" w:eastAsia="Verdana" w:hAnsi="Verdana"/>
          <w:b/>
          <w:color w:val="0563C1"/>
          <w:u w:val="single"/>
        </w:rPr>
        <w:footnoteReference w:id="6"/>
      </w:r>
      <w:r w:rsidRPr="00F8489F">
        <w:rPr>
          <w:rFonts w:ascii="Verdana" w:eastAsia="Verdana" w:hAnsi="Verdana"/>
          <w:b/>
        </w:rPr>
        <w:t>,</w:t>
      </w:r>
      <w:r w:rsidRPr="00F8489F">
        <w:rPr>
          <w:rFonts w:ascii="Verdana" w:eastAsia="Verdana" w:hAnsi="Verdana"/>
        </w:rPr>
        <w:t xml:space="preserve"> wyroki z dnia 7 listopada 2017 roku.</w:t>
      </w:r>
    </w:p>
    <w:p w14:paraId="3EB9B62A" w14:textId="50C70553" w:rsidR="00F832FE" w:rsidRPr="00500BF2" w:rsidRDefault="00500BF2" w:rsidP="00AB713F">
      <w:pPr>
        <w:spacing w:before="120" w:line="0" w:lineRule="atLeast"/>
        <w:ind w:left="740"/>
        <w:rPr>
          <w:rStyle w:val="Hipercze"/>
          <w:rFonts w:ascii="Verdana" w:eastAsia="Verdana" w:hAnsi="Verdana"/>
          <w:b/>
        </w:rPr>
      </w:pPr>
      <w:r>
        <w:rPr>
          <w:rStyle w:val="Hipercze"/>
          <w:rFonts w:ascii="Verdana" w:eastAsia="Verdana" w:hAnsi="Verdana"/>
          <w:b/>
          <w:color w:val="0072BC"/>
        </w:rPr>
        <w:fldChar w:fldCharType="begin"/>
      </w:r>
      <w:r>
        <w:rPr>
          <w:rStyle w:val="Hipercze"/>
          <w:rFonts w:ascii="Verdana" w:eastAsia="Verdana" w:hAnsi="Verdana"/>
          <w:b/>
          <w:color w:val="0072BC"/>
        </w:rPr>
        <w:instrText>HYPERLINK "https://hudoc.echr.coe.int/eng-press" \l "{%22itemid%22:[%22003-5268616-6546444%22]}"</w:instrText>
      </w:r>
      <w:r>
        <w:rPr>
          <w:rStyle w:val="Hipercze"/>
          <w:rFonts w:ascii="Verdana" w:eastAsia="Verdana" w:hAnsi="Verdana"/>
          <w:b/>
          <w:color w:val="0072BC"/>
        </w:rPr>
      </w:r>
      <w:r>
        <w:rPr>
          <w:rStyle w:val="Hipercze"/>
          <w:rFonts w:ascii="Verdana" w:eastAsia="Verdana" w:hAnsi="Verdana"/>
          <w:b/>
          <w:color w:val="0072BC"/>
        </w:rPr>
        <w:fldChar w:fldCharType="separate"/>
      </w:r>
      <w:proofErr w:type="spellStart"/>
      <w:r w:rsidR="004C0C9B" w:rsidRPr="00500BF2">
        <w:rPr>
          <w:rStyle w:val="Hipercze"/>
          <w:rFonts w:ascii="Verdana" w:eastAsia="Verdana" w:hAnsi="Verdana"/>
          <w:b/>
        </w:rPr>
        <w:t>Szabó</w:t>
      </w:r>
      <w:proofErr w:type="spellEnd"/>
      <w:r w:rsidR="004C0C9B" w:rsidRPr="00500BF2">
        <w:rPr>
          <w:rStyle w:val="Hipercze"/>
          <w:rFonts w:ascii="Verdana" w:eastAsia="Verdana" w:hAnsi="Verdana"/>
          <w:b/>
        </w:rPr>
        <w:t xml:space="preserve"> i </w:t>
      </w:r>
      <w:proofErr w:type="spellStart"/>
      <w:r w:rsidR="004C0C9B" w:rsidRPr="00500BF2">
        <w:rPr>
          <w:rStyle w:val="Hipercze"/>
          <w:rFonts w:ascii="Verdana" w:eastAsia="Verdana" w:hAnsi="Verdana"/>
          <w:b/>
        </w:rPr>
        <w:t>Vissy</w:t>
      </w:r>
      <w:proofErr w:type="spellEnd"/>
      <w:r w:rsidR="004C0C9B" w:rsidRPr="00500BF2">
        <w:rPr>
          <w:rStyle w:val="Hipercze"/>
          <w:rFonts w:ascii="Verdana" w:eastAsia="Verdana" w:hAnsi="Verdana"/>
          <w:b/>
        </w:rPr>
        <w:t xml:space="preserve"> przeciwko Węgrom</w:t>
      </w:r>
    </w:p>
    <w:p w14:paraId="758E2E44" w14:textId="52C18CCD" w:rsidR="00F832FE" w:rsidRPr="009C0ACB" w:rsidRDefault="00500BF2" w:rsidP="00AB713F">
      <w:pPr>
        <w:spacing w:line="63" w:lineRule="exact"/>
        <w:ind w:left="740"/>
        <w:rPr>
          <w:rFonts w:ascii="Times New Roman" w:eastAsia="Times New Roman" w:hAnsi="Times New Roman"/>
        </w:rPr>
      </w:pPr>
      <w:r>
        <w:rPr>
          <w:rStyle w:val="Hipercze"/>
          <w:rFonts w:ascii="Verdana" w:eastAsia="Verdana" w:hAnsi="Verdana"/>
          <w:b/>
          <w:color w:val="0072BC"/>
        </w:rPr>
        <w:fldChar w:fldCharType="end"/>
      </w:r>
    </w:p>
    <w:p w14:paraId="6A91CBB4" w14:textId="4CD38BDB" w:rsidR="00F832FE" w:rsidRPr="007C3DB9" w:rsidRDefault="005D03F6" w:rsidP="007C3DB9">
      <w:pPr>
        <w:pStyle w:val="Akapitzlist"/>
        <w:numPr>
          <w:ilvl w:val="0"/>
          <w:numId w:val="10"/>
        </w:numPr>
        <w:spacing w:line="0" w:lineRule="atLeast"/>
        <w:rPr>
          <w:rFonts w:ascii="Verdana" w:eastAsia="Verdana" w:hAnsi="Verdana"/>
          <w:color w:val="808080"/>
          <w:sz w:val="18"/>
        </w:rPr>
      </w:pPr>
      <w:r w:rsidRPr="007C3DB9">
        <w:rPr>
          <w:rFonts w:ascii="Verdana" w:eastAsia="Verdana" w:hAnsi="Verdana"/>
          <w:color w:val="808080"/>
          <w:sz w:val="18"/>
        </w:rPr>
        <w:t>s</w:t>
      </w:r>
      <w:r w:rsidR="004C0C9B" w:rsidRPr="007C3DB9">
        <w:rPr>
          <w:rFonts w:ascii="Verdana" w:eastAsia="Verdana" w:hAnsi="Verdana"/>
          <w:color w:val="808080"/>
          <w:sz w:val="18"/>
        </w:rPr>
        <w:t>tycznia</w:t>
      </w:r>
      <w:r w:rsidR="00F832FE" w:rsidRPr="007C3DB9">
        <w:rPr>
          <w:rFonts w:ascii="Verdana" w:eastAsia="Verdana" w:hAnsi="Verdana"/>
          <w:color w:val="808080"/>
          <w:sz w:val="18"/>
        </w:rPr>
        <w:t xml:space="preserve"> 2016</w:t>
      </w:r>
      <w:r w:rsidR="00A95B2F" w:rsidRPr="007C3DB9">
        <w:rPr>
          <w:rFonts w:ascii="Verdana" w:eastAsia="Verdana" w:hAnsi="Verdana"/>
          <w:color w:val="808080"/>
          <w:sz w:val="18"/>
        </w:rPr>
        <w:t xml:space="preserve"> roku</w:t>
      </w:r>
    </w:p>
    <w:p w14:paraId="7640B2E5" w14:textId="77777777" w:rsidR="00F832FE" w:rsidRPr="00B467C8" w:rsidRDefault="005D03F6" w:rsidP="00AB713F">
      <w:pPr>
        <w:spacing w:line="239" w:lineRule="auto"/>
        <w:ind w:left="740" w:right="20"/>
        <w:jc w:val="both"/>
        <w:rPr>
          <w:rFonts w:ascii="Verdana" w:eastAsia="Verdana" w:hAnsi="Verdana"/>
        </w:rPr>
      </w:pPr>
      <w:r w:rsidRPr="001617FD">
        <w:rPr>
          <w:rFonts w:ascii="Verdana" w:eastAsia="Verdana" w:hAnsi="Verdana"/>
        </w:rPr>
        <w:t>Sprawa ta dotyczyła wprowadzonych w 2011 r</w:t>
      </w:r>
      <w:r w:rsidR="0065699E">
        <w:rPr>
          <w:rFonts w:ascii="Verdana" w:eastAsia="Verdana" w:hAnsi="Verdana"/>
        </w:rPr>
        <w:t>oku</w:t>
      </w:r>
      <w:r w:rsidRPr="001617FD">
        <w:rPr>
          <w:rFonts w:ascii="Verdana" w:eastAsia="Verdana" w:hAnsi="Verdana"/>
        </w:rPr>
        <w:t xml:space="preserve"> </w:t>
      </w:r>
      <w:r w:rsidRPr="009720FE">
        <w:rPr>
          <w:rFonts w:ascii="Verdana" w:eastAsia="Verdana" w:hAnsi="Verdana"/>
        </w:rPr>
        <w:t xml:space="preserve">na Węgrzech </w:t>
      </w:r>
      <w:r w:rsidRPr="007A5F31">
        <w:rPr>
          <w:rFonts w:ascii="Verdana" w:eastAsia="Verdana" w:hAnsi="Verdana"/>
        </w:rPr>
        <w:t>przepis</w:t>
      </w:r>
      <w:r w:rsidRPr="00E1015F">
        <w:rPr>
          <w:rFonts w:ascii="Verdana" w:eastAsia="Verdana" w:hAnsi="Verdana"/>
        </w:rPr>
        <w:t xml:space="preserve">ów w zakresie tajnego </w:t>
      </w:r>
      <w:r w:rsidR="0065699E">
        <w:rPr>
          <w:rFonts w:ascii="Verdana" w:eastAsia="Verdana" w:hAnsi="Verdana"/>
        </w:rPr>
        <w:t>nadz</w:t>
      </w:r>
      <w:r w:rsidRPr="00E1015F">
        <w:rPr>
          <w:rFonts w:ascii="Verdana" w:eastAsia="Verdana" w:hAnsi="Verdana"/>
        </w:rPr>
        <w:t xml:space="preserve">oru antyterrorystycznego. </w:t>
      </w:r>
      <w:r w:rsidRPr="00D66926">
        <w:rPr>
          <w:rFonts w:ascii="Verdana" w:eastAsia="Verdana" w:hAnsi="Verdana"/>
        </w:rPr>
        <w:t>Skarżący podnosili</w:t>
      </w:r>
      <w:r w:rsidRPr="006612CF">
        <w:rPr>
          <w:rFonts w:ascii="Verdana" w:eastAsia="Verdana" w:hAnsi="Verdana"/>
        </w:rPr>
        <w:t xml:space="preserve"> w szc</w:t>
      </w:r>
      <w:r w:rsidRPr="00BE55CE">
        <w:rPr>
          <w:rFonts w:ascii="Verdana" w:eastAsia="Verdana" w:hAnsi="Verdana"/>
        </w:rPr>
        <w:t>zególności, że mogą być pot</w:t>
      </w:r>
      <w:r w:rsidRPr="00EA6461">
        <w:rPr>
          <w:rFonts w:ascii="Verdana" w:eastAsia="Verdana" w:hAnsi="Verdana"/>
        </w:rPr>
        <w:t xml:space="preserve">encjalnie poddani </w:t>
      </w:r>
      <w:r w:rsidRPr="00E94ADB">
        <w:rPr>
          <w:rFonts w:ascii="Verdana" w:eastAsia="Verdana" w:hAnsi="Verdana"/>
        </w:rPr>
        <w:t xml:space="preserve">nieuzasadnionym i nieproporcjonalnie inwazyjnym </w:t>
      </w:r>
      <w:r w:rsidRPr="00F8489F">
        <w:rPr>
          <w:rFonts w:ascii="Verdana" w:eastAsia="Verdana" w:hAnsi="Verdana"/>
        </w:rPr>
        <w:t xml:space="preserve">środkom </w:t>
      </w:r>
      <w:r w:rsidR="0015707C" w:rsidRPr="00F8489F">
        <w:rPr>
          <w:rFonts w:ascii="Verdana" w:eastAsia="Verdana" w:hAnsi="Verdana"/>
        </w:rPr>
        <w:t>w ramach praw</w:t>
      </w:r>
      <w:r w:rsidR="0015707C">
        <w:rPr>
          <w:rFonts w:ascii="Verdana" w:eastAsia="Verdana" w:hAnsi="Verdana"/>
        </w:rPr>
        <w:t>a węgierskiego dotyczącego</w:t>
      </w:r>
      <w:r w:rsidR="0015707C" w:rsidRPr="00F8489F">
        <w:rPr>
          <w:rFonts w:ascii="Verdana" w:eastAsia="Verdana" w:hAnsi="Verdana"/>
        </w:rPr>
        <w:t xml:space="preserve"> tajnego nadzoru </w:t>
      </w:r>
      <w:r w:rsidR="00C567C1" w:rsidRPr="00F8489F">
        <w:rPr>
          <w:rFonts w:ascii="Verdana" w:eastAsia="Verdana" w:hAnsi="Verdana"/>
        </w:rPr>
        <w:t>w</w:t>
      </w:r>
      <w:r w:rsidR="00C567C1" w:rsidRPr="005003E7">
        <w:rPr>
          <w:rFonts w:ascii="Verdana" w:eastAsia="Verdana" w:hAnsi="Verdana"/>
        </w:rPr>
        <w:t xml:space="preserve"> </w:t>
      </w:r>
      <w:r w:rsidR="00426DFE" w:rsidRPr="005003E7">
        <w:rPr>
          <w:rFonts w:ascii="Verdana" w:eastAsia="Verdana" w:hAnsi="Verdana"/>
        </w:rPr>
        <w:t>cel</w:t>
      </w:r>
      <w:r w:rsidR="00C567C1" w:rsidRPr="00F8489F">
        <w:rPr>
          <w:rFonts w:ascii="Verdana" w:eastAsia="Verdana" w:hAnsi="Verdana"/>
        </w:rPr>
        <w:t xml:space="preserve">u ochrony </w:t>
      </w:r>
      <w:r w:rsidRPr="005003E7">
        <w:rPr>
          <w:rFonts w:ascii="Verdana" w:eastAsia="Verdana" w:hAnsi="Verdana"/>
        </w:rPr>
        <w:t xml:space="preserve">bezpieczeństwa </w:t>
      </w:r>
      <w:r w:rsidR="0015707C">
        <w:rPr>
          <w:rFonts w:ascii="Verdana" w:eastAsia="Verdana" w:hAnsi="Verdana"/>
        </w:rPr>
        <w:t>narodowego</w:t>
      </w:r>
      <w:r w:rsidR="00C567C1" w:rsidRPr="005003E7">
        <w:rPr>
          <w:rFonts w:ascii="Verdana" w:eastAsia="Verdana" w:hAnsi="Verdana"/>
        </w:rPr>
        <w:t xml:space="preserve"> </w:t>
      </w:r>
      <w:r w:rsidRPr="005003E7">
        <w:rPr>
          <w:rFonts w:ascii="Verdana" w:eastAsia="Verdana" w:hAnsi="Verdana"/>
        </w:rPr>
        <w:t>(</w:t>
      </w:r>
      <w:r w:rsidR="0015707C">
        <w:rPr>
          <w:rFonts w:ascii="Verdana" w:eastAsia="Verdana" w:hAnsi="Verdana"/>
        </w:rPr>
        <w:t xml:space="preserve">w </w:t>
      </w:r>
      <w:r w:rsidR="0065699E">
        <w:rPr>
          <w:rFonts w:ascii="Verdana" w:eastAsia="Verdana" w:hAnsi="Verdana"/>
        </w:rPr>
        <w:t>szczególn</w:t>
      </w:r>
      <w:r w:rsidR="0015707C">
        <w:rPr>
          <w:rFonts w:ascii="Verdana" w:eastAsia="Verdana" w:hAnsi="Verdana"/>
        </w:rPr>
        <w:t>ości</w:t>
      </w:r>
      <w:r w:rsidRPr="005003E7">
        <w:rPr>
          <w:rFonts w:ascii="Verdana" w:eastAsia="Verdana" w:hAnsi="Verdana"/>
        </w:rPr>
        <w:t xml:space="preserve"> „artykuł 7/E</w:t>
      </w:r>
      <w:r w:rsidR="00C567C1" w:rsidRPr="00F8489F">
        <w:rPr>
          <w:rFonts w:ascii="Verdana" w:eastAsia="Verdana" w:hAnsi="Verdana"/>
        </w:rPr>
        <w:t xml:space="preserve"> (3)</w:t>
      </w:r>
      <w:r w:rsidRPr="005003E7">
        <w:rPr>
          <w:rFonts w:ascii="Verdana" w:eastAsia="Verdana" w:hAnsi="Verdana"/>
        </w:rPr>
        <w:t xml:space="preserve"> </w:t>
      </w:r>
      <w:r w:rsidR="0015707C">
        <w:rPr>
          <w:rFonts w:ascii="Verdana" w:eastAsia="Verdana" w:hAnsi="Verdana"/>
        </w:rPr>
        <w:t>obserwacja</w:t>
      </w:r>
      <w:r w:rsidRPr="005003E7">
        <w:rPr>
          <w:rFonts w:ascii="Verdana" w:eastAsia="Verdana" w:hAnsi="Verdana"/>
        </w:rPr>
        <w:t>”)</w:t>
      </w:r>
      <w:r w:rsidR="00C567C1" w:rsidRPr="00F8489F">
        <w:rPr>
          <w:rFonts w:ascii="Verdana" w:eastAsia="Verdana" w:hAnsi="Verdana"/>
        </w:rPr>
        <w:t xml:space="preserve">. </w:t>
      </w:r>
      <w:r w:rsidRPr="005003E7">
        <w:rPr>
          <w:rFonts w:ascii="Verdana" w:eastAsia="Verdana" w:hAnsi="Verdana"/>
        </w:rPr>
        <w:t>Twierdzili,</w:t>
      </w:r>
      <w:r w:rsidR="00426DFE" w:rsidRPr="005003E7">
        <w:rPr>
          <w:rFonts w:ascii="Verdana" w:eastAsia="Verdana" w:hAnsi="Verdana"/>
        </w:rPr>
        <w:t xml:space="preserve"> że</w:t>
      </w:r>
      <w:r w:rsidRPr="005003E7">
        <w:rPr>
          <w:rFonts w:ascii="Verdana" w:eastAsia="Verdana" w:hAnsi="Verdana"/>
        </w:rPr>
        <w:t xml:space="preserve"> ramy </w:t>
      </w:r>
      <w:r w:rsidR="00426DFE" w:rsidRPr="009C0ACB">
        <w:rPr>
          <w:rFonts w:ascii="Verdana" w:eastAsia="Verdana" w:hAnsi="Verdana"/>
        </w:rPr>
        <w:t xml:space="preserve">te </w:t>
      </w:r>
      <w:r w:rsidRPr="009C0ACB">
        <w:rPr>
          <w:rFonts w:ascii="Verdana" w:eastAsia="Verdana" w:hAnsi="Verdana"/>
        </w:rPr>
        <w:t>są podatne na nadużycia, w szczególności z powod</w:t>
      </w:r>
      <w:r w:rsidRPr="00B06720">
        <w:rPr>
          <w:rFonts w:ascii="Verdana" w:eastAsia="Verdana" w:hAnsi="Verdana"/>
        </w:rPr>
        <w:t>u braku kontroli sądowej</w:t>
      </w:r>
      <w:r w:rsidRPr="007C26FA">
        <w:rPr>
          <w:rFonts w:ascii="Verdana" w:eastAsia="Verdana" w:hAnsi="Verdana"/>
        </w:rPr>
        <w:t xml:space="preserve">. </w:t>
      </w:r>
    </w:p>
    <w:p w14:paraId="2B1BFAB9" w14:textId="77777777" w:rsidR="007850C7" w:rsidRDefault="00207CDD" w:rsidP="00AB713F">
      <w:pPr>
        <w:spacing w:line="242" w:lineRule="auto"/>
        <w:ind w:left="740"/>
        <w:jc w:val="both"/>
        <w:rPr>
          <w:rFonts w:ascii="Verdana" w:eastAsia="Verdana" w:hAnsi="Verdana"/>
          <w:color w:val="0072BC"/>
        </w:rPr>
      </w:pPr>
      <w:r w:rsidRPr="00F07D61">
        <w:rPr>
          <w:rFonts w:ascii="Verdana" w:eastAsia="Verdana" w:hAnsi="Verdana"/>
          <w:color w:val="0072BC"/>
        </w:rPr>
        <w:t xml:space="preserve">W tej sprawie Trybunał orzekł, że </w:t>
      </w:r>
      <w:r w:rsidRPr="00F07D61">
        <w:rPr>
          <w:rFonts w:ascii="Verdana" w:eastAsia="Verdana" w:hAnsi="Verdana"/>
          <w:b/>
          <w:color w:val="0072BC"/>
        </w:rPr>
        <w:t>d</w:t>
      </w:r>
      <w:r w:rsidRPr="006F1CA7">
        <w:rPr>
          <w:rFonts w:ascii="Verdana" w:eastAsia="Verdana" w:hAnsi="Verdana"/>
          <w:b/>
          <w:color w:val="0072BC"/>
        </w:rPr>
        <w:t>oszło do nar</w:t>
      </w:r>
      <w:r w:rsidRPr="001617FD">
        <w:rPr>
          <w:rFonts w:ascii="Verdana" w:eastAsia="Verdana" w:hAnsi="Verdana"/>
          <w:b/>
          <w:color w:val="0072BC"/>
        </w:rPr>
        <w:t xml:space="preserve">uszenia </w:t>
      </w:r>
      <w:r w:rsidR="0015707C">
        <w:rPr>
          <w:rFonts w:ascii="Verdana" w:eastAsia="Verdana" w:hAnsi="Verdana"/>
          <w:b/>
          <w:color w:val="0072BC"/>
        </w:rPr>
        <w:t>art.</w:t>
      </w:r>
      <w:r w:rsidRPr="001617FD">
        <w:rPr>
          <w:rFonts w:ascii="Verdana" w:eastAsia="Verdana" w:hAnsi="Verdana"/>
          <w:color w:val="0072BC"/>
        </w:rPr>
        <w:t xml:space="preserve"> </w:t>
      </w:r>
      <w:r w:rsidRPr="00F8489F">
        <w:rPr>
          <w:rFonts w:ascii="Verdana" w:eastAsia="Verdana" w:hAnsi="Verdana"/>
          <w:b/>
          <w:color w:val="0072BC"/>
        </w:rPr>
        <w:t>8</w:t>
      </w:r>
      <w:r w:rsidRPr="005003E7">
        <w:rPr>
          <w:rFonts w:ascii="Verdana" w:eastAsia="Verdana" w:hAnsi="Verdana"/>
          <w:color w:val="0072BC"/>
        </w:rPr>
        <w:t xml:space="preserve"> Konwencji.  Przyznał, że naturalną konsekwencją form współczesnego terroryzmu jest to, że</w:t>
      </w:r>
      <w:r w:rsidRPr="009C0ACB">
        <w:rPr>
          <w:rFonts w:ascii="Verdana" w:eastAsia="Verdana" w:hAnsi="Verdana"/>
          <w:color w:val="0072BC"/>
        </w:rPr>
        <w:t xml:space="preserve"> rządy uciekają się do najnowocześniejszych technologii, w tym masowego monit</w:t>
      </w:r>
      <w:r w:rsidRPr="00B06720">
        <w:rPr>
          <w:rFonts w:ascii="Verdana" w:eastAsia="Verdana" w:hAnsi="Verdana"/>
          <w:color w:val="0072BC"/>
        </w:rPr>
        <w:t>orowania komunikacji, w celu zapobiega</w:t>
      </w:r>
      <w:r w:rsidRPr="007C26FA">
        <w:rPr>
          <w:rFonts w:ascii="Verdana" w:eastAsia="Verdana" w:hAnsi="Verdana"/>
          <w:color w:val="0072BC"/>
        </w:rPr>
        <w:t xml:space="preserve">nia </w:t>
      </w:r>
      <w:r w:rsidRPr="00B467C8">
        <w:rPr>
          <w:rFonts w:ascii="Verdana" w:eastAsia="Verdana" w:hAnsi="Verdana"/>
          <w:color w:val="0072BC"/>
        </w:rPr>
        <w:t>ewentualnym incydentom.</w:t>
      </w:r>
      <w:r w:rsidRPr="00F07D61">
        <w:rPr>
          <w:rFonts w:ascii="Verdana" w:eastAsia="Verdana" w:hAnsi="Verdana"/>
          <w:color w:val="0072BC"/>
        </w:rPr>
        <w:t xml:space="preserve"> Trybunał</w:t>
      </w:r>
      <w:r w:rsidRPr="006F1CA7">
        <w:rPr>
          <w:rFonts w:ascii="Verdana" w:eastAsia="Verdana" w:hAnsi="Verdana"/>
          <w:color w:val="0072BC"/>
        </w:rPr>
        <w:t xml:space="preserve"> nie </w:t>
      </w:r>
      <w:r w:rsidRPr="001617FD">
        <w:rPr>
          <w:rFonts w:ascii="Verdana" w:eastAsia="Verdana" w:hAnsi="Verdana"/>
          <w:color w:val="0072BC"/>
        </w:rPr>
        <w:t xml:space="preserve">był jednak przekonany, że sporne przepisy stanowią </w:t>
      </w:r>
      <w:r w:rsidR="007824FB" w:rsidRPr="001617FD">
        <w:rPr>
          <w:rFonts w:ascii="Verdana" w:eastAsia="Verdana" w:hAnsi="Verdana"/>
          <w:color w:val="0072BC"/>
        </w:rPr>
        <w:t>wystarczające</w:t>
      </w:r>
      <w:r w:rsidRPr="009720FE">
        <w:rPr>
          <w:rFonts w:ascii="Verdana" w:eastAsia="Verdana" w:hAnsi="Verdana"/>
          <w:color w:val="0072BC"/>
        </w:rPr>
        <w:t xml:space="preserve"> zabezpieczeni</w:t>
      </w:r>
      <w:r w:rsidRPr="007A5F31">
        <w:rPr>
          <w:rFonts w:ascii="Verdana" w:eastAsia="Verdana" w:hAnsi="Verdana"/>
          <w:color w:val="0072BC"/>
        </w:rPr>
        <w:t>e</w:t>
      </w:r>
      <w:r w:rsidRPr="00E1015F">
        <w:rPr>
          <w:rFonts w:ascii="Verdana" w:eastAsia="Verdana" w:hAnsi="Verdana"/>
          <w:color w:val="0072BC"/>
        </w:rPr>
        <w:t xml:space="preserve"> przed </w:t>
      </w:r>
      <w:r w:rsidRPr="00D66926">
        <w:rPr>
          <w:rFonts w:ascii="Verdana" w:eastAsia="Verdana" w:hAnsi="Verdana"/>
          <w:color w:val="0072BC"/>
        </w:rPr>
        <w:t>możliwościami nadużycia.</w:t>
      </w:r>
      <w:r w:rsidR="00176317" w:rsidRPr="006612CF">
        <w:rPr>
          <w:rFonts w:ascii="Verdana" w:eastAsia="Verdana" w:hAnsi="Verdana"/>
          <w:color w:val="0072BC"/>
        </w:rPr>
        <w:t xml:space="preserve"> Z</w:t>
      </w:r>
      <w:r w:rsidR="00176317" w:rsidRPr="00BE55CE">
        <w:rPr>
          <w:rFonts w:ascii="Verdana" w:eastAsia="Verdana" w:hAnsi="Verdana"/>
          <w:color w:val="0072BC"/>
        </w:rPr>
        <w:t xml:space="preserve">akres </w:t>
      </w:r>
      <w:r w:rsidR="00426DFE" w:rsidRPr="00EA6461">
        <w:rPr>
          <w:rFonts w:ascii="Verdana" w:eastAsia="Verdana" w:hAnsi="Verdana"/>
          <w:color w:val="0072BC"/>
        </w:rPr>
        <w:t>zast</w:t>
      </w:r>
      <w:r w:rsidR="00426DFE" w:rsidRPr="00E94ADB">
        <w:rPr>
          <w:rFonts w:ascii="Verdana" w:eastAsia="Verdana" w:hAnsi="Verdana"/>
          <w:color w:val="0072BC"/>
        </w:rPr>
        <w:t xml:space="preserve">osowania </w:t>
      </w:r>
      <w:r w:rsidR="00176317" w:rsidRPr="00E94ADB">
        <w:rPr>
          <w:rFonts w:ascii="Verdana" w:eastAsia="Verdana" w:hAnsi="Verdana"/>
          <w:color w:val="0072BC"/>
        </w:rPr>
        <w:t>środków mógłby obe</w:t>
      </w:r>
      <w:r w:rsidR="00176317" w:rsidRPr="00F8489F">
        <w:rPr>
          <w:rFonts w:ascii="Verdana" w:eastAsia="Verdana" w:hAnsi="Verdana"/>
          <w:color w:val="0072BC"/>
        </w:rPr>
        <w:t xml:space="preserve">jmować praktycznie każdego na Węgrzech, a nowe technologie umożliwiłyby rządowi łatwe przechwytywanie danych dotyczących nawet osób znajdujących się poza pierwotnym zakresem </w:t>
      </w:r>
      <w:r w:rsidR="0015707C">
        <w:rPr>
          <w:rFonts w:ascii="Verdana" w:eastAsia="Verdana" w:hAnsi="Verdana"/>
          <w:color w:val="0072BC"/>
        </w:rPr>
        <w:t>operacji</w:t>
      </w:r>
      <w:r w:rsidR="00176317" w:rsidRPr="00F8489F">
        <w:rPr>
          <w:rFonts w:ascii="Verdana" w:eastAsia="Verdana" w:hAnsi="Verdana"/>
          <w:color w:val="0072BC"/>
        </w:rPr>
        <w:t xml:space="preserve">. Ponadto </w:t>
      </w:r>
      <w:r w:rsidR="00F560B1">
        <w:rPr>
          <w:rFonts w:ascii="Verdana" w:eastAsia="Verdana" w:hAnsi="Verdana"/>
          <w:color w:val="0072BC"/>
        </w:rPr>
        <w:t>zarządzanie</w:t>
      </w:r>
      <w:r w:rsidR="00176317" w:rsidRPr="00F8489F">
        <w:rPr>
          <w:rFonts w:ascii="Verdana" w:eastAsia="Verdana" w:hAnsi="Verdana"/>
          <w:color w:val="0072BC"/>
        </w:rPr>
        <w:t xml:space="preserve"> zastosowani</w:t>
      </w:r>
      <w:r w:rsidR="00F560B1">
        <w:rPr>
          <w:rFonts w:ascii="Verdana" w:eastAsia="Verdana" w:hAnsi="Verdana"/>
          <w:color w:val="0072BC"/>
        </w:rPr>
        <w:t>a</w:t>
      </w:r>
      <w:r w:rsidR="00176317" w:rsidRPr="00F8489F">
        <w:rPr>
          <w:rFonts w:ascii="Verdana" w:eastAsia="Verdana" w:hAnsi="Verdana"/>
          <w:color w:val="0072BC"/>
        </w:rPr>
        <w:t xml:space="preserve"> takich środków odbywał</w:t>
      </w:r>
      <w:r w:rsidR="00F560B1">
        <w:rPr>
          <w:rFonts w:ascii="Verdana" w:eastAsia="Verdana" w:hAnsi="Verdana"/>
          <w:color w:val="0072BC"/>
        </w:rPr>
        <w:t>o</w:t>
      </w:r>
      <w:r w:rsidR="00176317" w:rsidRPr="00F8489F">
        <w:rPr>
          <w:rFonts w:ascii="Verdana" w:eastAsia="Verdana" w:hAnsi="Verdana"/>
          <w:color w:val="0072BC"/>
        </w:rPr>
        <w:t xml:space="preserve"> się w całości w ramach </w:t>
      </w:r>
      <w:r w:rsidR="00F560B1">
        <w:rPr>
          <w:rFonts w:ascii="Verdana" w:eastAsia="Verdana" w:hAnsi="Verdana"/>
          <w:color w:val="0072BC"/>
        </w:rPr>
        <w:t xml:space="preserve">jurysdykcji </w:t>
      </w:r>
      <w:r w:rsidR="00176317" w:rsidRPr="00F8489F">
        <w:rPr>
          <w:rFonts w:ascii="Verdana" w:eastAsia="Verdana" w:hAnsi="Verdana"/>
          <w:color w:val="0072BC"/>
        </w:rPr>
        <w:t xml:space="preserve">władzy wykonawczej, bez oceny czy przechwytywanie komunikacji jest bezwzględnie konieczne, bez skutecznych środków </w:t>
      </w:r>
      <w:r w:rsidR="00F560B1">
        <w:rPr>
          <w:rFonts w:ascii="Verdana" w:eastAsia="Verdana" w:hAnsi="Verdana"/>
          <w:color w:val="0072BC"/>
        </w:rPr>
        <w:t>odwoławczych</w:t>
      </w:r>
      <w:r w:rsidR="00176317" w:rsidRPr="00F8489F">
        <w:rPr>
          <w:rFonts w:ascii="Verdana" w:eastAsia="Verdana" w:hAnsi="Verdana"/>
          <w:color w:val="0072BC"/>
        </w:rPr>
        <w:t xml:space="preserve">, a tym bardziej sądowych. Ponadto Trybunał orzekł, że </w:t>
      </w:r>
      <w:r w:rsidR="00176317" w:rsidRPr="00F8489F">
        <w:rPr>
          <w:rFonts w:ascii="Verdana" w:eastAsia="Verdana" w:hAnsi="Verdana"/>
          <w:b/>
          <w:color w:val="0072BC"/>
        </w:rPr>
        <w:t xml:space="preserve">nie doszło do naruszenia </w:t>
      </w:r>
      <w:r w:rsidR="00F560B1">
        <w:rPr>
          <w:rFonts w:ascii="Verdana" w:eastAsia="Verdana" w:hAnsi="Verdana"/>
          <w:b/>
          <w:color w:val="0072BC"/>
        </w:rPr>
        <w:t>art.</w:t>
      </w:r>
      <w:r w:rsidR="00176317" w:rsidRPr="00F8489F">
        <w:rPr>
          <w:rFonts w:ascii="Verdana" w:eastAsia="Verdana" w:hAnsi="Verdana"/>
          <w:b/>
          <w:color w:val="0072BC"/>
        </w:rPr>
        <w:t xml:space="preserve"> 13</w:t>
      </w:r>
      <w:r w:rsidR="00176317" w:rsidRPr="00F8489F">
        <w:rPr>
          <w:rFonts w:ascii="Verdana" w:eastAsia="Verdana" w:hAnsi="Verdana"/>
          <w:color w:val="0072BC"/>
        </w:rPr>
        <w:t xml:space="preserve"> (prawo do skutecznego środka odwoławczego) Konwencji </w:t>
      </w:r>
      <w:r w:rsidR="00176317" w:rsidRPr="00F8489F">
        <w:rPr>
          <w:rFonts w:ascii="Verdana" w:eastAsia="Verdana" w:hAnsi="Verdana"/>
          <w:b/>
          <w:color w:val="0072BC"/>
        </w:rPr>
        <w:t xml:space="preserve">w związku z </w:t>
      </w:r>
      <w:r w:rsidR="00F560B1">
        <w:rPr>
          <w:rFonts w:ascii="Verdana" w:eastAsia="Verdana" w:hAnsi="Verdana"/>
          <w:b/>
          <w:color w:val="0072BC"/>
        </w:rPr>
        <w:t>art.</w:t>
      </w:r>
      <w:r w:rsidR="00176317" w:rsidRPr="00F8489F">
        <w:rPr>
          <w:rFonts w:ascii="Verdana" w:eastAsia="Verdana" w:hAnsi="Verdana"/>
          <w:b/>
          <w:color w:val="0072BC"/>
        </w:rPr>
        <w:t xml:space="preserve"> 8</w:t>
      </w:r>
      <w:r w:rsidR="00176317" w:rsidRPr="00F8489F">
        <w:rPr>
          <w:rFonts w:ascii="Verdana" w:eastAsia="Verdana" w:hAnsi="Verdana"/>
          <w:color w:val="0072BC"/>
        </w:rPr>
        <w:t xml:space="preserve">, powtarzając, że </w:t>
      </w:r>
      <w:r w:rsidR="00F560B1">
        <w:rPr>
          <w:rFonts w:ascii="Verdana" w:eastAsia="Verdana" w:hAnsi="Verdana"/>
          <w:color w:val="0072BC"/>
        </w:rPr>
        <w:t>art.</w:t>
      </w:r>
      <w:r w:rsidR="00176317" w:rsidRPr="00F8489F">
        <w:rPr>
          <w:rFonts w:ascii="Verdana" w:eastAsia="Verdana" w:hAnsi="Verdana"/>
          <w:color w:val="0072BC"/>
        </w:rPr>
        <w:t xml:space="preserve"> 13 nie może być interpretowany jako wymagający środka odwoławczego w stosunku do </w:t>
      </w:r>
      <w:r w:rsidR="00F560B1">
        <w:rPr>
          <w:rFonts w:ascii="Verdana" w:eastAsia="Verdana" w:hAnsi="Verdana"/>
          <w:color w:val="0072BC"/>
        </w:rPr>
        <w:t xml:space="preserve">stanu </w:t>
      </w:r>
      <w:r w:rsidR="00DE0DAC" w:rsidRPr="00F8489F">
        <w:rPr>
          <w:rFonts w:ascii="Verdana" w:eastAsia="Verdana" w:hAnsi="Verdana"/>
          <w:color w:val="0072BC"/>
        </w:rPr>
        <w:t>prawa</w:t>
      </w:r>
      <w:r w:rsidR="00DE0DAC" w:rsidRPr="005003E7">
        <w:rPr>
          <w:rFonts w:ascii="Verdana" w:eastAsia="Verdana" w:hAnsi="Verdana"/>
          <w:color w:val="0072BC"/>
        </w:rPr>
        <w:t xml:space="preserve"> </w:t>
      </w:r>
      <w:r w:rsidR="00176317" w:rsidRPr="005003E7">
        <w:rPr>
          <w:rFonts w:ascii="Verdana" w:eastAsia="Verdana" w:hAnsi="Verdana"/>
          <w:color w:val="0072BC"/>
        </w:rPr>
        <w:t>krajowego.</w:t>
      </w:r>
    </w:p>
    <w:p w14:paraId="6B6E44AD" w14:textId="2B4F90C4" w:rsidR="00F832FE" w:rsidRPr="00A14197" w:rsidRDefault="006A672D" w:rsidP="00AB713F">
      <w:pPr>
        <w:spacing w:before="120" w:line="0" w:lineRule="atLeast"/>
        <w:ind w:left="740"/>
        <w:rPr>
          <w:rStyle w:val="Hipercze"/>
          <w:rFonts w:ascii="Verdana" w:eastAsia="Verdana" w:hAnsi="Verdana"/>
          <w:b/>
          <w:color w:val="0072BC"/>
        </w:rPr>
      </w:pPr>
      <w:hyperlink r:id="rId25" w:anchor="{%22itemid%22:[%22001-175464%22]}" w:history="1">
        <w:r w:rsidRPr="00500BF2">
          <w:rPr>
            <w:rStyle w:val="Hipercze"/>
            <w:rFonts w:ascii="Verdana" w:eastAsia="Verdana" w:hAnsi="Verdana"/>
            <w:b/>
          </w:rPr>
          <w:t>Mustafa Sezgin Tanrıkulu przeciwko Turcji</w:t>
        </w:r>
      </w:hyperlink>
    </w:p>
    <w:p w14:paraId="004D86E7" w14:textId="77777777" w:rsidR="00F832FE" w:rsidRDefault="00F832FE" w:rsidP="00AB713F">
      <w:pPr>
        <w:spacing w:line="63" w:lineRule="exact"/>
        <w:ind w:left="740"/>
        <w:rPr>
          <w:rFonts w:ascii="Times New Roman" w:eastAsia="Times New Roman" w:hAnsi="Times New Roman"/>
        </w:rPr>
      </w:pPr>
    </w:p>
    <w:p w14:paraId="393D0EAE" w14:textId="77777777" w:rsidR="00F832FE" w:rsidRDefault="00F832FE" w:rsidP="00AB713F">
      <w:pPr>
        <w:spacing w:line="0" w:lineRule="atLeast"/>
        <w:ind w:left="740"/>
        <w:rPr>
          <w:rFonts w:ascii="Verdana" w:eastAsia="Verdana" w:hAnsi="Verdana"/>
          <w:color w:val="808080"/>
          <w:sz w:val="18"/>
        </w:rPr>
      </w:pPr>
      <w:r>
        <w:rPr>
          <w:rFonts w:ascii="Verdana" w:eastAsia="Verdana" w:hAnsi="Verdana"/>
          <w:color w:val="808080"/>
          <w:sz w:val="18"/>
        </w:rPr>
        <w:t xml:space="preserve">18 </w:t>
      </w:r>
      <w:r w:rsidR="002839F5">
        <w:rPr>
          <w:rFonts w:ascii="Verdana" w:eastAsia="Verdana" w:hAnsi="Verdana"/>
          <w:color w:val="808080"/>
          <w:sz w:val="18"/>
        </w:rPr>
        <w:t>lipca</w:t>
      </w:r>
      <w:r>
        <w:rPr>
          <w:rFonts w:ascii="Verdana" w:eastAsia="Verdana" w:hAnsi="Verdana"/>
          <w:color w:val="808080"/>
          <w:sz w:val="18"/>
        </w:rPr>
        <w:t xml:space="preserve"> 2017</w:t>
      </w:r>
      <w:r w:rsidR="00A95B2F">
        <w:rPr>
          <w:rFonts w:ascii="Verdana" w:eastAsia="Verdana" w:hAnsi="Verdana"/>
          <w:color w:val="808080"/>
          <w:sz w:val="18"/>
        </w:rPr>
        <w:t xml:space="preserve"> roku</w:t>
      </w:r>
    </w:p>
    <w:p w14:paraId="7668FCFB" w14:textId="77777777" w:rsidR="00F832FE" w:rsidRDefault="002839F5" w:rsidP="00AB713F">
      <w:pPr>
        <w:spacing w:line="239" w:lineRule="auto"/>
        <w:ind w:left="740" w:right="20"/>
        <w:jc w:val="both"/>
        <w:rPr>
          <w:rFonts w:ascii="Verdana" w:eastAsia="Verdana" w:hAnsi="Verdana"/>
        </w:rPr>
      </w:pPr>
      <w:r>
        <w:rPr>
          <w:rFonts w:ascii="Verdana" w:eastAsia="Verdana" w:hAnsi="Verdana"/>
        </w:rPr>
        <w:t>Skarżący</w:t>
      </w:r>
      <w:r w:rsidR="006A672D">
        <w:rPr>
          <w:rFonts w:ascii="Verdana" w:eastAsia="Verdana" w:hAnsi="Verdana"/>
        </w:rPr>
        <w:t xml:space="preserve"> zarzucał, że sąd krajowy na mocy decyzji z 2005 r</w:t>
      </w:r>
      <w:r w:rsidR="00BC3F70">
        <w:rPr>
          <w:rFonts w:ascii="Verdana" w:eastAsia="Verdana" w:hAnsi="Verdana"/>
        </w:rPr>
        <w:t>oku</w:t>
      </w:r>
      <w:r w:rsidR="006A672D">
        <w:rPr>
          <w:rFonts w:ascii="Verdana" w:eastAsia="Verdana" w:hAnsi="Verdana"/>
        </w:rPr>
        <w:t xml:space="preserve"> pozwolił na przechwytywanie połączeń każdej osoby w Turcji, włączając w to </w:t>
      </w:r>
      <w:r w:rsidR="009C0ACB">
        <w:rPr>
          <w:rFonts w:ascii="Verdana" w:eastAsia="Verdana" w:hAnsi="Verdana"/>
        </w:rPr>
        <w:t>j</w:t>
      </w:r>
      <w:r w:rsidR="006A672D">
        <w:rPr>
          <w:rFonts w:ascii="Verdana" w:eastAsia="Verdana" w:hAnsi="Verdana"/>
        </w:rPr>
        <w:t>ego, przez okres około półtor</w:t>
      </w:r>
      <w:r w:rsidR="00BC3F70">
        <w:rPr>
          <w:rFonts w:ascii="Verdana" w:eastAsia="Verdana" w:hAnsi="Verdana"/>
        </w:rPr>
        <w:t>a</w:t>
      </w:r>
      <w:r w:rsidR="006A672D">
        <w:rPr>
          <w:rFonts w:ascii="Verdana" w:eastAsia="Verdana" w:hAnsi="Verdana"/>
        </w:rPr>
        <w:t xml:space="preserve"> miesiąca. Podnosił w szczególno</w:t>
      </w:r>
      <w:r w:rsidR="00426DFE">
        <w:rPr>
          <w:rFonts w:ascii="Verdana" w:eastAsia="Verdana" w:hAnsi="Verdana"/>
        </w:rPr>
        <w:t>ści</w:t>
      </w:r>
      <w:r w:rsidR="006A672D">
        <w:rPr>
          <w:rFonts w:ascii="Verdana" w:eastAsia="Verdana" w:hAnsi="Verdana"/>
        </w:rPr>
        <w:t xml:space="preserve">, że środki mające na celu przechwytywanie informacji stanowiły nadużycie w stosunku do obowiązującego w tamtym czasie prawa krajowego. Twierdził również, że odmówiono mu skutecznego środka ochrony sądowej, z tego względu, że władze krajowe </w:t>
      </w:r>
      <w:r w:rsidR="00426DFE">
        <w:rPr>
          <w:rFonts w:ascii="Verdana" w:eastAsia="Verdana" w:hAnsi="Verdana"/>
        </w:rPr>
        <w:t>nie przeprowadziły</w:t>
      </w:r>
      <w:r w:rsidR="006A672D">
        <w:rPr>
          <w:rFonts w:ascii="Verdana" w:eastAsia="Verdana" w:hAnsi="Verdana"/>
        </w:rPr>
        <w:t xml:space="preserve"> postępowania w kierunku </w:t>
      </w:r>
      <w:r w:rsidR="00426DFE">
        <w:rPr>
          <w:rFonts w:ascii="Verdana" w:eastAsia="Verdana" w:hAnsi="Verdana"/>
        </w:rPr>
        <w:t>podnoszonych przez niego zarzutów przechwytywania</w:t>
      </w:r>
      <w:r w:rsidR="006A672D">
        <w:rPr>
          <w:rFonts w:ascii="Verdana" w:eastAsia="Verdana" w:hAnsi="Verdana"/>
        </w:rPr>
        <w:t xml:space="preserve"> połączeń.</w:t>
      </w:r>
    </w:p>
    <w:p w14:paraId="34BE1442" w14:textId="77777777" w:rsidR="00F832FE" w:rsidRDefault="00F832FE" w:rsidP="00AB713F">
      <w:pPr>
        <w:spacing w:line="3" w:lineRule="exact"/>
        <w:ind w:left="740"/>
        <w:rPr>
          <w:rFonts w:ascii="Times New Roman" w:eastAsia="Times New Roman" w:hAnsi="Times New Roman"/>
        </w:rPr>
      </w:pPr>
    </w:p>
    <w:p w14:paraId="7B1BF12E" w14:textId="77777777" w:rsidR="009C0ACB" w:rsidRPr="00F8489F" w:rsidRDefault="006A672D" w:rsidP="00AB713F">
      <w:pPr>
        <w:spacing w:line="250" w:lineRule="auto"/>
        <w:ind w:left="740" w:right="20"/>
        <w:jc w:val="both"/>
        <w:rPr>
          <w:rFonts w:ascii="Verdana" w:eastAsia="Verdana" w:hAnsi="Verdana"/>
          <w:color w:val="0072BC"/>
        </w:rPr>
      </w:pPr>
      <w:r>
        <w:rPr>
          <w:rFonts w:ascii="Verdana" w:eastAsia="Verdana" w:hAnsi="Verdana"/>
          <w:color w:val="0072BC"/>
        </w:rPr>
        <w:t xml:space="preserve">Trybunał stwierdził, że </w:t>
      </w:r>
      <w:r w:rsidRPr="006A672D">
        <w:rPr>
          <w:rFonts w:ascii="Verdana" w:eastAsia="Verdana" w:hAnsi="Verdana"/>
          <w:b/>
          <w:color w:val="0072BC"/>
        </w:rPr>
        <w:t xml:space="preserve">doszło do naruszenia </w:t>
      </w:r>
      <w:r w:rsidR="00677D4B">
        <w:rPr>
          <w:rFonts w:ascii="Verdana" w:eastAsia="Verdana" w:hAnsi="Verdana"/>
          <w:b/>
          <w:color w:val="0072BC"/>
        </w:rPr>
        <w:t>art.</w:t>
      </w:r>
      <w:r>
        <w:rPr>
          <w:rFonts w:ascii="Verdana" w:eastAsia="Verdana" w:hAnsi="Verdana"/>
          <w:color w:val="0072BC"/>
        </w:rPr>
        <w:t xml:space="preserve"> </w:t>
      </w:r>
      <w:r w:rsidRPr="006A672D">
        <w:rPr>
          <w:rFonts w:ascii="Verdana" w:eastAsia="Verdana" w:hAnsi="Verdana"/>
          <w:b/>
          <w:color w:val="0072BC"/>
        </w:rPr>
        <w:t>8</w:t>
      </w:r>
      <w:r>
        <w:rPr>
          <w:rFonts w:ascii="Verdana" w:eastAsia="Verdana" w:hAnsi="Verdana"/>
          <w:color w:val="0072BC"/>
        </w:rPr>
        <w:t xml:space="preserve"> Konwencji, uznając, że nakaz przechwytywania połączeń w niniejszej sprawie był niezgodny z prawem. Trybunał orzekł również, że </w:t>
      </w:r>
      <w:r w:rsidRPr="006A672D">
        <w:rPr>
          <w:rFonts w:ascii="Verdana" w:eastAsia="Verdana" w:hAnsi="Verdana"/>
          <w:b/>
          <w:color w:val="0072BC"/>
        </w:rPr>
        <w:t xml:space="preserve">doszło do naruszenia </w:t>
      </w:r>
      <w:r w:rsidR="00677D4B">
        <w:rPr>
          <w:rFonts w:ascii="Verdana" w:eastAsia="Verdana" w:hAnsi="Verdana"/>
          <w:b/>
          <w:color w:val="0072BC"/>
        </w:rPr>
        <w:t>art.</w:t>
      </w:r>
      <w:r w:rsidRPr="006A672D">
        <w:rPr>
          <w:rFonts w:ascii="Verdana" w:eastAsia="Verdana" w:hAnsi="Verdana"/>
          <w:b/>
          <w:color w:val="0072BC"/>
        </w:rPr>
        <w:t xml:space="preserve"> 13</w:t>
      </w:r>
      <w:r>
        <w:rPr>
          <w:rFonts w:ascii="Verdana" w:eastAsia="Verdana" w:hAnsi="Verdana"/>
          <w:color w:val="0072BC"/>
        </w:rPr>
        <w:t xml:space="preserve"> Konwencji (prawo do skutecznego środka odwoławczego).</w:t>
      </w:r>
    </w:p>
    <w:p w14:paraId="7A005D4E" w14:textId="0F28430D" w:rsidR="00F832FE" w:rsidRPr="00A14197" w:rsidRDefault="00151D4E" w:rsidP="00AB713F">
      <w:pPr>
        <w:spacing w:before="120" w:line="0" w:lineRule="atLeast"/>
        <w:ind w:left="740"/>
        <w:rPr>
          <w:rStyle w:val="Hipercze"/>
          <w:rFonts w:ascii="Verdana" w:hAnsi="Verdana"/>
          <w:b/>
          <w:color w:val="0072BC"/>
        </w:rPr>
      </w:pPr>
      <w:hyperlink r:id="rId26" w:anchor="{%22itemid%22:[%22003-5999245-7685292%22]}" w:history="1">
        <w:r w:rsidRPr="00500BF2">
          <w:rPr>
            <w:rStyle w:val="Hipercze"/>
            <w:rFonts w:ascii="Verdana" w:hAnsi="Verdana"/>
            <w:b/>
          </w:rPr>
          <w:t>Ben Faiza przeciwko Francji</w:t>
        </w:r>
      </w:hyperlink>
    </w:p>
    <w:p w14:paraId="7B08733E" w14:textId="77777777" w:rsidR="00F832FE" w:rsidRDefault="00F832FE" w:rsidP="00AB713F">
      <w:pPr>
        <w:spacing w:line="63" w:lineRule="exact"/>
        <w:ind w:left="740"/>
        <w:rPr>
          <w:rFonts w:ascii="Times New Roman" w:eastAsia="Times New Roman" w:hAnsi="Times New Roman"/>
        </w:rPr>
      </w:pPr>
    </w:p>
    <w:p w14:paraId="0E39FFBF" w14:textId="77777777" w:rsidR="00F832FE" w:rsidRDefault="00151D4E" w:rsidP="00AB713F">
      <w:pPr>
        <w:spacing w:line="0" w:lineRule="atLeast"/>
        <w:ind w:left="740"/>
        <w:rPr>
          <w:rFonts w:ascii="Verdana" w:eastAsia="Verdana" w:hAnsi="Verdana"/>
          <w:color w:val="808080"/>
          <w:sz w:val="18"/>
        </w:rPr>
      </w:pPr>
      <w:r>
        <w:rPr>
          <w:rFonts w:ascii="Verdana" w:eastAsia="Verdana" w:hAnsi="Verdana"/>
          <w:color w:val="808080"/>
          <w:sz w:val="18"/>
        </w:rPr>
        <w:t>8 lutego</w:t>
      </w:r>
      <w:r w:rsidR="00F832FE">
        <w:rPr>
          <w:rFonts w:ascii="Verdana" w:eastAsia="Verdana" w:hAnsi="Verdana"/>
          <w:color w:val="808080"/>
          <w:sz w:val="18"/>
        </w:rPr>
        <w:t xml:space="preserve"> 2018</w:t>
      </w:r>
      <w:r w:rsidR="00A95B2F">
        <w:rPr>
          <w:rFonts w:ascii="Verdana" w:eastAsia="Verdana" w:hAnsi="Verdana"/>
          <w:color w:val="808080"/>
          <w:sz w:val="18"/>
        </w:rPr>
        <w:t xml:space="preserve"> roku</w:t>
      </w:r>
    </w:p>
    <w:p w14:paraId="6214FD5B" w14:textId="77777777" w:rsidR="00151D4E" w:rsidRDefault="00151D4E" w:rsidP="00AB713F">
      <w:pPr>
        <w:spacing w:line="0" w:lineRule="atLeast"/>
        <w:ind w:left="740"/>
        <w:rPr>
          <w:rFonts w:ascii="Verdana" w:eastAsia="Verdana" w:hAnsi="Verdana"/>
        </w:rPr>
      </w:pPr>
      <w:r>
        <w:rPr>
          <w:rFonts w:ascii="Verdana" w:eastAsia="Verdana" w:hAnsi="Verdana"/>
        </w:rPr>
        <w:t>Zobacz powyżej, pod „dane GPS”</w:t>
      </w:r>
    </w:p>
    <w:p w14:paraId="5A486406" w14:textId="68B80228" w:rsidR="00F832FE" w:rsidRPr="00A14197" w:rsidRDefault="00151D4E" w:rsidP="00AB713F">
      <w:pPr>
        <w:spacing w:before="120" w:line="0" w:lineRule="atLeast"/>
        <w:ind w:left="740"/>
        <w:rPr>
          <w:rStyle w:val="Hipercze"/>
          <w:rFonts w:ascii="Verdana" w:hAnsi="Verdana"/>
          <w:b/>
          <w:color w:val="0072BC"/>
        </w:rPr>
      </w:pPr>
      <w:hyperlink r:id="rId27" w:anchor="{%22itemid%22:[%22003-6069932-7814155%22]}" w:history="1">
        <w:r w:rsidRPr="007C6EA3">
          <w:rPr>
            <w:rStyle w:val="Hipercze"/>
            <w:rFonts w:ascii="Verdana" w:hAnsi="Verdana"/>
            <w:b/>
          </w:rPr>
          <w:t>Benedik przeciwko</w:t>
        </w:r>
        <w:r w:rsidR="00F832FE" w:rsidRPr="007C6EA3">
          <w:rPr>
            <w:rStyle w:val="Hipercze"/>
            <w:rFonts w:ascii="Verdana" w:hAnsi="Verdana"/>
            <w:b/>
          </w:rPr>
          <w:t xml:space="preserve"> S</w:t>
        </w:r>
        <w:r w:rsidRPr="007C6EA3">
          <w:rPr>
            <w:rStyle w:val="Hipercze"/>
            <w:rFonts w:ascii="Verdana" w:hAnsi="Verdana"/>
            <w:b/>
          </w:rPr>
          <w:t>łowenii</w:t>
        </w:r>
      </w:hyperlink>
    </w:p>
    <w:p w14:paraId="26321D76" w14:textId="77777777" w:rsidR="00126BD5" w:rsidRPr="00043280" w:rsidRDefault="00126BD5" w:rsidP="00AB713F">
      <w:pPr>
        <w:spacing w:line="233" w:lineRule="auto"/>
        <w:ind w:left="740"/>
      </w:pPr>
      <w:r>
        <w:rPr>
          <w:rFonts w:ascii="Verdana" w:eastAsia="Verdana" w:hAnsi="Verdana"/>
          <w:color w:val="808080"/>
          <w:sz w:val="18"/>
        </w:rPr>
        <w:t>24 kwietnia</w:t>
      </w:r>
      <w:r w:rsidR="00F832FE">
        <w:rPr>
          <w:rFonts w:ascii="Verdana" w:eastAsia="Verdana" w:hAnsi="Verdana"/>
          <w:color w:val="808080"/>
          <w:sz w:val="18"/>
        </w:rPr>
        <w:t xml:space="preserve"> 201</w:t>
      </w:r>
      <w:r w:rsidR="009C0ACB">
        <w:rPr>
          <w:rFonts w:ascii="Verdana" w:eastAsia="Verdana" w:hAnsi="Verdana"/>
          <w:color w:val="808080"/>
          <w:sz w:val="18"/>
        </w:rPr>
        <w:t>8 roku</w:t>
      </w:r>
    </w:p>
    <w:p w14:paraId="6BA10531" w14:textId="77777777" w:rsidR="00F832FE" w:rsidRDefault="00F832FE" w:rsidP="00AB713F">
      <w:pPr>
        <w:spacing w:line="1" w:lineRule="exact"/>
        <w:ind w:left="740"/>
        <w:rPr>
          <w:rFonts w:ascii="Times New Roman" w:eastAsia="Times New Roman" w:hAnsi="Times New Roman"/>
        </w:rPr>
      </w:pPr>
    </w:p>
    <w:p w14:paraId="1B511407" w14:textId="77777777" w:rsidR="00126BD5" w:rsidRDefault="00126BD5" w:rsidP="00AB713F">
      <w:pPr>
        <w:spacing w:line="239" w:lineRule="auto"/>
        <w:ind w:left="740"/>
        <w:jc w:val="both"/>
        <w:rPr>
          <w:rFonts w:ascii="Verdana" w:eastAsia="Verdana" w:hAnsi="Verdana"/>
        </w:rPr>
      </w:pPr>
      <w:r w:rsidRPr="00126BD5">
        <w:rPr>
          <w:rFonts w:ascii="Verdana" w:eastAsia="Verdana" w:hAnsi="Verdana"/>
        </w:rPr>
        <w:t>Sprawa ta dotyczyła nieuzyskania przez słoweńską policję nakazu sądowego</w:t>
      </w:r>
      <w:r w:rsidR="00426DFE">
        <w:rPr>
          <w:rFonts w:ascii="Verdana" w:eastAsia="Verdana" w:hAnsi="Verdana"/>
        </w:rPr>
        <w:t xml:space="preserve"> przyzna</w:t>
      </w:r>
      <w:r w:rsidR="0074792C">
        <w:rPr>
          <w:rFonts w:ascii="Verdana" w:eastAsia="Verdana" w:hAnsi="Verdana"/>
        </w:rPr>
        <w:t>jącego</w:t>
      </w:r>
      <w:r w:rsidRPr="00126BD5">
        <w:rPr>
          <w:rFonts w:ascii="Verdana" w:eastAsia="Verdana" w:hAnsi="Verdana"/>
        </w:rPr>
        <w:t xml:space="preserve"> dostęp</w:t>
      </w:r>
      <w:r w:rsidR="0074792C">
        <w:rPr>
          <w:rFonts w:ascii="Verdana" w:eastAsia="Verdana" w:hAnsi="Verdana"/>
        </w:rPr>
        <w:t xml:space="preserve"> </w:t>
      </w:r>
      <w:r w:rsidRPr="00126BD5">
        <w:rPr>
          <w:rFonts w:ascii="Verdana" w:eastAsia="Verdana" w:hAnsi="Verdana"/>
        </w:rPr>
        <w:t>do inform</w:t>
      </w:r>
      <w:r>
        <w:rPr>
          <w:rFonts w:ascii="Verdana" w:eastAsia="Verdana" w:hAnsi="Verdana"/>
        </w:rPr>
        <w:t xml:space="preserve">acji abonenckich </w:t>
      </w:r>
      <w:r w:rsidR="00A25799">
        <w:rPr>
          <w:rFonts w:ascii="Verdana" w:eastAsia="Verdana" w:hAnsi="Verdana"/>
        </w:rPr>
        <w:t xml:space="preserve">dotyczących zmiennego </w:t>
      </w:r>
      <w:r w:rsidRPr="00126BD5">
        <w:rPr>
          <w:rFonts w:ascii="Verdana" w:eastAsia="Verdana" w:hAnsi="Verdana"/>
        </w:rPr>
        <w:t>adres</w:t>
      </w:r>
      <w:r w:rsidR="00A25799">
        <w:rPr>
          <w:rFonts w:ascii="Verdana" w:eastAsia="Verdana" w:hAnsi="Verdana"/>
        </w:rPr>
        <w:t>u</w:t>
      </w:r>
      <w:r w:rsidRPr="00126BD5">
        <w:rPr>
          <w:rFonts w:ascii="Verdana" w:eastAsia="Verdana" w:hAnsi="Verdana"/>
        </w:rPr>
        <w:t xml:space="preserve"> </w:t>
      </w:r>
      <w:r w:rsidR="00426DFE">
        <w:rPr>
          <w:rFonts w:ascii="Verdana" w:eastAsia="Verdana" w:hAnsi="Verdana"/>
        </w:rPr>
        <w:t xml:space="preserve">IP, </w:t>
      </w:r>
      <w:r w:rsidR="00677D4B">
        <w:rPr>
          <w:rFonts w:ascii="Verdana" w:eastAsia="Verdana" w:hAnsi="Verdana"/>
        </w:rPr>
        <w:t>odnotowanych</w:t>
      </w:r>
      <w:r w:rsidR="00426DFE">
        <w:rPr>
          <w:rFonts w:ascii="Verdana" w:eastAsia="Verdana" w:hAnsi="Verdana"/>
        </w:rPr>
        <w:t xml:space="preserve"> </w:t>
      </w:r>
      <w:r w:rsidRPr="00126BD5">
        <w:rPr>
          <w:rFonts w:ascii="Verdana" w:eastAsia="Verdana" w:hAnsi="Verdana"/>
        </w:rPr>
        <w:t xml:space="preserve">przez szwajcarskie organy </w:t>
      </w:r>
      <w:r w:rsidR="00677D4B">
        <w:rPr>
          <w:rFonts w:ascii="Verdana" w:eastAsia="Verdana" w:hAnsi="Verdana"/>
        </w:rPr>
        <w:t xml:space="preserve">ścigania </w:t>
      </w:r>
      <w:r w:rsidRPr="00126BD5">
        <w:rPr>
          <w:rFonts w:ascii="Verdana" w:eastAsia="Verdana" w:hAnsi="Verdana"/>
        </w:rPr>
        <w:t>podczas monitorowania użytkownikó</w:t>
      </w:r>
      <w:r w:rsidR="00426DFE">
        <w:rPr>
          <w:rFonts w:ascii="Verdana" w:eastAsia="Verdana" w:hAnsi="Verdana"/>
        </w:rPr>
        <w:t>w pewnej sieci</w:t>
      </w:r>
      <w:r w:rsidR="00677D4B">
        <w:rPr>
          <w:rFonts w:ascii="Verdana" w:eastAsia="Verdana" w:hAnsi="Verdana"/>
        </w:rPr>
        <w:t xml:space="preserve"> </w:t>
      </w:r>
      <w:r w:rsidR="00426DFE">
        <w:rPr>
          <w:rFonts w:ascii="Verdana" w:eastAsia="Verdana" w:hAnsi="Verdana"/>
        </w:rPr>
        <w:t xml:space="preserve">wymiany </w:t>
      </w:r>
      <w:r>
        <w:rPr>
          <w:rFonts w:ascii="Verdana" w:eastAsia="Verdana" w:hAnsi="Verdana"/>
        </w:rPr>
        <w:t xml:space="preserve">plików. </w:t>
      </w:r>
      <w:r w:rsidRPr="00126BD5">
        <w:rPr>
          <w:rFonts w:ascii="Verdana" w:eastAsia="Verdana" w:hAnsi="Verdana"/>
        </w:rPr>
        <w:t xml:space="preserve">Doprowadziło to do zidentyfikowania skarżącego po </w:t>
      </w:r>
      <w:r>
        <w:rPr>
          <w:rFonts w:ascii="Verdana" w:eastAsia="Verdana" w:hAnsi="Verdana"/>
        </w:rPr>
        <w:t>tym, jak zamieścił w sieci plik</w:t>
      </w:r>
      <w:r w:rsidR="0074792C">
        <w:rPr>
          <w:rFonts w:ascii="Verdana" w:eastAsia="Verdana" w:hAnsi="Verdana"/>
        </w:rPr>
        <w:t>i</w:t>
      </w:r>
      <w:r w:rsidRPr="00126BD5">
        <w:rPr>
          <w:rFonts w:ascii="Verdana" w:eastAsia="Verdana" w:hAnsi="Verdana"/>
        </w:rPr>
        <w:t>, w tym</w:t>
      </w:r>
      <w:r>
        <w:rPr>
          <w:rFonts w:ascii="Verdana" w:eastAsia="Verdana" w:hAnsi="Verdana"/>
        </w:rPr>
        <w:t xml:space="preserve"> </w:t>
      </w:r>
      <w:r w:rsidR="0074792C">
        <w:rPr>
          <w:rFonts w:ascii="Verdana" w:eastAsia="Verdana" w:hAnsi="Verdana"/>
        </w:rPr>
        <w:t>takie</w:t>
      </w:r>
      <w:r w:rsidR="00A25799">
        <w:rPr>
          <w:rFonts w:ascii="Verdana" w:eastAsia="Verdana" w:hAnsi="Verdana"/>
        </w:rPr>
        <w:t>,</w:t>
      </w:r>
      <w:r w:rsidR="0074792C">
        <w:rPr>
          <w:rFonts w:ascii="Verdana" w:eastAsia="Verdana" w:hAnsi="Verdana"/>
        </w:rPr>
        <w:t xml:space="preserve"> które zawierały dziecięcą</w:t>
      </w:r>
      <w:r w:rsidR="0074792C" w:rsidRPr="00126BD5">
        <w:rPr>
          <w:rFonts w:ascii="Verdana" w:eastAsia="Verdana" w:hAnsi="Verdana"/>
        </w:rPr>
        <w:t xml:space="preserve"> </w:t>
      </w:r>
      <w:r w:rsidRPr="00126BD5">
        <w:rPr>
          <w:rFonts w:ascii="Verdana" w:eastAsia="Verdana" w:hAnsi="Verdana"/>
        </w:rPr>
        <w:t>pornografi</w:t>
      </w:r>
      <w:r w:rsidR="0074792C">
        <w:rPr>
          <w:rFonts w:ascii="Verdana" w:eastAsia="Verdana" w:hAnsi="Verdana"/>
        </w:rPr>
        <w:t>ę</w:t>
      </w:r>
      <w:r w:rsidRPr="00126BD5">
        <w:rPr>
          <w:rFonts w:ascii="Verdana" w:eastAsia="Verdana" w:hAnsi="Verdana"/>
        </w:rPr>
        <w:t>.</w:t>
      </w:r>
    </w:p>
    <w:p w14:paraId="107A0153" w14:textId="77777777" w:rsidR="00A25799" w:rsidRDefault="00126BD5" w:rsidP="00AB713F">
      <w:pPr>
        <w:spacing w:line="239" w:lineRule="auto"/>
        <w:ind w:left="740"/>
        <w:jc w:val="both"/>
        <w:rPr>
          <w:rFonts w:ascii="Verdana" w:eastAsia="Verdana" w:hAnsi="Verdana"/>
          <w:color w:val="0070C0"/>
        </w:rPr>
      </w:pPr>
      <w:r w:rsidRPr="00126BD5">
        <w:rPr>
          <w:rFonts w:ascii="Verdana" w:eastAsia="Verdana" w:hAnsi="Verdana"/>
          <w:color w:val="0070C0"/>
        </w:rPr>
        <w:t xml:space="preserve">Trybunał orzekł, że </w:t>
      </w:r>
      <w:r>
        <w:rPr>
          <w:rFonts w:ascii="Verdana" w:eastAsia="Verdana" w:hAnsi="Verdana"/>
          <w:b/>
          <w:color w:val="0070C0"/>
        </w:rPr>
        <w:t xml:space="preserve">doszło do naruszenia </w:t>
      </w:r>
      <w:r w:rsidR="00677D4B">
        <w:rPr>
          <w:rFonts w:ascii="Verdana" w:eastAsia="Verdana" w:hAnsi="Verdana"/>
          <w:b/>
          <w:color w:val="0070C0"/>
        </w:rPr>
        <w:t>art.</w:t>
      </w:r>
      <w:r>
        <w:rPr>
          <w:rFonts w:ascii="Verdana" w:eastAsia="Verdana" w:hAnsi="Verdana"/>
          <w:b/>
          <w:color w:val="0070C0"/>
        </w:rPr>
        <w:t xml:space="preserve"> </w:t>
      </w:r>
      <w:r w:rsidRPr="00126BD5">
        <w:rPr>
          <w:rFonts w:ascii="Verdana" w:eastAsia="Verdana" w:hAnsi="Verdana"/>
          <w:b/>
          <w:color w:val="0070C0"/>
        </w:rPr>
        <w:t>8</w:t>
      </w:r>
      <w:r w:rsidR="00D32D57">
        <w:rPr>
          <w:rFonts w:ascii="Verdana" w:eastAsia="Verdana" w:hAnsi="Verdana"/>
          <w:b/>
          <w:color w:val="0070C0"/>
        </w:rPr>
        <w:t xml:space="preserve"> </w:t>
      </w:r>
      <w:r w:rsidR="00D32D57" w:rsidRPr="00D32D57">
        <w:rPr>
          <w:rFonts w:ascii="Verdana" w:eastAsia="Verdana" w:hAnsi="Verdana"/>
          <w:color w:val="0070C0"/>
        </w:rPr>
        <w:t>Konwencji</w:t>
      </w:r>
      <w:r w:rsidRPr="00126BD5">
        <w:rPr>
          <w:rFonts w:ascii="Verdana" w:eastAsia="Verdana" w:hAnsi="Verdana"/>
          <w:color w:val="0070C0"/>
        </w:rPr>
        <w:t xml:space="preserve"> (prawo do poszanowania życia prywatneg</w:t>
      </w:r>
      <w:r w:rsidR="00D32D57">
        <w:rPr>
          <w:rFonts w:ascii="Verdana" w:eastAsia="Verdana" w:hAnsi="Verdana"/>
          <w:color w:val="0070C0"/>
        </w:rPr>
        <w:t>o).</w:t>
      </w:r>
      <w:r>
        <w:rPr>
          <w:rFonts w:ascii="Verdana" w:eastAsia="Verdana" w:hAnsi="Verdana"/>
          <w:color w:val="0070C0"/>
        </w:rPr>
        <w:t xml:space="preserve"> Stwierdził</w:t>
      </w:r>
      <w:r w:rsidRPr="00126BD5">
        <w:rPr>
          <w:rFonts w:ascii="Verdana" w:eastAsia="Verdana" w:hAnsi="Verdana"/>
          <w:color w:val="0070C0"/>
        </w:rPr>
        <w:t xml:space="preserve"> w szczególności, że przepis prawny stosowany przez policję w celu uzyskania infor</w:t>
      </w:r>
      <w:r>
        <w:rPr>
          <w:rFonts w:ascii="Verdana" w:eastAsia="Verdana" w:hAnsi="Verdana"/>
          <w:color w:val="0070C0"/>
        </w:rPr>
        <w:t>macji abonenckich związanych ze zmiennym adresem IP nie wypełniał konwencyjnego standardu „zgodności z prawem”</w:t>
      </w:r>
      <w:r w:rsidRPr="00126BD5">
        <w:rPr>
          <w:rFonts w:ascii="Verdana" w:eastAsia="Verdana" w:hAnsi="Verdana"/>
          <w:color w:val="0070C0"/>
        </w:rPr>
        <w:t xml:space="preserve">. Przepis ten nie był jasny, nie </w:t>
      </w:r>
      <w:r w:rsidRPr="00126BD5">
        <w:rPr>
          <w:rFonts w:ascii="Verdana" w:eastAsia="Verdana" w:hAnsi="Verdana"/>
          <w:color w:val="0070C0"/>
        </w:rPr>
        <w:lastRenderedPageBreak/>
        <w:t>zapewniał praktycznie żadnej ochrony przed arbitralną ingerencją,</w:t>
      </w:r>
      <w:r w:rsidR="00A25799">
        <w:rPr>
          <w:rFonts w:ascii="Verdana" w:eastAsia="Verdana" w:hAnsi="Verdana"/>
          <w:color w:val="0070C0"/>
        </w:rPr>
        <w:t xml:space="preserve"> </w:t>
      </w:r>
      <w:r w:rsidRPr="00126BD5">
        <w:rPr>
          <w:rFonts w:ascii="Verdana" w:eastAsia="Verdana" w:hAnsi="Verdana"/>
          <w:color w:val="0070C0"/>
        </w:rPr>
        <w:t>nie zawierał żadnych zabezpieczeń przed nadużyciami</w:t>
      </w:r>
      <w:r w:rsidR="00677D4B">
        <w:rPr>
          <w:rFonts w:ascii="Verdana" w:eastAsia="Verdana" w:hAnsi="Verdana"/>
          <w:color w:val="0070C0"/>
        </w:rPr>
        <w:t xml:space="preserve">, ani </w:t>
      </w:r>
      <w:r w:rsidRPr="00126BD5">
        <w:rPr>
          <w:rFonts w:ascii="Verdana" w:eastAsia="Verdana" w:hAnsi="Verdana"/>
          <w:color w:val="0070C0"/>
        </w:rPr>
        <w:t>niezależne</w:t>
      </w:r>
      <w:r w:rsidR="00A25799">
        <w:rPr>
          <w:rFonts w:ascii="Verdana" w:eastAsia="Verdana" w:hAnsi="Verdana"/>
          <w:color w:val="0070C0"/>
        </w:rPr>
        <w:t>go</w:t>
      </w:r>
      <w:r w:rsidRPr="00126BD5">
        <w:rPr>
          <w:rFonts w:ascii="Verdana" w:eastAsia="Verdana" w:hAnsi="Verdana"/>
          <w:color w:val="0070C0"/>
        </w:rPr>
        <w:t xml:space="preserve"> nadzor</w:t>
      </w:r>
      <w:r w:rsidR="00A25799">
        <w:rPr>
          <w:rFonts w:ascii="Verdana" w:eastAsia="Verdana" w:hAnsi="Verdana"/>
          <w:color w:val="0070C0"/>
        </w:rPr>
        <w:t>u</w:t>
      </w:r>
      <w:r w:rsidRPr="00126BD5">
        <w:rPr>
          <w:rFonts w:ascii="Verdana" w:eastAsia="Verdana" w:hAnsi="Verdana"/>
          <w:color w:val="0070C0"/>
        </w:rPr>
        <w:t xml:space="preserve"> </w:t>
      </w:r>
      <w:r>
        <w:rPr>
          <w:rFonts w:ascii="Verdana" w:eastAsia="Verdana" w:hAnsi="Verdana"/>
          <w:color w:val="0070C0"/>
        </w:rPr>
        <w:t>nad</w:t>
      </w:r>
      <w:r w:rsidR="00D32D57">
        <w:rPr>
          <w:rFonts w:ascii="Verdana" w:eastAsia="Verdana" w:hAnsi="Verdana"/>
          <w:color w:val="0070C0"/>
        </w:rPr>
        <w:t xml:space="preserve"> działaniami</w:t>
      </w:r>
      <w:r>
        <w:rPr>
          <w:rFonts w:ascii="Verdana" w:eastAsia="Verdana" w:hAnsi="Verdana"/>
          <w:color w:val="0070C0"/>
        </w:rPr>
        <w:t xml:space="preserve"> polic</w:t>
      </w:r>
      <w:r w:rsidR="00A25799">
        <w:rPr>
          <w:rFonts w:ascii="Verdana" w:eastAsia="Verdana" w:hAnsi="Verdana"/>
          <w:color w:val="0070C0"/>
        </w:rPr>
        <w:t>ji.</w:t>
      </w:r>
    </w:p>
    <w:p w14:paraId="33918A25" w14:textId="0FFCF2EF" w:rsidR="00FD2E8E" w:rsidRPr="00A14197" w:rsidRDefault="00FD2E8E" w:rsidP="00AB713F">
      <w:pPr>
        <w:spacing w:before="120" w:line="0" w:lineRule="atLeast"/>
        <w:ind w:left="740"/>
        <w:rPr>
          <w:rStyle w:val="Hipercze"/>
          <w:rFonts w:ascii="Verdana" w:hAnsi="Verdana"/>
          <w:b/>
          <w:color w:val="0072BC"/>
        </w:rPr>
      </w:pPr>
      <w:hyperlink r:id="rId28" w:anchor="{%22itemid%22:[%22003-6581519-8718116%22]}" w:history="1">
        <w:r w:rsidRPr="007C6EA3">
          <w:rPr>
            <w:rStyle w:val="Hipercze"/>
            <w:rFonts w:ascii="Verdana" w:hAnsi="Verdana"/>
            <w:b/>
          </w:rPr>
          <w:t>Hambardzumyan przeciwko Armenii</w:t>
        </w:r>
      </w:hyperlink>
      <w:r w:rsidRPr="00A14197">
        <w:rPr>
          <w:rStyle w:val="Hipercze"/>
          <w:rFonts w:ascii="Verdana" w:hAnsi="Verdana"/>
          <w:b/>
          <w:color w:val="0072BC"/>
        </w:rPr>
        <w:t xml:space="preserve"> </w:t>
      </w:r>
    </w:p>
    <w:p w14:paraId="716D81BC" w14:textId="77777777" w:rsidR="00FD2E8E" w:rsidRPr="00FD2E8E" w:rsidRDefault="00FD2E8E" w:rsidP="00AB713F">
      <w:pPr>
        <w:spacing w:line="233" w:lineRule="auto"/>
        <w:ind w:left="740"/>
        <w:rPr>
          <w:rFonts w:ascii="Verdana" w:eastAsia="Verdana" w:hAnsi="Verdana"/>
          <w:color w:val="808080"/>
          <w:sz w:val="18"/>
          <w:vertAlign w:val="superscript"/>
        </w:rPr>
      </w:pPr>
      <w:r w:rsidRPr="00FD2E8E">
        <w:rPr>
          <w:rFonts w:ascii="Verdana" w:eastAsia="Verdana" w:hAnsi="Verdana"/>
          <w:color w:val="808080"/>
          <w:sz w:val="18"/>
        </w:rPr>
        <w:t xml:space="preserve">5 </w:t>
      </w:r>
      <w:r>
        <w:rPr>
          <w:rFonts w:ascii="Verdana" w:eastAsia="Verdana" w:hAnsi="Verdana"/>
          <w:color w:val="808080"/>
          <w:sz w:val="18"/>
        </w:rPr>
        <w:t>grudnia</w:t>
      </w:r>
      <w:r w:rsidRPr="00FD2E8E">
        <w:rPr>
          <w:rFonts w:ascii="Verdana" w:eastAsia="Verdana" w:hAnsi="Verdana"/>
          <w:color w:val="808080"/>
          <w:sz w:val="18"/>
        </w:rPr>
        <w:t xml:space="preserve"> 2019</w:t>
      </w:r>
      <w:r>
        <w:rPr>
          <w:rFonts w:ascii="Verdana" w:eastAsia="Verdana" w:hAnsi="Verdana"/>
          <w:color w:val="808080"/>
          <w:sz w:val="18"/>
        </w:rPr>
        <w:t xml:space="preserve"> roku</w:t>
      </w:r>
    </w:p>
    <w:p w14:paraId="1116F067" w14:textId="77777777" w:rsidR="00FD2E8E" w:rsidRPr="00FD2E8E" w:rsidRDefault="00FD2E8E" w:rsidP="00AB713F">
      <w:pPr>
        <w:tabs>
          <w:tab w:val="left" w:pos="1428"/>
        </w:tabs>
        <w:spacing w:line="239" w:lineRule="auto"/>
        <w:ind w:left="740"/>
        <w:jc w:val="both"/>
        <w:rPr>
          <w:rFonts w:ascii="Verdana" w:eastAsia="Verdana" w:hAnsi="Verdana"/>
        </w:rPr>
      </w:pPr>
      <w:r w:rsidRPr="00FD2E8E">
        <w:rPr>
          <w:rFonts w:ascii="Verdana" w:eastAsia="Verdana" w:hAnsi="Verdana"/>
        </w:rPr>
        <w:t xml:space="preserve">Skarżąca zarzuciła, że </w:t>
      </w:r>
      <w:r w:rsidRPr="00FD2E8E">
        <w:rPr>
          <w:rFonts w:ascii="Arial" w:eastAsia="Verdana" w:hAnsi="Arial"/>
        </w:rPr>
        <w:t>​​</w:t>
      </w:r>
      <w:r w:rsidRPr="00FD2E8E">
        <w:rPr>
          <w:rFonts w:ascii="Verdana" w:eastAsia="Verdana" w:hAnsi="Verdana"/>
        </w:rPr>
        <w:t>policja nie mia</w:t>
      </w:r>
      <w:r w:rsidRPr="00FD2E8E">
        <w:rPr>
          <w:rFonts w:ascii="Verdana" w:eastAsia="Verdana" w:hAnsi="Verdana" w:cs="Verdana"/>
        </w:rPr>
        <w:t>ł</w:t>
      </w:r>
      <w:r w:rsidRPr="00FD2E8E">
        <w:rPr>
          <w:rFonts w:ascii="Verdana" w:eastAsia="Verdana" w:hAnsi="Verdana"/>
        </w:rPr>
        <w:t>a wa</w:t>
      </w:r>
      <w:r w:rsidRPr="00FD2E8E">
        <w:rPr>
          <w:rFonts w:ascii="Verdana" w:eastAsia="Verdana" w:hAnsi="Verdana" w:cs="Verdana"/>
        </w:rPr>
        <w:t>ż</w:t>
      </w:r>
      <w:r w:rsidRPr="00FD2E8E">
        <w:rPr>
          <w:rFonts w:ascii="Verdana" w:eastAsia="Verdana" w:hAnsi="Verdana"/>
        </w:rPr>
        <w:t>nego nakazu s</w:t>
      </w:r>
      <w:r w:rsidRPr="00FD2E8E">
        <w:rPr>
          <w:rFonts w:ascii="Verdana" w:eastAsia="Verdana" w:hAnsi="Verdana" w:cs="Verdana"/>
        </w:rPr>
        <w:t>ą</w:t>
      </w:r>
      <w:r w:rsidRPr="00FD2E8E">
        <w:rPr>
          <w:rFonts w:ascii="Verdana" w:eastAsia="Verdana" w:hAnsi="Verdana"/>
        </w:rPr>
        <w:t>dowego, aby umie</w:t>
      </w:r>
      <w:r w:rsidRPr="00FD2E8E">
        <w:rPr>
          <w:rFonts w:ascii="Verdana" w:eastAsia="Verdana" w:hAnsi="Verdana" w:cs="Verdana"/>
        </w:rPr>
        <w:t>ś</w:t>
      </w:r>
      <w:r w:rsidRPr="00FD2E8E">
        <w:rPr>
          <w:rFonts w:ascii="Verdana" w:eastAsia="Verdana" w:hAnsi="Verdana"/>
        </w:rPr>
        <w:t>ci</w:t>
      </w:r>
      <w:r w:rsidRPr="00FD2E8E">
        <w:rPr>
          <w:rFonts w:ascii="Verdana" w:eastAsia="Verdana" w:hAnsi="Verdana" w:cs="Verdana"/>
        </w:rPr>
        <w:t>ć</w:t>
      </w:r>
      <w:r w:rsidRPr="00FD2E8E">
        <w:rPr>
          <w:rFonts w:ascii="Verdana" w:eastAsia="Verdana" w:hAnsi="Verdana"/>
        </w:rPr>
        <w:t xml:space="preserve"> j</w:t>
      </w:r>
      <w:r w:rsidRPr="00FD2E8E">
        <w:rPr>
          <w:rFonts w:ascii="Verdana" w:eastAsia="Verdana" w:hAnsi="Verdana" w:cs="Verdana"/>
        </w:rPr>
        <w:t>ą</w:t>
      </w:r>
      <w:r w:rsidRPr="00FD2E8E">
        <w:rPr>
          <w:rFonts w:ascii="Verdana" w:eastAsia="Verdana" w:hAnsi="Verdana"/>
        </w:rPr>
        <w:t xml:space="preserve"> pod tajn</w:t>
      </w:r>
      <w:r>
        <w:rPr>
          <w:rFonts w:ascii="Verdana" w:eastAsia="Verdana" w:hAnsi="Verdana"/>
        </w:rPr>
        <w:t>ą</w:t>
      </w:r>
      <w:r w:rsidRPr="00FD2E8E">
        <w:rPr>
          <w:rFonts w:ascii="Verdana" w:eastAsia="Verdana" w:hAnsi="Verdana"/>
        </w:rPr>
        <w:t xml:space="preserve"> </w:t>
      </w:r>
      <w:r>
        <w:rPr>
          <w:rFonts w:ascii="Verdana" w:eastAsia="Verdana" w:hAnsi="Verdana"/>
        </w:rPr>
        <w:t>obserwacją</w:t>
      </w:r>
      <w:r w:rsidRPr="00FD2E8E">
        <w:rPr>
          <w:rFonts w:ascii="Verdana" w:eastAsia="Verdana" w:hAnsi="Verdana"/>
        </w:rPr>
        <w:t xml:space="preserve"> </w:t>
      </w:r>
      <w:r>
        <w:rPr>
          <w:rFonts w:ascii="Verdana" w:eastAsia="Verdana" w:hAnsi="Verdana"/>
        </w:rPr>
        <w:t>w trakcie</w:t>
      </w:r>
      <w:r w:rsidRPr="00FD2E8E">
        <w:rPr>
          <w:rFonts w:ascii="Verdana" w:eastAsia="Verdana" w:hAnsi="Verdana"/>
        </w:rPr>
        <w:t xml:space="preserve"> dochodzenia. Skarżyła się w szczególności na tajną inwigilację i jej późniejsze wykorzystanie w postępowaniu karnym przeciwko niej.</w:t>
      </w:r>
    </w:p>
    <w:p w14:paraId="3811507F" w14:textId="77777777" w:rsidR="00FD2E8E" w:rsidRPr="00FD2E8E" w:rsidRDefault="00FD2E8E" w:rsidP="00AB713F">
      <w:pPr>
        <w:spacing w:line="239" w:lineRule="auto"/>
        <w:ind w:left="740"/>
        <w:jc w:val="both"/>
        <w:rPr>
          <w:rFonts w:ascii="Verdana" w:eastAsia="Verdana" w:hAnsi="Verdana"/>
          <w:color w:val="0070C0"/>
        </w:rPr>
      </w:pPr>
      <w:r w:rsidRPr="00FD2E8E">
        <w:rPr>
          <w:rFonts w:ascii="Verdana" w:eastAsia="Verdana" w:hAnsi="Verdana"/>
          <w:color w:val="0070C0"/>
        </w:rPr>
        <w:t xml:space="preserve">Trybunał uznał, że </w:t>
      </w:r>
      <w:r w:rsidRPr="00754015">
        <w:rPr>
          <w:rFonts w:ascii="Verdana" w:eastAsia="Verdana" w:hAnsi="Verdana"/>
          <w:b/>
          <w:bCs/>
          <w:color w:val="0070C0"/>
        </w:rPr>
        <w:t>doszło do naruszenia</w:t>
      </w:r>
      <w:r w:rsidRPr="00FD2E8E">
        <w:rPr>
          <w:rFonts w:ascii="Verdana" w:eastAsia="Verdana" w:hAnsi="Verdana"/>
          <w:color w:val="0070C0"/>
        </w:rPr>
        <w:t xml:space="preserve"> </w:t>
      </w:r>
      <w:r w:rsidR="00F16FE9" w:rsidRPr="00F16FE9">
        <w:rPr>
          <w:rFonts w:ascii="Verdana" w:eastAsia="Verdana" w:hAnsi="Verdana"/>
          <w:b/>
          <w:bCs/>
          <w:color w:val="0070C0"/>
        </w:rPr>
        <w:t>art.</w:t>
      </w:r>
      <w:r w:rsidRPr="00F16FE9">
        <w:rPr>
          <w:rFonts w:ascii="Verdana" w:eastAsia="Verdana" w:hAnsi="Verdana"/>
          <w:b/>
          <w:bCs/>
          <w:color w:val="0070C0"/>
        </w:rPr>
        <w:t xml:space="preserve"> 8</w:t>
      </w:r>
      <w:r w:rsidRPr="00FD2E8E">
        <w:rPr>
          <w:rFonts w:ascii="Verdana" w:eastAsia="Verdana" w:hAnsi="Verdana"/>
          <w:color w:val="0070C0"/>
        </w:rPr>
        <w:t xml:space="preserve"> (prawo do poszanowania życia prywatnego) Konwencji, uznając, że środek nadzoru zastosowany wobec skarżące</w:t>
      </w:r>
      <w:r w:rsidR="00F16FE9">
        <w:rPr>
          <w:rFonts w:ascii="Verdana" w:eastAsia="Verdana" w:hAnsi="Verdana"/>
          <w:color w:val="0070C0"/>
        </w:rPr>
        <w:t>j</w:t>
      </w:r>
      <w:r w:rsidRPr="00FD2E8E">
        <w:rPr>
          <w:rFonts w:ascii="Verdana" w:eastAsia="Verdana" w:hAnsi="Verdana"/>
          <w:color w:val="0070C0"/>
        </w:rPr>
        <w:t xml:space="preserve"> nie był odpowiednio </w:t>
      </w:r>
      <w:r w:rsidR="00F16FE9">
        <w:rPr>
          <w:rFonts w:ascii="Verdana" w:eastAsia="Verdana" w:hAnsi="Verdana"/>
          <w:color w:val="0070C0"/>
        </w:rPr>
        <w:t>kontrolowany</w:t>
      </w:r>
      <w:r w:rsidRPr="00FD2E8E">
        <w:rPr>
          <w:rFonts w:ascii="Verdana" w:eastAsia="Verdana" w:hAnsi="Verdana"/>
          <w:color w:val="0070C0"/>
        </w:rPr>
        <w:t xml:space="preserve"> przez sąd i nie był „zgodny z prawem” w rozumieniu </w:t>
      </w:r>
      <w:r w:rsidR="00F16FE9">
        <w:rPr>
          <w:rFonts w:ascii="Verdana" w:eastAsia="Verdana" w:hAnsi="Verdana"/>
          <w:color w:val="0070C0"/>
        </w:rPr>
        <w:t>K</w:t>
      </w:r>
      <w:r w:rsidRPr="00FD2E8E">
        <w:rPr>
          <w:rFonts w:ascii="Verdana" w:eastAsia="Verdana" w:hAnsi="Verdana"/>
          <w:color w:val="0070C0"/>
        </w:rPr>
        <w:t xml:space="preserve">onwencji. Trybunał zauważył w szczególności, że nakaz nie był wystarczająco </w:t>
      </w:r>
      <w:r w:rsidR="00F16FE9">
        <w:rPr>
          <w:rFonts w:ascii="Verdana" w:eastAsia="Verdana" w:hAnsi="Verdana"/>
          <w:color w:val="0070C0"/>
        </w:rPr>
        <w:t>precyzyjny</w:t>
      </w:r>
      <w:r w:rsidRPr="00FD2E8E">
        <w:rPr>
          <w:rFonts w:ascii="Verdana" w:eastAsia="Verdana" w:hAnsi="Verdana"/>
          <w:color w:val="0070C0"/>
        </w:rPr>
        <w:t xml:space="preserve"> w odniesieniu do osoby, która była przedmiotem </w:t>
      </w:r>
      <w:r w:rsidR="00F16FE9">
        <w:rPr>
          <w:rFonts w:ascii="Verdana" w:eastAsia="Verdana" w:hAnsi="Verdana"/>
          <w:color w:val="0070C0"/>
        </w:rPr>
        <w:t>obserwacji</w:t>
      </w:r>
      <w:r w:rsidRPr="00FD2E8E">
        <w:rPr>
          <w:rFonts w:ascii="Verdana" w:eastAsia="Verdana" w:hAnsi="Verdana"/>
          <w:color w:val="0070C0"/>
        </w:rPr>
        <w:t xml:space="preserve">, </w:t>
      </w:r>
      <w:r w:rsidR="00F16FE9">
        <w:rPr>
          <w:rFonts w:ascii="Verdana" w:eastAsia="Verdana" w:hAnsi="Verdana"/>
          <w:color w:val="0070C0"/>
        </w:rPr>
        <w:t xml:space="preserve">która to </w:t>
      </w:r>
      <w:r w:rsidRPr="00FD2E8E">
        <w:rPr>
          <w:rFonts w:ascii="Verdana" w:eastAsia="Verdana" w:hAnsi="Verdana"/>
          <w:color w:val="0070C0"/>
        </w:rPr>
        <w:t>niejasność</w:t>
      </w:r>
      <w:r w:rsidR="00F16FE9">
        <w:rPr>
          <w:rFonts w:ascii="Verdana" w:eastAsia="Verdana" w:hAnsi="Verdana"/>
          <w:color w:val="0070C0"/>
        </w:rPr>
        <w:t xml:space="preserve"> </w:t>
      </w:r>
      <w:r w:rsidRPr="00FD2E8E">
        <w:rPr>
          <w:rFonts w:ascii="Verdana" w:eastAsia="Verdana" w:hAnsi="Verdana"/>
          <w:color w:val="0070C0"/>
        </w:rPr>
        <w:t>była nie do przyjęcia, jeśli chodzi o tak poważną ingerencję w prawo do poszanowania życia prywatnego i rodzinnego, jak tajna inwigilacja. Ponadto w nakazie nie wymieniono konkretnych środków, które należy podjąć wobec skarżące</w:t>
      </w:r>
      <w:r w:rsidR="00F16FE9">
        <w:rPr>
          <w:rFonts w:ascii="Verdana" w:eastAsia="Verdana" w:hAnsi="Verdana"/>
          <w:color w:val="0070C0"/>
        </w:rPr>
        <w:t>j</w:t>
      </w:r>
      <w:r w:rsidRPr="00FD2E8E">
        <w:rPr>
          <w:rFonts w:ascii="Verdana" w:eastAsia="Verdana" w:hAnsi="Verdana"/>
          <w:color w:val="0070C0"/>
        </w:rPr>
        <w:t xml:space="preserve">. Trybunał uznał jednak, że nie doszło do naruszenia </w:t>
      </w:r>
      <w:r w:rsidR="00F16FE9" w:rsidRPr="00F16FE9">
        <w:rPr>
          <w:rFonts w:ascii="Verdana" w:eastAsia="Verdana" w:hAnsi="Verdana"/>
          <w:b/>
          <w:bCs/>
          <w:color w:val="0070C0"/>
        </w:rPr>
        <w:t>art.</w:t>
      </w:r>
      <w:r w:rsidRPr="00F16FE9">
        <w:rPr>
          <w:rFonts w:ascii="Verdana" w:eastAsia="Verdana" w:hAnsi="Verdana"/>
          <w:b/>
          <w:bCs/>
          <w:color w:val="0070C0"/>
        </w:rPr>
        <w:t xml:space="preserve"> 6</w:t>
      </w:r>
      <w:r w:rsidRPr="00FD2E8E">
        <w:rPr>
          <w:rFonts w:ascii="Verdana" w:eastAsia="Verdana" w:hAnsi="Verdana"/>
          <w:color w:val="0070C0"/>
        </w:rPr>
        <w:t xml:space="preserve"> (prawo do rzetelnego procesu) Konwencji w sprawie skarżące</w:t>
      </w:r>
      <w:r w:rsidR="00F16FE9">
        <w:rPr>
          <w:rFonts w:ascii="Verdana" w:eastAsia="Verdana" w:hAnsi="Verdana"/>
          <w:color w:val="0070C0"/>
        </w:rPr>
        <w:t>j</w:t>
      </w:r>
      <w:r w:rsidRPr="00FD2E8E">
        <w:rPr>
          <w:rFonts w:ascii="Verdana" w:eastAsia="Verdana" w:hAnsi="Verdana"/>
          <w:color w:val="0070C0"/>
        </w:rPr>
        <w:t xml:space="preserve">, </w:t>
      </w:r>
      <w:r w:rsidR="00F16FE9">
        <w:rPr>
          <w:rFonts w:ascii="Verdana" w:eastAsia="Verdana" w:hAnsi="Verdana"/>
          <w:color w:val="0070C0"/>
        </w:rPr>
        <w:t>stwierdzając</w:t>
      </w:r>
      <w:r w:rsidRPr="00FD2E8E">
        <w:rPr>
          <w:rFonts w:ascii="Verdana" w:eastAsia="Verdana" w:hAnsi="Verdana"/>
          <w:color w:val="0070C0"/>
        </w:rPr>
        <w:t xml:space="preserve">, że użycie tajnie nagranego materiału nie było sprzeczne z wymogami </w:t>
      </w:r>
      <w:r w:rsidR="00F16FE9">
        <w:rPr>
          <w:rFonts w:ascii="Verdana" w:eastAsia="Verdana" w:hAnsi="Verdana"/>
          <w:color w:val="0070C0"/>
        </w:rPr>
        <w:t>sprawiedliwości</w:t>
      </w:r>
      <w:r w:rsidRPr="00FD2E8E">
        <w:rPr>
          <w:rFonts w:ascii="Verdana" w:eastAsia="Verdana" w:hAnsi="Verdana"/>
          <w:color w:val="0070C0"/>
        </w:rPr>
        <w:t xml:space="preserve"> gwarantowanymi przez </w:t>
      </w:r>
      <w:r w:rsidR="00F16FE9">
        <w:rPr>
          <w:rFonts w:ascii="Verdana" w:eastAsia="Verdana" w:hAnsi="Verdana"/>
          <w:color w:val="0070C0"/>
        </w:rPr>
        <w:t>art.</w:t>
      </w:r>
      <w:r w:rsidRPr="00FD2E8E">
        <w:rPr>
          <w:rFonts w:ascii="Verdana" w:eastAsia="Verdana" w:hAnsi="Verdana"/>
          <w:color w:val="0070C0"/>
        </w:rPr>
        <w:t xml:space="preserve"> 6 </w:t>
      </w:r>
      <w:r w:rsidR="00F16FE9">
        <w:rPr>
          <w:rFonts w:ascii="Verdana" w:eastAsia="Verdana" w:hAnsi="Verdana"/>
          <w:color w:val="0070C0"/>
        </w:rPr>
        <w:t>ust.</w:t>
      </w:r>
      <w:r w:rsidRPr="00FD2E8E">
        <w:rPr>
          <w:rFonts w:ascii="Verdana" w:eastAsia="Verdana" w:hAnsi="Verdana"/>
          <w:color w:val="0070C0"/>
        </w:rPr>
        <w:t xml:space="preserve"> 1.</w:t>
      </w:r>
    </w:p>
    <w:p w14:paraId="3B64CC94" w14:textId="77777777" w:rsidR="001C3872" w:rsidRDefault="001C3872" w:rsidP="00AB713F">
      <w:pPr>
        <w:tabs>
          <w:tab w:val="left" w:pos="1428"/>
        </w:tabs>
        <w:spacing w:line="239" w:lineRule="auto"/>
        <w:ind w:left="740"/>
        <w:jc w:val="both"/>
        <w:rPr>
          <w:rFonts w:ascii="Verdana" w:eastAsia="Verdana" w:hAnsi="Verdana"/>
        </w:rPr>
      </w:pPr>
    </w:p>
    <w:p w14:paraId="74384185" w14:textId="13C9F512" w:rsidR="001C3872" w:rsidRPr="001C3872" w:rsidRDefault="001C3872" w:rsidP="001C3872">
      <w:pPr>
        <w:tabs>
          <w:tab w:val="left" w:pos="1428"/>
        </w:tabs>
        <w:spacing w:line="239" w:lineRule="auto"/>
        <w:ind w:left="740"/>
        <w:jc w:val="both"/>
        <w:rPr>
          <w:rFonts w:ascii="Verdana" w:eastAsia="Verdana" w:hAnsi="Verdana"/>
          <w:b/>
          <w:bCs/>
          <w:color w:val="005A9E"/>
        </w:rPr>
      </w:pPr>
      <w:hyperlink r:id="rId29" w:anchor="{%22itemid%22:[%22001-204588%22]}" w:history="1">
        <w:r w:rsidRPr="001C3872">
          <w:rPr>
            <w:rStyle w:val="Hipercze"/>
            <w:rFonts w:ascii="Verdana" w:eastAsia="Verdana" w:hAnsi="Verdana"/>
            <w:b/>
            <w:bCs/>
          </w:rPr>
          <w:t>Privacy International i inni przeciwko Zjednoczonemu Królestwu</w:t>
        </w:r>
      </w:hyperlink>
    </w:p>
    <w:p w14:paraId="2D3684C7" w14:textId="37540F63" w:rsidR="001C3872" w:rsidRPr="008B33E0" w:rsidRDefault="001C3872" w:rsidP="001C3872">
      <w:pPr>
        <w:tabs>
          <w:tab w:val="left" w:pos="1428"/>
        </w:tabs>
        <w:spacing w:line="239"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7 lipca 2020 r</w:t>
      </w:r>
      <w:r w:rsidR="008B33E0">
        <w:rPr>
          <w:rFonts w:ascii="Verdana" w:eastAsia="Verdana" w:hAnsi="Verdana"/>
          <w:color w:val="808080" w:themeColor="background1" w:themeShade="80"/>
          <w:sz w:val="16"/>
          <w:szCs w:val="16"/>
        </w:rPr>
        <w:t>oku</w:t>
      </w:r>
      <w:r w:rsidRPr="008B33E0">
        <w:rPr>
          <w:rFonts w:ascii="Verdana" w:eastAsia="Verdana" w:hAnsi="Verdana"/>
          <w:color w:val="808080" w:themeColor="background1" w:themeShade="80"/>
          <w:sz w:val="16"/>
          <w:szCs w:val="16"/>
        </w:rPr>
        <w:t xml:space="preserve"> (decyzja w sprawie dopuszczalności)</w:t>
      </w:r>
    </w:p>
    <w:p w14:paraId="0B49F101" w14:textId="3C2CED29" w:rsidR="00FD2E8E" w:rsidRDefault="001C3872" w:rsidP="001C3872">
      <w:pPr>
        <w:tabs>
          <w:tab w:val="left" w:pos="1428"/>
        </w:tabs>
        <w:spacing w:line="239" w:lineRule="auto"/>
        <w:ind w:left="740"/>
        <w:jc w:val="both"/>
        <w:rPr>
          <w:rFonts w:ascii="Verdana" w:eastAsia="Verdana" w:hAnsi="Verdana"/>
        </w:rPr>
      </w:pPr>
      <w:r w:rsidRPr="001C3872">
        <w:rPr>
          <w:rFonts w:ascii="Verdana" w:eastAsia="Verdana" w:hAnsi="Verdana"/>
        </w:rPr>
        <w:t>Skarżący - organizacja pozarządowa zarejestrowana w Londynie, dostawca usług internetowych zarejestrowany w Londynie, stowarzyszenie „haktywistów” zarejestrowane w Niemczech, dwie spółki zarejestrowane w Stanach Zjednoczonych świadczące odpowiednio usługi internetowe i komunikacyjne oraz dostawca usług internetowych zarejestrowany w Korei Południowej - uważali, że ich sprzęt był przedmiotem ingerencji, potocznie zwanej „hakowaniem”, w nieokreślonym okresie przez Centralę Łączności Rządu Zjednoczonego Królestwa i/lub Tajną Służbę Wywiadowczą. Skarżyli się w szczególności, że uprawnienie wynikające z sekcji 7 ustawy o służbach wywiadowczych</w:t>
      </w:r>
      <w:r>
        <w:rPr>
          <w:rStyle w:val="Odwoanieprzypisudolnego"/>
          <w:rFonts w:ascii="Verdana" w:eastAsia="Verdana" w:hAnsi="Verdana"/>
        </w:rPr>
        <w:footnoteReference w:id="7"/>
      </w:r>
      <w:r w:rsidRPr="001C3872">
        <w:rPr>
          <w:rFonts w:ascii="Verdana" w:eastAsia="Verdana" w:hAnsi="Verdana"/>
        </w:rPr>
        <w:t xml:space="preserve"> nie było zgodne z prawem, że nie zawierało wymogu uzyskania zezwolenia sądowego, że w domenie publicznej nie było żadnych informacji na temat tego, w jaki sposób można je wykorzystać do zezwolenia na ingerencję w sprzęt oraz że nie było wymogu filtrowania w celu wykluczenia nieistotnych materiałów. Dodali, że Investigatory Powers Tribunal nie zapewnił skutecznego środka odwoławczego, ponieważ nie wydał orzeczenia w sprawie systemu Sekcji 7 w krajowym postępowaniu sądowym.</w:t>
      </w:r>
      <w:r w:rsidR="00FD2E8E" w:rsidRPr="00FD2E8E">
        <w:rPr>
          <w:rFonts w:ascii="Verdana" w:eastAsia="Verdana" w:hAnsi="Verdana"/>
        </w:rPr>
        <w:t> </w:t>
      </w:r>
    </w:p>
    <w:p w14:paraId="0E1B3398" w14:textId="7E230D0F" w:rsidR="001C3872" w:rsidRDefault="001C3872" w:rsidP="001C3872">
      <w:pPr>
        <w:tabs>
          <w:tab w:val="left" w:pos="1428"/>
        </w:tabs>
        <w:spacing w:line="239" w:lineRule="auto"/>
        <w:ind w:left="740"/>
        <w:jc w:val="both"/>
        <w:rPr>
          <w:rFonts w:ascii="Verdana" w:eastAsia="Verdana" w:hAnsi="Verdana"/>
          <w:color w:val="0077D0"/>
        </w:rPr>
      </w:pPr>
      <w:r w:rsidRPr="001C3872">
        <w:rPr>
          <w:rFonts w:ascii="Verdana" w:eastAsia="Verdana" w:hAnsi="Verdana"/>
          <w:color w:val="0077D0"/>
        </w:rPr>
        <w:t xml:space="preserve">Trybunał </w:t>
      </w:r>
      <w:r w:rsidRPr="007C3DB9">
        <w:rPr>
          <w:rFonts w:ascii="Verdana" w:eastAsia="Verdana" w:hAnsi="Verdana"/>
          <w:b/>
          <w:bCs/>
          <w:color w:val="0077D0"/>
        </w:rPr>
        <w:t>uznał skargi</w:t>
      </w:r>
      <w:r w:rsidRPr="001C3872">
        <w:rPr>
          <w:rFonts w:ascii="Verdana" w:eastAsia="Verdana" w:hAnsi="Verdana"/>
          <w:color w:val="0077D0"/>
        </w:rPr>
        <w:t xml:space="preserve"> skarżących na podstawie art. 8, art. 10 (wolność wyrażania opinii) i art. 13 (prawo do skutecznego środka odwoławczego) Konwencji </w:t>
      </w:r>
      <w:r w:rsidRPr="007C3DB9">
        <w:rPr>
          <w:rFonts w:ascii="Verdana" w:eastAsia="Verdana" w:hAnsi="Verdana"/>
          <w:b/>
          <w:bCs/>
          <w:color w:val="0077D0"/>
        </w:rPr>
        <w:t>za</w:t>
      </w:r>
      <w:r w:rsidRPr="001C3872">
        <w:rPr>
          <w:rFonts w:ascii="Verdana" w:eastAsia="Verdana" w:hAnsi="Verdana"/>
          <w:color w:val="0077D0"/>
        </w:rPr>
        <w:t xml:space="preserve"> </w:t>
      </w:r>
      <w:r w:rsidRPr="00754015">
        <w:rPr>
          <w:rFonts w:ascii="Verdana" w:eastAsia="Verdana" w:hAnsi="Verdana"/>
          <w:b/>
          <w:bCs/>
          <w:color w:val="0077D0"/>
        </w:rPr>
        <w:t>niedopuszczalne</w:t>
      </w:r>
      <w:r w:rsidRPr="001C3872">
        <w:rPr>
          <w:rFonts w:ascii="Verdana" w:eastAsia="Verdana" w:hAnsi="Verdana"/>
          <w:color w:val="0077D0"/>
        </w:rPr>
        <w:t>, stwierdzając, że w okolicznościach sprawy skarżący nie zapewnili sądom krajowym, w szczególności Trybunałowi ds. Uprawnień Śledczych, możliwości, którą co do zasady zgodnie z art. 35 (kryteria dopuszczalności) Konwencji należy przyznać Umawiającemu się Państwu, a mianowicie możliwości zajęcia się konkretnym naruszeniem Konwencji zarzucanym temu państwu, a tym samym zapobieżenia mu lub naprawienia go. Trybunał odnotował w szczególności ogólne argumenty przedstawione przez skarżących, a także podkreślił w interwencjach stron trzecich, że nadzór, którego dotyczy skarga, był szczególnie inwazyjny i że istniała potrzeba zabezpieczeń w tej dziedzinie. W tym względzie przypomniał, jak ważne jest zbadanie zgodności z zasadami art. 8 Konwencji, gdy uprawnienia przyznane państwu są niejasne, co stwarza ryzyko arbitralności, zwłaszcza gdy dostępna technologia staje się coraz bardziej wyrafinowana. Jednakże znaczenie to wzmocniło w kontekście wyczerpania krajowych środków odwoławczych potrzebę zapewnienia sądom krajowym możliwości orzekania w takich sprawach, w których mają one taką możliwość.</w:t>
      </w:r>
    </w:p>
    <w:p w14:paraId="2B0A4A49" w14:textId="77777777" w:rsidR="001C3872" w:rsidRPr="00BD6383" w:rsidRDefault="001C3872" w:rsidP="001C3872">
      <w:pPr>
        <w:tabs>
          <w:tab w:val="left" w:pos="1428"/>
        </w:tabs>
        <w:spacing w:line="239" w:lineRule="auto"/>
        <w:ind w:left="740"/>
        <w:jc w:val="both"/>
        <w:rPr>
          <w:rFonts w:ascii="Verdana" w:eastAsia="Verdana" w:hAnsi="Verdana"/>
          <w:b/>
          <w:bCs/>
          <w:color w:val="0077D0"/>
        </w:rPr>
      </w:pPr>
    </w:p>
    <w:p w14:paraId="33EC194C" w14:textId="2058EC5B" w:rsidR="00BD6383" w:rsidRPr="00BD6383" w:rsidRDefault="00BD6383" w:rsidP="00BD6383">
      <w:pPr>
        <w:tabs>
          <w:tab w:val="left" w:pos="1428"/>
        </w:tabs>
        <w:spacing w:line="239" w:lineRule="auto"/>
        <w:ind w:left="740"/>
        <w:jc w:val="both"/>
        <w:rPr>
          <w:rFonts w:ascii="Verdana" w:eastAsia="Verdana" w:hAnsi="Verdana"/>
          <w:b/>
          <w:bCs/>
          <w:color w:val="0077D0"/>
        </w:rPr>
      </w:pPr>
      <w:hyperlink r:id="rId30" w:anchor="{%22itemid%22:[%22003-7028496-9484349%22]}" w:history="1">
        <w:r w:rsidRPr="007C6EA3">
          <w:rPr>
            <w:rStyle w:val="Hipercze"/>
            <w:rFonts w:ascii="Verdana" w:eastAsia="Verdana" w:hAnsi="Verdana"/>
            <w:b/>
            <w:bCs/>
          </w:rPr>
          <w:t>Big Brother Watch i inni przeciwko Zjednoczonemu Królestwu</w:t>
        </w:r>
      </w:hyperlink>
    </w:p>
    <w:p w14:paraId="039354DA" w14:textId="29B8CE3C" w:rsidR="00BD6383" w:rsidRPr="008B33E0" w:rsidRDefault="00BD6383" w:rsidP="00BD6383">
      <w:pPr>
        <w:tabs>
          <w:tab w:val="left" w:pos="1428"/>
        </w:tabs>
        <w:spacing w:line="239"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25 maja 2021 r</w:t>
      </w:r>
      <w:r w:rsidR="008B33E0" w:rsidRPr="008B33E0">
        <w:rPr>
          <w:rFonts w:ascii="Verdana" w:eastAsia="Verdana" w:hAnsi="Verdana"/>
          <w:color w:val="808080" w:themeColor="background1" w:themeShade="80"/>
          <w:sz w:val="16"/>
          <w:szCs w:val="16"/>
        </w:rPr>
        <w:t>oku</w:t>
      </w:r>
      <w:r w:rsidRPr="008B33E0">
        <w:rPr>
          <w:rFonts w:ascii="Verdana" w:eastAsia="Verdana" w:hAnsi="Verdana"/>
          <w:color w:val="808080" w:themeColor="background1" w:themeShade="80"/>
          <w:sz w:val="16"/>
          <w:szCs w:val="16"/>
        </w:rPr>
        <w:t xml:space="preserve"> (Wielka Izba)</w:t>
      </w:r>
    </w:p>
    <w:p w14:paraId="462AD350" w14:textId="7C16997B" w:rsidR="00BD6383" w:rsidRPr="00BD6383" w:rsidRDefault="00BD6383" w:rsidP="00BD6383">
      <w:pPr>
        <w:tabs>
          <w:tab w:val="left" w:pos="1428"/>
        </w:tabs>
        <w:spacing w:line="239" w:lineRule="auto"/>
        <w:ind w:left="740"/>
        <w:jc w:val="both"/>
        <w:rPr>
          <w:rFonts w:ascii="Verdana" w:eastAsia="Verdana" w:hAnsi="Verdana"/>
          <w:color w:val="0077D0"/>
        </w:rPr>
      </w:pPr>
      <w:r w:rsidRPr="00BD6383">
        <w:rPr>
          <w:rFonts w:ascii="Verdana" w:eastAsia="Verdana" w:hAnsi="Verdana"/>
        </w:rPr>
        <w:lastRenderedPageBreak/>
        <w:t>Wnioski te zostały złożone po ujawnieniu przez Edwarda Snowdena (byłego pracownika amerykańskiej Agencji Bezpieczeństwa Narodowego) informacji na temat programów inwigilacji i wymiany danych wywiadowczych między USA a Wielką Brytanią. Sprawa dotyczyła skarg dziennikarzy i organizacji praw człowieka w odniesieniu do trzech różnych systemów nadzoru: (1) masowego przechwytywania komunikacji; (2) otrzymywania materiałów przechwyconych od zagranicznych rządów i agencji wywiadowczych; (3) uzyskiwania danych komunikacyjnych od dostawców usług komunikacyjnych</w:t>
      </w:r>
      <w:r w:rsidR="00BF08D2">
        <w:rPr>
          <w:rStyle w:val="Odwoanieprzypisudolnego"/>
          <w:rFonts w:ascii="Verdana" w:eastAsia="Verdana" w:hAnsi="Verdana"/>
        </w:rPr>
        <w:footnoteReference w:id="8"/>
      </w:r>
    </w:p>
    <w:p w14:paraId="36830B00" w14:textId="3429CCC6" w:rsidR="00BD6383" w:rsidRDefault="00BD6383" w:rsidP="00BD6383">
      <w:pPr>
        <w:tabs>
          <w:tab w:val="left" w:pos="1428"/>
        </w:tabs>
        <w:spacing w:line="239" w:lineRule="auto"/>
        <w:ind w:left="740"/>
        <w:jc w:val="both"/>
        <w:rPr>
          <w:rFonts w:ascii="Verdana" w:eastAsia="Verdana" w:hAnsi="Verdana"/>
          <w:color w:val="0077D0"/>
        </w:rPr>
      </w:pPr>
      <w:r w:rsidRPr="00BD6383">
        <w:rPr>
          <w:rFonts w:ascii="Verdana" w:eastAsia="Verdana" w:hAnsi="Verdana"/>
          <w:color w:val="0077D0"/>
        </w:rPr>
        <w:t xml:space="preserve">Wielka Izba orzekła: jednogłośnie, że </w:t>
      </w:r>
      <w:r w:rsidRPr="007C3DB9">
        <w:rPr>
          <w:rFonts w:ascii="Verdana" w:eastAsia="Verdana" w:hAnsi="Verdana"/>
          <w:b/>
          <w:bCs/>
          <w:color w:val="0077D0"/>
        </w:rPr>
        <w:t>doszło do naruszenia Artykułu 8</w:t>
      </w:r>
      <w:r w:rsidRPr="00BD6383">
        <w:rPr>
          <w:rFonts w:ascii="Verdana" w:eastAsia="Verdana" w:hAnsi="Verdana"/>
          <w:color w:val="0077D0"/>
        </w:rPr>
        <w:t xml:space="preserve"> Konwencji w odniesieniu do systemu masowego przechwytywania; jednogłośnie, że doszło do naruszenia Artykułu 8 w odniesieniu do systemu uzyskiwania danych komunikacyjnych od dostawców usług komunikacyjnych; stosunkiem głosów dwanaście do pięciu, że nie doszło do naruszenia art. 8 w odniesieniu do brytyjskiego systemu żądania przechwyconych materiałów od zagranicznych rządów i agencji wywiadowczych; jednogłośnie, że doszło do naruszenia art. 10 (wolność wypowiedzi) Konwencji, zarówno w odniesieniu do systemu masowego przechwytywania, jak i systemu uzyskiwania danych komunikacyjnych od dostawców usług komunikacyjnych;</w:t>
      </w:r>
      <w:r>
        <w:rPr>
          <w:rFonts w:ascii="Verdana" w:eastAsia="Verdana" w:hAnsi="Verdana"/>
          <w:color w:val="0077D0"/>
        </w:rPr>
        <w:t xml:space="preserve"> </w:t>
      </w:r>
      <w:r w:rsidRPr="00BD6383">
        <w:rPr>
          <w:rFonts w:ascii="Verdana" w:eastAsia="Verdana" w:hAnsi="Verdana"/>
          <w:color w:val="0077D0"/>
        </w:rPr>
        <w:t>oraz, stosunkiem głosów dwanaście do pięciu, że nie doszło do naruszenia art. 10 w odniesieniu do systemu żądania przechwyconych materiałów od zagranicznych rządów i agencji wywiadowczych. Trybunał uznał w szczególności, że ze względu na mnogość zagrożeń, przed jakimi stoją państwa we współczesnym społeczeństwie, stosowanie systemu masowego przechwytywania samo w sobie nie narusza Konwencji. Jednak taki system musiał podlegać „kompleksowym zabezpieczeniom”, co oznacza, że na poziomie krajowym na każdym etapie procesu należy dokonać oceny konieczności i proporcjonalności podejmowanych środków; że masowe przechwytywanie powinno podlegać niezależnej autoryzacji na samym początku, gdy określany jest przedmiot i zakres operacji; oraz że operacja powinna podlegać nadzorowi i niezależnemu przeglądowi ex post facto. Mając na uwadze system masowego przechwytywania stosowany w Wielkiej Brytanii, Trybunał zidentyfikował następujące niedociągnięcia: masowe przechwytywanie zostało zatwierdzone przez Sekretarza Stanu, a nie przez organ niezależny od władzy wykonawczej; kategorie terminów wyszukiwania określające rodzaje komunikacji, które podlegałyby badaniu, nie zostały uwzględnione we wniosku o wydanie nakazu; a terminy wyszukiwania powiązane z osobą fizyczną (to znaczy konkretne identyfikatory, takie jak adres e-mail) nie podlegały uprzedniej wewnętrznej autoryzacji. Trybunał stwierdził również, że system masowego przechwytywania nie zawierał wystarczających zabezpieczeń</w:t>
      </w:r>
      <w:r>
        <w:rPr>
          <w:rFonts w:ascii="Verdana" w:eastAsia="Verdana" w:hAnsi="Verdana"/>
          <w:color w:val="0077D0"/>
        </w:rPr>
        <w:t xml:space="preserve"> </w:t>
      </w:r>
      <w:r w:rsidRPr="00BD6383">
        <w:rPr>
          <w:rFonts w:ascii="Verdana" w:eastAsia="Verdana" w:hAnsi="Verdana"/>
          <w:color w:val="0077D0"/>
        </w:rPr>
        <w:t>dla poufnych materiałów dziennikarskich. System uzyskiwania danych komunikacyjnych od dostawców usług komunikacyjnych również został uznany za niezgodny z prawem. Trybunał orzekł jednak, że system, w ramach którego Wielka Brytania mogła żądać informacji wywiadowczych od zagranicznych rządów i/lub agencji wywiadowczych, posiadał wystarczające zabezpieczenia w celu ochrony przed nadużyciami i zapewnienia, że władze brytyjskie nie wykorzystały takich wniosków jako sposobu na obejście swoich obowiązków wynikających z prawa krajowego i Konwencji.</w:t>
      </w:r>
    </w:p>
    <w:p w14:paraId="7271CBA7" w14:textId="77777777" w:rsidR="00BD6383" w:rsidRPr="00BD6383" w:rsidRDefault="00BD6383" w:rsidP="00BD6383">
      <w:pPr>
        <w:tabs>
          <w:tab w:val="left" w:pos="1428"/>
        </w:tabs>
        <w:spacing w:line="239" w:lineRule="auto"/>
        <w:ind w:left="740"/>
        <w:jc w:val="both"/>
        <w:rPr>
          <w:rFonts w:ascii="Verdana" w:eastAsia="Verdana" w:hAnsi="Verdana"/>
          <w:color w:val="0077D0"/>
        </w:rPr>
      </w:pPr>
    </w:p>
    <w:p w14:paraId="5C49DBB0" w14:textId="17957F28" w:rsidR="00BD6383" w:rsidRPr="00BD6383" w:rsidRDefault="00BD6383" w:rsidP="00BD6383">
      <w:pPr>
        <w:tabs>
          <w:tab w:val="left" w:pos="1428"/>
        </w:tabs>
        <w:spacing w:line="239" w:lineRule="auto"/>
        <w:ind w:left="740"/>
        <w:jc w:val="both"/>
        <w:rPr>
          <w:rFonts w:ascii="Verdana" w:eastAsia="Verdana" w:hAnsi="Verdana"/>
          <w:b/>
          <w:bCs/>
          <w:color w:val="0077D0"/>
        </w:rPr>
      </w:pPr>
      <w:hyperlink r:id="rId31" w:anchor="{%22itemid%22:[%22003-7028476-9484327%22]}" w:history="1">
        <w:r w:rsidRPr="00A61361">
          <w:rPr>
            <w:rStyle w:val="Hipercze"/>
            <w:rFonts w:ascii="Verdana" w:eastAsia="Verdana" w:hAnsi="Verdana"/>
            <w:b/>
            <w:bCs/>
          </w:rPr>
          <w:t>Centrum För Rättvisa przeciwko Szwecji</w:t>
        </w:r>
      </w:hyperlink>
    </w:p>
    <w:p w14:paraId="187DD3DE" w14:textId="33E10CC3" w:rsidR="00BD6383" w:rsidRPr="008B33E0" w:rsidRDefault="00BD6383" w:rsidP="00BD6383">
      <w:pPr>
        <w:tabs>
          <w:tab w:val="left" w:pos="1428"/>
        </w:tabs>
        <w:spacing w:line="239"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25 maja 2021 r</w:t>
      </w:r>
      <w:r w:rsidR="008B33E0">
        <w:rPr>
          <w:rFonts w:ascii="Verdana" w:eastAsia="Verdana" w:hAnsi="Verdana"/>
          <w:color w:val="808080" w:themeColor="background1" w:themeShade="80"/>
          <w:sz w:val="16"/>
          <w:szCs w:val="16"/>
        </w:rPr>
        <w:t>oku</w:t>
      </w:r>
      <w:r w:rsidRPr="008B33E0">
        <w:rPr>
          <w:rFonts w:ascii="Verdana" w:eastAsia="Verdana" w:hAnsi="Verdana"/>
          <w:color w:val="808080" w:themeColor="background1" w:themeShade="80"/>
          <w:sz w:val="16"/>
          <w:szCs w:val="16"/>
        </w:rPr>
        <w:t xml:space="preserve"> (Wielka Izba)</w:t>
      </w:r>
    </w:p>
    <w:p w14:paraId="2E35B8D3" w14:textId="77777777" w:rsidR="00BD6383" w:rsidRPr="00BD6383" w:rsidRDefault="00BD6383" w:rsidP="00BD6383">
      <w:pPr>
        <w:tabs>
          <w:tab w:val="left" w:pos="1428"/>
        </w:tabs>
        <w:spacing w:line="239" w:lineRule="auto"/>
        <w:ind w:left="740"/>
        <w:jc w:val="both"/>
        <w:rPr>
          <w:rFonts w:ascii="Verdana" w:eastAsia="Verdana" w:hAnsi="Verdana"/>
        </w:rPr>
      </w:pPr>
      <w:r w:rsidRPr="00BD6383">
        <w:rPr>
          <w:rFonts w:ascii="Verdana" w:eastAsia="Verdana" w:hAnsi="Verdana"/>
        </w:rPr>
        <w:t>Sprawa ta dotyczyła domniemanego ryzyka, że komunikacja skarżącej fundacji została lub zostanie przechwycona i zbadana za pomocą wywiadu sygnałowego, ponieważ codziennie komunikowała się ona z osobami fizycznymi, organizacjami i firmami w Szwecji i za granicą za pośrednictwem poczty elektronicznej, telefonu i faksu, często w sprawach wrażliwych.</w:t>
      </w:r>
    </w:p>
    <w:p w14:paraId="262B6142" w14:textId="0CFDA727" w:rsidR="00BD6383" w:rsidRDefault="00BD6383" w:rsidP="00BD6383">
      <w:pPr>
        <w:tabs>
          <w:tab w:val="left" w:pos="1428"/>
        </w:tabs>
        <w:spacing w:line="239" w:lineRule="auto"/>
        <w:ind w:left="740"/>
        <w:jc w:val="both"/>
        <w:rPr>
          <w:rFonts w:ascii="Verdana" w:eastAsia="Verdana" w:hAnsi="Verdana"/>
          <w:color w:val="0077D0"/>
        </w:rPr>
      </w:pPr>
      <w:r w:rsidRPr="00A61361">
        <w:rPr>
          <w:rFonts w:ascii="Verdana" w:eastAsia="Verdana" w:hAnsi="Verdana"/>
          <w:color w:val="0077D0"/>
        </w:rPr>
        <w:t xml:space="preserve">Wielka Izba orzekła, stosunkiem głosów piętnaście do dwóch, że doszło do naruszenia art. 8 Konwencji. Uznała w szczególności, że </w:t>
      </w:r>
      <w:r w:rsidR="00A61361" w:rsidRPr="00A61361">
        <w:rPr>
          <w:rFonts w:ascii="Verdana" w:eastAsia="Verdana" w:hAnsi="Verdana"/>
          <w:color w:val="0077D0"/>
        </w:rPr>
        <w:t>szwedzki system masowego przechwytywania spełniał wymogi Konwencji dotyczące jakości prawa, niemniej jednak system ten miał trzy wady</w:t>
      </w:r>
      <w:r w:rsidRPr="00A61361">
        <w:rPr>
          <w:rFonts w:ascii="Verdana" w:eastAsia="Verdana" w:hAnsi="Verdana"/>
          <w:color w:val="0077D0"/>
        </w:rPr>
        <w:t xml:space="preserve">, niemniej jednak system ten miał trzy wady: brak jasnej zasady niszczenia przechwyconych materiałów, które nie zawierały danych osobowych; brak wymogu w ustawie o wywiadzie sygnałowym lub innych odpowiednich przepisach, aby przy </w:t>
      </w:r>
      <w:r w:rsidRPr="00A61361">
        <w:rPr>
          <w:rFonts w:ascii="Verdana" w:eastAsia="Verdana" w:hAnsi="Verdana"/>
          <w:color w:val="0077D0"/>
        </w:rPr>
        <w:lastRenderedPageBreak/>
        <w:t>podejmowaniu decyzji o przekazaniu materiałów wywiadowczych zagranicznym partnerom uwzględniono interesy prywatności osób fizycznych; oraz brak skutecznej kontroli ex post facto. W wyniku tych niedociągnięć system nie spełniał wymogu zabezpieczeń „end-to-end”, przekraczał margines oceny pozostawiony pozwanemu państwu w tym zakresie i ogólnie nie chronił przed ryzykiem arbitralności i nadużyć.</w:t>
      </w:r>
    </w:p>
    <w:p w14:paraId="5DDFE2F2" w14:textId="77777777" w:rsidR="00A61361" w:rsidRDefault="00A61361" w:rsidP="00BD6383">
      <w:pPr>
        <w:tabs>
          <w:tab w:val="left" w:pos="1428"/>
        </w:tabs>
        <w:spacing w:line="239" w:lineRule="auto"/>
        <w:ind w:left="740"/>
        <w:jc w:val="both"/>
        <w:rPr>
          <w:rFonts w:ascii="Verdana" w:eastAsia="Verdana" w:hAnsi="Verdana"/>
          <w:color w:val="0077D0"/>
        </w:rPr>
      </w:pPr>
    </w:p>
    <w:p w14:paraId="3FEFE338" w14:textId="4BEF5629" w:rsidR="00A61361" w:rsidRPr="00A61361" w:rsidRDefault="00A61361" w:rsidP="00A61361">
      <w:pPr>
        <w:tabs>
          <w:tab w:val="left" w:pos="1428"/>
        </w:tabs>
        <w:spacing w:line="239" w:lineRule="auto"/>
        <w:ind w:left="740"/>
        <w:jc w:val="both"/>
        <w:rPr>
          <w:rFonts w:ascii="Verdana" w:eastAsia="Verdana" w:hAnsi="Verdana"/>
          <w:b/>
          <w:bCs/>
          <w:color w:val="0077D0"/>
        </w:rPr>
      </w:pPr>
      <w:hyperlink r:id="rId32" w:anchor="{%22itemid%22:[%22003-7844568-10894625%22]}" w:history="1">
        <w:r w:rsidRPr="00CB5ABD">
          <w:rPr>
            <w:rStyle w:val="Hipercze"/>
            <w:rFonts w:ascii="Verdana" w:eastAsia="Verdana" w:hAnsi="Verdana"/>
            <w:b/>
            <w:bCs/>
          </w:rPr>
          <w:t>Tena Arregui przeciwko Hiszpanii</w:t>
        </w:r>
      </w:hyperlink>
    </w:p>
    <w:p w14:paraId="70ECAB70" w14:textId="1295D46B" w:rsidR="00A61361" w:rsidRPr="008B33E0" w:rsidRDefault="00A61361" w:rsidP="00A61361">
      <w:pPr>
        <w:tabs>
          <w:tab w:val="left" w:pos="1428"/>
        </w:tabs>
        <w:spacing w:line="239"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11 stycznia 2024 r</w:t>
      </w:r>
      <w:r w:rsidR="0037627F">
        <w:rPr>
          <w:rFonts w:ascii="Verdana" w:eastAsia="Verdana" w:hAnsi="Verdana"/>
          <w:color w:val="808080" w:themeColor="background1" w:themeShade="80"/>
          <w:sz w:val="16"/>
          <w:szCs w:val="16"/>
        </w:rPr>
        <w:t>oku</w:t>
      </w:r>
      <w:r w:rsidR="00BF08D2" w:rsidRPr="008B33E0">
        <w:rPr>
          <w:rStyle w:val="Odwoanieprzypisudolnego"/>
          <w:rFonts w:ascii="Verdana" w:eastAsia="Verdana" w:hAnsi="Verdana"/>
          <w:color w:val="808080" w:themeColor="background1" w:themeShade="80"/>
          <w:sz w:val="16"/>
          <w:szCs w:val="16"/>
        </w:rPr>
        <w:footnoteReference w:id="9"/>
      </w:r>
    </w:p>
    <w:p w14:paraId="4279EE8F" w14:textId="77777777" w:rsidR="00A61361" w:rsidRPr="00A61361" w:rsidRDefault="00A61361" w:rsidP="00A61361">
      <w:pPr>
        <w:tabs>
          <w:tab w:val="left" w:pos="1428"/>
        </w:tabs>
        <w:spacing w:line="239" w:lineRule="auto"/>
        <w:ind w:left="740"/>
        <w:jc w:val="both"/>
        <w:rPr>
          <w:rFonts w:ascii="Verdana" w:eastAsia="Verdana" w:hAnsi="Verdana"/>
        </w:rPr>
      </w:pPr>
      <w:r w:rsidRPr="00A61361">
        <w:rPr>
          <w:rFonts w:ascii="Verdana" w:eastAsia="Verdana" w:hAnsi="Verdana"/>
        </w:rPr>
        <w:t>Sprawa dotyczyła zebrania i ujawnienia niektórych e-maili skarżącego przez partię polityczną Unión, Progreso y Democracia (UPyD), której był starszym członkiem, podczas operacji monitorowania podejrzeń, że inni członkowie zawarli zakulisowe umowy z partią Ciudadanos.</w:t>
      </w:r>
    </w:p>
    <w:p w14:paraId="5AC1BBFD" w14:textId="77777777" w:rsidR="00A61361" w:rsidRDefault="00A61361" w:rsidP="00A61361">
      <w:pPr>
        <w:tabs>
          <w:tab w:val="left" w:pos="1428"/>
        </w:tabs>
        <w:spacing w:line="239" w:lineRule="auto"/>
        <w:ind w:left="740"/>
        <w:jc w:val="both"/>
        <w:rPr>
          <w:rFonts w:ascii="Verdana" w:eastAsia="Verdana" w:hAnsi="Verdana"/>
          <w:color w:val="0077D0"/>
        </w:rPr>
      </w:pPr>
      <w:r w:rsidRPr="00A61361">
        <w:rPr>
          <w:rFonts w:ascii="Verdana" w:eastAsia="Verdana" w:hAnsi="Verdana"/>
          <w:color w:val="0077D0"/>
        </w:rPr>
        <w:t xml:space="preserve">Trybunał uznał, że </w:t>
      </w:r>
      <w:r w:rsidRPr="00A61361">
        <w:rPr>
          <w:rFonts w:ascii="Verdana" w:eastAsia="Verdana" w:hAnsi="Verdana"/>
          <w:b/>
          <w:bCs/>
          <w:color w:val="0077D0"/>
        </w:rPr>
        <w:t>nie doszło do naruszenia art. 8 Konwencji</w:t>
      </w:r>
      <w:r w:rsidRPr="00A61361">
        <w:rPr>
          <w:rFonts w:ascii="Verdana" w:eastAsia="Verdana" w:hAnsi="Verdana"/>
          <w:color w:val="0077D0"/>
        </w:rPr>
        <w:t>, stwierdzając, że w niniejszej sprawie nie doszło do naruszenia prawa skarżącego do poszanowania jego korespondencji. Trybunał zauważył w szczególności, że umarzając postępowanie karne, hiszpańskie sądy podały wystarczające powody, dla których operacja monitorowania nie stanowiła przestępstwa.</w:t>
      </w:r>
    </w:p>
    <w:p w14:paraId="3F23F100" w14:textId="77777777" w:rsidR="00A61361" w:rsidRPr="00A61361" w:rsidRDefault="00A61361" w:rsidP="00A61361">
      <w:pPr>
        <w:tabs>
          <w:tab w:val="left" w:pos="1428"/>
        </w:tabs>
        <w:spacing w:line="239" w:lineRule="auto"/>
        <w:ind w:left="740"/>
        <w:jc w:val="both"/>
        <w:rPr>
          <w:rFonts w:ascii="Verdana" w:eastAsia="Verdana" w:hAnsi="Verdana"/>
          <w:color w:val="0077D0"/>
        </w:rPr>
      </w:pPr>
    </w:p>
    <w:p w14:paraId="5555C328" w14:textId="52911991" w:rsidR="00A61361" w:rsidRDefault="00A61361" w:rsidP="00A61361">
      <w:pPr>
        <w:tabs>
          <w:tab w:val="left" w:pos="1428"/>
        </w:tabs>
        <w:spacing w:line="239" w:lineRule="auto"/>
        <w:ind w:left="740"/>
        <w:jc w:val="both"/>
        <w:rPr>
          <w:rFonts w:ascii="Verdana" w:eastAsia="Verdana" w:hAnsi="Verdana"/>
        </w:rPr>
      </w:pPr>
      <w:r w:rsidRPr="00A61361">
        <w:rPr>
          <w:rFonts w:ascii="Verdana" w:eastAsia="Verdana" w:hAnsi="Verdana"/>
        </w:rPr>
        <w:t>Zob. również:</w:t>
      </w:r>
    </w:p>
    <w:p w14:paraId="4645321C" w14:textId="77777777" w:rsidR="00CB5ABD" w:rsidRPr="00A61361" w:rsidRDefault="00CB5ABD" w:rsidP="00A61361">
      <w:pPr>
        <w:tabs>
          <w:tab w:val="left" w:pos="1428"/>
        </w:tabs>
        <w:spacing w:line="239" w:lineRule="auto"/>
        <w:ind w:left="740"/>
        <w:jc w:val="both"/>
        <w:rPr>
          <w:rFonts w:ascii="Verdana" w:eastAsia="Verdana" w:hAnsi="Verdana"/>
        </w:rPr>
      </w:pPr>
    </w:p>
    <w:p w14:paraId="562CC519" w14:textId="207E44CF" w:rsidR="00A61361" w:rsidRPr="00CB5ABD" w:rsidRDefault="00A61361" w:rsidP="00A61361">
      <w:pPr>
        <w:tabs>
          <w:tab w:val="left" w:pos="1428"/>
        </w:tabs>
        <w:spacing w:line="239" w:lineRule="auto"/>
        <w:ind w:left="740"/>
        <w:jc w:val="both"/>
        <w:rPr>
          <w:rFonts w:ascii="Verdana" w:eastAsia="Verdana" w:hAnsi="Verdana"/>
          <w:b/>
          <w:bCs/>
        </w:rPr>
      </w:pPr>
      <w:hyperlink r:id="rId33" w:anchor="{%22itemid%22:[%22001-203068%22]}" w:history="1">
        <w:r w:rsidRPr="00CB5ABD">
          <w:rPr>
            <w:rStyle w:val="Hipercze"/>
            <w:rFonts w:ascii="Verdana" w:eastAsia="Verdana" w:hAnsi="Verdana"/>
            <w:b/>
            <w:bCs/>
          </w:rPr>
          <w:t>Ringler przeciwko Austrii</w:t>
        </w:r>
      </w:hyperlink>
    </w:p>
    <w:p w14:paraId="0E923BAF" w14:textId="1905C3BD" w:rsidR="00A61361" w:rsidRPr="008B33E0" w:rsidRDefault="00A61361" w:rsidP="00A61361">
      <w:pPr>
        <w:tabs>
          <w:tab w:val="left" w:pos="1428"/>
        </w:tabs>
        <w:spacing w:line="239"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12 maja 2020 r</w:t>
      </w:r>
      <w:r w:rsidR="0037627F">
        <w:rPr>
          <w:rFonts w:ascii="Verdana" w:eastAsia="Verdana" w:hAnsi="Verdana"/>
          <w:color w:val="808080" w:themeColor="background1" w:themeShade="80"/>
          <w:sz w:val="16"/>
          <w:szCs w:val="16"/>
        </w:rPr>
        <w:t>oku</w:t>
      </w:r>
      <w:r w:rsidRPr="008B33E0">
        <w:rPr>
          <w:rFonts w:ascii="Verdana" w:eastAsia="Verdana" w:hAnsi="Verdana"/>
          <w:color w:val="808080" w:themeColor="background1" w:themeShade="80"/>
          <w:sz w:val="16"/>
          <w:szCs w:val="16"/>
        </w:rPr>
        <w:t xml:space="preserve"> (Komitet - decyzja w sprawie dopuszczalności)</w:t>
      </w:r>
    </w:p>
    <w:p w14:paraId="1B4589C8" w14:textId="77777777" w:rsidR="00CB5ABD" w:rsidRPr="00CB5ABD" w:rsidRDefault="00CB5ABD" w:rsidP="00A61361">
      <w:pPr>
        <w:tabs>
          <w:tab w:val="left" w:pos="1428"/>
        </w:tabs>
        <w:spacing w:line="239" w:lineRule="auto"/>
        <w:ind w:left="740"/>
        <w:jc w:val="both"/>
        <w:rPr>
          <w:rFonts w:ascii="Verdana" w:eastAsia="Verdana" w:hAnsi="Verdana"/>
          <w:color w:val="808080" w:themeColor="background1" w:themeShade="80"/>
        </w:rPr>
      </w:pPr>
    </w:p>
    <w:p w14:paraId="1B0855C2" w14:textId="419BF15E" w:rsidR="00A61361" w:rsidRPr="00CB5ABD" w:rsidRDefault="00A61361" w:rsidP="00A61361">
      <w:pPr>
        <w:tabs>
          <w:tab w:val="left" w:pos="1428"/>
        </w:tabs>
        <w:spacing w:line="239" w:lineRule="auto"/>
        <w:ind w:left="740"/>
        <w:jc w:val="both"/>
        <w:rPr>
          <w:rFonts w:ascii="Verdana" w:eastAsia="Verdana" w:hAnsi="Verdana"/>
          <w:b/>
          <w:bCs/>
        </w:rPr>
      </w:pPr>
      <w:hyperlink r:id="rId34" w:anchor="{%22itemid%22:[%22001-205734%22]}" w:history="1">
        <w:r w:rsidRPr="00CB5ABD">
          <w:rPr>
            <w:rStyle w:val="Hipercze"/>
            <w:rFonts w:ascii="Verdana" w:eastAsia="Verdana" w:hAnsi="Verdana"/>
            <w:b/>
            <w:bCs/>
          </w:rPr>
          <w:t>Tretter i inni przeciwko Austrii</w:t>
        </w:r>
      </w:hyperlink>
    </w:p>
    <w:p w14:paraId="29CEBB42" w14:textId="7F5E613E" w:rsidR="00A61361" w:rsidRPr="008B33E0" w:rsidRDefault="00A61361" w:rsidP="00A61361">
      <w:pPr>
        <w:tabs>
          <w:tab w:val="left" w:pos="1428"/>
        </w:tabs>
        <w:spacing w:line="239"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29 września 2020 r</w:t>
      </w:r>
      <w:r w:rsidR="0037627F">
        <w:rPr>
          <w:rFonts w:ascii="Verdana" w:eastAsia="Verdana" w:hAnsi="Verdana"/>
          <w:color w:val="808080" w:themeColor="background1" w:themeShade="80"/>
          <w:sz w:val="16"/>
          <w:szCs w:val="16"/>
        </w:rPr>
        <w:t>oku</w:t>
      </w:r>
      <w:r w:rsidRPr="008B33E0">
        <w:rPr>
          <w:rFonts w:ascii="Verdana" w:eastAsia="Verdana" w:hAnsi="Verdana"/>
          <w:color w:val="808080" w:themeColor="background1" w:themeShade="80"/>
          <w:sz w:val="16"/>
          <w:szCs w:val="16"/>
        </w:rPr>
        <w:t xml:space="preserve"> (Komitet - decyzja w sprawie dopuszczalności)</w:t>
      </w:r>
    </w:p>
    <w:p w14:paraId="07BAE8F9" w14:textId="77777777" w:rsidR="00CB5ABD" w:rsidRPr="00A61361" w:rsidRDefault="00CB5ABD" w:rsidP="00A61361">
      <w:pPr>
        <w:tabs>
          <w:tab w:val="left" w:pos="1428"/>
        </w:tabs>
        <w:spacing w:line="239" w:lineRule="auto"/>
        <w:ind w:left="740"/>
        <w:jc w:val="both"/>
        <w:rPr>
          <w:rFonts w:ascii="Verdana" w:eastAsia="Verdana" w:hAnsi="Verdana"/>
        </w:rPr>
      </w:pPr>
    </w:p>
    <w:p w14:paraId="7AF2AD43" w14:textId="7606FFB7" w:rsidR="00A61361" w:rsidRPr="00CB5ABD" w:rsidRDefault="00A61361" w:rsidP="00A61361">
      <w:pPr>
        <w:tabs>
          <w:tab w:val="left" w:pos="1428"/>
        </w:tabs>
        <w:spacing w:line="239" w:lineRule="auto"/>
        <w:ind w:left="740"/>
        <w:jc w:val="both"/>
        <w:rPr>
          <w:rFonts w:ascii="Verdana" w:eastAsia="Verdana" w:hAnsi="Verdana"/>
          <w:b/>
          <w:bCs/>
        </w:rPr>
      </w:pPr>
      <w:hyperlink r:id="rId35" w:anchor="{%22itemid%22:[%22001-215168%22]}" w:history="1">
        <w:r w:rsidRPr="00CB5ABD">
          <w:rPr>
            <w:rStyle w:val="Hipercze"/>
            <w:rFonts w:ascii="Verdana" w:eastAsia="Verdana" w:hAnsi="Verdana"/>
            <w:b/>
            <w:bCs/>
          </w:rPr>
          <w:t>Adomaitis przeciwko Litwie</w:t>
        </w:r>
      </w:hyperlink>
    </w:p>
    <w:p w14:paraId="4AEDDED2" w14:textId="7703CC85" w:rsidR="00A61361" w:rsidRPr="008B33E0" w:rsidRDefault="00A61361" w:rsidP="00A61361">
      <w:pPr>
        <w:tabs>
          <w:tab w:val="left" w:pos="1428"/>
        </w:tabs>
        <w:spacing w:line="239"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18 stycznia 2022 r</w:t>
      </w:r>
      <w:r w:rsidR="0037627F">
        <w:rPr>
          <w:rFonts w:ascii="Verdana" w:eastAsia="Verdana" w:hAnsi="Verdana"/>
          <w:color w:val="808080" w:themeColor="background1" w:themeShade="80"/>
          <w:sz w:val="16"/>
          <w:szCs w:val="16"/>
        </w:rPr>
        <w:t>oku</w:t>
      </w:r>
    </w:p>
    <w:p w14:paraId="6191C7B9" w14:textId="77777777" w:rsidR="00CB5ABD" w:rsidRDefault="00CB5ABD" w:rsidP="00A61361">
      <w:pPr>
        <w:tabs>
          <w:tab w:val="left" w:pos="1428"/>
        </w:tabs>
        <w:spacing w:line="239" w:lineRule="auto"/>
        <w:ind w:left="740"/>
        <w:jc w:val="both"/>
        <w:rPr>
          <w:rFonts w:ascii="Verdana" w:eastAsia="Verdana" w:hAnsi="Verdana"/>
          <w:color w:val="808080" w:themeColor="background1" w:themeShade="80"/>
        </w:rPr>
      </w:pPr>
    </w:p>
    <w:p w14:paraId="3739F347" w14:textId="77777777" w:rsidR="00CB5ABD" w:rsidRPr="00CB5ABD" w:rsidRDefault="00CB5ABD" w:rsidP="00A61361">
      <w:pPr>
        <w:tabs>
          <w:tab w:val="left" w:pos="1428"/>
        </w:tabs>
        <w:spacing w:line="239" w:lineRule="auto"/>
        <w:ind w:left="740"/>
        <w:jc w:val="both"/>
        <w:rPr>
          <w:rFonts w:ascii="Verdana" w:eastAsia="Verdana" w:hAnsi="Verdana"/>
          <w:color w:val="808080" w:themeColor="background1" w:themeShade="80"/>
        </w:rPr>
      </w:pPr>
    </w:p>
    <w:p w14:paraId="64FCE13F" w14:textId="228A0551" w:rsidR="00A61361" w:rsidRPr="00197166" w:rsidRDefault="00A61361" w:rsidP="00A61361">
      <w:pPr>
        <w:tabs>
          <w:tab w:val="left" w:pos="1428"/>
        </w:tabs>
        <w:spacing w:line="239" w:lineRule="auto"/>
        <w:ind w:left="740"/>
        <w:jc w:val="both"/>
        <w:rPr>
          <w:rFonts w:ascii="Verdana" w:eastAsia="Verdana" w:hAnsi="Verdana"/>
          <w:b/>
          <w:bCs/>
          <w:highlight w:val="lightGray"/>
        </w:rPr>
      </w:pPr>
      <w:r w:rsidRPr="00197166">
        <w:rPr>
          <w:rFonts w:ascii="Verdana" w:eastAsia="Verdana" w:hAnsi="Verdana"/>
          <w:b/>
          <w:bCs/>
          <w:highlight w:val="lightGray"/>
        </w:rPr>
        <w:t>Wnioski oczekujące na rozpatrzenie</w:t>
      </w:r>
    </w:p>
    <w:p w14:paraId="765ACD25" w14:textId="6D6DAD63" w:rsidR="00CB5ABD" w:rsidRPr="00197166" w:rsidRDefault="00CB5ABD" w:rsidP="00CB5ABD">
      <w:pPr>
        <w:tabs>
          <w:tab w:val="left" w:pos="1428"/>
        </w:tabs>
        <w:spacing w:line="239" w:lineRule="auto"/>
        <w:ind w:left="740"/>
        <w:jc w:val="both"/>
        <w:rPr>
          <w:rFonts w:ascii="Verdana" w:eastAsia="Verdana" w:hAnsi="Verdana"/>
          <w:b/>
          <w:bCs/>
          <w:color w:val="0077D0"/>
          <w:highlight w:val="lightGray"/>
        </w:rPr>
      </w:pPr>
      <w:hyperlink r:id="rId36" w:anchor="{%22itemid%22:[%22001-173634%22]}" w:history="1">
        <w:r w:rsidRPr="00197166">
          <w:rPr>
            <w:rStyle w:val="Hipercze"/>
            <w:rFonts w:ascii="Verdana" w:eastAsia="Verdana" w:hAnsi="Verdana"/>
            <w:b/>
            <w:bCs/>
            <w:highlight w:val="lightGray"/>
          </w:rPr>
          <w:t>Association confraternelle de la presse judiciaire przeciwko Francji i 11 innych skarg (nr 49526/15, 49615/15, 49616/15, 49617/15, 49618/15, 49619/15, 49620/15, 49621/15, 55058/15, 55061/15, 59602/15 i 59621/15)</w:t>
        </w:r>
      </w:hyperlink>
    </w:p>
    <w:p w14:paraId="34F6FBD1" w14:textId="77777777" w:rsidR="00CB5ABD" w:rsidRPr="00197166" w:rsidRDefault="00CB5ABD" w:rsidP="00CB5ABD">
      <w:pPr>
        <w:tabs>
          <w:tab w:val="left" w:pos="1428"/>
        </w:tabs>
        <w:spacing w:line="239" w:lineRule="auto"/>
        <w:ind w:left="740"/>
        <w:jc w:val="both"/>
        <w:rPr>
          <w:rFonts w:ascii="Verdana" w:eastAsia="Verdana" w:hAnsi="Verdana"/>
          <w:color w:val="808080" w:themeColor="background1" w:themeShade="80"/>
          <w:highlight w:val="lightGray"/>
        </w:rPr>
      </w:pPr>
      <w:r w:rsidRPr="00197166">
        <w:rPr>
          <w:rFonts w:ascii="Verdana" w:eastAsia="Verdana" w:hAnsi="Verdana"/>
          <w:color w:val="808080" w:themeColor="background1" w:themeShade="80"/>
          <w:highlight w:val="lightGray"/>
        </w:rPr>
        <w:t>Wnioski przekazane rządowi francuskiemu w dniu 26 kwietnia 2017 r.</w:t>
      </w:r>
    </w:p>
    <w:p w14:paraId="0227579F" w14:textId="77777777" w:rsidR="00CB5ABD" w:rsidRPr="00197166" w:rsidRDefault="00CB5ABD" w:rsidP="00CB5ABD">
      <w:pPr>
        <w:tabs>
          <w:tab w:val="left" w:pos="1428"/>
        </w:tabs>
        <w:spacing w:line="239" w:lineRule="auto"/>
        <w:ind w:left="740"/>
        <w:jc w:val="both"/>
        <w:rPr>
          <w:rFonts w:ascii="Verdana" w:eastAsia="Verdana" w:hAnsi="Verdana"/>
          <w:highlight w:val="lightGray"/>
        </w:rPr>
      </w:pPr>
      <w:r w:rsidRPr="00197166">
        <w:rPr>
          <w:rFonts w:ascii="Verdana" w:eastAsia="Verdana" w:hAnsi="Verdana"/>
          <w:highlight w:val="lightGray"/>
        </w:rPr>
        <w:t>Wnioski te, złożone przez prawników i dziennikarzy, a także osoby prawne związane z tymi zawodami, dotyczą francuskiej ustawy o wywiadzie z dnia 24 lipca 2015 r.</w:t>
      </w:r>
    </w:p>
    <w:p w14:paraId="0A82508D" w14:textId="288FD229" w:rsidR="00CB5ABD" w:rsidRPr="00197166" w:rsidRDefault="00CB5ABD" w:rsidP="00197166">
      <w:pPr>
        <w:tabs>
          <w:tab w:val="left" w:pos="1428"/>
        </w:tabs>
        <w:spacing w:line="239" w:lineRule="auto"/>
        <w:ind w:left="740"/>
        <w:jc w:val="both"/>
        <w:rPr>
          <w:rFonts w:ascii="Verdana" w:eastAsia="Verdana" w:hAnsi="Verdana"/>
          <w:color w:val="0077D0"/>
          <w:highlight w:val="lightGray"/>
        </w:rPr>
      </w:pPr>
      <w:r w:rsidRPr="00197166">
        <w:rPr>
          <w:rFonts w:ascii="Verdana" w:eastAsia="Verdana" w:hAnsi="Verdana"/>
          <w:color w:val="0077D0"/>
          <w:highlight w:val="lightGray"/>
        </w:rPr>
        <w:t>Trybunał powiadomił o skargach rząd francuski i zadał stronom pytania na podstawie art. 8, 10 (wolność wypowiedzi) i 13 (prawo do skutecznego środka odwoławczego) Konwencji.</w:t>
      </w:r>
    </w:p>
    <w:p w14:paraId="54677C74" w14:textId="307E3328" w:rsidR="00197166" w:rsidRPr="00197166" w:rsidRDefault="00CB5ABD" w:rsidP="00197166">
      <w:pPr>
        <w:tabs>
          <w:tab w:val="left" w:pos="1428"/>
        </w:tabs>
        <w:spacing w:line="239" w:lineRule="auto"/>
        <w:ind w:left="740"/>
        <w:jc w:val="both"/>
        <w:rPr>
          <w:rFonts w:ascii="Verdana" w:eastAsia="Verdana" w:hAnsi="Verdana"/>
          <w:highlight w:val="lightGray"/>
        </w:rPr>
      </w:pPr>
      <w:r w:rsidRPr="00197166">
        <w:rPr>
          <w:rFonts w:ascii="Verdana" w:eastAsia="Verdana" w:hAnsi="Verdana"/>
          <w:i/>
          <w:iCs/>
          <w:highlight w:val="lightGray"/>
        </w:rPr>
        <w:t>Podobne skargi w toku:</w:t>
      </w:r>
      <w:r w:rsidRPr="00197166">
        <w:rPr>
          <w:rFonts w:ascii="Verdana" w:eastAsia="Verdana" w:hAnsi="Verdana"/>
          <w:highlight w:val="lightGray"/>
        </w:rPr>
        <w:t xml:space="preserve"> </w:t>
      </w:r>
      <w:hyperlink r:id="rId37" w:anchor="{%22itemid%22:[%22001-175882%22]}" w:history="1">
        <w:r w:rsidRPr="00197166">
          <w:rPr>
            <w:rStyle w:val="Hipercze"/>
            <w:rFonts w:ascii="Verdana" w:eastAsia="Verdana" w:hAnsi="Verdana"/>
            <w:b/>
            <w:bCs/>
            <w:highlight w:val="lightGray"/>
          </w:rPr>
          <w:t>Follorou przeciwko Francji (nr 30635/17) i Johannes przeciwko Francji (nr 30636/17),</w:t>
        </w:r>
      </w:hyperlink>
      <w:r w:rsidRPr="00197166">
        <w:rPr>
          <w:rFonts w:ascii="Verdana" w:eastAsia="Verdana" w:hAnsi="Verdana"/>
          <w:highlight w:val="lightGray"/>
        </w:rPr>
        <w:t xml:space="preserve"> przekazane Rządowi Francji w dniu 4 lipca 2017 r. </w:t>
      </w:r>
    </w:p>
    <w:p w14:paraId="096C255D" w14:textId="10DB9ECB" w:rsidR="00CB5ABD" w:rsidRPr="00197166" w:rsidRDefault="00CB5ABD" w:rsidP="00CB5ABD">
      <w:pPr>
        <w:tabs>
          <w:tab w:val="left" w:pos="1428"/>
        </w:tabs>
        <w:spacing w:line="239" w:lineRule="auto"/>
        <w:ind w:left="740"/>
        <w:jc w:val="both"/>
        <w:rPr>
          <w:rFonts w:ascii="Verdana" w:eastAsia="Verdana" w:hAnsi="Verdana"/>
          <w:b/>
          <w:bCs/>
          <w:highlight w:val="lightGray"/>
        </w:rPr>
      </w:pPr>
      <w:hyperlink r:id="rId38" w:anchor="{%22itemid%22:[%22003-7444850-10197670%22]}" w:history="1">
        <w:r w:rsidRPr="00197166">
          <w:rPr>
            <w:rStyle w:val="Hipercze"/>
            <w:rFonts w:ascii="Verdana" w:eastAsia="Verdana" w:hAnsi="Verdana"/>
            <w:b/>
            <w:bCs/>
            <w:highlight w:val="lightGray"/>
          </w:rPr>
          <w:t>Pietrzak przeciwko Polsce (nr 72038/17) i Bychawska-Siniarska i inni przeciwko Polsce (nr 25237/18)</w:t>
        </w:r>
      </w:hyperlink>
    </w:p>
    <w:p w14:paraId="14E20FEB" w14:textId="77777777" w:rsidR="00CB5ABD" w:rsidRPr="00197166" w:rsidRDefault="00CB5ABD" w:rsidP="00CB5ABD">
      <w:pPr>
        <w:tabs>
          <w:tab w:val="left" w:pos="1428"/>
        </w:tabs>
        <w:spacing w:line="239" w:lineRule="auto"/>
        <w:ind w:left="740"/>
        <w:jc w:val="both"/>
        <w:rPr>
          <w:rFonts w:ascii="Verdana" w:eastAsia="Verdana" w:hAnsi="Verdana"/>
          <w:color w:val="808080" w:themeColor="background1" w:themeShade="80"/>
          <w:highlight w:val="lightGray"/>
        </w:rPr>
      </w:pPr>
      <w:r w:rsidRPr="00197166">
        <w:rPr>
          <w:rFonts w:ascii="Verdana" w:eastAsia="Verdana" w:hAnsi="Verdana"/>
          <w:color w:val="808080" w:themeColor="background1" w:themeShade="80"/>
          <w:highlight w:val="lightGray"/>
        </w:rPr>
        <w:t>Wnioski przekazane polskiemu rządowi w dniu 27 listopada 2019 r.</w:t>
      </w:r>
    </w:p>
    <w:p w14:paraId="31C9C9AA" w14:textId="77777777" w:rsidR="00197166" w:rsidRPr="00567BB9" w:rsidRDefault="00CB5ABD" w:rsidP="00197166">
      <w:pPr>
        <w:tabs>
          <w:tab w:val="left" w:pos="1428"/>
        </w:tabs>
        <w:spacing w:line="239" w:lineRule="auto"/>
        <w:ind w:left="740"/>
        <w:jc w:val="both"/>
        <w:rPr>
          <w:rFonts w:ascii="Verdana" w:eastAsia="Verdana" w:hAnsi="Verdana"/>
          <w:highlight w:val="lightGray"/>
        </w:rPr>
      </w:pPr>
      <w:r w:rsidRPr="00197166">
        <w:rPr>
          <w:rFonts w:ascii="Verdana" w:eastAsia="Verdana" w:hAnsi="Verdana"/>
          <w:highlight w:val="lightGray"/>
        </w:rPr>
        <w:t>Wnioski te dotyczą polskiego ustawodawstwa zezwalającego na system tajnego nadzoru komunikacji telefonicznej, pocztowej i elektronicznej oraz gromadzenia danych dotyczących tej komunikacji („metadanych</w:t>
      </w:r>
      <w:r w:rsidRPr="00567BB9">
        <w:rPr>
          <w:rFonts w:ascii="Verdana" w:eastAsia="Verdana" w:hAnsi="Verdana"/>
          <w:highlight w:val="lightGray"/>
        </w:rPr>
        <w:t>”)</w:t>
      </w:r>
      <w:r w:rsidR="00197166" w:rsidRPr="00567BB9">
        <w:rPr>
          <w:rFonts w:ascii="Verdana" w:eastAsia="Verdana" w:hAnsi="Verdana"/>
          <w:highlight w:val="lightGray"/>
        </w:rPr>
        <w:t xml:space="preserve"> i zadawali pytania stronom na podstawie art. 8 (prawo do poszanowania życia prywatnego i korespondencji) i 13 (prawo do skutecznego środka odwoławczego) Konwencji.</w:t>
      </w:r>
    </w:p>
    <w:p w14:paraId="0EA8162B" w14:textId="616721D2" w:rsidR="00567BB9" w:rsidRPr="00567BB9" w:rsidRDefault="00197166" w:rsidP="00567BB9">
      <w:pPr>
        <w:tabs>
          <w:tab w:val="left" w:pos="1428"/>
        </w:tabs>
        <w:spacing w:line="239" w:lineRule="auto"/>
        <w:ind w:left="740"/>
        <w:jc w:val="both"/>
        <w:rPr>
          <w:rFonts w:ascii="Verdana" w:eastAsia="Verdana" w:hAnsi="Verdana"/>
          <w:highlight w:val="lightGray"/>
        </w:rPr>
      </w:pPr>
      <w:r w:rsidRPr="00567BB9">
        <w:rPr>
          <w:rFonts w:ascii="Verdana" w:eastAsia="Verdana" w:hAnsi="Verdana"/>
          <w:highlight w:val="lightGray"/>
        </w:rPr>
        <w:t>Jedenastu interwenientów ubocznych zostało dopuszczonych do udziału w procedurze pisemnej; spośród nich czterech zostało zaproszonych do wzięcia udziału w rozprawie Izby, która odbyła się w Budynku Praw Człowieka w dniu 27 września 2022 roku.</w:t>
      </w:r>
    </w:p>
    <w:p w14:paraId="254A4890" w14:textId="203D43C9" w:rsidR="00197166" w:rsidRPr="00567BB9" w:rsidRDefault="00197166" w:rsidP="00197166">
      <w:pPr>
        <w:tabs>
          <w:tab w:val="left" w:pos="1428"/>
        </w:tabs>
        <w:spacing w:line="239" w:lineRule="auto"/>
        <w:ind w:left="740"/>
        <w:jc w:val="both"/>
        <w:rPr>
          <w:rFonts w:ascii="Verdana" w:eastAsia="Verdana" w:hAnsi="Verdana"/>
          <w:b/>
          <w:bCs/>
          <w:highlight w:val="lightGray"/>
        </w:rPr>
      </w:pPr>
      <w:hyperlink r:id="rId39" w:anchor="{%22itemid%22:[%22001-214862%22]}" w:history="1">
        <w:r w:rsidRPr="00567BB9">
          <w:rPr>
            <w:rStyle w:val="Hipercze"/>
            <w:rFonts w:ascii="Verdana" w:eastAsia="Verdana" w:hAnsi="Verdana"/>
            <w:b/>
            <w:bCs/>
            <w:highlight w:val="lightGray"/>
          </w:rPr>
          <w:t>A.L. przeciwko Francji (nr 44715/20) i E.J. przeciwko Francji (nr 47930/21)</w:t>
        </w:r>
      </w:hyperlink>
    </w:p>
    <w:p w14:paraId="2DCE92EE" w14:textId="77777777" w:rsidR="00197166" w:rsidRPr="00567BB9" w:rsidRDefault="00197166" w:rsidP="00197166">
      <w:pPr>
        <w:tabs>
          <w:tab w:val="left" w:pos="1428"/>
        </w:tabs>
        <w:spacing w:line="239" w:lineRule="auto"/>
        <w:ind w:left="740"/>
        <w:jc w:val="both"/>
        <w:rPr>
          <w:rFonts w:ascii="Verdana" w:eastAsia="Verdana" w:hAnsi="Verdana"/>
          <w:color w:val="808080" w:themeColor="background1" w:themeShade="80"/>
          <w:highlight w:val="lightGray"/>
        </w:rPr>
      </w:pPr>
      <w:r w:rsidRPr="00567BB9">
        <w:rPr>
          <w:rFonts w:ascii="Verdana" w:eastAsia="Verdana" w:hAnsi="Verdana"/>
          <w:color w:val="808080" w:themeColor="background1" w:themeShade="80"/>
          <w:highlight w:val="lightGray"/>
        </w:rPr>
        <w:t>Wnioski przekazane rządowi francuskiemu w dniu 8 grudnia 2021 r.</w:t>
      </w:r>
    </w:p>
    <w:p w14:paraId="68E78D66" w14:textId="77777777" w:rsidR="00197166" w:rsidRPr="00567BB9" w:rsidRDefault="00197166" w:rsidP="00197166">
      <w:pPr>
        <w:tabs>
          <w:tab w:val="left" w:pos="1428"/>
        </w:tabs>
        <w:spacing w:line="239" w:lineRule="auto"/>
        <w:ind w:left="740"/>
        <w:jc w:val="both"/>
        <w:rPr>
          <w:rFonts w:ascii="Verdana" w:eastAsia="Verdana" w:hAnsi="Verdana"/>
          <w:highlight w:val="lightGray"/>
        </w:rPr>
      </w:pPr>
      <w:r w:rsidRPr="00567BB9">
        <w:rPr>
          <w:rFonts w:ascii="Verdana" w:eastAsia="Verdana" w:hAnsi="Verdana"/>
          <w:highlight w:val="lightGray"/>
        </w:rPr>
        <w:t>Wnioski te dotyczą w szczególności infiltracji przez władze francuskie szyfrowanej sieci komunikacyjnej „EncroChat” oraz przechwytywania, kopiowania i analizy danych przechowywanych i wymienianych z urządzeniami podłączonymi do tej sieci.</w:t>
      </w:r>
    </w:p>
    <w:p w14:paraId="368FC2ED" w14:textId="16287333" w:rsidR="00CB5ABD" w:rsidRPr="00567BB9" w:rsidRDefault="00197166" w:rsidP="00197166">
      <w:pPr>
        <w:tabs>
          <w:tab w:val="left" w:pos="1428"/>
        </w:tabs>
        <w:spacing w:line="239" w:lineRule="auto"/>
        <w:ind w:left="740"/>
        <w:jc w:val="both"/>
        <w:rPr>
          <w:rFonts w:ascii="Verdana" w:eastAsia="Verdana" w:hAnsi="Verdana"/>
          <w:color w:val="0077D0"/>
          <w:highlight w:val="lightGray"/>
        </w:rPr>
      </w:pPr>
      <w:r w:rsidRPr="00567BB9">
        <w:rPr>
          <w:rFonts w:ascii="Verdana" w:eastAsia="Verdana" w:hAnsi="Verdana"/>
          <w:color w:val="0077D0"/>
          <w:highlight w:val="lightGray"/>
        </w:rPr>
        <w:lastRenderedPageBreak/>
        <w:t>Trybunał powiadomił o skargach rząd francuski i zadał stronom pytania na podstawie art. 6 § 1 (prawo do rzetelnego procesu sądowego), art. 8 (prawo do poszanowania życia prywatnego i korespondencji), art. 13 (prawo do skutecznego środka odwoławczego), art. 34 (prawo do skargi indywidualnej) i art. 35 (kryteria dopuszczalności) Konwencji.</w:t>
      </w:r>
    </w:p>
    <w:p w14:paraId="203556E9" w14:textId="2D82ADBC" w:rsidR="00567BB9" w:rsidRPr="00567BB9" w:rsidRDefault="00567BB9" w:rsidP="00567BB9">
      <w:pPr>
        <w:tabs>
          <w:tab w:val="left" w:pos="1428"/>
        </w:tabs>
        <w:spacing w:line="239" w:lineRule="auto"/>
        <w:ind w:left="740"/>
        <w:jc w:val="both"/>
        <w:rPr>
          <w:rFonts w:ascii="Verdana" w:eastAsia="Verdana" w:hAnsi="Verdana"/>
          <w:b/>
          <w:bCs/>
          <w:color w:val="0077D0"/>
          <w:highlight w:val="lightGray"/>
        </w:rPr>
      </w:pPr>
      <w:hyperlink r:id="rId40" w:anchor="{%22itemid%22:[%22003-7810333-10835431%22]}" w:history="1">
        <w:r w:rsidRPr="00567BB9">
          <w:rPr>
            <w:rStyle w:val="Hipercze"/>
            <w:rFonts w:ascii="Verdana" w:eastAsia="Verdana" w:hAnsi="Verdana"/>
            <w:b/>
            <w:bCs/>
            <w:highlight w:val="lightGray"/>
          </w:rPr>
          <w:t>Fico przeciwko Słowacji (nr 21662/23)</w:t>
        </w:r>
      </w:hyperlink>
    </w:p>
    <w:p w14:paraId="3953E3EA" w14:textId="77777777" w:rsidR="00567BB9" w:rsidRPr="00567BB9" w:rsidRDefault="00567BB9" w:rsidP="00567BB9">
      <w:pPr>
        <w:tabs>
          <w:tab w:val="left" w:pos="1428"/>
        </w:tabs>
        <w:spacing w:line="239" w:lineRule="auto"/>
        <w:ind w:left="740"/>
        <w:jc w:val="both"/>
        <w:rPr>
          <w:rFonts w:ascii="Verdana" w:eastAsia="Verdana" w:hAnsi="Verdana"/>
          <w:color w:val="808080" w:themeColor="background1" w:themeShade="80"/>
          <w:highlight w:val="lightGray"/>
        </w:rPr>
      </w:pPr>
      <w:r w:rsidRPr="00567BB9">
        <w:rPr>
          <w:rFonts w:ascii="Verdana" w:eastAsia="Verdana" w:hAnsi="Verdana"/>
          <w:color w:val="808080" w:themeColor="background1" w:themeShade="80"/>
          <w:highlight w:val="lightGray"/>
        </w:rPr>
        <w:t>Skarga przekazana rządowi słowackiemu w dniu 6 listopada 2023 r.</w:t>
      </w:r>
    </w:p>
    <w:p w14:paraId="625B557B" w14:textId="77777777" w:rsidR="00567BB9" w:rsidRPr="00567BB9" w:rsidRDefault="00567BB9" w:rsidP="00567BB9">
      <w:pPr>
        <w:tabs>
          <w:tab w:val="left" w:pos="1428"/>
        </w:tabs>
        <w:spacing w:line="239" w:lineRule="auto"/>
        <w:ind w:left="740"/>
        <w:jc w:val="both"/>
        <w:rPr>
          <w:rFonts w:ascii="Verdana" w:eastAsia="Verdana" w:hAnsi="Verdana"/>
          <w:highlight w:val="lightGray"/>
        </w:rPr>
      </w:pPr>
      <w:r w:rsidRPr="00567BB9">
        <w:rPr>
          <w:rFonts w:ascii="Verdana" w:eastAsia="Verdana" w:hAnsi="Verdana"/>
          <w:highlight w:val="lightGray"/>
        </w:rPr>
        <w:t>Skarżący jest liderem socjaldemokratycznej partii SMER - sociálna demokracia i obecnym premierem Słowacji. Wniosek dotyczy tajnego monitorowania jego prywatnych spotkań, kiedy był posłem opozycji po tym, jak był już premierem, w kontekście dochodzenia w sprawie tego, co było postrzegane jako podejrzenie kłusownictwa.</w:t>
      </w:r>
    </w:p>
    <w:p w14:paraId="0D694BBA" w14:textId="63D289AC" w:rsidR="00567BB9" w:rsidRDefault="00567BB9" w:rsidP="00567BB9">
      <w:pPr>
        <w:tabs>
          <w:tab w:val="left" w:pos="1428"/>
        </w:tabs>
        <w:spacing w:line="239" w:lineRule="auto"/>
        <w:ind w:left="740"/>
        <w:jc w:val="both"/>
        <w:rPr>
          <w:rFonts w:ascii="Verdana" w:eastAsia="Verdana" w:hAnsi="Verdana"/>
          <w:color w:val="0077D0"/>
        </w:rPr>
      </w:pPr>
      <w:r w:rsidRPr="00567BB9">
        <w:rPr>
          <w:rFonts w:ascii="Verdana" w:eastAsia="Verdana" w:hAnsi="Verdana"/>
          <w:color w:val="0077D0"/>
          <w:highlight w:val="lightGray"/>
        </w:rPr>
        <w:t>Trybunał powiadomił o skardze słowacki rząd i zadał stronom pytania na podstawie art. 6 § 1 (prawo do rzetelnego procesu sądowego), art. 8 (prawo do poszanowania życia prywatnego i korespondencji), art. 13 (prawo do skutecznego środka odwoławczego) i art. 18 (ograniczenie stosowania ograniczeń praw) Konwencji.</w:t>
      </w:r>
    </w:p>
    <w:p w14:paraId="3F0B3C82" w14:textId="77777777" w:rsidR="00567BB9" w:rsidRPr="00567BB9" w:rsidRDefault="00567BB9" w:rsidP="00567BB9">
      <w:pPr>
        <w:tabs>
          <w:tab w:val="left" w:pos="1428"/>
        </w:tabs>
        <w:spacing w:line="239" w:lineRule="auto"/>
        <w:ind w:left="740"/>
        <w:jc w:val="both"/>
        <w:rPr>
          <w:rFonts w:ascii="Verdana" w:eastAsia="Verdana" w:hAnsi="Verdana"/>
          <w:color w:val="0077D0"/>
        </w:rPr>
      </w:pPr>
    </w:p>
    <w:p w14:paraId="1AFE6CF7" w14:textId="7F30B04D" w:rsidR="00F832FE" w:rsidRPr="001C3872" w:rsidRDefault="00F832FE" w:rsidP="00CB5ABD">
      <w:pPr>
        <w:tabs>
          <w:tab w:val="left" w:pos="1428"/>
        </w:tabs>
        <w:spacing w:line="239" w:lineRule="auto"/>
        <w:jc w:val="both"/>
        <w:rPr>
          <w:rFonts w:ascii="Verdana" w:eastAsia="Verdana" w:hAnsi="Verdana"/>
          <w:b/>
          <w:color w:val="0077D0"/>
          <w:u w:val="single"/>
        </w:rPr>
      </w:pPr>
    </w:p>
    <w:p w14:paraId="2DA7069D" w14:textId="77777777" w:rsidR="00F832FE" w:rsidRDefault="00475AFA" w:rsidP="00AB713F">
      <w:pPr>
        <w:spacing w:line="0" w:lineRule="atLeast"/>
        <w:ind w:left="740"/>
        <w:rPr>
          <w:rFonts w:ascii="Verdana" w:eastAsia="Verdana" w:hAnsi="Verdana"/>
          <w:color w:val="808080"/>
          <w:sz w:val="28"/>
        </w:rPr>
      </w:pPr>
      <w:r>
        <w:rPr>
          <w:rFonts w:ascii="Verdana" w:eastAsia="Verdana" w:hAnsi="Verdana"/>
          <w:color w:val="808080"/>
          <w:sz w:val="28"/>
        </w:rPr>
        <w:t xml:space="preserve">Monitorowanie komputerów używanych przez pracowników </w:t>
      </w:r>
    </w:p>
    <w:p w14:paraId="7BB5886D" w14:textId="77777777" w:rsidR="00F832FE" w:rsidRDefault="00F832FE" w:rsidP="00AB713F">
      <w:pPr>
        <w:spacing w:line="125" w:lineRule="exact"/>
        <w:ind w:left="740"/>
        <w:rPr>
          <w:rFonts w:ascii="Verdana" w:eastAsia="Verdana" w:hAnsi="Verdana"/>
          <w:b/>
          <w:color w:val="0072BC"/>
          <w:u w:val="single"/>
        </w:rPr>
      </w:pPr>
    </w:p>
    <w:p w14:paraId="7E3FC42A" w14:textId="3A8E5112" w:rsidR="00F832FE" w:rsidRDefault="00931955" w:rsidP="00AB713F">
      <w:pPr>
        <w:spacing w:before="120" w:line="0" w:lineRule="atLeast"/>
        <w:ind w:left="740"/>
        <w:rPr>
          <w:rFonts w:ascii="Verdana" w:eastAsia="Verdana" w:hAnsi="Verdana"/>
          <w:b/>
          <w:color w:val="0072BC"/>
          <w:u w:val="single"/>
        </w:rPr>
      </w:pPr>
      <w:hyperlink r:id="rId41" w:anchor="{%22itemid%22:[%22003-5825428-7419362%22]}" w:history="1">
        <w:r w:rsidRPr="007C6EA3">
          <w:rPr>
            <w:rStyle w:val="Hipercze"/>
            <w:rFonts w:ascii="Verdana" w:eastAsia="Verdana" w:hAnsi="Verdana"/>
            <w:b/>
          </w:rPr>
          <w:t>Bărbulescu przeciwko Rumunii</w:t>
        </w:r>
      </w:hyperlink>
    </w:p>
    <w:p w14:paraId="6F558826" w14:textId="77777777" w:rsidR="00F832FE" w:rsidRDefault="00F832FE" w:rsidP="00AB713F">
      <w:pPr>
        <w:spacing w:line="63" w:lineRule="exact"/>
        <w:ind w:left="740"/>
        <w:rPr>
          <w:rFonts w:ascii="Verdana" w:eastAsia="Verdana" w:hAnsi="Verdana"/>
          <w:b/>
          <w:color w:val="0072BC"/>
          <w:u w:val="single"/>
        </w:rPr>
      </w:pPr>
    </w:p>
    <w:p w14:paraId="3F55149D" w14:textId="77777777" w:rsidR="00F832FE" w:rsidRDefault="00931955" w:rsidP="00AB713F">
      <w:pPr>
        <w:spacing w:line="0" w:lineRule="atLeast"/>
        <w:ind w:left="740"/>
        <w:rPr>
          <w:rFonts w:ascii="Verdana" w:eastAsia="Verdana" w:hAnsi="Verdana"/>
          <w:color w:val="808080"/>
          <w:sz w:val="18"/>
        </w:rPr>
      </w:pPr>
      <w:r>
        <w:rPr>
          <w:rFonts w:ascii="Verdana" w:eastAsia="Verdana" w:hAnsi="Verdana"/>
          <w:color w:val="808080"/>
          <w:sz w:val="18"/>
        </w:rPr>
        <w:t>5 września</w:t>
      </w:r>
      <w:r w:rsidR="00F832FE">
        <w:rPr>
          <w:rFonts w:ascii="Verdana" w:eastAsia="Verdana" w:hAnsi="Verdana"/>
          <w:color w:val="808080"/>
          <w:sz w:val="18"/>
        </w:rPr>
        <w:t xml:space="preserve"> 2017</w:t>
      </w:r>
      <w:r w:rsidR="006A182B">
        <w:rPr>
          <w:rFonts w:ascii="Verdana" w:eastAsia="Verdana" w:hAnsi="Verdana"/>
          <w:color w:val="808080"/>
          <w:sz w:val="18"/>
        </w:rPr>
        <w:t xml:space="preserve"> roku</w:t>
      </w:r>
      <w:r w:rsidR="00F832FE">
        <w:rPr>
          <w:rFonts w:ascii="Verdana" w:eastAsia="Verdana" w:hAnsi="Verdana"/>
          <w:color w:val="808080"/>
          <w:sz w:val="18"/>
        </w:rPr>
        <w:t xml:space="preserve"> (</w:t>
      </w:r>
      <w:r>
        <w:rPr>
          <w:rFonts w:ascii="Verdana" w:eastAsia="Verdana" w:hAnsi="Verdana"/>
          <w:color w:val="808080"/>
          <w:sz w:val="18"/>
        </w:rPr>
        <w:t>Wielka Izba</w:t>
      </w:r>
      <w:r w:rsidR="00F832FE">
        <w:rPr>
          <w:rFonts w:ascii="Verdana" w:eastAsia="Verdana" w:hAnsi="Verdana"/>
          <w:color w:val="808080"/>
          <w:sz w:val="18"/>
        </w:rPr>
        <w:t>)</w:t>
      </w:r>
    </w:p>
    <w:p w14:paraId="3E0499C9" w14:textId="77777777" w:rsidR="00931955" w:rsidRDefault="00966EB4" w:rsidP="00AB713F">
      <w:pPr>
        <w:spacing w:line="239" w:lineRule="auto"/>
        <w:ind w:left="740" w:right="20"/>
        <w:jc w:val="both"/>
        <w:rPr>
          <w:rFonts w:ascii="Verdana" w:eastAsia="Verdana" w:hAnsi="Verdana"/>
        </w:rPr>
      </w:pPr>
      <w:r>
        <w:rPr>
          <w:rFonts w:ascii="Verdana" w:eastAsia="Verdana" w:hAnsi="Verdana"/>
        </w:rPr>
        <w:t>S</w:t>
      </w:r>
      <w:r w:rsidR="00931955">
        <w:rPr>
          <w:rFonts w:ascii="Verdana" w:eastAsia="Verdana" w:hAnsi="Verdana"/>
        </w:rPr>
        <w:t>prawa</w:t>
      </w:r>
      <w:r>
        <w:rPr>
          <w:rFonts w:ascii="Verdana" w:eastAsia="Verdana" w:hAnsi="Verdana"/>
        </w:rPr>
        <w:t xml:space="preserve"> ta</w:t>
      </w:r>
      <w:r w:rsidR="00931955">
        <w:rPr>
          <w:rFonts w:ascii="Verdana" w:eastAsia="Verdana" w:hAnsi="Verdana"/>
        </w:rPr>
        <w:t xml:space="preserve"> dotyczyła decyzji prywatnego przedsiębiorcy</w:t>
      </w:r>
      <w:r w:rsidR="00E938F9">
        <w:rPr>
          <w:rFonts w:ascii="Verdana" w:eastAsia="Verdana" w:hAnsi="Verdana"/>
        </w:rPr>
        <w:t xml:space="preserve"> o zwolnieniu pracownika – skarżącego – po skontrolowaniu jego wiadomości elektronicznych i wglądu w </w:t>
      </w:r>
      <w:r w:rsidR="003D70C5">
        <w:rPr>
          <w:rFonts w:ascii="Verdana" w:eastAsia="Verdana" w:hAnsi="Verdana"/>
        </w:rPr>
        <w:t>ich zawartość. Skarżący podnosił</w:t>
      </w:r>
      <w:r w:rsidR="00E938F9">
        <w:rPr>
          <w:rFonts w:ascii="Verdana" w:eastAsia="Verdana" w:hAnsi="Verdana"/>
        </w:rPr>
        <w:t xml:space="preserve">, że decyzja jego pracodawcy bazowała na naruszeniu jego prawa do prywatności oraz że sądy krajowe nie zapewniły ochrony jego prawa do poszanowania życia prywatnego oraz do tajemnicy korespondencji. </w:t>
      </w:r>
    </w:p>
    <w:p w14:paraId="518C8A30" w14:textId="77777777" w:rsidR="00F832FE" w:rsidRDefault="00F832FE" w:rsidP="00AB713F">
      <w:pPr>
        <w:spacing w:line="2" w:lineRule="exact"/>
        <w:ind w:left="740"/>
        <w:rPr>
          <w:rFonts w:ascii="Verdana" w:eastAsia="Verdana" w:hAnsi="Verdana"/>
          <w:b/>
          <w:color w:val="0072BC"/>
          <w:u w:val="single"/>
        </w:rPr>
      </w:pPr>
    </w:p>
    <w:p w14:paraId="179E28EF" w14:textId="77777777" w:rsidR="002922A6" w:rsidRDefault="00E938F9" w:rsidP="00AB713F">
      <w:pPr>
        <w:spacing w:line="243" w:lineRule="auto"/>
        <w:ind w:left="740" w:right="20"/>
        <w:jc w:val="both"/>
        <w:rPr>
          <w:rFonts w:ascii="Verdana" w:eastAsia="Verdana" w:hAnsi="Verdana"/>
          <w:b/>
          <w:color w:val="0072BC"/>
          <w:u w:val="single"/>
        </w:rPr>
      </w:pPr>
      <w:r>
        <w:rPr>
          <w:rFonts w:ascii="Verdana" w:eastAsia="Verdana" w:hAnsi="Verdana"/>
          <w:color w:val="0072BC"/>
        </w:rPr>
        <w:t>Wielka Izba</w:t>
      </w:r>
      <w:r w:rsidR="001234E4">
        <w:rPr>
          <w:rFonts w:ascii="Verdana" w:eastAsia="Verdana" w:hAnsi="Verdana"/>
          <w:color w:val="0072BC"/>
        </w:rPr>
        <w:t xml:space="preserve"> orzekła</w:t>
      </w:r>
      <w:r>
        <w:rPr>
          <w:rFonts w:ascii="Verdana" w:eastAsia="Verdana" w:hAnsi="Verdana"/>
          <w:color w:val="0072BC"/>
        </w:rPr>
        <w:t>, jedenast</w:t>
      </w:r>
      <w:r w:rsidR="001234E4">
        <w:rPr>
          <w:rFonts w:ascii="Verdana" w:eastAsia="Verdana" w:hAnsi="Verdana"/>
          <w:color w:val="0072BC"/>
        </w:rPr>
        <w:t xml:space="preserve">oma głosami do sześciu, </w:t>
      </w:r>
      <w:r>
        <w:rPr>
          <w:rFonts w:ascii="Verdana" w:eastAsia="Verdana" w:hAnsi="Verdana"/>
          <w:color w:val="0072BC"/>
        </w:rPr>
        <w:t xml:space="preserve">że </w:t>
      </w:r>
      <w:r w:rsidRPr="00E938F9">
        <w:rPr>
          <w:rFonts w:ascii="Verdana" w:eastAsia="Verdana" w:hAnsi="Verdana"/>
          <w:b/>
          <w:color w:val="0072BC"/>
        </w:rPr>
        <w:t xml:space="preserve">doszło do naruszenia </w:t>
      </w:r>
      <w:r w:rsidR="00DE69B0">
        <w:rPr>
          <w:rFonts w:ascii="Verdana" w:eastAsia="Verdana" w:hAnsi="Verdana"/>
          <w:b/>
          <w:color w:val="0072BC"/>
        </w:rPr>
        <w:t>art.</w:t>
      </w:r>
      <w:r>
        <w:rPr>
          <w:rFonts w:ascii="Verdana" w:eastAsia="Verdana" w:hAnsi="Verdana"/>
          <w:color w:val="0072BC"/>
        </w:rPr>
        <w:t xml:space="preserve"> </w:t>
      </w:r>
      <w:r w:rsidRPr="00E938F9">
        <w:rPr>
          <w:rFonts w:ascii="Verdana" w:eastAsia="Verdana" w:hAnsi="Verdana"/>
          <w:b/>
          <w:color w:val="0072BC"/>
        </w:rPr>
        <w:t>8</w:t>
      </w:r>
      <w:r>
        <w:rPr>
          <w:rFonts w:ascii="Verdana" w:eastAsia="Verdana" w:hAnsi="Verdana"/>
          <w:color w:val="0072BC"/>
        </w:rPr>
        <w:t>, uznając że władze rumuńskie nie zapewniły skarżącemu właściwej ochrony jego praw do poszanowania życia prywatnego oraz do tajemnicy korespondencji.</w:t>
      </w:r>
      <w:r w:rsidR="001234E4">
        <w:rPr>
          <w:rFonts w:ascii="Verdana" w:eastAsia="Verdana" w:hAnsi="Verdana"/>
          <w:color w:val="0072BC"/>
        </w:rPr>
        <w:t xml:space="preserve"> W konsekwencji nie</w:t>
      </w:r>
      <w:r>
        <w:rPr>
          <w:rFonts w:ascii="Verdana" w:eastAsia="Verdana" w:hAnsi="Verdana"/>
          <w:color w:val="0072BC"/>
        </w:rPr>
        <w:t xml:space="preserve"> </w:t>
      </w:r>
      <w:r w:rsidR="001234E4">
        <w:rPr>
          <w:rFonts w:ascii="Verdana" w:eastAsia="Verdana" w:hAnsi="Verdana"/>
          <w:color w:val="0072BC"/>
        </w:rPr>
        <w:t xml:space="preserve">udało im się osiągnąć właściwej równowagi pomiędzy wchodzącymi w </w:t>
      </w:r>
      <w:r w:rsidR="006A182B">
        <w:rPr>
          <w:rFonts w:ascii="Verdana" w:eastAsia="Verdana" w:hAnsi="Verdana"/>
          <w:color w:val="0072BC"/>
        </w:rPr>
        <w:t>grę</w:t>
      </w:r>
      <w:r w:rsidR="001234E4">
        <w:rPr>
          <w:rFonts w:ascii="Verdana" w:eastAsia="Verdana" w:hAnsi="Verdana"/>
          <w:color w:val="0072BC"/>
        </w:rPr>
        <w:t xml:space="preserve"> interesami.  W szczególności, sądom krajowym nie udało się ustalić czy </w:t>
      </w:r>
      <w:r w:rsidR="002839F5">
        <w:rPr>
          <w:rFonts w:ascii="Verdana" w:eastAsia="Verdana" w:hAnsi="Verdana"/>
          <w:color w:val="0072BC"/>
        </w:rPr>
        <w:t>skarżący</w:t>
      </w:r>
      <w:r w:rsidR="001234E4">
        <w:rPr>
          <w:rFonts w:ascii="Verdana" w:eastAsia="Verdana" w:hAnsi="Verdana"/>
          <w:color w:val="0072BC"/>
        </w:rPr>
        <w:t xml:space="preserve"> został uprzednio poinformowany przez pracodawcę o możliwości </w:t>
      </w:r>
      <w:r w:rsidR="006A182B">
        <w:rPr>
          <w:rFonts w:ascii="Verdana" w:eastAsia="Verdana" w:hAnsi="Verdana"/>
          <w:color w:val="0072BC"/>
        </w:rPr>
        <w:t>monitowania</w:t>
      </w:r>
      <w:r w:rsidR="001234E4">
        <w:rPr>
          <w:rFonts w:ascii="Verdana" w:eastAsia="Verdana" w:hAnsi="Verdana"/>
          <w:color w:val="0072BC"/>
        </w:rPr>
        <w:t xml:space="preserve"> jego korespondencji; nie </w:t>
      </w:r>
      <w:r w:rsidR="006A182B">
        <w:rPr>
          <w:rFonts w:ascii="Verdana" w:eastAsia="Verdana" w:hAnsi="Verdana"/>
          <w:color w:val="0072BC"/>
        </w:rPr>
        <w:t>odniosły</w:t>
      </w:r>
      <w:r w:rsidR="001234E4">
        <w:rPr>
          <w:rFonts w:ascii="Verdana" w:eastAsia="Verdana" w:hAnsi="Verdana"/>
          <w:color w:val="0072BC"/>
        </w:rPr>
        <w:t xml:space="preserve"> się również do faktu, że</w:t>
      </w:r>
      <w:r w:rsidR="003D70C5">
        <w:rPr>
          <w:rFonts w:ascii="Verdana" w:eastAsia="Verdana" w:hAnsi="Verdana"/>
          <w:color w:val="0072BC"/>
        </w:rPr>
        <w:t xml:space="preserve"> nie</w:t>
      </w:r>
      <w:r w:rsidR="001234E4">
        <w:rPr>
          <w:rFonts w:ascii="Verdana" w:eastAsia="Verdana" w:hAnsi="Verdana"/>
          <w:color w:val="0072BC"/>
        </w:rPr>
        <w:t xml:space="preserve"> został on poinformowany o charakterze lub zakresie kontroli lub też stopnia ingerencji w jego prawo do prywatności lub do tajemnicy korespondencji. </w:t>
      </w:r>
      <w:r w:rsidR="00475AFA">
        <w:rPr>
          <w:rFonts w:ascii="Verdana" w:eastAsia="Verdana" w:hAnsi="Verdana"/>
          <w:color w:val="0072BC"/>
        </w:rPr>
        <w:t>Dodatkowo, sądy krajowe nie określiły, po pierwsze konkretnych powodów uzasadniających wdrożenie środków monitorujących; po drugie, czy pracoda</w:t>
      </w:r>
      <w:r w:rsidR="00966EB4">
        <w:rPr>
          <w:rFonts w:ascii="Verdana" w:eastAsia="Verdana" w:hAnsi="Verdana"/>
          <w:color w:val="0072BC"/>
        </w:rPr>
        <w:t xml:space="preserve">wca mógł wprowadzić inne środki, mniej ingerujące w prawo skarżącego do prywatności oraz do tajemnicy korespondencji; oraz po trzecie, czy dostęp do wiadomości mógł odbyć się bez jego wiedzy. </w:t>
      </w:r>
    </w:p>
    <w:p w14:paraId="299515F8" w14:textId="2031D282" w:rsidR="00F832FE" w:rsidRDefault="002922A6" w:rsidP="00AB713F">
      <w:pPr>
        <w:spacing w:before="120" w:line="0" w:lineRule="atLeast"/>
        <w:ind w:left="740"/>
        <w:rPr>
          <w:rFonts w:ascii="Verdana" w:eastAsia="Verdana" w:hAnsi="Verdana"/>
          <w:b/>
          <w:color w:val="0072BC"/>
          <w:u w:val="single"/>
        </w:rPr>
      </w:pPr>
      <w:hyperlink r:id="rId42" w:anchor="{%22itemid%22:[%22003-6014614-7713110%22]}" w:history="1">
        <w:r w:rsidRPr="007C6EA3">
          <w:rPr>
            <w:rStyle w:val="Hipercze"/>
            <w:rFonts w:ascii="Verdana" w:eastAsia="Verdana" w:hAnsi="Verdana"/>
            <w:b/>
          </w:rPr>
          <w:t>Libert przeciwko Francji</w:t>
        </w:r>
      </w:hyperlink>
      <w:r w:rsidR="00F832FE">
        <w:rPr>
          <w:rFonts w:ascii="Verdana" w:eastAsia="Verdana" w:hAnsi="Verdana"/>
          <w:b/>
          <w:color w:val="0072BC"/>
          <w:u w:val="single"/>
        </w:rPr>
        <w:t xml:space="preserve"> </w:t>
      </w:r>
    </w:p>
    <w:p w14:paraId="577886F6" w14:textId="77777777" w:rsidR="00F832FE" w:rsidRDefault="00F832FE" w:rsidP="00AB713F">
      <w:pPr>
        <w:spacing w:line="231" w:lineRule="auto"/>
        <w:ind w:left="740"/>
        <w:rPr>
          <w:rFonts w:ascii="Verdana" w:eastAsia="Verdana" w:hAnsi="Verdana"/>
          <w:color w:val="808080"/>
          <w:sz w:val="24"/>
          <w:vertAlign w:val="superscript"/>
        </w:rPr>
      </w:pPr>
      <w:r>
        <w:rPr>
          <w:rFonts w:ascii="Verdana" w:eastAsia="Verdana" w:hAnsi="Verdana"/>
          <w:color w:val="808080"/>
          <w:sz w:val="18"/>
        </w:rPr>
        <w:t xml:space="preserve">22 </w:t>
      </w:r>
      <w:r w:rsidR="002922A6">
        <w:rPr>
          <w:rFonts w:ascii="Verdana" w:eastAsia="Verdana" w:hAnsi="Verdana"/>
          <w:color w:val="808080"/>
          <w:sz w:val="18"/>
        </w:rPr>
        <w:t>luty</w:t>
      </w:r>
      <w:r>
        <w:rPr>
          <w:rFonts w:ascii="Verdana" w:eastAsia="Verdana" w:hAnsi="Verdana"/>
          <w:color w:val="808080"/>
          <w:sz w:val="18"/>
        </w:rPr>
        <w:t xml:space="preserve"> 2018</w:t>
      </w:r>
      <w:r w:rsidR="00D22A22">
        <w:rPr>
          <w:rFonts w:ascii="Verdana" w:eastAsia="Verdana" w:hAnsi="Verdana"/>
          <w:color w:val="808080"/>
          <w:sz w:val="18"/>
        </w:rPr>
        <w:t xml:space="preserve"> </w:t>
      </w:r>
      <w:r w:rsidR="006A182B">
        <w:rPr>
          <w:rFonts w:ascii="Verdana" w:eastAsia="Verdana" w:hAnsi="Verdana"/>
          <w:color w:val="808080"/>
          <w:sz w:val="18"/>
        </w:rPr>
        <w:t>roku</w:t>
      </w:r>
    </w:p>
    <w:p w14:paraId="45DE6A3A" w14:textId="77777777" w:rsidR="00F832FE" w:rsidRDefault="00F832FE" w:rsidP="00AB713F">
      <w:pPr>
        <w:spacing w:line="1" w:lineRule="exact"/>
        <w:ind w:left="740"/>
        <w:rPr>
          <w:rFonts w:ascii="Times New Roman" w:eastAsia="Times New Roman" w:hAnsi="Times New Roman"/>
        </w:rPr>
      </w:pPr>
    </w:p>
    <w:p w14:paraId="009E0B44" w14:textId="77777777" w:rsidR="00F832FE" w:rsidRDefault="00966EB4" w:rsidP="00AB713F">
      <w:pPr>
        <w:spacing w:line="239" w:lineRule="auto"/>
        <w:ind w:left="740" w:right="20"/>
        <w:jc w:val="both"/>
        <w:rPr>
          <w:rFonts w:ascii="Verdana" w:eastAsia="Verdana" w:hAnsi="Verdana"/>
        </w:rPr>
      </w:pPr>
      <w:r>
        <w:rPr>
          <w:rFonts w:ascii="Verdana" w:eastAsia="Verdana" w:hAnsi="Verdana"/>
        </w:rPr>
        <w:t>Sprawa ta dotyczyła zwolnienia pracownika SNCF (francuskiego</w:t>
      </w:r>
      <w:r w:rsidR="00D22A22">
        <w:rPr>
          <w:rFonts w:ascii="Verdana" w:eastAsia="Verdana" w:hAnsi="Verdana"/>
        </w:rPr>
        <w:t xml:space="preserve"> </w:t>
      </w:r>
      <w:r w:rsidR="00C93F19">
        <w:rPr>
          <w:rFonts w:ascii="Verdana" w:eastAsia="Verdana" w:hAnsi="Verdana"/>
        </w:rPr>
        <w:t xml:space="preserve">państwowego </w:t>
      </w:r>
      <w:r>
        <w:rPr>
          <w:rFonts w:ascii="Verdana" w:eastAsia="Verdana" w:hAnsi="Verdana"/>
        </w:rPr>
        <w:t>przedsiębiorstwa kolejowego)</w:t>
      </w:r>
      <w:r w:rsidR="00F832FE">
        <w:rPr>
          <w:rFonts w:ascii="Verdana" w:eastAsia="Verdana" w:hAnsi="Verdana"/>
        </w:rPr>
        <w:t xml:space="preserve"> </w:t>
      </w:r>
      <w:r w:rsidR="003D70C5">
        <w:rPr>
          <w:rFonts w:ascii="Verdana" w:eastAsia="Verdana" w:hAnsi="Verdana"/>
        </w:rPr>
        <w:t xml:space="preserve">po </w:t>
      </w:r>
      <w:r w:rsidR="00C93F19">
        <w:rPr>
          <w:rFonts w:ascii="Verdana" w:eastAsia="Verdana" w:hAnsi="Verdana"/>
        </w:rPr>
        <w:t>tym jak skonfiskowano jego</w:t>
      </w:r>
      <w:r w:rsidR="00F561ED">
        <w:rPr>
          <w:rFonts w:ascii="Verdana" w:eastAsia="Verdana" w:hAnsi="Verdana"/>
        </w:rPr>
        <w:t xml:space="preserve"> komputer </w:t>
      </w:r>
      <w:r w:rsidR="00C93F19">
        <w:rPr>
          <w:rFonts w:ascii="Verdana" w:eastAsia="Verdana" w:hAnsi="Verdana"/>
        </w:rPr>
        <w:t>służbowy i</w:t>
      </w:r>
      <w:r w:rsidR="003D70C5">
        <w:rPr>
          <w:rFonts w:ascii="Verdana" w:eastAsia="Verdana" w:hAnsi="Verdana"/>
        </w:rPr>
        <w:t xml:space="preserve"> </w:t>
      </w:r>
      <w:r w:rsidR="00C93F19">
        <w:rPr>
          <w:rFonts w:ascii="Verdana" w:eastAsia="Verdana" w:hAnsi="Verdana"/>
        </w:rPr>
        <w:t>ujawniono</w:t>
      </w:r>
      <w:r w:rsidR="003D70C5">
        <w:rPr>
          <w:rFonts w:ascii="Verdana" w:eastAsia="Verdana" w:hAnsi="Verdana"/>
        </w:rPr>
        <w:t>, że</w:t>
      </w:r>
      <w:r w:rsidR="00F561ED">
        <w:rPr>
          <w:rFonts w:ascii="Verdana" w:eastAsia="Verdana" w:hAnsi="Verdana"/>
        </w:rPr>
        <w:t xml:space="preserve"> </w:t>
      </w:r>
      <w:r w:rsidR="00C93F19">
        <w:rPr>
          <w:rFonts w:ascii="Verdana" w:eastAsia="Verdana" w:hAnsi="Verdana"/>
        </w:rPr>
        <w:t>przechowywane</w:t>
      </w:r>
      <w:r w:rsidR="003D70C5">
        <w:rPr>
          <w:rFonts w:ascii="Verdana" w:eastAsia="Verdana" w:hAnsi="Verdana"/>
        </w:rPr>
        <w:t xml:space="preserve"> </w:t>
      </w:r>
      <w:r w:rsidR="00C93F19">
        <w:rPr>
          <w:rFonts w:ascii="Verdana" w:eastAsia="Verdana" w:hAnsi="Verdana"/>
        </w:rPr>
        <w:t xml:space="preserve">były </w:t>
      </w:r>
      <w:r w:rsidR="003D70C5">
        <w:rPr>
          <w:rFonts w:ascii="Verdana" w:eastAsia="Verdana" w:hAnsi="Verdana"/>
        </w:rPr>
        <w:t xml:space="preserve">na nim </w:t>
      </w:r>
      <w:r w:rsidR="00D22A22">
        <w:rPr>
          <w:rFonts w:ascii="Verdana" w:eastAsia="Verdana" w:hAnsi="Verdana"/>
        </w:rPr>
        <w:t xml:space="preserve">pliki pornograficzne </w:t>
      </w:r>
      <w:r w:rsidR="00F561ED">
        <w:rPr>
          <w:rFonts w:ascii="Verdana" w:eastAsia="Verdana" w:hAnsi="Verdana"/>
        </w:rPr>
        <w:t xml:space="preserve">oraz </w:t>
      </w:r>
      <w:r w:rsidR="00D22A22">
        <w:rPr>
          <w:rFonts w:ascii="Verdana" w:eastAsia="Verdana" w:hAnsi="Verdana"/>
        </w:rPr>
        <w:t xml:space="preserve">sfałszowane certyfikaty </w:t>
      </w:r>
      <w:r w:rsidR="00F561ED">
        <w:rPr>
          <w:rFonts w:ascii="Verdana" w:eastAsia="Verdana" w:hAnsi="Verdana"/>
        </w:rPr>
        <w:t xml:space="preserve">osób trzecich. </w:t>
      </w:r>
      <w:r w:rsidR="006A182B">
        <w:rPr>
          <w:rFonts w:ascii="Verdana" w:eastAsia="Verdana" w:hAnsi="Verdana"/>
        </w:rPr>
        <w:t>Skarżący</w:t>
      </w:r>
      <w:r w:rsidR="00F561ED">
        <w:rPr>
          <w:rFonts w:ascii="Verdana" w:eastAsia="Verdana" w:hAnsi="Verdana"/>
        </w:rPr>
        <w:t xml:space="preserve"> podnosił, w szczególności, że pracodawca, </w:t>
      </w:r>
      <w:r w:rsidR="00C93F19">
        <w:rPr>
          <w:rFonts w:ascii="Verdana" w:eastAsia="Verdana" w:hAnsi="Verdana"/>
        </w:rPr>
        <w:t>pod</w:t>
      </w:r>
      <w:r w:rsidR="00F561ED">
        <w:rPr>
          <w:rFonts w:ascii="Verdana" w:eastAsia="Verdana" w:hAnsi="Verdana"/>
        </w:rPr>
        <w:t xml:space="preserve"> jego nieobecnoś</w:t>
      </w:r>
      <w:r w:rsidR="00C93F19">
        <w:rPr>
          <w:rFonts w:ascii="Verdana" w:eastAsia="Verdana" w:hAnsi="Verdana"/>
        </w:rPr>
        <w:t>ć</w:t>
      </w:r>
      <w:r w:rsidR="00F561ED">
        <w:rPr>
          <w:rFonts w:ascii="Verdana" w:eastAsia="Verdana" w:hAnsi="Verdana"/>
        </w:rPr>
        <w:t xml:space="preserve"> otworzył jego </w:t>
      </w:r>
      <w:r w:rsidR="006A182B">
        <w:rPr>
          <w:rFonts w:ascii="Verdana" w:eastAsia="Verdana" w:hAnsi="Verdana"/>
        </w:rPr>
        <w:t>prywatne</w:t>
      </w:r>
      <w:r w:rsidR="00F561ED">
        <w:rPr>
          <w:rFonts w:ascii="Verdana" w:eastAsia="Verdana" w:hAnsi="Verdana"/>
        </w:rPr>
        <w:t xml:space="preserve"> pliki</w:t>
      </w:r>
      <w:r w:rsidR="003D70C5">
        <w:rPr>
          <w:rFonts w:ascii="Verdana" w:eastAsia="Verdana" w:hAnsi="Verdana"/>
        </w:rPr>
        <w:t>,</w:t>
      </w:r>
      <w:r w:rsidR="00F561ED">
        <w:rPr>
          <w:rFonts w:ascii="Verdana" w:eastAsia="Verdana" w:hAnsi="Verdana"/>
        </w:rPr>
        <w:t xml:space="preserve"> przechowywane na dysku</w:t>
      </w:r>
      <w:r w:rsidR="00C93F19">
        <w:rPr>
          <w:rFonts w:ascii="Verdana" w:eastAsia="Verdana" w:hAnsi="Verdana"/>
        </w:rPr>
        <w:t xml:space="preserve"> twardym</w:t>
      </w:r>
      <w:r w:rsidR="00F561ED">
        <w:rPr>
          <w:rFonts w:ascii="Verdana" w:eastAsia="Verdana" w:hAnsi="Verdana"/>
        </w:rPr>
        <w:t xml:space="preserve"> jego komputera </w:t>
      </w:r>
      <w:r w:rsidR="00C93F19">
        <w:rPr>
          <w:rFonts w:ascii="Verdana" w:eastAsia="Verdana" w:hAnsi="Verdana"/>
        </w:rPr>
        <w:t>służbowego</w:t>
      </w:r>
      <w:r w:rsidR="00F561ED">
        <w:rPr>
          <w:rFonts w:ascii="Verdana" w:eastAsia="Verdana" w:hAnsi="Verdana"/>
        </w:rPr>
        <w:t>.</w:t>
      </w:r>
    </w:p>
    <w:p w14:paraId="4A22DB29" w14:textId="77777777" w:rsidR="00F832FE" w:rsidRDefault="00A2492E" w:rsidP="00AB713F">
      <w:pPr>
        <w:spacing w:line="242" w:lineRule="auto"/>
        <w:ind w:left="740"/>
        <w:jc w:val="both"/>
        <w:rPr>
          <w:rFonts w:ascii="Verdana" w:eastAsia="Verdana" w:hAnsi="Verdana"/>
          <w:color w:val="0072BC"/>
        </w:rPr>
      </w:pPr>
      <w:r w:rsidRPr="00A2492E">
        <w:rPr>
          <w:rFonts w:ascii="Verdana" w:eastAsia="Verdana" w:hAnsi="Verdana"/>
          <w:color w:val="0072BC"/>
        </w:rPr>
        <w:t xml:space="preserve">Trybunał orzekł, że </w:t>
      </w:r>
      <w:r w:rsidRPr="00F8489F">
        <w:rPr>
          <w:rFonts w:ascii="Verdana" w:eastAsia="Verdana" w:hAnsi="Verdana"/>
          <w:b/>
          <w:color w:val="0072BC"/>
        </w:rPr>
        <w:t>nie doszło do naruszenia art. 8</w:t>
      </w:r>
      <w:r w:rsidRPr="00A2492E">
        <w:rPr>
          <w:rFonts w:ascii="Verdana" w:eastAsia="Verdana" w:hAnsi="Verdana"/>
          <w:color w:val="0072BC"/>
        </w:rPr>
        <w:t xml:space="preserve"> Konwencji, stwierdzając, że w niniejszej sprawie władze francuskie nie przekroczy</w:t>
      </w:r>
      <w:r w:rsidR="003D70C5">
        <w:rPr>
          <w:rFonts w:ascii="Verdana" w:eastAsia="Verdana" w:hAnsi="Verdana"/>
          <w:color w:val="0072BC"/>
        </w:rPr>
        <w:t>ły przyznanego im marginesu uznania. Trybunał</w:t>
      </w:r>
      <w:r w:rsidRPr="00A2492E">
        <w:rPr>
          <w:rFonts w:ascii="Verdana" w:eastAsia="Verdana" w:hAnsi="Verdana"/>
          <w:color w:val="0072BC"/>
        </w:rPr>
        <w:t xml:space="preserve"> zauważył w szczególności, że zapoznanie się z </w:t>
      </w:r>
      <w:r w:rsidR="00176162">
        <w:rPr>
          <w:rFonts w:ascii="Verdana" w:eastAsia="Verdana" w:hAnsi="Verdana"/>
          <w:color w:val="0072BC"/>
        </w:rPr>
        <w:t>plikami skarżącego przez pracodawcę</w:t>
      </w:r>
      <w:r w:rsidRPr="00A2492E">
        <w:rPr>
          <w:rFonts w:ascii="Verdana" w:eastAsia="Verdana" w:hAnsi="Verdana"/>
          <w:color w:val="0072BC"/>
        </w:rPr>
        <w:t xml:space="preserve"> miało na celu ochronę praw pracodawców, którzy mogliby zasadnie chcieć </w:t>
      </w:r>
      <w:r w:rsidR="00C93F19">
        <w:rPr>
          <w:rFonts w:ascii="Verdana" w:eastAsia="Verdana" w:hAnsi="Verdana"/>
          <w:color w:val="0072BC"/>
        </w:rPr>
        <w:t>upewnić się</w:t>
      </w:r>
      <w:r w:rsidRPr="00A2492E">
        <w:rPr>
          <w:rFonts w:ascii="Verdana" w:eastAsia="Verdana" w:hAnsi="Verdana"/>
          <w:color w:val="0072BC"/>
        </w:rPr>
        <w:t xml:space="preserve">, </w:t>
      </w:r>
      <w:r w:rsidR="00C93F19">
        <w:rPr>
          <w:rFonts w:ascii="Verdana" w:eastAsia="Verdana" w:hAnsi="Verdana"/>
          <w:color w:val="0072BC"/>
        </w:rPr>
        <w:t>że</w:t>
      </w:r>
      <w:r w:rsidRPr="00A2492E">
        <w:rPr>
          <w:rFonts w:ascii="Verdana" w:eastAsia="Verdana" w:hAnsi="Verdana"/>
          <w:color w:val="0072BC"/>
        </w:rPr>
        <w:t xml:space="preserve"> ich pracownicy korzysta</w:t>
      </w:r>
      <w:r w:rsidR="00C93F19">
        <w:rPr>
          <w:rFonts w:ascii="Verdana" w:eastAsia="Verdana" w:hAnsi="Verdana"/>
          <w:color w:val="0072BC"/>
        </w:rPr>
        <w:t>ją</w:t>
      </w:r>
      <w:r w:rsidRPr="00A2492E">
        <w:rPr>
          <w:rFonts w:ascii="Verdana" w:eastAsia="Verdana" w:hAnsi="Verdana"/>
          <w:color w:val="0072BC"/>
        </w:rPr>
        <w:t xml:space="preserve"> z urządzeń komputerowych, któ</w:t>
      </w:r>
      <w:r w:rsidR="00C93F19">
        <w:rPr>
          <w:rFonts w:ascii="Verdana" w:eastAsia="Verdana" w:hAnsi="Verdana"/>
          <w:color w:val="0072BC"/>
        </w:rPr>
        <w:t>re zostały im udostępnione</w:t>
      </w:r>
      <w:r w:rsidRPr="00A2492E">
        <w:rPr>
          <w:rFonts w:ascii="Verdana" w:eastAsia="Verdana" w:hAnsi="Verdana"/>
          <w:color w:val="0072BC"/>
        </w:rPr>
        <w:t>, zgodnie z</w:t>
      </w:r>
      <w:r w:rsidR="00D232A4">
        <w:rPr>
          <w:rFonts w:ascii="Verdana" w:eastAsia="Verdana" w:hAnsi="Verdana"/>
          <w:color w:val="0072BC"/>
        </w:rPr>
        <w:t>e</w:t>
      </w:r>
      <w:r w:rsidRPr="00A2492E">
        <w:rPr>
          <w:rFonts w:ascii="Verdana" w:eastAsia="Verdana" w:hAnsi="Verdana"/>
          <w:color w:val="0072BC"/>
        </w:rPr>
        <w:t xml:space="preserve"> zobowiązaniami umownymi i obowiązującymi przepisami.</w:t>
      </w:r>
      <w:r w:rsidR="00D232A4">
        <w:rPr>
          <w:rFonts w:ascii="Verdana" w:eastAsia="Verdana" w:hAnsi="Verdana"/>
          <w:color w:val="0072BC"/>
        </w:rPr>
        <w:t xml:space="preserve"> </w:t>
      </w:r>
      <w:r w:rsidRPr="00A2492E">
        <w:rPr>
          <w:rFonts w:ascii="Verdana" w:eastAsia="Verdana" w:hAnsi="Verdana"/>
          <w:color w:val="0072BC"/>
        </w:rPr>
        <w:t xml:space="preserve">Trybunał zauważył również, że prawo francuskie </w:t>
      </w:r>
      <w:r w:rsidR="00D232A4">
        <w:rPr>
          <w:rFonts w:ascii="Verdana" w:eastAsia="Verdana" w:hAnsi="Verdana"/>
          <w:color w:val="0072BC"/>
        </w:rPr>
        <w:t>zawiera</w:t>
      </w:r>
      <w:r w:rsidRPr="00A2492E">
        <w:rPr>
          <w:rFonts w:ascii="Verdana" w:eastAsia="Verdana" w:hAnsi="Verdana"/>
          <w:color w:val="0072BC"/>
        </w:rPr>
        <w:t xml:space="preserve"> mechanizm ochrony prywatności umożliwi</w:t>
      </w:r>
      <w:r w:rsidR="00176162">
        <w:rPr>
          <w:rFonts w:ascii="Verdana" w:eastAsia="Verdana" w:hAnsi="Verdana"/>
          <w:color w:val="0072BC"/>
        </w:rPr>
        <w:t xml:space="preserve">ający pracodawcom otwieranie plików </w:t>
      </w:r>
      <w:r w:rsidR="00D232A4">
        <w:rPr>
          <w:rFonts w:ascii="Verdana" w:eastAsia="Verdana" w:hAnsi="Verdana"/>
          <w:color w:val="0072BC"/>
        </w:rPr>
        <w:t>służbowych</w:t>
      </w:r>
      <w:r w:rsidRPr="00A2492E">
        <w:rPr>
          <w:rFonts w:ascii="Verdana" w:eastAsia="Verdana" w:hAnsi="Verdana"/>
          <w:color w:val="0072BC"/>
        </w:rPr>
        <w:t xml:space="preserve">, chociaż nie </w:t>
      </w:r>
      <w:r w:rsidR="00176162">
        <w:rPr>
          <w:rFonts w:ascii="Verdana" w:eastAsia="Verdana" w:hAnsi="Verdana"/>
          <w:color w:val="0072BC"/>
        </w:rPr>
        <w:t xml:space="preserve">mogą </w:t>
      </w:r>
      <w:r w:rsidR="006A182B">
        <w:rPr>
          <w:rFonts w:ascii="Verdana" w:eastAsia="Verdana" w:hAnsi="Verdana"/>
          <w:color w:val="0072BC"/>
        </w:rPr>
        <w:t>potajemnie</w:t>
      </w:r>
      <w:r w:rsidR="00176162">
        <w:rPr>
          <w:rFonts w:ascii="Verdana" w:eastAsia="Verdana" w:hAnsi="Verdana"/>
          <w:color w:val="0072BC"/>
        </w:rPr>
        <w:t xml:space="preserve"> otwierać plików </w:t>
      </w:r>
      <w:r w:rsidR="00D232A4">
        <w:rPr>
          <w:rFonts w:ascii="Verdana" w:eastAsia="Verdana" w:hAnsi="Verdana"/>
          <w:color w:val="0072BC"/>
        </w:rPr>
        <w:t>zidentyfikowanych jako osobiste</w:t>
      </w:r>
      <w:r w:rsidR="00176162">
        <w:rPr>
          <w:rFonts w:ascii="Verdana" w:eastAsia="Verdana" w:hAnsi="Verdana"/>
          <w:color w:val="0072BC"/>
        </w:rPr>
        <w:t xml:space="preserve">. </w:t>
      </w:r>
      <w:r w:rsidRPr="00A2492E">
        <w:rPr>
          <w:rFonts w:ascii="Verdana" w:eastAsia="Verdana" w:hAnsi="Verdana"/>
          <w:color w:val="0072BC"/>
        </w:rPr>
        <w:t>Ten drugi rodzaj plików można było otworzyć tylko w obecności pracownika.</w:t>
      </w:r>
      <w:r w:rsidR="00D22A22">
        <w:rPr>
          <w:rFonts w:ascii="Verdana" w:eastAsia="Verdana" w:hAnsi="Verdana"/>
          <w:color w:val="0072BC"/>
        </w:rPr>
        <w:t xml:space="preserve"> </w:t>
      </w:r>
      <w:r w:rsidRPr="00A2492E">
        <w:rPr>
          <w:rFonts w:ascii="Verdana" w:eastAsia="Verdana" w:hAnsi="Verdana"/>
          <w:color w:val="0072BC"/>
        </w:rPr>
        <w:t>Sądy krajowe orzekły, że mechanizm ten nie przeszkodziłby pr</w:t>
      </w:r>
      <w:r w:rsidR="00176162">
        <w:rPr>
          <w:rFonts w:ascii="Verdana" w:eastAsia="Verdana" w:hAnsi="Verdana"/>
          <w:color w:val="0072BC"/>
        </w:rPr>
        <w:t xml:space="preserve">acodawcy w otwarciu spornych plików, ponieważ nie zostały one należycie </w:t>
      </w:r>
      <w:r w:rsidR="00D232A4">
        <w:rPr>
          <w:rFonts w:ascii="Verdana" w:eastAsia="Verdana" w:hAnsi="Verdana"/>
          <w:color w:val="0072BC"/>
        </w:rPr>
        <w:t>zidentyfikowane jako</w:t>
      </w:r>
      <w:r w:rsidR="00176162">
        <w:rPr>
          <w:rFonts w:ascii="Verdana" w:eastAsia="Verdana" w:hAnsi="Verdana"/>
          <w:color w:val="0072BC"/>
        </w:rPr>
        <w:t xml:space="preserve"> pliki </w:t>
      </w:r>
      <w:r w:rsidR="006A182B">
        <w:rPr>
          <w:rFonts w:ascii="Verdana" w:eastAsia="Verdana" w:hAnsi="Verdana"/>
          <w:color w:val="0072BC"/>
        </w:rPr>
        <w:t>prywatne</w:t>
      </w:r>
      <w:r w:rsidRPr="00A2492E">
        <w:rPr>
          <w:rFonts w:ascii="Verdana" w:eastAsia="Verdana" w:hAnsi="Verdana"/>
          <w:color w:val="0072BC"/>
        </w:rPr>
        <w:t xml:space="preserve">. Wreszcie Trybunał uznał, że sądy krajowe </w:t>
      </w:r>
      <w:r w:rsidRPr="00A2492E">
        <w:rPr>
          <w:rFonts w:ascii="Verdana" w:eastAsia="Verdana" w:hAnsi="Verdana"/>
          <w:color w:val="0072BC"/>
        </w:rPr>
        <w:lastRenderedPageBreak/>
        <w:t>prawidłowo oceniły zarzut skarżącego dotyczący naruszenia jego prawa do poszanowania życia prywatnego</w:t>
      </w:r>
      <w:r w:rsidR="00D232A4">
        <w:rPr>
          <w:rFonts w:ascii="Verdana" w:eastAsia="Verdana" w:hAnsi="Verdana"/>
          <w:color w:val="0072BC"/>
        </w:rPr>
        <w:t>,</w:t>
      </w:r>
      <w:r w:rsidRPr="00A2492E">
        <w:rPr>
          <w:rFonts w:ascii="Verdana" w:eastAsia="Verdana" w:hAnsi="Verdana"/>
          <w:color w:val="0072BC"/>
        </w:rPr>
        <w:t xml:space="preserve"> oraz że decyzje tych sądów zostały oparte na właściwych i wystarczających podstawach.</w:t>
      </w:r>
    </w:p>
    <w:p w14:paraId="363E9B39" w14:textId="77777777" w:rsidR="007579A3" w:rsidRDefault="007579A3" w:rsidP="00AB713F">
      <w:pPr>
        <w:spacing w:line="242" w:lineRule="auto"/>
        <w:ind w:left="740"/>
        <w:jc w:val="both"/>
        <w:rPr>
          <w:rFonts w:ascii="Verdana" w:eastAsia="Verdana" w:hAnsi="Verdana"/>
          <w:color w:val="0072BC"/>
        </w:rPr>
      </w:pPr>
    </w:p>
    <w:p w14:paraId="552B1D4C" w14:textId="77777777" w:rsidR="00567BB9" w:rsidRPr="00567BB9" w:rsidRDefault="00567BB9" w:rsidP="00567BB9">
      <w:pPr>
        <w:spacing w:line="242" w:lineRule="auto"/>
        <w:ind w:left="740"/>
        <w:jc w:val="both"/>
        <w:rPr>
          <w:rFonts w:ascii="Verdana" w:eastAsia="Verdana" w:hAnsi="Verdana"/>
          <w:color w:val="808080" w:themeColor="background1" w:themeShade="80"/>
          <w:sz w:val="28"/>
          <w:szCs w:val="28"/>
        </w:rPr>
      </w:pPr>
      <w:r w:rsidRPr="00567BB9">
        <w:rPr>
          <w:rFonts w:ascii="Verdana" w:eastAsia="Verdana" w:hAnsi="Verdana"/>
          <w:color w:val="808080" w:themeColor="background1" w:themeShade="80"/>
          <w:sz w:val="28"/>
          <w:szCs w:val="28"/>
        </w:rPr>
        <w:t>Próbki śliny</w:t>
      </w:r>
    </w:p>
    <w:p w14:paraId="3AB7143E" w14:textId="77777777" w:rsidR="00567BB9" w:rsidRDefault="00567BB9" w:rsidP="00567BB9">
      <w:pPr>
        <w:spacing w:line="242" w:lineRule="auto"/>
        <w:ind w:left="740"/>
        <w:jc w:val="both"/>
        <w:rPr>
          <w:rFonts w:ascii="Verdana" w:eastAsia="Verdana" w:hAnsi="Verdana"/>
          <w:color w:val="0072BC"/>
        </w:rPr>
      </w:pPr>
    </w:p>
    <w:p w14:paraId="720FBF54" w14:textId="5CBED432" w:rsidR="00567BB9" w:rsidRPr="00567BB9" w:rsidRDefault="00567BB9" w:rsidP="00567BB9">
      <w:pPr>
        <w:spacing w:line="242" w:lineRule="auto"/>
        <w:ind w:left="740"/>
        <w:jc w:val="both"/>
        <w:rPr>
          <w:rFonts w:ascii="Verdana" w:eastAsia="Verdana" w:hAnsi="Verdana"/>
          <w:b/>
          <w:bCs/>
          <w:color w:val="0072BC"/>
        </w:rPr>
      </w:pPr>
      <w:hyperlink r:id="rId43" w:anchor="{%22itemid%22:[%22003-6676515-8881179%22]}" w:history="1">
        <w:r w:rsidRPr="00567BB9">
          <w:rPr>
            <w:rStyle w:val="Hipercze"/>
            <w:rFonts w:ascii="Verdana" w:eastAsia="Verdana" w:hAnsi="Verdana"/>
            <w:b/>
            <w:bCs/>
          </w:rPr>
          <w:t>Dragan Petrović przeciwko Serbii</w:t>
        </w:r>
      </w:hyperlink>
    </w:p>
    <w:p w14:paraId="612BE7BC" w14:textId="038EEA89" w:rsidR="00567BB9" w:rsidRPr="0037627F" w:rsidRDefault="00567BB9" w:rsidP="00567BB9">
      <w:pPr>
        <w:spacing w:line="242" w:lineRule="auto"/>
        <w:ind w:left="740"/>
        <w:jc w:val="both"/>
        <w:rPr>
          <w:rFonts w:ascii="Verdana" w:eastAsia="Verdana" w:hAnsi="Verdana"/>
          <w:color w:val="808080" w:themeColor="background1" w:themeShade="80"/>
          <w:sz w:val="16"/>
          <w:szCs w:val="16"/>
        </w:rPr>
      </w:pPr>
      <w:r w:rsidRPr="0037627F">
        <w:rPr>
          <w:rFonts w:ascii="Verdana" w:eastAsia="Verdana" w:hAnsi="Verdana"/>
          <w:color w:val="808080" w:themeColor="background1" w:themeShade="80"/>
          <w:sz w:val="16"/>
          <w:szCs w:val="16"/>
        </w:rPr>
        <w:t>14 kwietnia 2020 r</w:t>
      </w:r>
      <w:r w:rsidR="0037627F">
        <w:rPr>
          <w:rFonts w:ascii="Verdana" w:eastAsia="Verdana" w:hAnsi="Verdana"/>
          <w:color w:val="808080" w:themeColor="background1" w:themeShade="80"/>
          <w:sz w:val="16"/>
          <w:szCs w:val="16"/>
        </w:rPr>
        <w:t>oku</w:t>
      </w:r>
    </w:p>
    <w:p w14:paraId="6C65F8A0" w14:textId="77777777" w:rsidR="00567BB9" w:rsidRPr="00567BB9" w:rsidRDefault="00567BB9" w:rsidP="00567BB9">
      <w:pPr>
        <w:spacing w:line="242" w:lineRule="auto"/>
        <w:ind w:left="740"/>
        <w:jc w:val="both"/>
        <w:rPr>
          <w:rFonts w:ascii="Verdana" w:eastAsia="Verdana" w:hAnsi="Verdana"/>
        </w:rPr>
      </w:pPr>
      <w:r w:rsidRPr="00567BB9">
        <w:rPr>
          <w:rFonts w:ascii="Verdana" w:eastAsia="Verdana" w:hAnsi="Verdana"/>
        </w:rPr>
        <w:t>Sprawa dotyczyła przeszukania przez policję mieszkania skarżącego i pobrania od niego próbki śliny do analizy DNA podczas śledztwa w sprawie zabójstwa. Skarżący zarzucił, że przeszukanie i pobranie próbki DNA naruszyło jego prawa chronione Konwencją.</w:t>
      </w:r>
    </w:p>
    <w:p w14:paraId="50CCA362" w14:textId="1F001075" w:rsidR="00567BB9" w:rsidRDefault="00567BB9" w:rsidP="00567BB9">
      <w:pPr>
        <w:spacing w:line="242" w:lineRule="auto"/>
        <w:ind w:left="740"/>
        <w:jc w:val="both"/>
        <w:rPr>
          <w:rFonts w:ascii="Verdana" w:eastAsia="Verdana" w:hAnsi="Verdana"/>
          <w:color w:val="0072BC"/>
        </w:rPr>
      </w:pPr>
      <w:r w:rsidRPr="00567BB9">
        <w:rPr>
          <w:rFonts w:ascii="Verdana" w:eastAsia="Verdana" w:hAnsi="Verdana"/>
          <w:color w:val="0072BC"/>
        </w:rPr>
        <w:t xml:space="preserve">Trybunał orzekł, że </w:t>
      </w:r>
      <w:r w:rsidRPr="00567BB9">
        <w:rPr>
          <w:rFonts w:ascii="Verdana" w:eastAsia="Verdana" w:hAnsi="Verdana"/>
          <w:b/>
          <w:bCs/>
          <w:color w:val="0072BC"/>
        </w:rPr>
        <w:t>nie doszło do naruszenia art. 8 Konwencji</w:t>
      </w:r>
      <w:r w:rsidRPr="00567BB9">
        <w:rPr>
          <w:rFonts w:ascii="Verdana" w:eastAsia="Verdana" w:hAnsi="Verdana"/>
          <w:color w:val="0072BC"/>
        </w:rPr>
        <w:t xml:space="preserve"> w odniesieniu do przeszukania mieszkania skarżącego przez policję, stwierdzając, że nakaz przeszukania był wystarczająco szczegółowy i towarzyszyły mu odpowiednie i skuteczne zabezpieczenia przed nadużyciami podczas samego przeszukania. Trybunał uznał jednak, że doszło do naruszenia art. 8 w związku z pobraniem od skarżącego próbki śliny DNA, stwierdzając, że pobranie próbki śliny DNA nie było „zgodne z prawem” w rozumieniu art. 8. Czynność ta została przeprowadzona na podstawie poprzedniego kodeksu postępowania karnego, który zezwalał jedynie na pobieranie próbek krwi lub przeprowadzanie „innych procedur medycznych”. Ponadto Trybunał zauważył, że kodeks został zaktualizowany w 2011 r. o nowe zabezpieczenia związane z wymazami DNA z jamy ustnej, co stanowiło dorozumiane przyznanie, że wcześniej ich brakowało.</w:t>
      </w:r>
    </w:p>
    <w:p w14:paraId="2CEA7B8D" w14:textId="77777777" w:rsidR="00567BB9" w:rsidRDefault="00567BB9" w:rsidP="00AB713F">
      <w:pPr>
        <w:spacing w:line="242" w:lineRule="auto"/>
        <w:ind w:left="740"/>
        <w:jc w:val="both"/>
        <w:rPr>
          <w:rFonts w:ascii="Verdana" w:eastAsia="Verdana" w:hAnsi="Verdana"/>
          <w:color w:val="0072BC"/>
        </w:rPr>
      </w:pPr>
    </w:p>
    <w:p w14:paraId="1AD5AB28" w14:textId="77777777" w:rsidR="007579A3" w:rsidRDefault="00B2385A" w:rsidP="00AB713F">
      <w:pPr>
        <w:spacing w:line="242" w:lineRule="auto"/>
        <w:ind w:left="740"/>
        <w:jc w:val="both"/>
        <w:rPr>
          <w:rFonts w:ascii="Verdana" w:eastAsia="Verdana" w:hAnsi="Verdana"/>
          <w:color w:val="808080"/>
          <w:sz w:val="28"/>
        </w:rPr>
      </w:pPr>
      <w:r>
        <w:rPr>
          <w:rFonts w:ascii="Verdana" w:eastAsia="Verdana" w:hAnsi="Verdana"/>
          <w:color w:val="808080"/>
          <w:sz w:val="28"/>
        </w:rPr>
        <w:t>Nagrywanie dźwięku</w:t>
      </w:r>
    </w:p>
    <w:p w14:paraId="1213E205" w14:textId="2181B068" w:rsidR="007579A3" w:rsidRPr="00A14197" w:rsidRDefault="007579A3" w:rsidP="00AB713F">
      <w:pPr>
        <w:spacing w:before="120" w:line="0" w:lineRule="atLeast"/>
        <w:ind w:left="740"/>
        <w:rPr>
          <w:rFonts w:ascii="Verdana" w:eastAsia="Verdana" w:hAnsi="Verdana"/>
          <w:b/>
          <w:color w:val="0072BC"/>
          <w:u w:val="single"/>
        </w:rPr>
      </w:pPr>
      <w:hyperlink r:id="rId44" w:anchor="{%22itemid%22:[%22003-419654-419935%22]}" w:history="1">
        <w:r w:rsidRPr="007C6EA3">
          <w:rPr>
            <w:rStyle w:val="Hipercze"/>
            <w:rFonts w:ascii="Verdana" w:eastAsia="Verdana" w:hAnsi="Verdana"/>
            <w:b/>
          </w:rPr>
          <w:t>P.G. i J.H. przeciwko Zjednoczonemu Królestwu (nr 44787/98)</w:t>
        </w:r>
      </w:hyperlink>
    </w:p>
    <w:p w14:paraId="1FD28E0B" w14:textId="77777777" w:rsidR="007579A3" w:rsidRPr="007579A3" w:rsidRDefault="007579A3" w:rsidP="00AB713F">
      <w:pPr>
        <w:spacing w:line="242" w:lineRule="auto"/>
        <w:ind w:left="740"/>
        <w:jc w:val="both"/>
        <w:rPr>
          <w:rFonts w:ascii="Verdana" w:eastAsia="Verdana" w:hAnsi="Verdana"/>
          <w:color w:val="808080"/>
          <w:sz w:val="28"/>
        </w:rPr>
      </w:pPr>
      <w:r w:rsidRPr="00F8489F">
        <w:rPr>
          <w:rFonts w:ascii="Verdana" w:eastAsia="Verdana" w:hAnsi="Verdana"/>
          <w:color w:val="808080"/>
          <w:sz w:val="18"/>
        </w:rPr>
        <w:t>25 września 2001</w:t>
      </w:r>
      <w:r>
        <w:rPr>
          <w:rFonts w:ascii="Verdana" w:eastAsia="Verdana" w:hAnsi="Verdana"/>
          <w:color w:val="808080"/>
          <w:sz w:val="18"/>
        </w:rPr>
        <w:t xml:space="preserve"> roku</w:t>
      </w:r>
    </w:p>
    <w:p w14:paraId="6BA0069F" w14:textId="77777777" w:rsidR="007579A3" w:rsidRPr="00F8489F" w:rsidRDefault="007579A3" w:rsidP="00AB713F">
      <w:pPr>
        <w:ind w:left="740"/>
        <w:jc w:val="both"/>
        <w:rPr>
          <w:rFonts w:ascii="Verdana" w:eastAsia="Verdana" w:hAnsi="Verdana"/>
          <w:color w:val="000000"/>
        </w:rPr>
      </w:pPr>
      <w:r w:rsidRPr="00F8489F">
        <w:rPr>
          <w:rFonts w:ascii="Verdana" w:eastAsia="Verdana" w:hAnsi="Verdana"/>
          <w:color w:val="000000"/>
        </w:rPr>
        <w:t>Sprawa ta dotyczyła w szczególności nagrywania głosów skarżących na posterunku policji po ich aresztowaniu pod zarzutem popełnienia rozboju.</w:t>
      </w:r>
    </w:p>
    <w:p w14:paraId="752AFEAA" w14:textId="77777777" w:rsidR="007579A3" w:rsidRPr="00F8489F" w:rsidRDefault="00B2385A" w:rsidP="00AB713F">
      <w:pPr>
        <w:ind w:left="740"/>
        <w:jc w:val="both"/>
        <w:rPr>
          <w:rFonts w:ascii="Verdana" w:eastAsia="Verdana" w:hAnsi="Verdana"/>
          <w:color w:val="0070C0"/>
        </w:rPr>
      </w:pPr>
      <w:r>
        <w:rPr>
          <w:rFonts w:ascii="Verdana" w:eastAsia="Verdana" w:hAnsi="Verdana"/>
          <w:color w:val="0070C0"/>
        </w:rPr>
        <w:t>Trybunał</w:t>
      </w:r>
      <w:r w:rsidR="007579A3" w:rsidRPr="00F8489F">
        <w:rPr>
          <w:rFonts w:ascii="Verdana" w:eastAsia="Verdana" w:hAnsi="Verdana"/>
          <w:color w:val="0070C0"/>
        </w:rPr>
        <w:t xml:space="preserve"> orzekł, że </w:t>
      </w:r>
      <w:r w:rsidR="007579A3" w:rsidRPr="00F8489F">
        <w:rPr>
          <w:rFonts w:ascii="Verdana" w:eastAsia="Verdana" w:hAnsi="Verdana"/>
          <w:b/>
          <w:color w:val="0070C0"/>
        </w:rPr>
        <w:t>doszło do naruszenia art. 8</w:t>
      </w:r>
      <w:r w:rsidR="007579A3" w:rsidRPr="00F8489F">
        <w:rPr>
          <w:rFonts w:ascii="Verdana" w:eastAsia="Verdana" w:hAnsi="Verdana"/>
          <w:color w:val="0070C0"/>
        </w:rPr>
        <w:t xml:space="preserve"> Konwencji dotyczącego używania tajnych urządzeń </w:t>
      </w:r>
      <w:r w:rsidR="00792098">
        <w:rPr>
          <w:rFonts w:ascii="Verdana" w:eastAsia="Verdana" w:hAnsi="Verdana"/>
          <w:color w:val="0070C0"/>
        </w:rPr>
        <w:t>p</w:t>
      </w:r>
      <w:r w:rsidR="007579A3" w:rsidRPr="00F8489F">
        <w:rPr>
          <w:rFonts w:ascii="Verdana" w:eastAsia="Verdana" w:hAnsi="Verdana"/>
          <w:color w:val="0070C0"/>
        </w:rPr>
        <w:t xml:space="preserve">odsłuchowych na posterunku policji. Odnotowując w szczególności, że w danym czasie nie istniał ustawowy system regulujący korzystanie z ukrytych urządzeń </w:t>
      </w:r>
      <w:r w:rsidR="00792098">
        <w:rPr>
          <w:rFonts w:ascii="Verdana" w:eastAsia="Verdana" w:hAnsi="Verdana"/>
          <w:color w:val="0070C0"/>
        </w:rPr>
        <w:t>p</w:t>
      </w:r>
      <w:r w:rsidR="007579A3" w:rsidRPr="00F8489F">
        <w:rPr>
          <w:rFonts w:ascii="Verdana" w:eastAsia="Verdana" w:hAnsi="Verdana"/>
          <w:color w:val="0070C0"/>
        </w:rPr>
        <w:t xml:space="preserve">odsłuchowych przez policję we własnych pomieszczeniach, Trybunał stwierdził, że ingerencja w prawo skarżących do życia prywatnego nie była zgodna z prawem. W tej sprawie </w:t>
      </w:r>
      <w:r>
        <w:rPr>
          <w:rFonts w:ascii="Verdana" w:eastAsia="Verdana" w:hAnsi="Verdana"/>
          <w:color w:val="0070C0"/>
        </w:rPr>
        <w:t>Trybunał</w:t>
      </w:r>
      <w:r w:rsidR="007579A3" w:rsidRPr="00F8489F">
        <w:rPr>
          <w:rFonts w:ascii="Verdana" w:eastAsia="Verdana" w:hAnsi="Verdana"/>
          <w:color w:val="0070C0"/>
        </w:rPr>
        <w:t xml:space="preserve"> stwierdził również </w:t>
      </w:r>
      <w:r w:rsidR="007579A3" w:rsidRPr="00F8489F">
        <w:rPr>
          <w:rFonts w:ascii="Verdana" w:eastAsia="Verdana" w:hAnsi="Verdana"/>
          <w:b/>
          <w:color w:val="0070C0"/>
        </w:rPr>
        <w:t>naruszenie art. 8</w:t>
      </w:r>
      <w:r w:rsidR="007579A3" w:rsidRPr="00F8489F">
        <w:rPr>
          <w:rFonts w:ascii="Verdana" w:eastAsia="Verdana" w:hAnsi="Verdana"/>
          <w:color w:val="0070C0"/>
        </w:rPr>
        <w:t xml:space="preserve"> ze względu na </w:t>
      </w:r>
      <w:r w:rsidR="00792098">
        <w:rPr>
          <w:rFonts w:ascii="Verdana" w:eastAsia="Verdana" w:hAnsi="Verdana"/>
          <w:color w:val="0070C0"/>
        </w:rPr>
        <w:t>użycie</w:t>
      </w:r>
      <w:r w:rsidR="007579A3" w:rsidRPr="00F8489F">
        <w:rPr>
          <w:rFonts w:ascii="Verdana" w:eastAsia="Verdana" w:hAnsi="Verdana"/>
          <w:color w:val="0070C0"/>
        </w:rPr>
        <w:t xml:space="preserve"> ukrytego urządzenia </w:t>
      </w:r>
      <w:r w:rsidR="00792098">
        <w:rPr>
          <w:rFonts w:ascii="Verdana" w:eastAsia="Verdana" w:hAnsi="Verdana"/>
          <w:color w:val="0070C0"/>
        </w:rPr>
        <w:t>p</w:t>
      </w:r>
      <w:r w:rsidR="007579A3" w:rsidRPr="00F8489F">
        <w:rPr>
          <w:rFonts w:ascii="Verdana" w:eastAsia="Verdana" w:hAnsi="Verdana"/>
          <w:color w:val="0070C0"/>
        </w:rPr>
        <w:t xml:space="preserve">odsłuchowego w mieszkaniu oraz </w:t>
      </w:r>
      <w:r w:rsidR="007579A3" w:rsidRPr="00F8489F">
        <w:rPr>
          <w:rFonts w:ascii="Verdana" w:eastAsia="Verdana" w:hAnsi="Verdana"/>
          <w:b/>
          <w:color w:val="0070C0"/>
        </w:rPr>
        <w:t>brak naruszenia art. 8</w:t>
      </w:r>
      <w:r w:rsidR="007579A3" w:rsidRPr="00F8489F">
        <w:rPr>
          <w:rFonts w:ascii="Verdana" w:eastAsia="Verdana" w:hAnsi="Verdana"/>
          <w:color w:val="0070C0"/>
        </w:rPr>
        <w:t xml:space="preserve"> w zakresie uzyskiwania informacji o korzystaniu z telefonu.</w:t>
      </w:r>
    </w:p>
    <w:p w14:paraId="0D78B82C" w14:textId="7DF3E0B4" w:rsidR="007579A3" w:rsidRPr="00A14197" w:rsidRDefault="007579A3" w:rsidP="00AB713F">
      <w:pPr>
        <w:spacing w:before="120" w:line="0" w:lineRule="atLeast"/>
        <w:ind w:left="740"/>
        <w:rPr>
          <w:rFonts w:ascii="Verdana" w:eastAsia="Verdana" w:hAnsi="Verdana"/>
          <w:b/>
          <w:color w:val="0072BC"/>
          <w:u w:val="single"/>
        </w:rPr>
      </w:pPr>
      <w:hyperlink r:id="rId45" w:anchor="{%22itemid%22:[%22002-3861%22]}" w:history="1">
        <w:r w:rsidRPr="00281C4C">
          <w:rPr>
            <w:rStyle w:val="Hipercze"/>
            <w:rFonts w:ascii="Verdana" w:eastAsia="Verdana" w:hAnsi="Verdana"/>
            <w:b/>
          </w:rPr>
          <w:t>Vetter przeciwko Francji</w:t>
        </w:r>
      </w:hyperlink>
    </w:p>
    <w:p w14:paraId="6B3E1F90" w14:textId="77777777" w:rsidR="007579A3" w:rsidRPr="00F8489F" w:rsidRDefault="007579A3" w:rsidP="00AB713F">
      <w:pPr>
        <w:ind w:left="740"/>
        <w:jc w:val="both"/>
        <w:rPr>
          <w:rFonts w:ascii="Verdana" w:eastAsia="Verdana" w:hAnsi="Verdana"/>
          <w:color w:val="404040"/>
          <w:sz w:val="18"/>
        </w:rPr>
      </w:pPr>
      <w:bookmarkStart w:id="8" w:name="_Hlk17979217"/>
      <w:r w:rsidRPr="00F8489F">
        <w:rPr>
          <w:rFonts w:ascii="Verdana" w:eastAsia="Verdana" w:hAnsi="Verdana"/>
          <w:color w:val="404040"/>
          <w:sz w:val="18"/>
        </w:rPr>
        <w:t xml:space="preserve">31 maja 2005 </w:t>
      </w:r>
      <w:r w:rsidR="003D0AAC" w:rsidRPr="00EA678D">
        <w:rPr>
          <w:rFonts w:ascii="Verdana" w:eastAsia="Verdana" w:hAnsi="Verdana"/>
          <w:color w:val="404040"/>
          <w:sz w:val="18"/>
        </w:rPr>
        <w:t>roku</w:t>
      </w:r>
    </w:p>
    <w:bookmarkEnd w:id="8"/>
    <w:p w14:paraId="494DBE44" w14:textId="77777777" w:rsidR="007579A3" w:rsidRPr="00F8489F" w:rsidRDefault="007579A3" w:rsidP="00AB713F">
      <w:pPr>
        <w:ind w:left="740"/>
        <w:jc w:val="both"/>
        <w:rPr>
          <w:rFonts w:ascii="Verdana" w:eastAsia="Verdana" w:hAnsi="Verdana"/>
          <w:color w:val="000000"/>
        </w:rPr>
      </w:pPr>
      <w:r w:rsidRPr="00F8489F">
        <w:rPr>
          <w:rFonts w:ascii="Verdana" w:eastAsia="Verdana" w:hAnsi="Verdana"/>
          <w:color w:val="000000"/>
        </w:rPr>
        <w:t xml:space="preserve">Po odkryciu ciała z ranami postrzałowymi, policja, podejrzewając, że skarżący dokonał zabójstwa, zainstalowała urządzenia </w:t>
      </w:r>
      <w:r w:rsidR="00792098">
        <w:rPr>
          <w:rFonts w:ascii="Verdana" w:eastAsia="Verdana" w:hAnsi="Verdana"/>
          <w:color w:val="000000"/>
        </w:rPr>
        <w:t>p</w:t>
      </w:r>
      <w:r w:rsidRPr="00F8489F">
        <w:rPr>
          <w:rFonts w:ascii="Verdana" w:eastAsia="Verdana" w:hAnsi="Verdana"/>
          <w:color w:val="000000"/>
        </w:rPr>
        <w:t>odsłuchowe w mieszkaniu, do którego regularnie przyjeżdżał.</w:t>
      </w:r>
    </w:p>
    <w:p w14:paraId="4689005C" w14:textId="77777777" w:rsidR="007579A3" w:rsidRPr="00F8489F" w:rsidRDefault="007579A3" w:rsidP="00AB713F">
      <w:pPr>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nastąpiło naruszenie art. 8</w:t>
      </w:r>
      <w:r w:rsidRPr="00F8489F">
        <w:rPr>
          <w:rFonts w:ascii="Verdana" w:eastAsia="Verdana" w:hAnsi="Verdana"/>
          <w:color w:val="0070C0"/>
        </w:rPr>
        <w:t xml:space="preserve"> </w:t>
      </w:r>
      <w:r w:rsidR="00792098">
        <w:rPr>
          <w:rFonts w:ascii="Verdana" w:eastAsia="Verdana" w:hAnsi="Verdana"/>
          <w:color w:val="0070C0"/>
        </w:rPr>
        <w:t>K</w:t>
      </w:r>
      <w:r w:rsidRPr="00F8489F">
        <w:rPr>
          <w:rFonts w:ascii="Verdana" w:eastAsia="Verdana" w:hAnsi="Verdana"/>
          <w:color w:val="0070C0"/>
        </w:rPr>
        <w:t xml:space="preserve">onwencji, stwierdzając, że prawo francuskie nie określa wystarczająco jasno zakresu i sposobu wykonywania uprawnień władz w odniesieniu do urządzeń </w:t>
      </w:r>
      <w:r w:rsidR="00792098">
        <w:rPr>
          <w:rFonts w:ascii="Verdana" w:eastAsia="Verdana" w:hAnsi="Verdana"/>
          <w:color w:val="0070C0"/>
        </w:rPr>
        <w:t>p</w:t>
      </w:r>
      <w:r w:rsidRPr="00F8489F">
        <w:rPr>
          <w:rFonts w:ascii="Verdana" w:eastAsia="Verdana" w:hAnsi="Verdana"/>
          <w:color w:val="0070C0"/>
        </w:rPr>
        <w:t>odsłuchowych.</w:t>
      </w:r>
    </w:p>
    <w:p w14:paraId="10DF921B" w14:textId="77777777" w:rsidR="00F832FE" w:rsidRDefault="00F832FE" w:rsidP="00AB713F">
      <w:pPr>
        <w:spacing w:line="200" w:lineRule="exact"/>
        <w:ind w:left="740"/>
        <w:rPr>
          <w:rFonts w:ascii="Times New Roman" w:eastAsia="Times New Roman" w:hAnsi="Times New Roman"/>
        </w:rPr>
      </w:pPr>
    </w:p>
    <w:p w14:paraId="6BF4D0A0" w14:textId="77777777" w:rsidR="00F832FE" w:rsidRDefault="006A182B" w:rsidP="00AB713F">
      <w:pPr>
        <w:spacing w:line="0" w:lineRule="atLeast"/>
        <w:ind w:left="740"/>
        <w:rPr>
          <w:rFonts w:ascii="Verdana" w:eastAsia="Verdana" w:hAnsi="Verdana"/>
          <w:color w:val="808080"/>
          <w:sz w:val="28"/>
        </w:rPr>
      </w:pPr>
      <w:r>
        <w:rPr>
          <w:rFonts w:ascii="Verdana" w:eastAsia="Verdana" w:hAnsi="Verdana"/>
          <w:color w:val="808080"/>
          <w:sz w:val="28"/>
        </w:rPr>
        <w:t>Monitoring</w:t>
      </w:r>
    </w:p>
    <w:p w14:paraId="29F47A85" w14:textId="77777777" w:rsidR="00B2385A" w:rsidRPr="00A14197" w:rsidRDefault="006052B5" w:rsidP="00AB713F">
      <w:pPr>
        <w:spacing w:before="120" w:line="0" w:lineRule="atLeast"/>
        <w:ind w:left="740"/>
        <w:rPr>
          <w:rFonts w:ascii="Verdana" w:eastAsia="Verdana" w:hAnsi="Verdana"/>
          <w:b/>
          <w:color w:val="0072BC"/>
          <w:u w:val="single"/>
        </w:rPr>
      </w:pPr>
      <w:hyperlink r:id="rId46" w:history="1">
        <w:r w:rsidRPr="00A14197">
          <w:rPr>
            <w:rFonts w:ascii="Verdana" w:eastAsia="Verdana" w:hAnsi="Verdana"/>
            <w:b/>
            <w:color w:val="0072BC"/>
            <w:u w:val="single"/>
          </w:rPr>
          <w:t>Peck</w:t>
        </w:r>
      </w:hyperlink>
      <w:r w:rsidRPr="00A14197">
        <w:rPr>
          <w:rFonts w:ascii="Verdana" w:eastAsia="Verdana" w:hAnsi="Verdana"/>
          <w:b/>
          <w:color w:val="0072BC"/>
          <w:u w:val="single"/>
        </w:rPr>
        <w:t xml:space="preserve"> przeciwko Zjednoczonemu Królestwu</w:t>
      </w:r>
    </w:p>
    <w:p w14:paraId="230D057A" w14:textId="77777777" w:rsidR="006052B5" w:rsidRPr="00B5202A" w:rsidRDefault="00C620FD" w:rsidP="00AB713F">
      <w:pPr>
        <w:ind w:left="740"/>
        <w:jc w:val="both"/>
        <w:rPr>
          <w:rFonts w:ascii="Verdana" w:eastAsia="Verdana" w:hAnsi="Verdana"/>
          <w:color w:val="808080"/>
          <w:sz w:val="18"/>
        </w:rPr>
      </w:pPr>
      <w:r w:rsidRPr="00B5202A">
        <w:rPr>
          <w:rFonts w:ascii="Verdana" w:eastAsia="Verdana" w:hAnsi="Verdana"/>
          <w:color w:val="808080"/>
          <w:sz w:val="18"/>
        </w:rPr>
        <w:t>28 stycznia 2003 roku</w:t>
      </w:r>
    </w:p>
    <w:p w14:paraId="4597E5E6" w14:textId="77777777" w:rsidR="006052B5" w:rsidRDefault="006052B5" w:rsidP="00AB713F">
      <w:pPr>
        <w:spacing w:line="0" w:lineRule="atLeast"/>
        <w:ind w:left="740"/>
        <w:rPr>
          <w:rFonts w:ascii="Verdana" w:eastAsia="Verdana" w:hAnsi="Verdana"/>
        </w:rPr>
      </w:pPr>
      <w:r>
        <w:rPr>
          <w:rFonts w:ascii="Verdana" w:eastAsia="Verdana" w:hAnsi="Verdana"/>
        </w:rPr>
        <w:t>Zobacz poniżej, pod „Ujawnienie danych osobowych”</w:t>
      </w:r>
    </w:p>
    <w:p w14:paraId="6F5B7474" w14:textId="77777777" w:rsidR="006052B5" w:rsidRPr="00A14197" w:rsidRDefault="006052B5" w:rsidP="00AB713F">
      <w:pPr>
        <w:spacing w:before="120" w:line="0" w:lineRule="atLeast"/>
        <w:ind w:left="740"/>
        <w:rPr>
          <w:rFonts w:ascii="Verdana" w:eastAsia="Verdana" w:hAnsi="Verdana"/>
          <w:b/>
          <w:color w:val="0072BC"/>
          <w:u w:val="single"/>
        </w:rPr>
      </w:pPr>
    </w:p>
    <w:p w14:paraId="228F866C" w14:textId="566AD1E2" w:rsidR="006052B5" w:rsidRPr="00A14197" w:rsidRDefault="006052B5" w:rsidP="00AB713F">
      <w:pPr>
        <w:spacing w:before="120" w:line="0" w:lineRule="atLeast"/>
        <w:ind w:left="740"/>
        <w:rPr>
          <w:rFonts w:ascii="Verdana" w:eastAsia="Verdana" w:hAnsi="Verdana"/>
          <w:b/>
          <w:color w:val="0072BC"/>
          <w:u w:val="single"/>
        </w:rPr>
      </w:pPr>
      <w:hyperlink r:id="rId47" w:anchor="{%22itemid%22:[%22002-782%22]}" w:history="1">
        <w:r w:rsidRPr="00281C4C">
          <w:rPr>
            <w:rStyle w:val="Hipercze"/>
            <w:rFonts w:ascii="Verdana" w:eastAsia="Verdana" w:hAnsi="Verdana"/>
            <w:b/>
          </w:rPr>
          <w:t>Köpke przeciwko Niemcom</w:t>
        </w:r>
      </w:hyperlink>
    </w:p>
    <w:p w14:paraId="77248F82" w14:textId="77777777" w:rsidR="006052B5" w:rsidRPr="00B5202A" w:rsidRDefault="00C620FD" w:rsidP="00AB713F">
      <w:pPr>
        <w:ind w:left="740"/>
        <w:jc w:val="both"/>
        <w:rPr>
          <w:rFonts w:ascii="Verdana" w:eastAsia="Verdana" w:hAnsi="Verdana"/>
          <w:color w:val="808080"/>
          <w:sz w:val="18"/>
        </w:rPr>
      </w:pPr>
      <w:r w:rsidRPr="00B5202A">
        <w:rPr>
          <w:rFonts w:ascii="Verdana" w:eastAsia="Verdana" w:hAnsi="Verdana"/>
          <w:color w:val="808080"/>
          <w:sz w:val="18"/>
        </w:rPr>
        <w:t>5 października 2010</w:t>
      </w:r>
      <w:r w:rsidR="00122CBC" w:rsidRPr="00B5202A">
        <w:rPr>
          <w:rFonts w:ascii="Verdana" w:eastAsia="Verdana" w:hAnsi="Verdana"/>
          <w:color w:val="808080"/>
          <w:sz w:val="18"/>
        </w:rPr>
        <w:t xml:space="preserve"> roku</w:t>
      </w:r>
      <w:r w:rsidRPr="00B5202A">
        <w:rPr>
          <w:rFonts w:ascii="Verdana" w:eastAsia="Verdana" w:hAnsi="Verdana"/>
          <w:color w:val="808080"/>
          <w:sz w:val="18"/>
        </w:rPr>
        <w:t xml:space="preserve"> (decyzja o dopuszczalności)</w:t>
      </w:r>
    </w:p>
    <w:p w14:paraId="50A269DC" w14:textId="77777777" w:rsidR="00C620FD" w:rsidRPr="00C620FD" w:rsidRDefault="00C620FD" w:rsidP="00AB713F">
      <w:pPr>
        <w:spacing w:line="0" w:lineRule="atLeast"/>
        <w:ind w:left="740"/>
        <w:jc w:val="both"/>
        <w:rPr>
          <w:rFonts w:ascii="Verdana" w:eastAsia="Verdana" w:hAnsi="Verdana"/>
        </w:rPr>
      </w:pPr>
      <w:r w:rsidRPr="00C620FD">
        <w:rPr>
          <w:rFonts w:ascii="Verdana" w:eastAsia="Verdana" w:hAnsi="Verdana"/>
        </w:rPr>
        <w:t xml:space="preserve">Skarżąca, kasjerka w supermarkecie, została zwolniona bez uprzedzenia z powodu kradzieży w następstwie tajnego monitoringu wideo przeprowadzonego przez jej pracodawcę z pomocą prywatnej agencji detektywistycznej. </w:t>
      </w:r>
      <w:r w:rsidR="00A42803">
        <w:rPr>
          <w:rFonts w:ascii="Verdana" w:eastAsia="Verdana" w:hAnsi="Verdana"/>
        </w:rPr>
        <w:t>Skarżąca b</w:t>
      </w:r>
      <w:r w:rsidRPr="00C620FD">
        <w:rPr>
          <w:rFonts w:ascii="Verdana" w:eastAsia="Verdana" w:hAnsi="Verdana"/>
        </w:rPr>
        <w:t xml:space="preserve">ezskutecznie </w:t>
      </w:r>
      <w:r w:rsidRPr="00C620FD">
        <w:rPr>
          <w:rFonts w:ascii="Verdana" w:eastAsia="Verdana" w:hAnsi="Verdana"/>
        </w:rPr>
        <w:lastRenderedPageBreak/>
        <w:t>zaskarżyła zwolnienie przed sądem pracy. Jej skarga konstytucyjna również została oddalona.</w:t>
      </w:r>
    </w:p>
    <w:p w14:paraId="01C3EBAD" w14:textId="77777777" w:rsidR="00B2385A" w:rsidRPr="00F8489F" w:rsidRDefault="00B22DB4" w:rsidP="00AB713F">
      <w:pPr>
        <w:spacing w:line="0" w:lineRule="atLeast"/>
        <w:ind w:left="740"/>
        <w:jc w:val="both"/>
        <w:rPr>
          <w:rFonts w:ascii="Verdana" w:eastAsia="Verdana" w:hAnsi="Verdana"/>
          <w:color w:val="0070C0"/>
          <w:sz w:val="28"/>
        </w:rPr>
      </w:pPr>
      <w:r>
        <w:rPr>
          <w:rFonts w:ascii="Verdana" w:eastAsia="Verdana" w:hAnsi="Verdana"/>
          <w:color w:val="0070C0"/>
        </w:rPr>
        <w:t>Trybunał</w:t>
      </w:r>
      <w:r w:rsidR="00C620FD" w:rsidRPr="00F8489F">
        <w:rPr>
          <w:rFonts w:ascii="Verdana" w:eastAsia="Verdana" w:hAnsi="Verdana"/>
          <w:color w:val="0070C0"/>
        </w:rPr>
        <w:t xml:space="preserve"> odrzucił skargę złożoną przez skarżącą na podstawie art. 8 Konwencji jako </w:t>
      </w:r>
      <w:r w:rsidR="00C620FD" w:rsidRPr="00F8489F">
        <w:rPr>
          <w:rFonts w:ascii="Verdana" w:eastAsia="Verdana" w:hAnsi="Verdana"/>
          <w:b/>
          <w:color w:val="0070C0"/>
        </w:rPr>
        <w:t>niedopuszczalną</w:t>
      </w:r>
      <w:r w:rsidR="00C620FD" w:rsidRPr="00F8489F">
        <w:rPr>
          <w:rFonts w:ascii="Verdana" w:eastAsia="Verdana" w:hAnsi="Verdana"/>
          <w:color w:val="0070C0"/>
        </w:rPr>
        <w:t xml:space="preserve"> (oczywiście bezzasadną). Sąd stwierdził, że władze krajowe osiągnęły właściwą równowagę między prawem pracownika do poszanowania jego życia prywatnego</w:t>
      </w:r>
      <w:r w:rsidR="00122CBC">
        <w:rPr>
          <w:rFonts w:ascii="Verdana" w:eastAsia="Verdana" w:hAnsi="Verdana"/>
          <w:color w:val="0070C0"/>
        </w:rPr>
        <w:t>,</w:t>
      </w:r>
      <w:r w:rsidR="00C620FD" w:rsidRPr="00F8489F">
        <w:rPr>
          <w:rFonts w:ascii="Verdana" w:eastAsia="Verdana" w:hAnsi="Verdana"/>
          <w:color w:val="0070C0"/>
        </w:rPr>
        <w:t xml:space="preserve"> a interesem pracodawcy w ochronie jego praw własności </w:t>
      </w:r>
      <w:r w:rsidR="00122CBC">
        <w:rPr>
          <w:rFonts w:ascii="Verdana" w:eastAsia="Verdana" w:hAnsi="Verdana"/>
          <w:color w:val="0070C0"/>
        </w:rPr>
        <w:t>oraz</w:t>
      </w:r>
      <w:r w:rsidR="00C620FD" w:rsidRPr="00F8489F">
        <w:rPr>
          <w:rFonts w:ascii="Verdana" w:eastAsia="Verdana" w:hAnsi="Verdana"/>
          <w:color w:val="0070C0"/>
        </w:rPr>
        <w:t xml:space="preserve"> interesem publicznym w prawidłowym wymierzaniu sprawiedliwości. Trybunał zauważył jednak, że konkurencyjnym interesom można by w przyszłości nadać inną wagę, biorąc pod uwagę zakres, w jakim ingerencja w życie prywatne była możliwa dzięki nowym, coraz bardziej zaawansowanym technologiom.</w:t>
      </w:r>
    </w:p>
    <w:bookmarkStart w:id="9" w:name="_Hlk17979152"/>
    <w:p w14:paraId="5434FBA7" w14:textId="77777777" w:rsidR="00F832FE" w:rsidRDefault="00F832FE"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fldChar w:fldCharType="begin"/>
      </w:r>
      <w:r w:rsidRPr="00A14197">
        <w:rPr>
          <w:rFonts w:ascii="Verdana" w:eastAsia="Verdana" w:hAnsi="Verdana"/>
          <w:b/>
          <w:color w:val="0072BC"/>
          <w:u w:val="single"/>
        </w:rPr>
        <w:instrText xml:space="preserve"> HYPERLINK "http://hudoc.echr.coe.int/eng-press?i=003-5927767-7571421" </w:instrText>
      </w:r>
      <w:r w:rsidRPr="00A14197">
        <w:rPr>
          <w:rFonts w:ascii="Verdana" w:eastAsia="Verdana" w:hAnsi="Verdana"/>
          <w:b/>
          <w:color w:val="0072BC"/>
          <w:u w:val="single"/>
        </w:rPr>
      </w:r>
      <w:r w:rsidRPr="00A14197">
        <w:rPr>
          <w:rFonts w:ascii="Verdana" w:eastAsia="Verdana" w:hAnsi="Verdana"/>
          <w:b/>
          <w:color w:val="0072BC"/>
          <w:u w:val="single"/>
        </w:rPr>
        <w:fldChar w:fldCharType="separate"/>
      </w:r>
      <w:proofErr w:type="spellStart"/>
      <w:r>
        <w:rPr>
          <w:rFonts w:ascii="Verdana" w:eastAsia="Verdana" w:hAnsi="Verdana"/>
          <w:b/>
          <w:color w:val="0072BC"/>
          <w:u w:val="single"/>
        </w:rPr>
        <w:t>Antov</w:t>
      </w:r>
      <w:r w:rsidR="00C50B26">
        <w:rPr>
          <w:rFonts w:ascii="Verdana" w:eastAsia="Verdana" w:hAnsi="Verdana"/>
          <w:b/>
          <w:color w:val="0072BC"/>
          <w:u w:val="single"/>
        </w:rPr>
        <w:t>ić</w:t>
      </w:r>
      <w:proofErr w:type="spellEnd"/>
      <w:r w:rsidR="00C50B26">
        <w:rPr>
          <w:rFonts w:ascii="Verdana" w:eastAsia="Verdana" w:hAnsi="Verdana"/>
          <w:b/>
          <w:color w:val="0072BC"/>
          <w:u w:val="single"/>
        </w:rPr>
        <w:t xml:space="preserve"> i </w:t>
      </w:r>
      <w:proofErr w:type="spellStart"/>
      <w:r w:rsidR="00C50B26">
        <w:rPr>
          <w:rFonts w:ascii="Verdana" w:eastAsia="Verdana" w:hAnsi="Verdana"/>
          <w:b/>
          <w:color w:val="0072BC"/>
          <w:u w:val="single"/>
        </w:rPr>
        <w:t>Mirković</w:t>
      </w:r>
      <w:proofErr w:type="spellEnd"/>
      <w:r w:rsidR="00C50B26">
        <w:rPr>
          <w:rFonts w:ascii="Verdana" w:eastAsia="Verdana" w:hAnsi="Verdana"/>
          <w:b/>
          <w:color w:val="0072BC"/>
          <w:u w:val="single"/>
        </w:rPr>
        <w:t xml:space="preserve"> przeciwko</w:t>
      </w:r>
      <w:r>
        <w:rPr>
          <w:rFonts w:ascii="Verdana" w:eastAsia="Verdana" w:hAnsi="Verdana"/>
          <w:b/>
          <w:color w:val="0072BC"/>
          <w:u w:val="single"/>
        </w:rPr>
        <w:t xml:space="preserve"> </w:t>
      </w:r>
      <w:r w:rsidR="003F674B">
        <w:rPr>
          <w:rFonts w:ascii="Verdana" w:eastAsia="Verdana" w:hAnsi="Verdana"/>
          <w:b/>
          <w:color w:val="0072BC"/>
          <w:u w:val="single"/>
        </w:rPr>
        <w:t>Czarnogórze</w:t>
      </w:r>
      <w:r w:rsidRPr="00A14197">
        <w:rPr>
          <w:rFonts w:ascii="Verdana" w:eastAsia="Verdana" w:hAnsi="Verdana"/>
          <w:b/>
          <w:color w:val="0072BC"/>
          <w:u w:val="single"/>
        </w:rPr>
        <w:fldChar w:fldCharType="end"/>
      </w:r>
      <w:bookmarkEnd w:id="9"/>
    </w:p>
    <w:p w14:paraId="0FA70B2B" w14:textId="77777777" w:rsidR="00F832FE" w:rsidRDefault="00F832FE" w:rsidP="00AB713F">
      <w:pPr>
        <w:spacing w:line="63" w:lineRule="exact"/>
        <w:ind w:left="740"/>
        <w:rPr>
          <w:rFonts w:ascii="Times New Roman" w:eastAsia="Times New Roman" w:hAnsi="Times New Roman"/>
        </w:rPr>
      </w:pPr>
    </w:p>
    <w:p w14:paraId="16641E68" w14:textId="77777777" w:rsidR="00F832FE" w:rsidRDefault="00C50B26" w:rsidP="00AB713F">
      <w:pPr>
        <w:spacing w:line="0" w:lineRule="atLeast"/>
        <w:ind w:left="740"/>
        <w:rPr>
          <w:rFonts w:ascii="Verdana" w:eastAsia="Verdana" w:hAnsi="Verdana"/>
          <w:color w:val="808080"/>
          <w:sz w:val="18"/>
        </w:rPr>
      </w:pPr>
      <w:r>
        <w:rPr>
          <w:rFonts w:ascii="Verdana" w:eastAsia="Verdana" w:hAnsi="Verdana"/>
          <w:color w:val="808080"/>
          <w:sz w:val="18"/>
        </w:rPr>
        <w:t>28 listopada</w:t>
      </w:r>
      <w:r w:rsidR="00F832FE">
        <w:rPr>
          <w:rFonts w:ascii="Verdana" w:eastAsia="Verdana" w:hAnsi="Verdana"/>
          <w:color w:val="808080"/>
          <w:sz w:val="18"/>
        </w:rPr>
        <w:t xml:space="preserve"> 2017</w:t>
      </w:r>
      <w:r w:rsidR="00487B7A">
        <w:rPr>
          <w:rFonts w:ascii="Verdana" w:eastAsia="Verdana" w:hAnsi="Verdana"/>
          <w:color w:val="808080"/>
          <w:sz w:val="18"/>
        </w:rPr>
        <w:t xml:space="preserve"> roku</w:t>
      </w:r>
    </w:p>
    <w:p w14:paraId="19EF2E96" w14:textId="77777777" w:rsidR="00F832FE" w:rsidRDefault="002A0B03" w:rsidP="00AB713F">
      <w:pPr>
        <w:spacing w:line="239" w:lineRule="auto"/>
        <w:ind w:left="740" w:right="20"/>
        <w:jc w:val="both"/>
        <w:rPr>
          <w:rFonts w:ascii="Times New Roman" w:eastAsia="Times New Roman" w:hAnsi="Times New Roman"/>
        </w:rPr>
      </w:pPr>
      <w:r w:rsidRPr="002A0B03">
        <w:rPr>
          <w:rFonts w:ascii="Verdana" w:eastAsia="Verdana" w:hAnsi="Verdana"/>
        </w:rPr>
        <w:t>Sprawa ta dotyczyła naruszenia</w:t>
      </w:r>
      <w:r w:rsidR="003F674B">
        <w:rPr>
          <w:rFonts w:ascii="Verdana" w:eastAsia="Verdana" w:hAnsi="Verdana"/>
        </w:rPr>
        <w:t xml:space="preserve"> prawa do</w:t>
      </w:r>
      <w:r w:rsidRPr="002A0B03">
        <w:rPr>
          <w:rFonts w:ascii="Verdana" w:eastAsia="Verdana" w:hAnsi="Verdana"/>
        </w:rPr>
        <w:t xml:space="preserve"> pryw</w:t>
      </w:r>
      <w:r w:rsidR="003F674B">
        <w:rPr>
          <w:rFonts w:ascii="Verdana" w:eastAsia="Verdana" w:hAnsi="Verdana"/>
        </w:rPr>
        <w:t>atności dwóch profesorów wydziału matematy</w:t>
      </w:r>
      <w:r w:rsidR="00122CBC">
        <w:rPr>
          <w:rFonts w:ascii="Verdana" w:eastAsia="Verdana" w:hAnsi="Verdana"/>
        </w:rPr>
        <w:t>ki</w:t>
      </w:r>
      <w:r w:rsidRPr="002A0B03">
        <w:rPr>
          <w:rFonts w:ascii="Verdana" w:eastAsia="Verdana" w:hAnsi="Verdana"/>
        </w:rPr>
        <w:t xml:space="preserve"> Uniwersytetu Czarnogór</w:t>
      </w:r>
      <w:r w:rsidR="007C3007">
        <w:rPr>
          <w:rFonts w:ascii="Verdana" w:eastAsia="Verdana" w:hAnsi="Verdana"/>
        </w:rPr>
        <w:t>skiego</w:t>
      </w:r>
      <w:r w:rsidRPr="002A0B03">
        <w:rPr>
          <w:rFonts w:ascii="Verdana" w:eastAsia="Verdana" w:hAnsi="Verdana"/>
        </w:rPr>
        <w:t xml:space="preserve"> po zainstalowaniu </w:t>
      </w:r>
      <w:r w:rsidR="007C3007">
        <w:rPr>
          <w:rFonts w:ascii="Verdana" w:eastAsia="Verdana" w:hAnsi="Verdana"/>
        </w:rPr>
        <w:t>monitoringu</w:t>
      </w:r>
      <w:r w:rsidRPr="002A0B03">
        <w:rPr>
          <w:rFonts w:ascii="Verdana" w:eastAsia="Verdana" w:hAnsi="Verdana"/>
        </w:rPr>
        <w:t xml:space="preserve"> wideo w </w:t>
      </w:r>
      <w:r w:rsidR="00852A63">
        <w:rPr>
          <w:rFonts w:ascii="Verdana" w:eastAsia="Verdana" w:hAnsi="Verdana"/>
        </w:rPr>
        <w:t>salach</w:t>
      </w:r>
      <w:r w:rsidRPr="002A0B03">
        <w:rPr>
          <w:rFonts w:ascii="Verdana" w:eastAsia="Verdana" w:hAnsi="Verdana"/>
        </w:rPr>
        <w:t xml:space="preserve">, </w:t>
      </w:r>
      <w:r w:rsidR="003F674B">
        <w:rPr>
          <w:rFonts w:ascii="Verdana" w:eastAsia="Verdana" w:hAnsi="Verdana"/>
        </w:rPr>
        <w:t>w których nauczali. Twierdzili oni</w:t>
      </w:r>
      <w:r w:rsidRPr="002A0B03">
        <w:rPr>
          <w:rFonts w:ascii="Verdana" w:eastAsia="Verdana" w:hAnsi="Verdana"/>
        </w:rPr>
        <w:t xml:space="preserve">, że nie </w:t>
      </w:r>
      <w:r w:rsidR="007C3007">
        <w:rPr>
          <w:rFonts w:ascii="Verdana" w:eastAsia="Verdana" w:hAnsi="Verdana"/>
        </w:rPr>
        <w:t>posiadają</w:t>
      </w:r>
      <w:r w:rsidRPr="002A0B03">
        <w:rPr>
          <w:rFonts w:ascii="Verdana" w:eastAsia="Verdana" w:hAnsi="Verdana"/>
        </w:rPr>
        <w:t xml:space="preserve"> skutecznej kontroli nad zebranymi informacjami i że </w:t>
      </w:r>
      <w:r w:rsidR="007C3007">
        <w:rPr>
          <w:rFonts w:ascii="Verdana" w:eastAsia="Verdana" w:hAnsi="Verdana"/>
        </w:rPr>
        <w:t>monitoring</w:t>
      </w:r>
      <w:r w:rsidRPr="002A0B03">
        <w:rPr>
          <w:rFonts w:ascii="Verdana" w:eastAsia="Verdana" w:hAnsi="Verdana"/>
        </w:rPr>
        <w:t xml:space="preserve"> był niezgodny z prawem. Sądy krajowe odrzuciły jednak roszczenie o odszkodowanie, stwierdzając, że kwestia życia </w:t>
      </w:r>
      <w:r w:rsidR="003F674B">
        <w:rPr>
          <w:rFonts w:ascii="Verdana" w:eastAsia="Verdana" w:hAnsi="Verdana"/>
        </w:rPr>
        <w:t xml:space="preserve">prywatnego nie była sporna, gdyż </w:t>
      </w:r>
      <w:r w:rsidRPr="002A0B03">
        <w:rPr>
          <w:rFonts w:ascii="Verdana" w:eastAsia="Verdana" w:hAnsi="Verdana"/>
        </w:rPr>
        <w:t>audytoria, w których nauczali skarżący, były strefami publicznymi.</w:t>
      </w:r>
    </w:p>
    <w:p w14:paraId="07DAE9D1" w14:textId="77777777" w:rsidR="00852A63" w:rsidRDefault="002A0B03" w:rsidP="00AB713F">
      <w:pPr>
        <w:spacing w:line="242" w:lineRule="auto"/>
        <w:ind w:left="740"/>
        <w:jc w:val="both"/>
        <w:rPr>
          <w:rFonts w:ascii="Verdana" w:eastAsia="Verdana" w:hAnsi="Verdana"/>
          <w:color w:val="0072BC"/>
        </w:rPr>
      </w:pPr>
      <w:r w:rsidRPr="002A0B03">
        <w:rPr>
          <w:rFonts w:ascii="Verdana" w:eastAsia="Verdana" w:hAnsi="Verdana"/>
          <w:color w:val="0072BC"/>
        </w:rPr>
        <w:t xml:space="preserve">Trybunał orzekł, że </w:t>
      </w:r>
      <w:r w:rsidR="003F674B" w:rsidRPr="00F8489F">
        <w:rPr>
          <w:rFonts w:ascii="Verdana" w:eastAsia="Verdana" w:hAnsi="Verdana"/>
          <w:color w:val="0072BC"/>
        </w:rPr>
        <w:t>doszło do</w:t>
      </w:r>
      <w:r w:rsidR="003F674B">
        <w:rPr>
          <w:rFonts w:ascii="Verdana" w:eastAsia="Verdana" w:hAnsi="Verdana"/>
          <w:b/>
          <w:color w:val="0072BC"/>
        </w:rPr>
        <w:t xml:space="preserve"> naruszenia </w:t>
      </w:r>
      <w:r w:rsidR="007C3007">
        <w:rPr>
          <w:rFonts w:ascii="Verdana" w:eastAsia="Verdana" w:hAnsi="Verdana"/>
          <w:b/>
          <w:color w:val="0072BC"/>
        </w:rPr>
        <w:t>art.</w:t>
      </w:r>
      <w:r w:rsidRPr="003F674B">
        <w:rPr>
          <w:rFonts w:ascii="Verdana" w:eastAsia="Verdana" w:hAnsi="Verdana"/>
          <w:b/>
          <w:color w:val="0072BC"/>
        </w:rPr>
        <w:t xml:space="preserve"> 8</w:t>
      </w:r>
      <w:r w:rsidRPr="002A0B03">
        <w:rPr>
          <w:rFonts w:ascii="Verdana" w:eastAsia="Verdana" w:hAnsi="Verdana"/>
          <w:color w:val="0072BC"/>
        </w:rPr>
        <w:t xml:space="preserve"> Konwencji, uznając, że </w:t>
      </w:r>
      <w:r w:rsidR="007C3007">
        <w:rPr>
          <w:rFonts w:ascii="Verdana" w:eastAsia="Verdana" w:hAnsi="Verdana"/>
          <w:color w:val="0072BC"/>
        </w:rPr>
        <w:t>monitoring</w:t>
      </w:r>
      <w:r w:rsidRPr="002A0B03">
        <w:rPr>
          <w:rFonts w:ascii="Verdana" w:eastAsia="Verdana" w:hAnsi="Verdana"/>
          <w:color w:val="0072BC"/>
        </w:rPr>
        <w:t xml:space="preserve"> </w:t>
      </w:r>
      <w:r w:rsidR="007C3007">
        <w:rPr>
          <w:rFonts w:ascii="Verdana" w:eastAsia="Verdana" w:hAnsi="Verdana"/>
          <w:color w:val="0072BC"/>
        </w:rPr>
        <w:t>z użyciem</w:t>
      </w:r>
      <w:r w:rsidRPr="002A0B03">
        <w:rPr>
          <w:rFonts w:ascii="Verdana" w:eastAsia="Verdana" w:hAnsi="Verdana"/>
          <w:color w:val="0072BC"/>
        </w:rPr>
        <w:t xml:space="preserve"> kamer nie był zgod</w:t>
      </w:r>
      <w:r w:rsidR="003F674B">
        <w:rPr>
          <w:rFonts w:ascii="Verdana" w:eastAsia="Verdana" w:hAnsi="Verdana"/>
          <w:color w:val="0072BC"/>
        </w:rPr>
        <w:t>ny z prawem. Najpierw odrzucił</w:t>
      </w:r>
      <w:r w:rsidRPr="002A0B03">
        <w:rPr>
          <w:rFonts w:ascii="Verdana" w:eastAsia="Verdana" w:hAnsi="Verdana"/>
          <w:color w:val="0072BC"/>
        </w:rPr>
        <w:t xml:space="preserve"> argument rządu, że sprawa jest niedopuszczalna, ponieważ nie </w:t>
      </w:r>
      <w:r w:rsidR="007C3007">
        <w:rPr>
          <w:rFonts w:ascii="Verdana" w:eastAsia="Verdana" w:hAnsi="Verdana"/>
          <w:color w:val="0072BC"/>
        </w:rPr>
        <w:t>dotyczyła</w:t>
      </w:r>
      <w:r w:rsidRPr="002A0B03">
        <w:rPr>
          <w:rFonts w:ascii="Verdana" w:eastAsia="Verdana" w:hAnsi="Verdana"/>
          <w:color w:val="0072BC"/>
        </w:rPr>
        <w:t xml:space="preserve"> kwesti</w:t>
      </w:r>
      <w:r w:rsidR="007C3007">
        <w:rPr>
          <w:rFonts w:ascii="Verdana" w:eastAsia="Verdana" w:hAnsi="Verdana"/>
          <w:color w:val="0072BC"/>
        </w:rPr>
        <w:t>i</w:t>
      </w:r>
      <w:r w:rsidRPr="002A0B03">
        <w:rPr>
          <w:rFonts w:ascii="Verdana" w:eastAsia="Verdana" w:hAnsi="Verdana"/>
          <w:color w:val="0072BC"/>
        </w:rPr>
        <w:t xml:space="preserve"> związan</w:t>
      </w:r>
      <w:r w:rsidR="007C3007">
        <w:rPr>
          <w:rFonts w:ascii="Verdana" w:eastAsia="Verdana" w:hAnsi="Verdana"/>
          <w:color w:val="0072BC"/>
        </w:rPr>
        <w:t>ych</w:t>
      </w:r>
      <w:r w:rsidRPr="002A0B03">
        <w:rPr>
          <w:rFonts w:ascii="Verdana" w:eastAsia="Verdana" w:hAnsi="Verdana"/>
          <w:color w:val="0072BC"/>
        </w:rPr>
        <w:t xml:space="preserve"> z prywatnością, </w:t>
      </w:r>
      <w:r w:rsidR="007C3007">
        <w:rPr>
          <w:rFonts w:ascii="Verdana" w:eastAsia="Verdana" w:hAnsi="Verdana"/>
          <w:color w:val="0072BC"/>
        </w:rPr>
        <w:t>gdyż</w:t>
      </w:r>
      <w:r w:rsidRPr="002A0B03">
        <w:rPr>
          <w:rFonts w:ascii="Verdana" w:eastAsia="Verdana" w:hAnsi="Verdana"/>
          <w:color w:val="0072BC"/>
        </w:rPr>
        <w:t xml:space="preserve"> obszar podlegający kontroli był </w:t>
      </w:r>
      <w:r w:rsidR="007C3007">
        <w:rPr>
          <w:rFonts w:ascii="Verdana" w:eastAsia="Verdana" w:hAnsi="Verdana"/>
          <w:color w:val="0072BC"/>
        </w:rPr>
        <w:t>publicznie dostępnym</w:t>
      </w:r>
      <w:r w:rsidRPr="002A0B03">
        <w:rPr>
          <w:rFonts w:ascii="Verdana" w:eastAsia="Verdana" w:hAnsi="Verdana"/>
          <w:color w:val="0072BC"/>
        </w:rPr>
        <w:t xml:space="preserve"> miej</w:t>
      </w:r>
      <w:r w:rsidR="003F674B">
        <w:rPr>
          <w:rFonts w:ascii="Verdana" w:eastAsia="Verdana" w:hAnsi="Verdana"/>
          <w:color w:val="0072BC"/>
        </w:rPr>
        <w:t>scem pracy. W tym względzie Trybunał</w:t>
      </w:r>
      <w:r w:rsidRPr="002A0B03">
        <w:rPr>
          <w:rFonts w:ascii="Verdana" w:eastAsia="Verdana" w:hAnsi="Verdana"/>
          <w:color w:val="0072BC"/>
        </w:rPr>
        <w:t xml:space="preserve"> zauważył w szczególności, że </w:t>
      </w:r>
      <w:r w:rsidR="003F674B">
        <w:rPr>
          <w:rFonts w:ascii="Verdana" w:eastAsia="Verdana" w:hAnsi="Verdana"/>
          <w:color w:val="0072BC"/>
        </w:rPr>
        <w:t>na kanwie tego, co ustalił wcześniej,</w:t>
      </w:r>
      <w:r w:rsidRPr="002A0B03">
        <w:rPr>
          <w:rFonts w:ascii="Verdana" w:eastAsia="Verdana" w:hAnsi="Verdana"/>
          <w:color w:val="0072BC"/>
        </w:rPr>
        <w:t xml:space="preserve"> życie prywatne może obejmować działalność zawodową i uznał, że tak było również w przypadku skarżących. W związku z tym </w:t>
      </w:r>
      <w:r w:rsidR="00B745F2">
        <w:rPr>
          <w:rFonts w:ascii="Verdana" w:eastAsia="Verdana" w:hAnsi="Verdana"/>
          <w:color w:val="0072BC"/>
        </w:rPr>
        <w:t>art.</w:t>
      </w:r>
      <w:r w:rsidR="003F674B">
        <w:rPr>
          <w:rFonts w:ascii="Verdana" w:eastAsia="Verdana" w:hAnsi="Verdana"/>
          <w:color w:val="0072BC"/>
        </w:rPr>
        <w:t xml:space="preserve"> 8 miał zastosowanie</w:t>
      </w:r>
      <w:r w:rsidRPr="002A0B03">
        <w:rPr>
          <w:rFonts w:ascii="Verdana" w:eastAsia="Verdana" w:hAnsi="Verdana"/>
          <w:color w:val="0072BC"/>
        </w:rPr>
        <w:t xml:space="preserve">. Co do istoty sprawy Trybunał stwierdził następnie, że </w:t>
      </w:r>
      <w:r w:rsidR="00B745F2">
        <w:rPr>
          <w:rFonts w:ascii="Verdana" w:eastAsia="Verdana" w:hAnsi="Verdana"/>
          <w:color w:val="0072BC"/>
        </w:rPr>
        <w:t>monitoring przy użyciu</w:t>
      </w:r>
      <w:r w:rsidRPr="002A0B03">
        <w:rPr>
          <w:rFonts w:ascii="Verdana" w:eastAsia="Verdana" w:hAnsi="Verdana"/>
          <w:color w:val="0072BC"/>
        </w:rPr>
        <w:t xml:space="preserve"> kamer stanowił ingerencję w prawo skarżących do prywatności</w:t>
      </w:r>
      <w:r w:rsidR="00B745F2">
        <w:rPr>
          <w:rFonts w:ascii="Verdana" w:eastAsia="Verdana" w:hAnsi="Verdana"/>
          <w:color w:val="0072BC"/>
        </w:rPr>
        <w:t>,</w:t>
      </w:r>
      <w:r w:rsidRPr="002A0B03">
        <w:rPr>
          <w:rFonts w:ascii="Verdana" w:eastAsia="Verdana" w:hAnsi="Verdana"/>
          <w:color w:val="0072BC"/>
        </w:rPr>
        <w:t xml:space="preserve"> oraz że </w:t>
      </w:r>
      <w:r w:rsidR="00B745F2">
        <w:rPr>
          <w:rFonts w:ascii="Verdana" w:eastAsia="Verdana" w:hAnsi="Verdana"/>
          <w:color w:val="0072BC"/>
        </w:rPr>
        <w:t xml:space="preserve">materiał </w:t>
      </w:r>
      <w:r w:rsidRPr="002A0B03">
        <w:rPr>
          <w:rFonts w:ascii="Verdana" w:eastAsia="Verdana" w:hAnsi="Verdana"/>
          <w:color w:val="0072BC"/>
        </w:rPr>
        <w:t>dowod</w:t>
      </w:r>
      <w:r w:rsidR="00B745F2">
        <w:rPr>
          <w:rFonts w:ascii="Verdana" w:eastAsia="Verdana" w:hAnsi="Verdana"/>
          <w:color w:val="0072BC"/>
        </w:rPr>
        <w:t>owy</w:t>
      </w:r>
      <w:r w:rsidRPr="002A0B03">
        <w:rPr>
          <w:rFonts w:ascii="Verdana" w:eastAsia="Verdana" w:hAnsi="Verdana"/>
          <w:color w:val="0072BC"/>
        </w:rPr>
        <w:t xml:space="preserve"> wykazał, iż </w:t>
      </w:r>
      <w:r w:rsidR="00B745F2">
        <w:rPr>
          <w:rFonts w:ascii="Verdana" w:eastAsia="Verdana" w:hAnsi="Verdana"/>
          <w:color w:val="0072BC"/>
        </w:rPr>
        <w:t>monitoring</w:t>
      </w:r>
      <w:r w:rsidRPr="002A0B03">
        <w:rPr>
          <w:rFonts w:ascii="Verdana" w:eastAsia="Verdana" w:hAnsi="Verdana"/>
          <w:color w:val="0072BC"/>
        </w:rPr>
        <w:t xml:space="preserve"> ten naruszył przepisy prawa krajowego. W rzeczywistości sądy krajowe nigdy nawet nie </w:t>
      </w:r>
      <w:r w:rsidR="003F674B">
        <w:rPr>
          <w:rFonts w:ascii="Verdana" w:eastAsia="Verdana" w:hAnsi="Verdana"/>
          <w:color w:val="0072BC"/>
        </w:rPr>
        <w:t>rozważały żadnego prawn</w:t>
      </w:r>
      <w:r w:rsidR="00B745F2">
        <w:rPr>
          <w:rFonts w:ascii="Verdana" w:eastAsia="Verdana" w:hAnsi="Verdana"/>
          <w:color w:val="0072BC"/>
        </w:rPr>
        <w:t>ego</w:t>
      </w:r>
      <w:r w:rsidRPr="002A0B03">
        <w:rPr>
          <w:rFonts w:ascii="Verdana" w:eastAsia="Verdana" w:hAnsi="Verdana"/>
          <w:color w:val="0072BC"/>
        </w:rPr>
        <w:t xml:space="preserve"> uzasadnienia </w:t>
      </w:r>
      <w:r w:rsidR="00B745F2">
        <w:rPr>
          <w:rFonts w:ascii="Verdana" w:eastAsia="Verdana" w:hAnsi="Verdana"/>
          <w:color w:val="0072BC"/>
        </w:rPr>
        <w:t>monitoringu</w:t>
      </w:r>
      <w:r w:rsidRPr="002A0B03">
        <w:rPr>
          <w:rFonts w:ascii="Verdana" w:eastAsia="Verdana" w:hAnsi="Verdana"/>
          <w:color w:val="0072BC"/>
        </w:rPr>
        <w:t xml:space="preserve">, ponieważ od samego </w:t>
      </w:r>
      <w:r w:rsidR="003F674B">
        <w:rPr>
          <w:rFonts w:ascii="Verdana" w:eastAsia="Verdana" w:hAnsi="Verdana"/>
          <w:color w:val="0072BC"/>
        </w:rPr>
        <w:t>początku, w ich ocenie,</w:t>
      </w:r>
      <w:r w:rsidRPr="002A0B03">
        <w:rPr>
          <w:rFonts w:ascii="Verdana" w:eastAsia="Verdana" w:hAnsi="Verdana"/>
          <w:color w:val="0072BC"/>
        </w:rPr>
        <w:t xml:space="preserve"> nie doszło do naruszenia prywatności.</w:t>
      </w:r>
    </w:p>
    <w:p w14:paraId="7448A8AD" w14:textId="0809CF14" w:rsidR="00B745F2" w:rsidRPr="00A14197" w:rsidRDefault="00B745F2" w:rsidP="00AB713F">
      <w:pPr>
        <w:spacing w:before="120" w:line="0" w:lineRule="atLeast"/>
        <w:ind w:left="740"/>
        <w:rPr>
          <w:rFonts w:ascii="Verdana" w:eastAsia="Verdana" w:hAnsi="Verdana"/>
          <w:b/>
          <w:color w:val="0072BC"/>
          <w:u w:val="single"/>
        </w:rPr>
      </w:pPr>
      <w:hyperlink r:id="rId48" w:anchor="{%22itemid%22:[%22003-6538808-8642219%22]}" w:history="1">
        <w:r w:rsidRPr="00281C4C">
          <w:rPr>
            <w:rStyle w:val="Hipercze"/>
            <w:rFonts w:ascii="Verdana" w:eastAsia="Verdana" w:hAnsi="Verdana"/>
            <w:b/>
          </w:rPr>
          <w:t>López Ribalda i Inni przeciwko Hiszpanii</w:t>
        </w:r>
      </w:hyperlink>
    </w:p>
    <w:p w14:paraId="73F86032" w14:textId="6A8FC08A" w:rsidR="00C22DDA" w:rsidRDefault="00C22DDA" w:rsidP="00AB713F">
      <w:pPr>
        <w:spacing w:line="239" w:lineRule="auto"/>
        <w:ind w:left="740" w:right="20"/>
        <w:jc w:val="both"/>
        <w:rPr>
          <w:rFonts w:ascii="Verdana" w:eastAsia="Verdana" w:hAnsi="Verdana"/>
          <w:color w:val="808080"/>
          <w:sz w:val="18"/>
        </w:rPr>
      </w:pPr>
      <w:r>
        <w:rPr>
          <w:rFonts w:ascii="Verdana" w:eastAsia="Verdana" w:hAnsi="Verdana"/>
          <w:color w:val="808080"/>
          <w:sz w:val="18"/>
        </w:rPr>
        <w:t>17 października 2019 r</w:t>
      </w:r>
      <w:r w:rsidR="0037627F">
        <w:rPr>
          <w:rFonts w:ascii="Verdana" w:eastAsia="Verdana" w:hAnsi="Verdana"/>
          <w:color w:val="808080"/>
          <w:sz w:val="18"/>
        </w:rPr>
        <w:t>oku</w:t>
      </w:r>
      <w:r>
        <w:rPr>
          <w:rFonts w:ascii="Verdana" w:eastAsia="Verdana" w:hAnsi="Verdana"/>
          <w:color w:val="808080"/>
          <w:sz w:val="18"/>
        </w:rPr>
        <w:t xml:space="preserve"> (Wielka Izba) </w:t>
      </w:r>
    </w:p>
    <w:p w14:paraId="0635DF57" w14:textId="50A8BA1A" w:rsidR="00B745F2" w:rsidRPr="00B745F2" w:rsidRDefault="00C66EAD" w:rsidP="00AB713F">
      <w:pPr>
        <w:spacing w:line="239" w:lineRule="auto"/>
        <w:ind w:left="740" w:right="20"/>
        <w:jc w:val="both"/>
        <w:rPr>
          <w:rFonts w:ascii="Verdana" w:hAnsi="Verdana" w:cs="Verdana"/>
          <w:color w:val="000000"/>
        </w:rPr>
      </w:pPr>
      <w:r w:rsidRPr="00C66EAD">
        <w:rPr>
          <w:rFonts w:ascii="Verdana" w:eastAsia="Verdana" w:hAnsi="Verdana"/>
        </w:rPr>
        <w:t xml:space="preserve">Sprawa dotyczyła tajnego </w:t>
      </w:r>
      <w:r w:rsidR="003A691D">
        <w:rPr>
          <w:rFonts w:ascii="Verdana" w:eastAsia="Verdana" w:hAnsi="Verdana"/>
        </w:rPr>
        <w:t>monitoringu</w:t>
      </w:r>
      <w:r w:rsidRPr="00C66EAD">
        <w:rPr>
          <w:rFonts w:ascii="Verdana" w:eastAsia="Verdana" w:hAnsi="Verdana"/>
        </w:rPr>
        <w:t xml:space="preserve"> wideo pracowników, który doprowadził do ich zwolnienia.</w:t>
      </w:r>
      <w:r w:rsidR="003A691D">
        <w:rPr>
          <w:rFonts w:ascii="Verdana" w:eastAsia="Verdana" w:hAnsi="Verdana"/>
        </w:rPr>
        <w:t xml:space="preserve"> </w:t>
      </w:r>
      <w:r w:rsidRPr="00C66EAD">
        <w:rPr>
          <w:rFonts w:ascii="Verdana" w:eastAsia="Verdana" w:hAnsi="Verdana"/>
        </w:rPr>
        <w:t xml:space="preserve">Skarżący skarżyli się na tajny </w:t>
      </w:r>
      <w:r w:rsidR="003A691D">
        <w:rPr>
          <w:rFonts w:ascii="Verdana" w:eastAsia="Verdana" w:hAnsi="Verdana"/>
        </w:rPr>
        <w:t>monitoring</w:t>
      </w:r>
      <w:r w:rsidRPr="00C66EAD">
        <w:rPr>
          <w:rFonts w:ascii="Verdana" w:eastAsia="Verdana" w:hAnsi="Verdana"/>
        </w:rPr>
        <w:t xml:space="preserve"> wideo i wykorzystanie danych uzyskanych przez sądy hiszpańskie w celu ustalenia, że </w:t>
      </w:r>
      <w:r w:rsidRPr="00C66EAD">
        <w:rPr>
          <w:rFonts w:ascii="Arial" w:eastAsia="Verdana" w:hAnsi="Arial"/>
        </w:rPr>
        <w:t>​​</w:t>
      </w:r>
      <w:r w:rsidRPr="00C66EAD">
        <w:rPr>
          <w:rFonts w:ascii="Verdana" w:eastAsia="Verdana" w:hAnsi="Verdana"/>
        </w:rPr>
        <w:t>ich zwolnienia by</w:t>
      </w:r>
      <w:r w:rsidRPr="00C66EAD">
        <w:rPr>
          <w:rFonts w:ascii="Verdana" w:eastAsia="Verdana" w:hAnsi="Verdana" w:cs="Verdana"/>
        </w:rPr>
        <w:t>ł</w:t>
      </w:r>
      <w:r w:rsidRPr="00C66EAD">
        <w:rPr>
          <w:rFonts w:ascii="Verdana" w:eastAsia="Verdana" w:hAnsi="Verdana"/>
        </w:rPr>
        <w:t xml:space="preserve">y sprawiedliwe. Skarżący, którzy podpisali </w:t>
      </w:r>
      <w:r w:rsidR="003A691D">
        <w:rPr>
          <w:rFonts w:ascii="Verdana" w:eastAsia="Verdana" w:hAnsi="Verdana"/>
        </w:rPr>
        <w:t>porozumienia</w:t>
      </w:r>
      <w:r w:rsidRPr="00C66EAD">
        <w:rPr>
          <w:rFonts w:ascii="Verdana" w:eastAsia="Verdana" w:hAnsi="Verdana"/>
        </w:rPr>
        <w:t xml:space="preserve"> ugodowe, skarżyli się również, że </w:t>
      </w:r>
      <w:r w:rsidR="003A691D">
        <w:rPr>
          <w:rFonts w:ascii="Verdana" w:eastAsia="Verdana" w:hAnsi="Verdana"/>
        </w:rPr>
        <w:t>porozumienia</w:t>
      </w:r>
      <w:r w:rsidRPr="00C66EAD">
        <w:rPr>
          <w:rFonts w:ascii="Verdana" w:eastAsia="Verdana" w:hAnsi="Verdana"/>
        </w:rPr>
        <w:t xml:space="preserve"> zostały zawarte pod przymusem ze względu na materiał wideo i nie powinny być </w:t>
      </w:r>
      <w:r w:rsidR="003A691D">
        <w:rPr>
          <w:rFonts w:ascii="Verdana" w:eastAsia="Verdana" w:hAnsi="Verdana"/>
        </w:rPr>
        <w:t>przyjęte</w:t>
      </w:r>
      <w:r w:rsidRPr="00C66EAD">
        <w:rPr>
          <w:rFonts w:ascii="Verdana" w:eastAsia="Verdana" w:hAnsi="Verdana"/>
        </w:rPr>
        <w:t xml:space="preserve"> jako dowód na to, że ich zwolnienia były sprawiedliwe</w:t>
      </w:r>
      <w:r w:rsidR="00B745F2" w:rsidRPr="00B745F2">
        <w:rPr>
          <w:rFonts w:ascii="Verdana" w:eastAsia="Verdana" w:hAnsi="Verdana"/>
        </w:rPr>
        <w:t>.</w:t>
      </w:r>
      <w:r w:rsidR="00B745F2" w:rsidRPr="00B745F2">
        <w:rPr>
          <w:rFonts w:ascii="Verdana" w:hAnsi="Verdana" w:cs="Verdana"/>
          <w:color w:val="000000"/>
        </w:rPr>
        <w:t xml:space="preserve"> </w:t>
      </w:r>
    </w:p>
    <w:p w14:paraId="5BC5B2D1" w14:textId="77777777" w:rsidR="00B745F2" w:rsidRPr="00C66EAD" w:rsidRDefault="003A691D" w:rsidP="00AB713F">
      <w:pPr>
        <w:spacing w:line="242" w:lineRule="auto"/>
        <w:ind w:left="740"/>
        <w:jc w:val="both"/>
        <w:rPr>
          <w:rFonts w:ascii="Verdana" w:eastAsia="Verdana" w:hAnsi="Verdana"/>
          <w:color w:val="0072BC"/>
        </w:rPr>
      </w:pPr>
      <w:r w:rsidRPr="003A691D">
        <w:rPr>
          <w:rFonts w:ascii="Verdana" w:eastAsia="Verdana" w:hAnsi="Verdana"/>
          <w:color w:val="0072BC"/>
        </w:rPr>
        <w:t xml:space="preserve">Wielka Izba uznała, że </w:t>
      </w:r>
      <w:r w:rsidRPr="00A05162">
        <w:rPr>
          <w:rFonts w:ascii="Arial" w:eastAsia="Verdana" w:hAnsi="Arial"/>
          <w:b/>
          <w:bCs/>
          <w:color w:val="0072BC"/>
        </w:rPr>
        <w:t>​​</w:t>
      </w:r>
      <w:r w:rsidRPr="00A05162">
        <w:rPr>
          <w:rFonts w:ascii="Verdana" w:eastAsia="Verdana" w:hAnsi="Verdana"/>
          <w:b/>
          <w:bCs/>
          <w:color w:val="0072BC"/>
        </w:rPr>
        <w:t>nie dosz</w:t>
      </w:r>
      <w:r w:rsidRPr="00A05162">
        <w:rPr>
          <w:rFonts w:ascii="Verdana" w:eastAsia="Verdana" w:hAnsi="Verdana" w:cs="Verdana"/>
          <w:b/>
          <w:bCs/>
          <w:color w:val="0072BC"/>
        </w:rPr>
        <w:t>ł</w:t>
      </w:r>
      <w:r w:rsidRPr="00A05162">
        <w:rPr>
          <w:rFonts w:ascii="Verdana" w:eastAsia="Verdana" w:hAnsi="Verdana"/>
          <w:b/>
          <w:bCs/>
          <w:color w:val="0072BC"/>
        </w:rPr>
        <w:t>o do naruszenia art. 8</w:t>
      </w:r>
      <w:r w:rsidRPr="003A691D">
        <w:rPr>
          <w:rFonts w:ascii="Verdana" w:eastAsia="Verdana" w:hAnsi="Verdana"/>
          <w:color w:val="0072BC"/>
        </w:rPr>
        <w:t xml:space="preserve"> Konwencji w odniesieniu do pi</w:t>
      </w:r>
      <w:r w:rsidRPr="003A691D">
        <w:rPr>
          <w:rFonts w:ascii="Verdana" w:eastAsia="Verdana" w:hAnsi="Verdana" w:cs="Verdana"/>
          <w:color w:val="0072BC"/>
        </w:rPr>
        <w:t>ę</w:t>
      </w:r>
      <w:r w:rsidRPr="003A691D">
        <w:rPr>
          <w:rFonts w:ascii="Verdana" w:eastAsia="Verdana" w:hAnsi="Verdana"/>
          <w:color w:val="0072BC"/>
        </w:rPr>
        <w:t>ciu skar</w:t>
      </w:r>
      <w:r w:rsidRPr="003A691D">
        <w:rPr>
          <w:rFonts w:ascii="Verdana" w:eastAsia="Verdana" w:hAnsi="Verdana" w:cs="Verdana"/>
          <w:color w:val="0072BC"/>
        </w:rPr>
        <w:t>żą</w:t>
      </w:r>
      <w:r w:rsidRPr="003A691D">
        <w:rPr>
          <w:rFonts w:ascii="Verdana" w:eastAsia="Verdana" w:hAnsi="Verdana"/>
          <w:color w:val="0072BC"/>
        </w:rPr>
        <w:t>cych. Stwierdzi</w:t>
      </w:r>
      <w:r w:rsidRPr="003A691D">
        <w:rPr>
          <w:rFonts w:ascii="Verdana" w:eastAsia="Verdana" w:hAnsi="Verdana" w:cs="Verdana"/>
          <w:color w:val="0072BC"/>
        </w:rPr>
        <w:t>ł</w:t>
      </w:r>
      <w:r w:rsidRPr="003A691D">
        <w:rPr>
          <w:rFonts w:ascii="Verdana" w:eastAsia="Verdana" w:hAnsi="Verdana"/>
          <w:color w:val="0072BC"/>
        </w:rPr>
        <w:t xml:space="preserve"> w szczeg</w:t>
      </w:r>
      <w:r w:rsidRPr="003A691D">
        <w:rPr>
          <w:rFonts w:ascii="Verdana" w:eastAsia="Verdana" w:hAnsi="Verdana" w:cs="Verdana"/>
          <w:color w:val="0072BC"/>
        </w:rPr>
        <w:t>ó</w:t>
      </w:r>
      <w:r w:rsidRPr="003A691D">
        <w:rPr>
          <w:rFonts w:ascii="Verdana" w:eastAsia="Verdana" w:hAnsi="Verdana"/>
          <w:color w:val="0072BC"/>
        </w:rPr>
        <w:t>lno</w:t>
      </w:r>
      <w:r w:rsidRPr="003A691D">
        <w:rPr>
          <w:rFonts w:ascii="Verdana" w:eastAsia="Verdana" w:hAnsi="Verdana" w:cs="Verdana"/>
          <w:color w:val="0072BC"/>
        </w:rPr>
        <w:t>ś</w:t>
      </w:r>
      <w:r w:rsidRPr="003A691D">
        <w:rPr>
          <w:rFonts w:ascii="Verdana" w:eastAsia="Verdana" w:hAnsi="Verdana"/>
          <w:color w:val="0072BC"/>
        </w:rPr>
        <w:t xml:space="preserve">ci, </w:t>
      </w:r>
      <w:r w:rsidRPr="003A691D">
        <w:rPr>
          <w:rFonts w:ascii="Verdana" w:eastAsia="Verdana" w:hAnsi="Verdana" w:cs="Verdana"/>
          <w:color w:val="0072BC"/>
        </w:rPr>
        <w:t>ż</w:t>
      </w:r>
      <w:r w:rsidRPr="003A691D">
        <w:rPr>
          <w:rFonts w:ascii="Verdana" w:eastAsia="Verdana" w:hAnsi="Verdana"/>
          <w:color w:val="0072BC"/>
        </w:rPr>
        <w:t>e s</w:t>
      </w:r>
      <w:r w:rsidRPr="003A691D">
        <w:rPr>
          <w:rFonts w:ascii="Verdana" w:eastAsia="Verdana" w:hAnsi="Verdana" w:cs="Verdana"/>
          <w:color w:val="0072BC"/>
        </w:rPr>
        <w:t>ą</w:t>
      </w:r>
      <w:r w:rsidRPr="003A691D">
        <w:rPr>
          <w:rFonts w:ascii="Verdana" w:eastAsia="Verdana" w:hAnsi="Verdana"/>
          <w:color w:val="0072BC"/>
        </w:rPr>
        <w:t>dy hiszpa</w:t>
      </w:r>
      <w:r w:rsidRPr="003A691D">
        <w:rPr>
          <w:rFonts w:ascii="Verdana" w:eastAsia="Verdana" w:hAnsi="Verdana" w:cs="Verdana"/>
          <w:color w:val="0072BC"/>
        </w:rPr>
        <w:t>ń</w:t>
      </w:r>
      <w:r w:rsidRPr="003A691D">
        <w:rPr>
          <w:rFonts w:ascii="Verdana" w:eastAsia="Verdana" w:hAnsi="Verdana"/>
          <w:color w:val="0072BC"/>
        </w:rPr>
        <w:t>skie starannie wywa</w:t>
      </w:r>
      <w:r w:rsidRPr="003A691D">
        <w:rPr>
          <w:rFonts w:ascii="Verdana" w:eastAsia="Verdana" w:hAnsi="Verdana" w:cs="Verdana"/>
          <w:color w:val="0072BC"/>
        </w:rPr>
        <w:t>ż</w:t>
      </w:r>
      <w:r w:rsidRPr="003A691D">
        <w:rPr>
          <w:rFonts w:ascii="Verdana" w:eastAsia="Verdana" w:hAnsi="Verdana"/>
          <w:color w:val="0072BC"/>
        </w:rPr>
        <w:t>y</w:t>
      </w:r>
      <w:r w:rsidRPr="003A691D">
        <w:rPr>
          <w:rFonts w:ascii="Verdana" w:eastAsia="Verdana" w:hAnsi="Verdana" w:cs="Verdana"/>
          <w:color w:val="0072BC"/>
        </w:rPr>
        <w:t>ł</w:t>
      </w:r>
      <w:r w:rsidRPr="003A691D">
        <w:rPr>
          <w:rFonts w:ascii="Verdana" w:eastAsia="Verdana" w:hAnsi="Verdana"/>
          <w:color w:val="0072BC"/>
        </w:rPr>
        <w:t>y prawa skar</w:t>
      </w:r>
      <w:r w:rsidRPr="003A691D">
        <w:rPr>
          <w:rFonts w:ascii="Verdana" w:eastAsia="Verdana" w:hAnsi="Verdana" w:cs="Verdana"/>
          <w:color w:val="0072BC"/>
        </w:rPr>
        <w:t>żą</w:t>
      </w:r>
      <w:r w:rsidRPr="003A691D">
        <w:rPr>
          <w:rFonts w:ascii="Verdana" w:eastAsia="Verdana" w:hAnsi="Verdana"/>
          <w:color w:val="0072BC"/>
        </w:rPr>
        <w:t>cych - pracownik</w:t>
      </w:r>
      <w:r w:rsidRPr="003A691D">
        <w:rPr>
          <w:rFonts w:ascii="Verdana" w:eastAsia="Verdana" w:hAnsi="Verdana" w:cs="Verdana"/>
          <w:color w:val="0072BC"/>
        </w:rPr>
        <w:t>ó</w:t>
      </w:r>
      <w:r w:rsidRPr="003A691D">
        <w:rPr>
          <w:rFonts w:ascii="Verdana" w:eastAsia="Verdana" w:hAnsi="Verdana"/>
          <w:color w:val="0072BC"/>
        </w:rPr>
        <w:t>w supermarketu podejrzanych o kradzie</w:t>
      </w:r>
      <w:r w:rsidRPr="003A691D">
        <w:rPr>
          <w:rFonts w:ascii="Verdana" w:eastAsia="Verdana" w:hAnsi="Verdana" w:cs="Verdana"/>
          <w:color w:val="0072BC"/>
        </w:rPr>
        <w:t>ż</w:t>
      </w:r>
      <w:r w:rsidRPr="003A691D">
        <w:rPr>
          <w:rFonts w:ascii="Verdana" w:eastAsia="Verdana" w:hAnsi="Verdana"/>
          <w:color w:val="0072BC"/>
        </w:rPr>
        <w:t xml:space="preserve"> - i praw</w:t>
      </w:r>
      <w:r w:rsidR="00A05162">
        <w:rPr>
          <w:rFonts w:ascii="Verdana" w:eastAsia="Verdana" w:hAnsi="Verdana"/>
          <w:color w:val="0072BC"/>
        </w:rPr>
        <w:t>a</w:t>
      </w:r>
      <w:r w:rsidRPr="003A691D">
        <w:rPr>
          <w:rFonts w:ascii="Verdana" w:eastAsia="Verdana" w:hAnsi="Verdana"/>
          <w:color w:val="0072BC"/>
        </w:rPr>
        <w:t xml:space="preserve"> pracodawcy, </w:t>
      </w:r>
      <w:r w:rsidR="00A05162">
        <w:rPr>
          <w:rFonts w:ascii="Verdana" w:eastAsia="Verdana" w:hAnsi="Verdana"/>
          <w:color w:val="0072BC"/>
        </w:rPr>
        <w:t>oraz</w:t>
      </w:r>
      <w:r w:rsidRPr="003A691D">
        <w:rPr>
          <w:rFonts w:ascii="Verdana" w:eastAsia="Verdana" w:hAnsi="Verdana"/>
          <w:color w:val="0072BC"/>
        </w:rPr>
        <w:t xml:space="preserve"> dokładnie zbada</w:t>
      </w:r>
      <w:r w:rsidR="00A05162">
        <w:rPr>
          <w:rFonts w:ascii="Verdana" w:eastAsia="Verdana" w:hAnsi="Verdana"/>
          <w:color w:val="0072BC"/>
        </w:rPr>
        <w:t>ły</w:t>
      </w:r>
      <w:r w:rsidRPr="003A691D">
        <w:rPr>
          <w:rFonts w:ascii="Verdana" w:eastAsia="Verdana" w:hAnsi="Verdana"/>
          <w:color w:val="0072BC"/>
        </w:rPr>
        <w:t xml:space="preserve"> uzasadnienie </w:t>
      </w:r>
      <w:r w:rsidR="00A05162">
        <w:rPr>
          <w:rFonts w:ascii="Verdana" w:eastAsia="Verdana" w:hAnsi="Verdana"/>
          <w:color w:val="0072BC"/>
        </w:rPr>
        <w:t>monitoringu</w:t>
      </w:r>
      <w:r w:rsidRPr="003A691D">
        <w:rPr>
          <w:rFonts w:ascii="Verdana" w:eastAsia="Verdana" w:hAnsi="Verdana"/>
          <w:color w:val="0072BC"/>
        </w:rPr>
        <w:t xml:space="preserve"> wideo. Kluczowym argumentem wysuniętym przez skarżących było to, że nie otrzymali uprzedniego powiadomienia o </w:t>
      </w:r>
      <w:r w:rsidR="00A05162">
        <w:rPr>
          <w:rFonts w:ascii="Verdana" w:eastAsia="Verdana" w:hAnsi="Verdana"/>
          <w:color w:val="0072BC"/>
        </w:rPr>
        <w:t>monitoringu</w:t>
      </w:r>
      <w:r w:rsidRPr="003A691D">
        <w:rPr>
          <w:rFonts w:ascii="Verdana" w:eastAsia="Verdana" w:hAnsi="Verdana"/>
          <w:color w:val="0072BC"/>
        </w:rPr>
        <w:t>, pomimo takiego wymogu prawnego, ale Trybunał stwierdził, że istniał</w:t>
      </w:r>
      <w:r w:rsidR="00A05162">
        <w:rPr>
          <w:rFonts w:ascii="Verdana" w:eastAsia="Verdana" w:hAnsi="Verdana"/>
          <w:color w:val="0072BC"/>
        </w:rPr>
        <w:t>o</w:t>
      </w:r>
      <w:r w:rsidRPr="003A691D">
        <w:rPr>
          <w:rFonts w:ascii="Verdana" w:eastAsia="Verdana" w:hAnsi="Verdana"/>
          <w:color w:val="0072BC"/>
        </w:rPr>
        <w:t xml:space="preserve"> wyraźne uzasadnienie dla </w:t>
      </w:r>
      <w:r w:rsidR="00A05162">
        <w:rPr>
          <w:rFonts w:ascii="Verdana" w:eastAsia="Verdana" w:hAnsi="Verdana"/>
          <w:color w:val="0072BC"/>
        </w:rPr>
        <w:t xml:space="preserve">zastosowania </w:t>
      </w:r>
      <w:r w:rsidRPr="003A691D">
        <w:rPr>
          <w:rFonts w:ascii="Verdana" w:eastAsia="Verdana" w:hAnsi="Verdana"/>
          <w:color w:val="0072BC"/>
        </w:rPr>
        <w:t>takiego środka</w:t>
      </w:r>
      <w:r w:rsidR="00A05162">
        <w:rPr>
          <w:rFonts w:ascii="Verdana" w:eastAsia="Verdana" w:hAnsi="Verdana"/>
          <w:color w:val="0072BC"/>
        </w:rPr>
        <w:t>,</w:t>
      </w:r>
      <w:r w:rsidRPr="003A691D">
        <w:rPr>
          <w:rFonts w:ascii="Verdana" w:eastAsia="Verdana" w:hAnsi="Verdana"/>
          <w:color w:val="0072BC"/>
        </w:rPr>
        <w:t xml:space="preserve"> ze względu na uzasadnione podejrzenie poważnego uchybienia i poniesion</w:t>
      </w:r>
      <w:r w:rsidR="00A05162">
        <w:rPr>
          <w:rFonts w:ascii="Verdana" w:eastAsia="Verdana" w:hAnsi="Verdana"/>
          <w:color w:val="0072BC"/>
        </w:rPr>
        <w:t>e</w:t>
      </w:r>
      <w:r w:rsidRPr="003A691D">
        <w:rPr>
          <w:rFonts w:ascii="Verdana" w:eastAsia="Verdana" w:hAnsi="Verdana"/>
          <w:color w:val="0072BC"/>
        </w:rPr>
        <w:t xml:space="preserve"> strat</w:t>
      </w:r>
      <w:r w:rsidR="00A05162">
        <w:rPr>
          <w:rFonts w:ascii="Verdana" w:eastAsia="Verdana" w:hAnsi="Verdana"/>
          <w:color w:val="0072BC"/>
        </w:rPr>
        <w:t>y</w:t>
      </w:r>
      <w:r w:rsidRPr="003A691D">
        <w:rPr>
          <w:rFonts w:ascii="Verdana" w:eastAsia="Verdana" w:hAnsi="Verdana"/>
          <w:color w:val="0072BC"/>
        </w:rPr>
        <w:t xml:space="preserve">, biorąc pod uwagę zakres i konsekwencje środka. W niniejszej sprawie sądy krajowe nie przekroczyły zatem swoich uprawnień dyskrecjonalnych („marginesu uznania”), uznając monitorowanie za proporcjonalne i uzasadnione. Trybunał stwierdził również, że nie doszło do naruszenia </w:t>
      </w:r>
      <w:r w:rsidR="00A05162">
        <w:rPr>
          <w:rFonts w:ascii="Verdana" w:eastAsia="Verdana" w:hAnsi="Verdana"/>
          <w:color w:val="0072BC"/>
        </w:rPr>
        <w:t>art.</w:t>
      </w:r>
      <w:r w:rsidRPr="003A691D">
        <w:rPr>
          <w:rFonts w:ascii="Verdana" w:eastAsia="Verdana" w:hAnsi="Verdana"/>
          <w:color w:val="0072BC"/>
        </w:rPr>
        <w:t xml:space="preserve"> 6 ust. 1 (prawo do rzetelnego procesu) Konwencji, stwierdzając w szczególności, że wykorzystanie materiału wideo jako dowodu nie podważyło uczciwości procesu</w:t>
      </w:r>
      <w:r w:rsidR="00B745F2" w:rsidRPr="00C66EAD">
        <w:rPr>
          <w:rFonts w:ascii="Verdana" w:eastAsia="Verdana" w:hAnsi="Verdana"/>
          <w:color w:val="0072BC"/>
        </w:rPr>
        <w:t>.</w:t>
      </w:r>
    </w:p>
    <w:p w14:paraId="4A69EE31" w14:textId="77777777" w:rsidR="00F832FE" w:rsidRDefault="00F832FE" w:rsidP="00AB713F">
      <w:pPr>
        <w:spacing w:line="184" w:lineRule="exact"/>
        <w:ind w:left="740"/>
        <w:rPr>
          <w:rFonts w:ascii="Times New Roman" w:eastAsia="Times New Roman" w:hAnsi="Times New Roman"/>
        </w:rPr>
      </w:pPr>
    </w:p>
    <w:p w14:paraId="5CE3A7B7" w14:textId="77777777" w:rsidR="00097426" w:rsidRDefault="00097426" w:rsidP="00AB713F">
      <w:pPr>
        <w:spacing w:line="184" w:lineRule="exact"/>
        <w:ind w:left="740"/>
        <w:rPr>
          <w:rFonts w:ascii="Times New Roman" w:eastAsia="Times New Roman" w:hAnsi="Times New Roman"/>
        </w:rPr>
      </w:pPr>
    </w:p>
    <w:p w14:paraId="24A5F01F" w14:textId="77777777" w:rsidR="00AB713F" w:rsidRDefault="00AB713F" w:rsidP="00AB713F">
      <w:pPr>
        <w:spacing w:line="0" w:lineRule="atLeast"/>
        <w:ind w:left="740"/>
        <w:rPr>
          <w:rFonts w:ascii="Verdana" w:eastAsia="Verdana" w:hAnsi="Verdana"/>
          <w:color w:val="0072BC"/>
          <w:sz w:val="28"/>
        </w:rPr>
      </w:pPr>
    </w:p>
    <w:p w14:paraId="0CF9AA89" w14:textId="77777777" w:rsidR="00097426" w:rsidRDefault="00097426" w:rsidP="00AB713F">
      <w:pPr>
        <w:spacing w:line="0" w:lineRule="atLeast"/>
        <w:ind w:left="740"/>
        <w:rPr>
          <w:rFonts w:ascii="Verdana" w:eastAsia="Verdana" w:hAnsi="Verdana"/>
          <w:color w:val="0072BC"/>
          <w:sz w:val="28"/>
        </w:rPr>
      </w:pPr>
      <w:r>
        <w:rPr>
          <w:rFonts w:ascii="Verdana" w:eastAsia="Verdana" w:hAnsi="Verdana"/>
          <w:color w:val="0072BC"/>
          <w:sz w:val="28"/>
        </w:rPr>
        <w:t>Przechowywanie i wykorzystywanie danych osobowych</w:t>
      </w:r>
    </w:p>
    <w:p w14:paraId="610FF201" w14:textId="46042364" w:rsidR="00097426"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2848" behindDoc="1" locked="0" layoutInCell="1" allowOverlap="1" wp14:anchorId="45F0FC1F" wp14:editId="16CCB338">
                <wp:simplePos x="0" y="0"/>
                <wp:positionH relativeFrom="column">
                  <wp:posOffset>451485</wp:posOffset>
                </wp:positionH>
                <wp:positionV relativeFrom="paragraph">
                  <wp:posOffset>68580</wp:posOffset>
                </wp:positionV>
                <wp:extent cx="5768340" cy="0"/>
                <wp:effectExtent l="10160" t="18415" r="12700" b="10160"/>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DF5D" id="Line 8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" strokecolor="#999" strokeweight="1.44pt"/>
            </w:pict>
          </mc:Fallback>
        </mc:AlternateContent>
      </w:r>
    </w:p>
    <w:p w14:paraId="3BC3FEF5" w14:textId="77777777" w:rsidR="00097426" w:rsidRDefault="00097426" w:rsidP="00AB713F">
      <w:pPr>
        <w:spacing w:line="0" w:lineRule="atLeast"/>
        <w:ind w:left="740"/>
        <w:rPr>
          <w:rFonts w:ascii="Verdana" w:eastAsia="Verdana" w:hAnsi="Verdana"/>
          <w:color w:val="808080"/>
          <w:sz w:val="28"/>
        </w:rPr>
      </w:pPr>
    </w:p>
    <w:p w14:paraId="6918DABD" w14:textId="77777777" w:rsidR="00097426" w:rsidRPr="00AB713F" w:rsidRDefault="00AB713F" w:rsidP="00AB713F">
      <w:pPr>
        <w:pBdr>
          <w:top w:val="single" w:sz="4" w:space="1" w:color="auto"/>
          <w:left w:val="single" w:sz="4" w:space="4" w:color="auto"/>
          <w:bottom w:val="single" w:sz="4" w:space="1" w:color="auto"/>
          <w:right w:val="single" w:sz="4" w:space="4" w:color="auto"/>
        </w:pBdr>
        <w:shd w:val="pct5" w:color="auto" w:fill="auto"/>
        <w:ind w:left="740"/>
        <w:jc w:val="both"/>
        <w:rPr>
          <w:rFonts w:ascii="Verdana" w:eastAsia="Times New Roman" w:hAnsi="Verdana"/>
        </w:rPr>
      </w:pPr>
      <w:r w:rsidRPr="00AB713F">
        <w:rPr>
          <w:rFonts w:ascii="Verdana" w:eastAsia="Verdana" w:hAnsi="Verdana"/>
        </w:rPr>
        <w:lastRenderedPageBreak/>
        <w:t>"Ochrona danych osobowych ma podstawowe znaczenie dla korzystania przez daną osobę z jej prawa do poszanowania życia prywatnego i rodzinnego, zagwarantowanego w art. 8 Konwencji. Prawo krajowe musi zapewniać odpowiednie środki zabezpieczające, aby zapobiec wykorzystywaniu danych osobowych w sposób, który mógłby być niezgodny z gwarancjami określonymi w niniejszym artykule .... Potrzeba takich gwarancji jest tym większa w przypadku ochrony danych osobowych podlegających automatycznemu przetwarzaniu, zwłaszcza gdy dane te są wykorzystywane do celów śledczych. Prawo krajowe powinno w szczególności gwarantować, że takie dane są istotne i nie są nadmierne w stosunku do celów, dla których są przechowywane; oraz powinny być przechowywane w formie, która pozwala na identyfikację osób, których dane te dotyczą, przez okres nie dłuższy niż jest to wymagane do celów, dla których dane te są przechowywane ... Musi również dawać odpowiednie gwarancje, że zatrzymane dane osobowe były skutecznie chronione przed niewłaściwym wykorzystaniem i nadużyciami...". (</w:t>
      </w:r>
      <w:hyperlink r:id="rId49" w:anchor="{&quot;itemid&quot;:[&quot;001-90051&quot;]}" w:history="1">
        <w:r w:rsidRPr="00AB713F">
          <w:rPr>
            <w:rStyle w:val="Hipercze"/>
            <w:rFonts w:ascii="Verdana" w:eastAsia="Verdana" w:hAnsi="Verdana"/>
          </w:rPr>
          <w:t>S. i Marper przeciwko Zjednoczonemu Królestwu</w:t>
        </w:r>
      </w:hyperlink>
      <w:r w:rsidRPr="00AB713F">
        <w:rPr>
          <w:rFonts w:ascii="Verdana" w:eastAsia="Verdana" w:hAnsi="Verdana"/>
        </w:rPr>
        <w:t>, wyrok (Wielka Izba) z dnia 4 grudnia 2008 roku, § 103)</w:t>
      </w:r>
    </w:p>
    <w:p w14:paraId="798C676A" w14:textId="77777777" w:rsidR="00097426" w:rsidRDefault="00097426" w:rsidP="00AB713F">
      <w:pPr>
        <w:spacing w:line="184" w:lineRule="exact"/>
        <w:ind w:left="740"/>
        <w:rPr>
          <w:rFonts w:ascii="Times New Roman" w:eastAsia="Times New Roman" w:hAnsi="Times New Roman"/>
          <w:sz w:val="28"/>
          <w:szCs w:val="28"/>
        </w:rPr>
      </w:pPr>
    </w:p>
    <w:p w14:paraId="6B27B2BB" w14:textId="77777777" w:rsidR="00097AAE" w:rsidRPr="00C22DDA" w:rsidRDefault="00097AAE" w:rsidP="00AB713F">
      <w:pPr>
        <w:spacing w:line="184" w:lineRule="exact"/>
        <w:ind w:left="740"/>
        <w:rPr>
          <w:rFonts w:ascii="Times New Roman" w:eastAsia="Times New Roman" w:hAnsi="Times New Roman"/>
          <w:sz w:val="28"/>
          <w:szCs w:val="28"/>
        </w:rPr>
      </w:pPr>
    </w:p>
    <w:p w14:paraId="243CF12B" w14:textId="77777777" w:rsidR="00C22DDA" w:rsidRPr="00C22DDA" w:rsidRDefault="00C22DDA" w:rsidP="00097AAE">
      <w:pPr>
        <w:spacing w:line="0" w:lineRule="atLeast"/>
        <w:ind w:left="740"/>
        <w:jc w:val="both"/>
        <w:rPr>
          <w:rFonts w:ascii="Verdana" w:eastAsia="Verdana" w:hAnsi="Verdana"/>
          <w:color w:val="808080"/>
          <w:sz w:val="28"/>
        </w:rPr>
      </w:pPr>
      <w:r w:rsidRPr="00C22DDA">
        <w:rPr>
          <w:rFonts w:ascii="Verdana" w:eastAsia="Verdana" w:hAnsi="Verdana"/>
          <w:color w:val="808080"/>
          <w:sz w:val="28"/>
        </w:rPr>
        <w:t>Dane biometryczne</w:t>
      </w:r>
    </w:p>
    <w:p w14:paraId="53ECFD04" w14:textId="77777777" w:rsidR="00C22DDA" w:rsidRDefault="00C22DDA" w:rsidP="00097AAE">
      <w:pPr>
        <w:spacing w:line="0" w:lineRule="atLeast"/>
        <w:ind w:left="740"/>
        <w:jc w:val="both"/>
        <w:rPr>
          <w:rFonts w:ascii="Verdana" w:eastAsia="Verdana" w:hAnsi="Verdana"/>
          <w:color w:val="808080"/>
          <w:szCs w:val="14"/>
        </w:rPr>
      </w:pPr>
    </w:p>
    <w:p w14:paraId="50FCC7D3" w14:textId="093F4E7E" w:rsidR="00C22DDA" w:rsidRPr="00C22DDA" w:rsidRDefault="00C22DDA" w:rsidP="00097AAE">
      <w:pPr>
        <w:spacing w:line="0" w:lineRule="atLeast"/>
        <w:ind w:left="740"/>
        <w:jc w:val="both"/>
        <w:rPr>
          <w:rFonts w:ascii="Verdana" w:eastAsia="Verdana" w:hAnsi="Verdana"/>
          <w:b/>
          <w:bCs/>
          <w:color w:val="0077D0"/>
          <w:szCs w:val="14"/>
        </w:rPr>
      </w:pPr>
      <w:hyperlink r:id="rId50" w:anchor="{%22itemid%22:[%22003-7694109-10618091%22]}" w:history="1">
        <w:r w:rsidRPr="00C22DDA">
          <w:rPr>
            <w:rStyle w:val="Hipercze"/>
            <w:rFonts w:ascii="Verdana" w:eastAsia="Verdana" w:hAnsi="Verdana"/>
            <w:b/>
            <w:bCs/>
            <w:szCs w:val="14"/>
          </w:rPr>
          <w:t>Glukhin przeciwko Rosji</w:t>
        </w:r>
      </w:hyperlink>
      <w:r w:rsidR="00CB2D15" w:rsidRPr="00CB2D15">
        <w:rPr>
          <w:rStyle w:val="Odwoanieprzypisudolnego"/>
          <w:rFonts w:ascii="Verdana" w:eastAsia="Verdana" w:hAnsi="Verdana"/>
          <w:szCs w:val="14"/>
        </w:rPr>
        <w:footnoteReference w:id="10"/>
      </w:r>
    </w:p>
    <w:p w14:paraId="0C8AD541" w14:textId="71A207EC" w:rsidR="00C22DDA" w:rsidRPr="0037627F" w:rsidRDefault="00C22DDA" w:rsidP="00097AAE">
      <w:pPr>
        <w:spacing w:line="0" w:lineRule="atLeast"/>
        <w:ind w:left="740"/>
        <w:jc w:val="both"/>
        <w:rPr>
          <w:rFonts w:ascii="Verdana" w:eastAsia="Verdana" w:hAnsi="Verdana"/>
          <w:color w:val="808080"/>
          <w:sz w:val="16"/>
          <w:szCs w:val="16"/>
        </w:rPr>
      </w:pPr>
      <w:r w:rsidRPr="0037627F">
        <w:rPr>
          <w:rFonts w:ascii="Verdana" w:eastAsia="Verdana" w:hAnsi="Verdana"/>
          <w:color w:val="808080"/>
          <w:sz w:val="16"/>
          <w:szCs w:val="16"/>
        </w:rPr>
        <w:t>4 lipca 2023 r</w:t>
      </w:r>
      <w:r w:rsidR="0037627F">
        <w:rPr>
          <w:rFonts w:ascii="Verdana" w:eastAsia="Verdana" w:hAnsi="Verdana"/>
          <w:color w:val="808080"/>
          <w:sz w:val="16"/>
          <w:szCs w:val="16"/>
        </w:rPr>
        <w:t>oku</w:t>
      </w:r>
    </w:p>
    <w:p w14:paraId="4523CBCC" w14:textId="77777777" w:rsidR="00C22DDA" w:rsidRPr="00C22DDA" w:rsidRDefault="00C22DDA" w:rsidP="00097AAE">
      <w:pPr>
        <w:spacing w:line="0" w:lineRule="atLeast"/>
        <w:ind w:left="740"/>
        <w:jc w:val="both"/>
        <w:rPr>
          <w:rFonts w:ascii="Verdana" w:eastAsia="Verdana" w:hAnsi="Verdana"/>
          <w:szCs w:val="14"/>
        </w:rPr>
      </w:pPr>
      <w:r w:rsidRPr="00C22DDA">
        <w:rPr>
          <w:rFonts w:ascii="Verdana" w:eastAsia="Verdana" w:hAnsi="Verdana"/>
          <w:szCs w:val="14"/>
        </w:rPr>
        <w:t>Sprawa ta dotyczyła wykorzystania przez władze technologii rozpoznawania twarzy przeciwko skarżącemu po przeprowadzeniu przez niego samotnej demonstracji w moskiewskim metrze. Został on zidentyfikowany, a następnie zlokalizowany za pomocą technologii rozpoznawania twarzy po tym, jak podróżował z naturalnej wielkości kartonową figurą protestującego, którego sprawa przyciągnęła szeroką uwagę mediów, trzymając transparent z napisem „Grozi mi do pięciu lat ... za pokojowe protesty”. Skarżący stwierdził w szczególności, że jego skazanie administracyjne i wykorzystanie technologii rozpoznawania twarzy w przetwarzaniu jego danych osobowych naruszyło jego prawo do poszanowania życia prywatnego i wolności wypowiedzi.</w:t>
      </w:r>
    </w:p>
    <w:p w14:paraId="04AE632D" w14:textId="02E1EE6E" w:rsidR="00C22DDA" w:rsidRPr="00097AAE" w:rsidRDefault="00C22DDA" w:rsidP="00097AAE">
      <w:pPr>
        <w:spacing w:line="0" w:lineRule="atLeast"/>
        <w:ind w:left="740"/>
        <w:jc w:val="both"/>
        <w:rPr>
          <w:rFonts w:ascii="Verdana" w:eastAsia="Verdana" w:hAnsi="Verdana"/>
          <w:color w:val="0077D0"/>
          <w:szCs w:val="14"/>
        </w:rPr>
      </w:pPr>
      <w:r w:rsidRPr="00C22DDA">
        <w:rPr>
          <w:rFonts w:ascii="Verdana" w:eastAsia="Verdana" w:hAnsi="Verdana"/>
          <w:color w:val="0077D0"/>
          <w:szCs w:val="14"/>
        </w:rPr>
        <w:t xml:space="preserve">Trybunał orzekł, że </w:t>
      </w:r>
      <w:r w:rsidRPr="00097AAE">
        <w:rPr>
          <w:rFonts w:ascii="Verdana" w:eastAsia="Verdana" w:hAnsi="Verdana"/>
          <w:b/>
          <w:bCs/>
          <w:color w:val="0077D0"/>
          <w:szCs w:val="14"/>
        </w:rPr>
        <w:t>doszło do naruszenia Artykułu 8</w:t>
      </w:r>
      <w:r w:rsidRPr="00C22DDA">
        <w:rPr>
          <w:rFonts w:ascii="Verdana" w:eastAsia="Verdana" w:hAnsi="Verdana"/>
          <w:color w:val="0077D0"/>
          <w:szCs w:val="14"/>
        </w:rPr>
        <w:t xml:space="preserve"> (prawo do poszanowania życia prywatnego) Konwencji w odniesieniu do skarżącego, stwierdzając, że przetwarzanie jego biometrycznych danych osobowych przy użyciu technologii rozpoznawania twarzy w ramach postępowania administracyjnego - po pierwsze, w celu zidentyfikowania go na podstawie zdjęć i wideo opublikowanych w Internecie, a po drugie, w celu zlokalizowania i aresztowania go, gdy podróżował moskiewskim metrem - nie odpowiadało „pilnej potrzebie społecznej” i nie mogło być uznane za „konieczne w demokratycznym społeczeństwie”. Trybunał zauważył w szczególności, że środki podjęte przeciwko skarżącemu były w szczególności</w:t>
      </w:r>
      <w:r>
        <w:rPr>
          <w:rFonts w:ascii="Verdana" w:eastAsia="Verdana" w:hAnsi="Verdana"/>
          <w:color w:val="0077D0"/>
          <w:szCs w:val="14"/>
        </w:rPr>
        <w:t xml:space="preserve"> </w:t>
      </w:r>
      <w:r w:rsidRPr="00C22DDA">
        <w:rPr>
          <w:rFonts w:ascii="Verdana" w:eastAsia="Verdana" w:hAnsi="Verdana"/>
          <w:color w:val="0077D0"/>
          <w:szCs w:val="14"/>
        </w:rPr>
        <w:t>w obliczu pokojowego protestu, który nie stanowił żadnego zagrożenia dla bezpieczeństwa publicznego lub transportowego. W rzeczywistości doprowadziło to jedynie do oskarżenia go o drobne przestępstwo. Trybunał orzekł również, że w niniejszej sprawie doszło do naruszenia Artykułu 10 (wolność wyrażania opinii) Konwencji, stwierdzając, że sądy krajowe nie przedstawiły „istotnych lub wystarczających powodów” uzasadniających eskortowanie skarżącego na posterunek policji, aresztowanie i skazanie go.</w:t>
      </w:r>
    </w:p>
    <w:p w14:paraId="1F247FE2" w14:textId="77777777" w:rsidR="00C22DDA" w:rsidRDefault="00C22DDA" w:rsidP="00AB713F">
      <w:pPr>
        <w:spacing w:line="0" w:lineRule="atLeast"/>
        <w:ind w:left="740"/>
        <w:rPr>
          <w:rFonts w:ascii="Verdana" w:eastAsia="Verdana" w:hAnsi="Verdana"/>
          <w:color w:val="808080"/>
          <w:sz w:val="28"/>
        </w:rPr>
      </w:pPr>
    </w:p>
    <w:p w14:paraId="1A6836C9" w14:textId="311F76FC" w:rsidR="00F832FE" w:rsidRDefault="004F325D" w:rsidP="00AB713F">
      <w:pPr>
        <w:spacing w:line="0" w:lineRule="atLeast"/>
        <w:ind w:left="740"/>
        <w:rPr>
          <w:rFonts w:ascii="Verdana" w:eastAsia="Verdana" w:hAnsi="Verdana"/>
          <w:color w:val="808080"/>
          <w:sz w:val="28"/>
        </w:rPr>
      </w:pPr>
      <w:r>
        <w:rPr>
          <w:rFonts w:ascii="Verdana" w:eastAsia="Verdana" w:hAnsi="Verdana"/>
          <w:color w:val="808080"/>
          <w:sz w:val="28"/>
        </w:rPr>
        <w:t>W kontekście postępowani</w:t>
      </w:r>
      <w:r w:rsidR="00E05358">
        <w:rPr>
          <w:rFonts w:ascii="Verdana" w:eastAsia="Verdana" w:hAnsi="Verdana"/>
          <w:color w:val="808080"/>
          <w:sz w:val="28"/>
        </w:rPr>
        <w:t>a</w:t>
      </w:r>
      <w:r>
        <w:rPr>
          <w:rFonts w:ascii="Verdana" w:eastAsia="Verdana" w:hAnsi="Verdana"/>
          <w:color w:val="808080"/>
          <w:sz w:val="28"/>
        </w:rPr>
        <w:t xml:space="preserve"> kar</w:t>
      </w:r>
      <w:r w:rsidR="00E05358">
        <w:rPr>
          <w:rFonts w:ascii="Verdana" w:eastAsia="Verdana" w:hAnsi="Verdana"/>
          <w:color w:val="808080"/>
          <w:sz w:val="28"/>
        </w:rPr>
        <w:t>nego</w:t>
      </w:r>
    </w:p>
    <w:p w14:paraId="2B0A7870" w14:textId="77777777" w:rsidR="005A7872" w:rsidRPr="00A14197" w:rsidRDefault="000D4D47" w:rsidP="00AB713F">
      <w:pPr>
        <w:spacing w:before="120" w:line="0" w:lineRule="atLeast"/>
        <w:ind w:left="740"/>
        <w:rPr>
          <w:rFonts w:ascii="Verdana" w:eastAsia="Verdana" w:hAnsi="Verdana"/>
          <w:b/>
          <w:color w:val="0072BC"/>
          <w:u w:val="single"/>
        </w:rPr>
      </w:pPr>
      <w:r w:rsidRPr="00A14197">
        <w:rPr>
          <w:rFonts w:ascii="Verdana" w:eastAsia="Verdana" w:hAnsi="Verdana"/>
          <w:b/>
          <w:color w:val="0072BC"/>
          <w:u w:val="single"/>
        </w:rPr>
        <w:t>Perry</w:t>
      </w:r>
      <w:hyperlink r:id="rId51" w:history="1">
        <w:r w:rsidR="005A7872" w:rsidRPr="00A14197">
          <w:rPr>
            <w:rFonts w:ascii="Verdana" w:eastAsia="Verdana" w:hAnsi="Verdana"/>
            <w:b/>
            <w:color w:val="0072BC"/>
            <w:u w:val="single"/>
          </w:rPr>
          <w:t xml:space="preserve"> przeciwko </w:t>
        </w:r>
        <w:r w:rsidR="00E05358" w:rsidRPr="00A14197">
          <w:rPr>
            <w:rFonts w:ascii="Verdana" w:eastAsia="Verdana" w:hAnsi="Verdana"/>
            <w:b/>
            <w:color w:val="0072BC"/>
            <w:u w:val="single"/>
          </w:rPr>
          <w:t>Zjednoczonemu</w:t>
        </w:r>
      </w:hyperlink>
      <w:r w:rsidR="00E05358" w:rsidRPr="00A14197">
        <w:rPr>
          <w:rFonts w:ascii="Verdana" w:eastAsia="Verdana" w:hAnsi="Verdana"/>
          <w:b/>
          <w:color w:val="0072BC"/>
          <w:u w:val="single"/>
        </w:rPr>
        <w:t xml:space="preserve"> Królestwu</w:t>
      </w:r>
    </w:p>
    <w:p w14:paraId="4BBB3C1A" w14:textId="77777777" w:rsidR="005A7872" w:rsidRDefault="005A7872" w:rsidP="00AB713F">
      <w:pPr>
        <w:spacing w:line="63" w:lineRule="exact"/>
        <w:ind w:left="740"/>
        <w:rPr>
          <w:rFonts w:ascii="Times New Roman" w:eastAsia="Times New Roman" w:hAnsi="Times New Roman"/>
        </w:rPr>
      </w:pPr>
    </w:p>
    <w:p w14:paraId="68FD7BFF" w14:textId="77777777" w:rsidR="005A7872" w:rsidRDefault="000D4D47" w:rsidP="00AB713F">
      <w:pPr>
        <w:spacing w:line="0" w:lineRule="atLeast"/>
        <w:ind w:left="740"/>
        <w:rPr>
          <w:rFonts w:ascii="Verdana" w:eastAsia="Verdana" w:hAnsi="Verdana"/>
          <w:color w:val="808080"/>
          <w:sz w:val="18"/>
        </w:rPr>
      </w:pPr>
      <w:r>
        <w:rPr>
          <w:rFonts w:ascii="Verdana" w:eastAsia="Verdana" w:hAnsi="Verdana"/>
          <w:color w:val="808080"/>
          <w:sz w:val="18"/>
        </w:rPr>
        <w:t>17</w:t>
      </w:r>
      <w:r w:rsidR="005A7872">
        <w:rPr>
          <w:rFonts w:ascii="Verdana" w:eastAsia="Verdana" w:hAnsi="Verdana"/>
          <w:color w:val="808080"/>
          <w:sz w:val="18"/>
        </w:rPr>
        <w:t xml:space="preserve"> </w:t>
      </w:r>
      <w:r>
        <w:rPr>
          <w:rFonts w:ascii="Verdana" w:eastAsia="Verdana" w:hAnsi="Verdana"/>
          <w:color w:val="808080"/>
          <w:sz w:val="18"/>
        </w:rPr>
        <w:t>lipca</w:t>
      </w:r>
      <w:r w:rsidR="005A7872">
        <w:rPr>
          <w:rFonts w:ascii="Verdana" w:eastAsia="Verdana" w:hAnsi="Verdana"/>
          <w:color w:val="808080"/>
          <w:sz w:val="18"/>
        </w:rPr>
        <w:t xml:space="preserve"> 20</w:t>
      </w:r>
      <w:r>
        <w:rPr>
          <w:rFonts w:ascii="Verdana" w:eastAsia="Verdana" w:hAnsi="Verdana"/>
          <w:color w:val="808080"/>
          <w:sz w:val="18"/>
        </w:rPr>
        <w:t>03</w:t>
      </w:r>
      <w:r w:rsidR="005A7872">
        <w:rPr>
          <w:rFonts w:ascii="Verdana" w:eastAsia="Verdana" w:hAnsi="Verdana"/>
          <w:color w:val="808080"/>
          <w:sz w:val="18"/>
        </w:rPr>
        <w:t xml:space="preserve"> roku</w:t>
      </w:r>
    </w:p>
    <w:p w14:paraId="5F8ADB92" w14:textId="77777777" w:rsidR="000D4D47" w:rsidRPr="00F8489F" w:rsidRDefault="005A7872" w:rsidP="00AB713F">
      <w:pPr>
        <w:ind w:left="740"/>
        <w:jc w:val="both"/>
        <w:rPr>
          <w:rFonts w:ascii="Verdana" w:eastAsia="Times New Roman" w:hAnsi="Verdana"/>
        </w:rPr>
      </w:pPr>
      <w:r w:rsidRPr="00F8489F">
        <w:rPr>
          <w:rFonts w:ascii="Verdana" w:eastAsia="Times New Roman" w:hAnsi="Verdana"/>
        </w:rPr>
        <w:t xml:space="preserve">Skarżący został aresztowany w związku z serią napadów z bronią w ręku </w:t>
      </w:r>
      <w:r w:rsidR="000D4D47">
        <w:rPr>
          <w:rFonts w:ascii="Verdana" w:eastAsia="Times New Roman" w:hAnsi="Verdana"/>
        </w:rPr>
        <w:t xml:space="preserve">na </w:t>
      </w:r>
      <w:r w:rsidRPr="00F8489F">
        <w:rPr>
          <w:rFonts w:ascii="Verdana" w:eastAsia="Times New Roman" w:hAnsi="Verdana"/>
        </w:rPr>
        <w:t xml:space="preserve">kierowców taksówek i zwolniony do czasu </w:t>
      </w:r>
      <w:r w:rsidR="000D4D47">
        <w:rPr>
          <w:rFonts w:ascii="Verdana" w:eastAsia="Times New Roman" w:hAnsi="Verdana"/>
        </w:rPr>
        <w:t xml:space="preserve">przeprowadzenia </w:t>
      </w:r>
      <w:r w:rsidR="00343F55">
        <w:rPr>
          <w:rFonts w:ascii="Verdana" w:eastAsia="Times New Roman" w:hAnsi="Verdana"/>
        </w:rPr>
        <w:t>okazania</w:t>
      </w:r>
      <w:r w:rsidR="003A65E1">
        <w:rPr>
          <w:rFonts w:ascii="Verdana" w:eastAsia="Times New Roman" w:hAnsi="Verdana"/>
        </w:rPr>
        <w:t xml:space="preserve"> w celu rozpoznania</w:t>
      </w:r>
      <w:r w:rsidRPr="00F8489F">
        <w:rPr>
          <w:rFonts w:ascii="Verdana" w:eastAsia="Times New Roman" w:hAnsi="Verdana"/>
        </w:rPr>
        <w:t>. Kiedy nie wziął udziału w t</w:t>
      </w:r>
      <w:r w:rsidR="003A65E1">
        <w:rPr>
          <w:rFonts w:ascii="Verdana" w:eastAsia="Times New Roman" w:hAnsi="Verdana"/>
        </w:rPr>
        <w:t>ym</w:t>
      </w:r>
      <w:r w:rsidRPr="00F8489F">
        <w:rPr>
          <w:rFonts w:ascii="Verdana" w:eastAsia="Times New Roman" w:hAnsi="Verdana"/>
        </w:rPr>
        <w:t xml:space="preserve"> i kilku kolejnych </w:t>
      </w:r>
      <w:r w:rsidR="003A65E1">
        <w:rPr>
          <w:rFonts w:ascii="Verdana" w:eastAsia="Times New Roman" w:hAnsi="Verdana"/>
        </w:rPr>
        <w:t>okazaniach</w:t>
      </w:r>
      <w:r w:rsidRPr="00F8489F">
        <w:rPr>
          <w:rFonts w:ascii="Verdana" w:eastAsia="Times New Roman" w:hAnsi="Verdana"/>
        </w:rPr>
        <w:t xml:space="preserve">, policja </w:t>
      </w:r>
      <w:r w:rsidR="003A65E1">
        <w:rPr>
          <w:rFonts w:ascii="Verdana" w:eastAsia="Times New Roman" w:hAnsi="Verdana"/>
        </w:rPr>
        <w:t>wniosła</w:t>
      </w:r>
      <w:r w:rsidRPr="00F8489F">
        <w:rPr>
          <w:rFonts w:ascii="Verdana" w:eastAsia="Times New Roman" w:hAnsi="Verdana"/>
        </w:rPr>
        <w:t xml:space="preserve"> o pozwolenie na nagrywanie go</w:t>
      </w:r>
      <w:r w:rsidR="003A65E1">
        <w:rPr>
          <w:rFonts w:ascii="Verdana" w:eastAsia="Times New Roman" w:hAnsi="Verdana"/>
        </w:rPr>
        <w:t xml:space="preserve"> z ukrycia</w:t>
      </w:r>
      <w:r w:rsidRPr="00F8489F">
        <w:rPr>
          <w:rFonts w:ascii="Verdana" w:eastAsia="Times New Roman" w:hAnsi="Verdana"/>
        </w:rPr>
        <w:t>. Skarżący zarzucił, że policja potajemnie nagrała go w celu identyfikacji i wykorzystała taśmę wideo w postępowaniu przeciwko niemu.</w:t>
      </w:r>
    </w:p>
    <w:p w14:paraId="6D166C7E" w14:textId="77777777" w:rsidR="005A7872" w:rsidRDefault="005A7872" w:rsidP="00AB713F">
      <w:pPr>
        <w:ind w:left="740"/>
        <w:jc w:val="both"/>
        <w:rPr>
          <w:rFonts w:ascii="Verdana" w:eastAsia="Times New Roman" w:hAnsi="Verdana"/>
          <w:color w:val="0070C0"/>
        </w:rPr>
      </w:pPr>
      <w:r w:rsidRPr="00F8489F">
        <w:rPr>
          <w:rFonts w:ascii="Verdana" w:eastAsia="Times New Roman" w:hAnsi="Verdana"/>
          <w:color w:val="0070C0"/>
        </w:rPr>
        <w:t xml:space="preserve">Trybunał orzekł, że nastąpiło </w:t>
      </w:r>
      <w:r w:rsidRPr="00F8489F">
        <w:rPr>
          <w:rFonts w:ascii="Verdana" w:eastAsia="Times New Roman" w:hAnsi="Verdana"/>
          <w:b/>
          <w:color w:val="0070C0"/>
        </w:rPr>
        <w:t>naruszenie art. 8</w:t>
      </w:r>
      <w:r w:rsidRPr="00F8489F">
        <w:rPr>
          <w:rFonts w:ascii="Verdana" w:eastAsia="Times New Roman" w:hAnsi="Verdana"/>
          <w:color w:val="0070C0"/>
        </w:rPr>
        <w:t xml:space="preserve"> Konwencji. Sąd zauważył, że nic nie wskazywało na to, że skarżący </w:t>
      </w:r>
      <w:r w:rsidR="000D4D47">
        <w:rPr>
          <w:rFonts w:ascii="Verdana" w:eastAsia="Times New Roman" w:hAnsi="Verdana"/>
          <w:color w:val="0070C0"/>
        </w:rPr>
        <w:t>spodziewał się</w:t>
      </w:r>
      <w:r w:rsidRPr="00F8489F">
        <w:rPr>
          <w:rFonts w:ascii="Verdana" w:eastAsia="Times New Roman" w:hAnsi="Verdana"/>
          <w:color w:val="0070C0"/>
        </w:rPr>
        <w:t xml:space="preserve">, że materiał filmowy zostanie </w:t>
      </w:r>
      <w:r w:rsidR="003A65E1">
        <w:rPr>
          <w:rFonts w:ascii="Verdana" w:eastAsia="Times New Roman" w:hAnsi="Verdana"/>
          <w:color w:val="0070C0"/>
        </w:rPr>
        <w:t>zebrany</w:t>
      </w:r>
      <w:r w:rsidRPr="00F8489F">
        <w:rPr>
          <w:rFonts w:ascii="Verdana" w:eastAsia="Times New Roman" w:hAnsi="Verdana"/>
          <w:color w:val="0070C0"/>
        </w:rPr>
        <w:t xml:space="preserve"> na </w:t>
      </w:r>
      <w:r w:rsidRPr="00F8489F">
        <w:rPr>
          <w:rFonts w:ascii="Verdana" w:eastAsia="Times New Roman" w:hAnsi="Verdana"/>
          <w:color w:val="0070C0"/>
        </w:rPr>
        <w:lastRenderedPageBreak/>
        <w:t>posterunku policji do wykorzystania w procedurze identyfikacji i potencjalnie jako materiał dowodowy, który mógłby zaszkodzić jego obronie podczas procesu. T</w:t>
      </w:r>
      <w:r w:rsidR="003A65E1">
        <w:rPr>
          <w:rFonts w:ascii="Verdana" w:eastAsia="Times New Roman" w:hAnsi="Verdana"/>
          <w:color w:val="0070C0"/>
        </w:rPr>
        <w:t xml:space="preserve">en plan </w:t>
      </w:r>
      <w:r w:rsidRPr="00F8489F">
        <w:rPr>
          <w:rFonts w:ascii="Verdana" w:eastAsia="Times New Roman" w:hAnsi="Verdana"/>
          <w:color w:val="0070C0"/>
        </w:rPr>
        <w:t>przyjęt</w:t>
      </w:r>
      <w:r w:rsidR="003A65E1">
        <w:rPr>
          <w:rFonts w:ascii="Verdana" w:eastAsia="Times New Roman" w:hAnsi="Verdana"/>
          <w:color w:val="0070C0"/>
        </w:rPr>
        <w:t>y</w:t>
      </w:r>
      <w:r w:rsidRPr="00F8489F">
        <w:rPr>
          <w:rFonts w:ascii="Verdana" w:eastAsia="Times New Roman" w:hAnsi="Verdana"/>
          <w:color w:val="0070C0"/>
        </w:rPr>
        <w:t xml:space="preserve"> przez policję wykracza poza normalne </w:t>
      </w:r>
      <w:r w:rsidR="003A65E1">
        <w:rPr>
          <w:rFonts w:ascii="Verdana" w:eastAsia="Times New Roman" w:hAnsi="Verdana"/>
          <w:color w:val="0070C0"/>
        </w:rPr>
        <w:t>wykorzystanie</w:t>
      </w:r>
      <w:r w:rsidRPr="00F8489F">
        <w:rPr>
          <w:rFonts w:ascii="Verdana" w:eastAsia="Times New Roman" w:hAnsi="Verdana"/>
          <w:color w:val="0070C0"/>
        </w:rPr>
        <w:t xml:space="preserve"> tego typu kamer i stanowi ingerencję w prawo skarżącego do poszanowania jego życia prywatnego. Przedmiotowa ingerencja nie była ponadto zgodna z prawem, ponieważ policja nie zastosowała się do procedur przewidzianych w obowiązującym kodeksie: nie uzyskała zgody skarżącego lub nie poinformowała go, że </w:t>
      </w:r>
      <w:r w:rsidR="0043499E">
        <w:rPr>
          <w:rFonts w:ascii="Verdana" w:eastAsia="Times New Roman" w:hAnsi="Verdana"/>
          <w:color w:val="0070C0"/>
        </w:rPr>
        <w:t>zostanie nagrany;</w:t>
      </w:r>
      <w:r w:rsidRPr="00F8489F">
        <w:rPr>
          <w:rFonts w:ascii="Verdana" w:eastAsia="Times New Roman" w:hAnsi="Verdana"/>
          <w:color w:val="0070C0"/>
        </w:rPr>
        <w:t xml:space="preserve"> ani nie poinformowała go o jego prawach w tym zakresie</w:t>
      </w:r>
      <w:r w:rsidR="000D4D47" w:rsidRPr="00F8489F">
        <w:rPr>
          <w:rFonts w:ascii="Verdana" w:eastAsia="Times New Roman" w:hAnsi="Verdana"/>
          <w:color w:val="0070C0"/>
        </w:rPr>
        <w:t>.</w:t>
      </w:r>
    </w:p>
    <w:p w14:paraId="104D12AA" w14:textId="110916BF" w:rsidR="002B5B4B" w:rsidRPr="00A14197" w:rsidRDefault="002B5B4B" w:rsidP="00AB713F">
      <w:pPr>
        <w:spacing w:before="120" w:line="0" w:lineRule="atLeast"/>
        <w:ind w:left="740"/>
        <w:rPr>
          <w:rFonts w:ascii="Verdana" w:eastAsia="Verdana" w:hAnsi="Verdana"/>
          <w:b/>
          <w:color w:val="0072BC"/>
          <w:u w:val="single"/>
        </w:rPr>
      </w:pPr>
      <w:hyperlink r:id="rId52" w:anchor="{%22itemid%22:[%22003-2571936-2784147%22]}" w:history="1">
        <w:r w:rsidRPr="008572E9">
          <w:rPr>
            <w:rStyle w:val="Hipercze"/>
            <w:rFonts w:ascii="Verdana" w:eastAsia="Verdana" w:hAnsi="Verdana"/>
            <w:b/>
          </w:rPr>
          <w:t>S. i Marper przeciwko Zjednoczonemu Królestwu</w:t>
        </w:r>
      </w:hyperlink>
      <w:r w:rsidRPr="00A14197">
        <w:rPr>
          <w:rFonts w:ascii="Verdana" w:eastAsia="Verdana" w:hAnsi="Verdana"/>
          <w:b/>
          <w:color w:val="0072BC"/>
          <w:u w:val="single"/>
        </w:rPr>
        <w:t xml:space="preserve"> </w:t>
      </w:r>
    </w:p>
    <w:p w14:paraId="77D1C504" w14:textId="77777777" w:rsidR="002B5B4B" w:rsidRDefault="002B5B4B" w:rsidP="00AB713F">
      <w:pPr>
        <w:spacing w:line="63" w:lineRule="exact"/>
        <w:ind w:left="740"/>
        <w:rPr>
          <w:rFonts w:ascii="Times New Roman" w:eastAsia="Times New Roman" w:hAnsi="Times New Roman"/>
        </w:rPr>
      </w:pPr>
    </w:p>
    <w:p w14:paraId="458032AC" w14:textId="77777777" w:rsidR="002B5B4B" w:rsidRDefault="002B5B4B" w:rsidP="00AB713F">
      <w:pPr>
        <w:spacing w:line="0" w:lineRule="atLeast"/>
        <w:ind w:left="740"/>
        <w:rPr>
          <w:rFonts w:ascii="Verdana" w:eastAsia="Verdana" w:hAnsi="Verdana"/>
          <w:color w:val="808080"/>
          <w:sz w:val="18"/>
        </w:rPr>
      </w:pPr>
      <w:r>
        <w:rPr>
          <w:rFonts w:ascii="Verdana" w:eastAsia="Verdana" w:hAnsi="Verdana"/>
          <w:color w:val="808080"/>
          <w:sz w:val="18"/>
        </w:rPr>
        <w:t>4 grudnia 2008 roku (Wielka Izba)</w:t>
      </w:r>
    </w:p>
    <w:p w14:paraId="6224D303" w14:textId="1DED801A" w:rsidR="002B5B4B" w:rsidRPr="00F8489F" w:rsidRDefault="002B5B4B" w:rsidP="00AB713F">
      <w:pPr>
        <w:ind w:left="740"/>
        <w:jc w:val="both"/>
        <w:rPr>
          <w:rFonts w:ascii="Verdana" w:eastAsia="Times New Roman" w:hAnsi="Verdana"/>
        </w:rPr>
      </w:pPr>
      <w:r w:rsidRPr="00F8489F">
        <w:rPr>
          <w:rFonts w:ascii="Verdana" w:eastAsia="Times New Roman" w:hAnsi="Verdana"/>
        </w:rPr>
        <w:t>Sprawa ta dotyczyła bezterminowego przechowywania w bazie danych odcisków palców, próbek komórek i profili DNA</w:t>
      </w:r>
      <w:r w:rsidR="00CB2D15">
        <w:rPr>
          <w:rStyle w:val="Odwoanieprzypisudolnego"/>
          <w:rFonts w:ascii="Verdana" w:eastAsia="Times New Roman" w:hAnsi="Verdana"/>
        </w:rPr>
        <w:footnoteReference w:id="11"/>
      </w:r>
      <w:r w:rsidR="00CB2D15">
        <w:rPr>
          <w:rFonts w:ascii="Verdana" w:eastAsia="Times New Roman" w:hAnsi="Verdana"/>
        </w:rPr>
        <w:t xml:space="preserve"> </w:t>
      </w:r>
      <w:r w:rsidRPr="00F8489F">
        <w:rPr>
          <w:rFonts w:ascii="Verdana" w:eastAsia="Times New Roman" w:hAnsi="Verdana"/>
        </w:rPr>
        <w:t>skarżących po zakończeniu postępowania karnego przeciwko nim wyrok</w:t>
      </w:r>
      <w:r w:rsidR="005C4938">
        <w:rPr>
          <w:rFonts w:ascii="Verdana" w:eastAsia="Times New Roman" w:hAnsi="Verdana"/>
        </w:rPr>
        <w:t>iem</w:t>
      </w:r>
      <w:r w:rsidRPr="00F8489F">
        <w:rPr>
          <w:rFonts w:ascii="Verdana" w:eastAsia="Times New Roman" w:hAnsi="Verdana"/>
        </w:rPr>
        <w:t xml:space="preserve"> uniewinniającego w jednej sprawie i umorzeni</w:t>
      </w:r>
      <w:r w:rsidR="005C4938">
        <w:rPr>
          <w:rFonts w:ascii="Verdana" w:eastAsia="Times New Roman" w:hAnsi="Verdana"/>
        </w:rPr>
        <w:t>em</w:t>
      </w:r>
      <w:r w:rsidRPr="00F8489F">
        <w:rPr>
          <w:rFonts w:ascii="Verdana" w:eastAsia="Times New Roman" w:hAnsi="Verdana"/>
        </w:rPr>
        <w:t xml:space="preserve"> w drugiej.</w:t>
      </w:r>
    </w:p>
    <w:p w14:paraId="39C014D3" w14:textId="77777777" w:rsidR="002B5B4B" w:rsidRDefault="002B5B4B" w:rsidP="00AB713F">
      <w:pPr>
        <w:ind w:left="740"/>
        <w:jc w:val="both"/>
        <w:rPr>
          <w:rFonts w:ascii="Verdana" w:hAnsi="Verdana" w:cs="Verdana"/>
          <w:b/>
          <w:bCs/>
          <w:color w:val="0070C0"/>
        </w:rPr>
      </w:pPr>
      <w:r w:rsidRPr="00F8489F">
        <w:rPr>
          <w:rFonts w:ascii="Verdana" w:eastAsia="Times New Roman" w:hAnsi="Verdana"/>
          <w:color w:val="0070C0"/>
        </w:rPr>
        <w:t xml:space="preserve">Trybunał orzekł, że nastąpiło </w:t>
      </w:r>
      <w:r w:rsidRPr="00F8489F">
        <w:rPr>
          <w:rFonts w:ascii="Verdana" w:eastAsia="Times New Roman" w:hAnsi="Verdana"/>
          <w:b/>
          <w:color w:val="0070C0"/>
        </w:rPr>
        <w:t>naruszenie art. 8</w:t>
      </w:r>
      <w:r w:rsidRPr="00F8489F">
        <w:rPr>
          <w:rFonts w:ascii="Verdana" w:eastAsia="Times New Roman" w:hAnsi="Verdana"/>
          <w:color w:val="0070C0"/>
        </w:rPr>
        <w:t xml:space="preserve"> </w:t>
      </w:r>
      <w:r w:rsidR="008D2770">
        <w:rPr>
          <w:rFonts w:ascii="Verdana" w:eastAsia="Times New Roman" w:hAnsi="Verdana"/>
          <w:color w:val="0070C0"/>
        </w:rPr>
        <w:t>K</w:t>
      </w:r>
      <w:r w:rsidRPr="00F8489F">
        <w:rPr>
          <w:rFonts w:ascii="Verdana" w:eastAsia="Times New Roman" w:hAnsi="Verdana"/>
          <w:color w:val="0070C0"/>
        </w:rPr>
        <w:t xml:space="preserve">onwencji, stwierdzając, że sporne </w:t>
      </w:r>
      <w:r w:rsidR="008D2770">
        <w:rPr>
          <w:rFonts w:ascii="Verdana" w:eastAsia="Times New Roman" w:hAnsi="Verdana"/>
          <w:color w:val="0070C0"/>
        </w:rPr>
        <w:t>przechowywanie</w:t>
      </w:r>
      <w:r w:rsidRPr="00F8489F">
        <w:rPr>
          <w:rFonts w:ascii="Verdana" w:eastAsia="Times New Roman" w:hAnsi="Verdana"/>
          <w:color w:val="0070C0"/>
        </w:rPr>
        <w:t xml:space="preserve"> stanowi nieproporcjonalną ingerencję w prawo skarżących do poszanowania życia prywatnego i nie może być uznane za konieczne w społeczeństwie demokratycznym. </w:t>
      </w:r>
      <w:r w:rsidR="008D2770">
        <w:rPr>
          <w:rFonts w:ascii="Verdana" w:eastAsia="Times New Roman" w:hAnsi="Verdana"/>
          <w:color w:val="0070C0"/>
        </w:rPr>
        <w:t>Trybunał</w:t>
      </w:r>
      <w:r w:rsidRPr="00F8489F">
        <w:rPr>
          <w:rFonts w:ascii="Verdana" w:eastAsia="Times New Roman" w:hAnsi="Verdana"/>
          <w:color w:val="0070C0"/>
        </w:rPr>
        <w:t xml:space="preserve"> uznał w szczególności, że stosowanie nowoczesnych technik naukowych w systemie prawa karnego nie może być dozwolone za wszelką cenę i bez starannego wyważenia potencjalnych korzyści płynących z szerokiego stosowania takich technik z ważnymi interesami życia prywatnego. Każde państwo, które twierdzi, że odgrywa pionierską rolę w rozwoju nowych technologii, ponosi szczególną odpowiedzialność za "znalezienie właściwej równowagi". Trybunał stwierdził, że ogólny i bezkrytyczny charakter uprawnień do zatrzymywania odcisków palców, próbek komórek i profili DNA osób podejrzanych, ale nie skazanych za przestępstwa, jak ma to miejsce w tym konkretnym przypadku, nie zapewnił odpowiedniej równowagi między konkur</w:t>
      </w:r>
      <w:r w:rsidR="00274DBF">
        <w:rPr>
          <w:rFonts w:ascii="Verdana" w:eastAsia="Times New Roman" w:hAnsi="Verdana"/>
          <w:color w:val="0070C0"/>
        </w:rPr>
        <w:t>ującymi</w:t>
      </w:r>
      <w:r w:rsidRPr="00F8489F">
        <w:rPr>
          <w:rFonts w:ascii="Verdana" w:eastAsia="Times New Roman" w:hAnsi="Verdana"/>
          <w:color w:val="0070C0"/>
        </w:rPr>
        <w:t xml:space="preserve"> interesami publicznymi i prywatnymi.</w:t>
      </w:r>
      <w:r w:rsidRPr="00F8489F">
        <w:rPr>
          <w:rFonts w:ascii="Verdana" w:hAnsi="Verdana" w:cs="Verdana"/>
          <w:b/>
          <w:bCs/>
          <w:color w:val="0070C0"/>
        </w:rPr>
        <w:t xml:space="preserve"> </w:t>
      </w:r>
    </w:p>
    <w:p w14:paraId="18EBAA5D" w14:textId="77777777" w:rsidR="0079646B" w:rsidRDefault="0079646B" w:rsidP="00AB713F">
      <w:pPr>
        <w:ind w:left="740"/>
        <w:jc w:val="both"/>
        <w:rPr>
          <w:rFonts w:ascii="Verdana" w:hAnsi="Verdana" w:cs="Verdana"/>
          <w:b/>
          <w:bCs/>
          <w:color w:val="0070C0"/>
        </w:rPr>
      </w:pPr>
    </w:p>
    <w:p w14:paraId="23F35EBF" w14:textId="19C2FF87" w:rsidR="0079646B" w:rsidRPr="00A14197" w:rsidRDefault="0079646B" w:rsidP="00AB713F">
      <w:pPr>
        <w:spacing w:before="120" w:line="0" w:lineRule="atLeast"/>
        <w:ind w:left="740"/>
        <w:rPr>
          <w:rFonts w:ascii="Verdana" w:eastAsia="Verdana" w:hAnsi="Verdana"/>
          <w:b/>
          <w:color w:val="0072BC"/>
          <w:u w:val="single"/>
        </w:rPr>
      </w:pPr>
      <w:hyperlink r:id="rId53" w:anchor="{%22itemid%22:[%22003-4480954-5400075%22]}" w:history="1">
        <w:r w:rsidRPr="008572E9">
          <w:rPr>
            <w:rStyle w:val="Hipercze"/>
            <w:rFonts w:ascii="Verdana" w:eastAsia="Verdana" w:hAnsi="Verdana"/>
            <w:b/>
          </w:rPr>
          <w:t>B.B. przeciwko Francji (nr 5335/06), Gardel przeciwko Francji i M.B. przeciwko Francji (nr 22115/06)</w:t>
        </w:r>
      </w:hyperlink>
    </w:p>
    <w:p w14:paraId="4A867843" w14:textId="77777777" w:rsidR="0079646B" w:rsidRDefault="0079646B" w:rsidP="00AB713F">
      <w:pPr>
        <w:spacing w:line="63" w:lineRule="exact"/>
        <w:ind w:left="740"/>
        <w:rPr>
          <w:rFonts w:ascii="Times New Roman" w:eastAsia="Times New Roman" w:hAnsi="Times New Roman"/>
        </w:rPr>
      </w:pPr>
    </w:p>
    <w:p w14:paraId="23C088FE" w14:textId="77777777" w:rsidR="0079646B" w:rsidRDefault="0079646B" w:rsidP="00AB713F">
      <w:pPr>
        <w:spacing w:line="0" w:lineRule="atLeast"/>
        <w:ind w:left="740"/>
        <w:rPr>
          <w:rFonts w:ascii="Verdana" w:eastAsia="Verdana" w:hAnsi="Verdana"/>
          <w:color w:val="808080"/>
          <w:sz w:val="18"/>
        </w:rPr>
      </w:pPr>
      <w:r>
        <w:rPr>
          <w:rFonts w:ascii="Verdana" w:eastAsia="Verdana" w:hAnsi="Verdana"/>
          <w:color w:val="808080"/>
          <w:sz w:val="18"/>
        </w:rPr>
        <w:t>17 grudnia 2009 roku</w:t>
      </w:r>
    </w:p>
    <w:p w14:paraId="2C544C45" w14:textId="77777777" w:rsidR="0079646B" w:rsidRPr="00F8489F" w:rsidRDefault="0079646B" w:rsidP="00AB713F">
      <w:pPr>
        <w:ind w:left="740"/>
        <w:jc w:val="both"/>
        <w:rPr>
          <w:rFonts w:ascii="Verdana" w:eastAsia="Times New Roman" w:hAnsi="Verdana"/>
          <w:highlight w:val="yellow"/>
        </w:rPr>
      </w:pPr>
      <w:r w:rsidRPr="00F8489F">
        <w:rPr>
          <w:rFonts w:ascii="Verdana" w:eastAsia="Times New Roman" w:hAnsi="Verdana"/>
        </w:rPr>
        <w:t>Skarżący w tych sprawach</w:t>
      </w:r>
      <w:r w:rsidR="00274DBF">
        <w:rPr>
          <w:rFonts w:ascii="Verdana" w:eastAsia="Times New Roman" w:hAnsi="Verdana"/>
        </w:rPr>
        <w:t xml:space="preserve">, skazani </w:t>
      </w:r>
      <w:r w:rsidR="00BC551D">
        <w:rPr>
          <w:rFonts w:ascii="Verdana" w:eastAsia="Times New Roman" w:hAnsi="Verdana"/>
        </w:rPr>
        <w:t>na kary pozbawienia wolności w związku ze</w:t>
      </w:r>
      <w:r w:rsidR="00064F9B" w:rsidRPr="00E1015F">
        <w:rPr>
          <w:rFonts w:ascii="Verdana" w:eastAsia="Times New Roman" w:hAnsi="Verdana"/>
        </w:rPr>
        <w:t xml:space="preserve"> </w:t>
      </w:r>
      <w:r w:rsidR="00BC551D">
        <w:rPr>
          <w:rFonts w:ascii="Verdana" w:eastAsia="Times New Roman" w:hAnsi="Verdana"/>
        </w:rPr>
        <w:t>zgwałceniem</w:t>
      </w:r>
      <w:r w:rsidRPr="00F8489F">
        <w:rPr>
          <w:rFonts w:ascii="Verdana" w:eastAsia="Times New Roman" w:hAnsi="Verdana"/>
        </w:rPr>
        <w:t xml:space="preserve"> </w:t>
      </w:r>
      <w:r w:rsidR="00BC551D">
        <w:rPr>
          <w:rFonts w:ascii="Verdana" w:eastAsia="Times New Roman" w:hAnsi="Verdana"/>
        </w:rPr>
        <w:t>mało</w:t>
      </w:r>
      <w:r w:rsidRPr="00F8489F">
        <w:rPr>
          <w:rFonts w:ascii="Verdana" w:eastAsia="Times New Roman" w:hAnsi="Verdana"/>
        </w:rPr>
        <w:t xml:space="preserve">letnich w wieku 15 lat </w:t>
      </w:r>
      <w:r w:rsidR="00091183" w:rsidRPr="00F8489F">
        <w:rPr>
          <w:rFonts w:ascii="Verdana" w:eastAsia="Times New Roman" w:hAnsi="Verdana"/>
        </w:rPr>
        <w:t>z wykorzystaniem</w:t>
      </w:r>
      <w:r w:rsidR="00091183">
        <w:rPr>
          <w:rFonts w:ascii="Verdana" w:eastAsia="Times New Roman" w:hAnsi="Verdana"/>
        </w:rPr>
        <w:t xml:space="preserve"> swoje</w:t>
      </w:r>
      <w:r w:rsidR="00BC551D">
        <w:rPr>
          <w:rFonts w:ascii="Verdana" w:eastAsia="Times New Roman" w:hAnsi="Verdana"/>
        </w:rPr>
        <w:t>j uprzywilejowanej pozycji,</w:t>
      </w:r>
      <w:r w:rsidR="00091183" w:rsidRPr="00F8489F">
        <w:rPr>
          <w:rFonts w:ascii="Verdana" w:eastAsia="Times New Roman" w:hAnsi="Verdana"/>
        </w:rPr>
        <w:t xml:space="preserve"> skarżyli</w:t>
      </w:r>
      <w:r w:rsidRPr="00F8489F">
        <w:rPr>
          <w:rFonts w:ascii="Verdana" w:eastAsia="Times New Roman" w:hAnsi="Verdana"/>
        </w:rPr>
        <w:t xml:space="preserve"> się w szczególności na </w:t>
      </w:r>
      <w:r w:rsidR="00BC551D">
        <w:rPr>
          <w:rFonts w:ascii="Verdana" w:eastAsia="Times New Roman" w:hAnsi="Verdana"/>
        </w:rPr>
        <w:t>dodanie</w:t>
      </w:r>
      <w:r w:rsidRPr="00F8489F">
        <w:rPr>
          <w:rFonts w:ascii="Verdana" w:eastAsia="Times New Roman" w:hAnsi="Verdana"/>
        </w:rPr>
        <w:t xml:space="preserve"> ich do zautomatyzowanej krajowej sądowej bazy danych przestępców seksualnych (</w:t>
      </w:r>
      <w:r w:rsidRPr="00104353">
        <w:rPr>
          <w:rFonts w:ascii="Verdana" w:eastAsia="Times New Roman" w:hAnsi="Verdana"/>
          <w:i/>
        </w:rPr>
        <w:t>Fichier judiciaire national automatisé des auteurs d'infractions sexuelles</w:t>
      </w:r>
      <w:r w:rsidRPr="00F8489F">
        <w:rPr>
          <w:rFonts w:ascii="Verdana" w:eastAsia="Times New Roman" w:hAnsi="Verdana"/>
        </w:rPr>
        <w:t xml:space="preserve">). </w:t>
      </w:r>
    </w:p>
    <w:p w14:paraId="38FEBE4C" w14:textId="77777777" w:rsidR="0079646B" w:rsidRPr="00F8489F" w:rsidRDefault="0079646B" w:rsidP="00AB713F">
      <w:pPr>
        <w:ind w:left="740"/>
        <w:jc w:val="both"/>
        <w:rPr>
          <w:rFonts w:ascii="Verdana" w:eastAsia="Times New Roman" w:hAnsi="Verdana"/>
          <w:color w:val="0070C0"/>
        </w:rPr>
      </w:pPr>
      <w:r w:rsidRPr="00F8489F">
        <w:rPr>
          <w:rFonts w:ascii="Verdana" w:eastAsia="Times New Roman" w:hAnsi="Verdana"/>
          <w:color w:val="0070C0"/>
        </w:rPr>
        <w:t xml:space="preserve">W tych trzech sprawach Trybunał orzekł, że </w:t>
      </w:r>
      <w:r w:rsidRPr="00F8489F">
        <w:rPr>
          <w:rFonts w:ascii="Verdana" w:eastAsia="Times New Roman" w:hAnsi="Verdana"/>
          <w:b/>
          <w:color w:val="0070C0"/>
        </w:rPr>
        <w:t>nie doszło do naruszenia art. 8</w:t>
      </w:r>
      <w:r w:rsidRPr="00F8489F">
        <w:rPr>
          <w:rFonts w:ascii="Verdana" w:eastAsia="Times New Roman" w:hAnsi="Verdana"/>
          <w:color w:val="0070C0"/>
        </w:rPr>
        <w:t xml:space="preserve"> </w:t>
      </w:r>
      <w:r w:rsidR="007A5F31" w:rsidRPr="00F8489F">
        <w:rPr>
          <w:rFonts w:ascii="Verdana" w:eastAsia="Times New Roman" w:hAnsi="Verdana"/>
          <w:color w:val="0070C0"/>
        </w:rPr>
        <w:t>K</w:t>
      </w:r>
      <w:r w:rsidRPr="00F8489F">
        <w:rPr>
          <w:rFonts w:ascii="Verdana" w:eastAsia="Times New Roman" w:hAnsi="Verdana"/>
          <w:color w:val="0070C0"/>
        </w:rPr>
        <w:t xml:space="preserve">onwencji, stwierdzając, że system </w:t>
      </w:r>
      <w:r w:rsidR="00BC551D">
        <w:rPr>
          <w:rFonts w:ascii="Verdana" w:eastAsia="Times New Roman" w:hAnsi="Verdana"/>
          <w:color w:val="0070C0"/>
        </w:rPr>
        <w:t>dodawania</w:t>
      </w:r>
      <w:r w:rsidRPr="00F8489F">
        <w:rPr>
          <w:rFonts w:ascii="Verdana" w:eastAsia="Times New Roman" w:hAnsi="Verdana"/>
          <w:color w:val="0070C0"/>
        </w:rPr>
        <w:t xml:space="preserve"> przestępców seksualnych do krajow</w:t>
      </w:r>
      <w:r w:rsidR="007A5F31" w:rsidRPr="00F8489F">
        <w:rPr>
          <w:rFonts w:ascii="Verdana" w:eastAsia="Times New Roman" w:hAnsi="Verdana"/>
          <w:color w:val="0070C0"/>
        </w:rPr>
        <w:t>ego rejestru sądowego</w:t>
      </w:r>
      <w:r w:rsidRPr="00F8489F">
        <w:rPr>
          <w:rFonts w:ascii="Verdana" w:eastAsia="Times New Roman" w:hAnsi="Verdana"/>
          <w:color w:val="0070C0"/>
        </w:rPr>
        <w:t>, mający zastosowanie do skarżących, zapewnił właściwą równowagę między konkur</w:t>
      </w:r>
      <w:r w:rsidR="00BC551D">
        <w:rPr>
          <w:rFonts w:ascii="Verdana" w:eastAsia="Times New Roman" w:hAnsi="Verdana"/>
          <w:color w:val="0070C0"/>
        </w:rPr>
        <w:t>ującymi</w:t>
      </w:r>
      <w:r w:rsidRPr="00F8489F">
        <w:rPr>
          <w:rFonts w:ascii="Verdana" w:eastAsia="Times New Roman" w:hAnsi="Verdana"/>
          <w:color w:val="0070C0"/>
        </w:rPr>
        <w:t xml:space="preserve"> interesami prywatnymi i publicznymi</w:t>
      </w:r>
      <w:r w:rsidR="007A5F31" w:rsidRPr="00F8489F">
        <w:rPr>
          <w:rFonts w:ascii="Verdana" w:eastAsia="Times New Roman" w:hAnsi="Verdana"/>
          <w:color w:val="0070C0"/>
        </w:rPr>
        <w:t xml:space="preserve">. </w:t>
      </w:r>
      <w:r w:rsidRPr="00F8489F">
        <w:rPr>
          <w:rFonts w:ascii="Verdana" w:eastAsia="Times New Roman" w:hAnsi="Verdana"/>
          <w:color w:val="0070C0"/>
        </w:rPr>
        <w:t xml:space="preserve">Trybunał potwierdził w szczególności, że ochrona danych osobowych ma podstawowe znaczenie dla poszanowania życia prywatnego i rodzinnego danej osoby, tym bardziej, że dane te są automatycznie przetwarzane, również wtedy, gdy są wykorzystywane do celów </w:t>
      </w:r>
      <w:r w:rsidR="00BC551D">
        <w:rPr>
          <w:rFonts w:ascii="Verdana" w:eastAsia="Times New Roman" w:hAnsi="Verdana"/>
          <w:color w:val="0070C0"/>
        </w:rPr>
        <w:t>śledczych</w:t>
      </w:r>
      <w:r w:rsidRPr="00F8489F">
        <w:rPr>
          <w:rFonts w:ascii="Verdana" w:eastAsia="Times New Roman" w:hAnsi="Verdana"/>
          <w:color w:val="0070C0"/>
        </w:rPr>
        <w:t xml:space="preserve">. Trybunał nie mógł jednak zakwestionować celów bazy danych związanych z prewencją. Ponadto, ponieważ skarżący mieli faktyczną możliwość złożenia wniosku o usunięcie danych, Sąd uznał, że okres przechowywania danych - maksymalnie 30 lat - nie był nieproporcjonalny w stosunku do celu, do którego zmierza </w:t>
      </w:r>
      <w:r w:rsidR="007A5F31">
        <w:rPr>
          <w:rFonts w:ascii="Verdana" w:eastAsia="Times New Roman" w:hAnsi="Verdana"/>
          <w:color w:val="0070C0"/>
        </w:rPr>
        <w:t>przechowywanie</w:t>
      </w:r>
      <w:r w:rsidRPr="00F8489F">
        <w:rPr>
          <w:rFonts w:ascii="Verdana" w:eastAsia="Times New Roman" w:hAnsi="Verdana"/>
          <w:color w:val="0070C0"/>
        </w:rPr>
        <w:t xml:space="preserve"> informacji. Wreszcie, zapoznanie się z takimi danymi przez sąd, policję i organy administracyjne podlegało obowiązkowi zachowania poufności i było ograniczone do ściśle określonych okoliczności. </w:t>
      </w:r>
    </w:p>
    <w:p w14:paraId="1FD72B2D" w14:textId="77777777" w:rsidR="0079646B" w:rsidRPr="00F8489F" w:rsidRDefault="0079646B" w:rsidP="00AB713F">
      <w:pPr>
        <w:ind w:left="740"/>
        <w:jc w:val="both"/>
        <w:rPr>
          <w:rFonts w:ascii="Verdana" w:eastAsia="Times New Roman" w:hAnsi="Verdana"/>
          <w:color w:val="0070C0"/>
        </w:rPr>
      </w:pPr>
      <w:r w:rsidRPr="00F8489F">
        <w:rPr>
          <w:rFonts w:ascii="Verdana" w:eastAsia="Times New Roman" w:hAnsi="Verdana"/>
          <w:i/>
          <w:color w:val="0070C0"/>
        </w:rPr>
        <w:t>Zob. również</w:t>
      </w:r>
      <w:r w:rsidRPr="00F8489F">
        <w:rPr>
          <w:rFonts w:ascii="Verdana" w:eastAsia="Times New Roman" w:hAnsi="Verdana"/>
          <w:color w:val="0070C0"/>
        </w:rPr>
        <w:t xml:space="preserve">: </w:t>
      </w:r>
      <w:hyperlink r:id="rId54" w:history="1">
        <w:r w:rsidRPr="00A14197">
          <w:rPr>
            <w:rStyle w:val="Hipercze"/>
            <w:rFonts w:ascii="Verdana" w:eastAsia="Times New Roman" w:hAnsi="Verdana"/>
            <w:b/>
            <w:color w:val="0072BC"/>
          </w:rPr>
          <w:t>J.P.D. przeciwko Francji</w:t>
        </w:r>
        <w:r w:rsidRPr="00A14197">
          <w:rPr>
            <w:rStyle w:val="Hipercze"/>
            <w:rFonts w:ascii="Verdana" w:eastAsia="Times New Roman" w:hAnsi="Verdana"/>
            <w:color w:val="0072BC"/>
            <w:u w:val="none"/>
          </w:rPr>
          <w:t xml:space="preserve"> </w:t>
        </w:r>
        <w:r w:rsidRPr="00F8489F">
          <w:rPr>
            <w:rStyle w:val="Hipercze"/>
            <w:rFonts w:ascii="Verdana" w:eastAsia="Times New Roman" w:hAnsi="Verdana"/>
            <w:u w:val="none"/>
          </w:rPr>
          <w:t>(</w:t>
        </w:r>
      </w:hyperlink>
      <w:r w:rsidRPr="00F8489F">
        <w:rPr>
          <w:rFonts w:ascii="Verdana" w:eastAsia="Times New Roman" w:hAnsi="Verdana"/>
          <w:color w:val="0070C0"/>
        </w:rPr>
        <w:t>nr 55432/10), decyzja (niedopuszczaln</w:t>
      </w:r>
      <w:r w:rsidR="00064F9B" w:rsidRPr="00F8489F">
        <w:rPr>
          <w:rFonts w:ascii="Verdana" w:eastAsia="Times New Roman" w:hAnsi="Verdana"/>
          <w:color w:val="0070C0"/>
        </w:rPr>
        <w:t>ość</w:t>
      </w:r>
      <w:r w:rsidRPr="00F8489F">
        <w:rPr>
          <w:rFonts w:ascii="Verdana" w:eastAsia="Times New Roman" w:hAnsi="Verdana"/>
          <w:color w:val="0070C0"/>
        </w:rPr>
        <w:t>) z dnia 16 września 2014 r</w:t>
      </w:r>
      <w:r w:rsidR="00064F9B" w:rsidRPr="00D66926">
        <w:rPr>
          <w:rFonts w:ascii="Verdana" w:eastAsia="Times New Roman" w:hAnsi="Verdana"/>
          <w:color w:val="0070C0"/>
        </w:rPr>
        <w:t>oku.</w:t>
      </w:r>
      <w:r w:rsidRPr="00F8489F">
        <w:rPr>
          <w:rFonts w:ascii="Verdana" w:eastAsia="Times New Roman" w:hAnsi="Verdana"/>
          <w:color w:val="0070C0"/>
        </w:rPr>
        <w:t xml:space="preserve"> </w:t>
      </w:r>
    </w:p>
    <w:p w14:paraId="1CA00E5A" w14:textId="49C50770" w:rsidR="001E658D" w:rsidRPr="00A14197" w:rsidRDefault="001E658D" w:rsidP="00AB713F">
      <w:pPr>
        <w:spacing w:before="120" w:line="0" w:lineRule="atLeast"/>
        <w:ind w:left="740"/>
        <w:rPr>
          <w:rFonts w:ascii="Verdana" w:eastAsia="Verdana" w:hAnsi="Verdana"/>
          <w:b/>
          <w:color w:val="0072BC"/>
          <w:u w:val="single"/>
        </w:rPr>
      </w:pPr>
      <w:hyperlink r:id="rId55" w:anchor="{%22itemid%22:[%22003-3241790-3612154%22]}" w:history="1">
        <w:r w:rsidRPr="008572E9">
          <w:rPr>
            <w:rStyle w:val="Hipercze"/>
            <w:rFonts w:ascii="Verdana" w:eastAsia="Verdana" w:hAnsi="Verdana"/>
            <w:b/>
          </w:rPr>
          <w:t>Uzun przeciwko Niemcom</w:t>
        </w:r>
      </w:hyperlink>
    </w:p>
    <w:p w14:paraId="43536498" w14:textId="77777777" w:rsidR="001E658D" w:rsidRDefault="001E658D" w:rsidP="00AB713F">
      <w:pPr>
        <w:spacing w:line="0" w:lineRule="atLeast"/>
        <w:ind w:left="740"/>
        <w:rPr>
          <w:rFonts w:ascii="Verdana" w:eastAsia="Verdana" w:hAnsi="Verdana"/>
          <w:color w:val="808080"/>
          <w:sz w:val="18"/>
        </w:rPr>
      </w:pPr>
      <w:bookmarkStart w:id="10" w:name="_Hlk18048314"/>
      <w:r>
        <w:rPr>
          <w:rFonts w:ascii="Verdana" w:eastAsia="Verdana" w:hAnsi="Verdana"/>
          <w:color w:val="808080"/>
          <w:sz w:val="18"/>
        </w:rPr>
        <w:t>2 września 2010 roku</w:t>
      </w:r>
    </w:p>
    <w:bookmarkEnd w:id="10"/>
    <w:p w14:paraId="7146E326" w14:textId="77777777" w:rsidR="00874759" w:rsidRDefault="00874759" w:rsidP="00AB713F">
      <w:pPr>
        <w:spacing w:line="0" w:lineRule="atLeast"/>
        <w:ind w:left="740"/>
        <w:rPr>
          <w:rFonts w:ascii="Verdana" w:eastAsia="Verdana" w:hAnsi="Verdana"/>
          <w:color w:val="808080"/>
          <w:sz w:val="18"/>
        </w:rPr>
      </w:pPr>
      <w:r>
        <w:rPr>
          <w:rFonts w:ascii="Verdana" w:eastAsia="Verdana" w:hAnsi="Verdana"/>
        </w:rPr>
        <w:t xml:space="preserve">Zobacz </w:t>
      </w:r>
      <w:r w:rsidR="00DD36F1">
        <w:rPr>
          <w:rFonts w:ascii="Verdana" w:eastAsia="Verdana" w:hAnsi="Verdana"/>
        </w:rPr>
        <w:t>powyżej</w:t>
      </w:r>
      <w:r>
        <w:rPr>
          <w:rFonts w:ascii="Verdana" w:eastAsia="Verdana" w:hAnsi="Verdana"/>
        </w:rPr>
        <w:t>, pod „Gromadzenie danych osobowych”</w:t>
      </w:r>
      <w:r w:rsidR="00DD36F1">
        <w:rPr>
          <w:rFonts w:ascii="Verdana" w:eastAsia="Verdana" w:hAnsi="Verdana"/>
        </w:rPr>
        <w:t>,</w:t>
      </w:r>
      <w:r>
        <w:rPr>
          <w:rFonts w:ascii="Verdana" w:eastAsia="Verdana" w:hAnsi="Verdana"/>
        </w:rPr>
        <w:t xml:space="preserve"> „Dane GPS”</w:t>
      </w:r>
    </w:p>
    <w:p w14:paraId="47851108" w14:textId="28C37122" w:rsidR="001E658D" w:rsidRPr="00A14197" w:rsidRDefault="001E658D" w:rsidP="00AB713F">
      <w:pPr>
        <w:spacing w:before="120" w:line="0" w:lineRule="atLeast"/>
        <w:ind w:left="740"/>
        <w:rPr>
          <w:rFonts w:ascii="Verdana" w:eastAsia="Verdana" w:hAnsi="Verdana"/>
          <w:b/>
          <w:color w:val="0072BC"/>
          <w:u w:val="single"/>
        </w:rPr>
      </w:pPr>
      <w:hyperlink r:id="rId56" w:anchor="{%22itemid%22:[%22001-103259%22]}" w:history="1">
        <w:r w:rsidRPr="008572E9">
          <w:rPr>
            <w:rStyle w:val="Hipercze"/>
            <w:rFonts w:ascii="Verdana" w:eastAsia="Verdana" w:hAnsi="Verdana"/>
            <w:b/>
          </w:rPr>
          <w:t>Dimitrov-Kazakov przeciwko Bułgarii</w:t>
        </w:r>
      </w:hyperlink>
    </w:p>
    <w:p w14:paraId="56EB2CDB" w14:textId="77777777" w:rsidR="00874759" w:rsidRDefault="00874759" w:rsidP="00AB713F">
      <w:pPr>
        <w:spacing w:line="0" w:lineRule="atLeast"/>
        <w:ind w:left="740"/>
        <w:rPr>
          <w:rFonts w:ascii="Verdana" w:eastAsia="Verdana" w:hAnsi="Verdana"/>
          <w:color w:val="808080"/>
          <w:sz w:val="18"/>
        </w:rPr>
      </w:pPr>
      <w:r>
        <w:rPr>
          <w:rFonts w:ascii="Verdana" w:eastAsia="Verdana" w:hAnsi="Verdana"/>
          <w:color w:val="808080"/>
          <w:sz w:val="18"/>
        </w:rPr>
        <w:lastRenderedPageBreak/>
        <w:t>10 lutego 2011 roku</w:t>
      </w:r>
    </w:p>
    <w:p w14:paraId="1724BC4E" w14:textId="77777777" w:rsidR="001E658D" w:rsidRPr="00F8489F" w:rsidRDefault="001E658D" w:rsidP="00AB713F">
      <w:pPr>
        <w:ind w:left="740"/>
        <w:jc w:val="both"/>
        <w:rPr>
          <w:rFonts w:ascii="Verdana" w:eastAsia="Times New Roman" w:hAnsi="Verdana"/>
        </w:rPr>
      </w:pPr>
      <w:r w:rsidRPr="00F8489F">
        <w:rPr>
          <w:rFonts w:ascii="Verdana" w:eastAsia="Times New Roman" w:hAnsi="Verdana"/>
        </w:rPr>
        <w:t>Nazwisko skarżącego zostało wpisane do rejestrów policyjnych</w:t>
      </w:r>
      <w:r w:rsidR="00DD36F1">
        <w:rPr>
          <w:rFonts w:ascii="Verdana" w:eastAsia="Times New Roman" w:hAnsi="Verdana"/>
        </w:rPr>
        <w:t xml:space="preserve"> w charakterze „sprawcy”</w:t>
      </w:r>
      <w:r w:rsidR="00BE5618">
        <w:rPr>
          <w:rFonts w:ascii="Verdana" w:eastAsia="Times New Roman" w:hAnsi="Verdana"/>
        </w:rPr>
        <w:t xml:space="preserve"> w związku z</w:t>
      </w:r>
      <w:r w:rsidR="00DD36F1">
        <w:rPr>
          <w:rFonts w:ascii="Verdana" w:eastAsia="Times New Roman" w:hAnsi="Verdana"/>
        </w:rPr>
        <w:t>e</w:t>
      </w:r>
      <w:r w:rsidR="00BE5618">
        <w:rPr>
          <w:rFonts w:ascii="Verdana" w:eastAsia="Times New Roman" w:hAnsi="Verdana"/>
        </w:rPr>
        <w:t xml:space="preserve"> </w:t>
      </w:r>
      <w:r w:rsidR="00DD36F1">
        <w:rPr>
          <w:rFonts w:ascii="Verdana" w:eastAsia="Times New Roman" w:hAnsi="Verdana"/>
        </w:rPr>
        <w:t>z</w:t>
      </w:r>
      <w:r w:rsidR="00BE5618">
        <w:rPr>
          <w:rFonts w:ascii="Verdana" w:eastAsia="Times New Roman" w:hAnsi="Verdana"/>
        </w:rPr>
        <w:t>gwał</w:t>
      </w:r>
      <w:r w:rsidR="00DD36F1">
        <w:rPr>
          <w:rFonts w:ascii="Verdana" w:eastAsia="Times New Roman" w:hAnsi="Verdana"/>
        </w:rPr>
        <w:t>ceniem</w:t>
      </w:r>
      <w:r w:rsidRPr="00F8489F">
        <w:rPr>
          <w:rFonts w:ascii="Verdana" w:eastAsia="Times New Roman" w:hAnsi="Verdana"/>
        </w:rPr>
        <w:t xml:space="preserve">, po tym jak został </w:t>
      </w:r>
      <w:r w:rsidR="00BE5618">
        <w:rPr>
          <w:rFonts w:ascii="Verdana" w:eastAsia="Times New Roman" w:hAnsi="Verdana"/>
        </w:rPr>
        <w:t>przesłuchany</w:t>
      </w:r>
      <w:r w:rsidRPr="00F8489F">
        <w:rPr>
          <w:rFonts w:ascii="Verdana" w:eastAsia="Times New Roman" w:hAnsi="Verdana"/>
        </w:rPr>
        <w:t>, mimo że nigdy nie został oskarżony o popełnienie</w:t>
      </w:r>
      <w:r w:rsidR="00BE5618">
        <w:rPr>
          <w:rFonts w:ascii="Verdana" w:eastAsia="Times New Roman" w:hAnsi="Verdana"/>
        </w:rPr>
        <w:t xml:space="preserve"> tego</w:t>
      </w:r>
      <w:r w:rsidRPr="00F8489F">
        <w:rPr>
          <w:rFonts w:ascii="Verdana" w:eastAsia="Times New Roman" w:hAnsi="Verdana"/>
        </w:rPr>
        <w:t xml:space="preserve"> przestępstwa. Następnie </w:t>
      </w:r>
      <w:r w:rsidR="008A1DE2">
        <w:rPr>
          <w:rFonts w:ascii="Verdana" w:eastAsia="Times New Roman" w:hAnsi="Verdana"/>
        </w:rPr>
        <w:t>skarżący był</w:t>
      </w:r>
      <w:r w:rsidRPr="00F8489F">
        <w:rPr>
          <w:rFonts w:ascii="Verdana" w:eastAsia="Times New Roman" w:hAnsi="Verdana"/>
        </w:rPr>
        <w:t xml:space="preserve"> podda</w:t>
      </w:r>
      <w:r w:rsidR="008A1DE2">
        <w:rPr>
          <w:rFonts w:ascii="Verdana" w:eastAsia="Times New Roman" w:hAnsi="Verdana"/>
        </w:rPr>
        <w:t>wa</w:t>
      </w:r>
      <w:r w:rsidRPr="00F8489F">
        <w:rPr>
          <w:rFonts w:ascii="Verdana" w:eastAsia="Times New Roman" w:hAnsi="Verdana"/>
        </w:rPr>
        <w:t>ny przez policję kontrol</w:t>
      </w:r>
      <w:r w:rsidR="00BE5618">
        <w:rPr>
          <w:rFonts w:ascii="Verdana" w:eastAsia="Times New Roman" w:hAnsi="Verdana"/>
        </w:rPr>
        <w:t>om</w:t>
      </w:r>
      <w:r w:rsidRPr="00F8489F">
        <w:rPr>
          <w:rFonts w:ascii="Verdana" w:eastAsia="Times New Roman" w:hAnsi="Verdana"/>
        </w:rPr>
        <w:t xml:space="preserve"> </w:t>
      </w:r>
      <w:r w:rsidR="00BE5618">
        <w:rPr>
          <w:rFonts w:ascii="Verdana" w:eastAsia="Times New Roman" w:hAnsi="Verdana"/>
        </w:rPr>
        <w:t>w związku z</w:t>
      </w:r>
      <w:r w:rsidR="008A1DE2">
        <w:rPr>
          <w:rFonts w:ascii="Verdana" w:eastAsia="Times New Roman" w:hAnsi="Verdana"/>
        </w:rPr>
        <w:t>e</w:t>
      </w:r>
      <w:r w:rsidR="00BE5618">
        <w:rPr>
          <w:rFonts w:ascii="Verdana" w:eastAsia="Times New Roman" w:hAnsi="Verdana"/>
        </w:rPr>
        <w:t xml:space="preserve"> </w:t>
      </w:r>
      <w:r w:rsidR="008A1DE2">
        <w:rPr>
          <w:rFonts w:ascii="Verdana" w:eastAsia="Times New Roman" w:hAnsi="Verdana"/>
        </w:rPr>
        <w:t>zgłoszeniami</w:t>
      </w:r>
      <w:r w:rsidR="00BE5618">
        <w:rPr>
          <w:rFonts w:ascii="Verdana" w:eastAsia="Times New Roman" w:hAnsi="Verdana"/>
        </w:rPr>
        <w:t xml:space="preserve"> gwałtów</w:t>
      </w:r>
      <w:r w:rsidRPr="00F8489F">
        <w:rPr>
          <w:rFonts w:ascii="Verdana" w:eastAsia="Times New Roman" w:hAnsi="Verdana"/>
        </w:rPr>
        <w:t xml:space="preserve"> </w:t>
      </w:r>
      <w:r w:rsidR="00BE5618">
        <w:rPr>
          <w:rFonts w:ascii="Verdana" w:eastAsia="Times New Roman" w:hAnsi="Verdana"/>
        </w:rPr>
        <w:t>oraz</w:t>
      </w:r>
      <w:r w:rsidRPr="00F8489F">
        <w:rPr>
          <w:rFonts w:ascii="Verdana" w:eastAsia="Times New Roman" w:hAnsi="Verdana"/>
        </w:rPr>
        <w:t xml:space="preserve"> zaginię</w:t>
      </w:r>
      <w:r w:rsidR="008A1DE2">
        <w:rPr>
          <w:rFonts w:ascii="Verdana" w:eastAsia="Times New Roman" w:hAnsi="Verdana"/>
        </w:rPr>
        <w:t>ciami</w:t>
      </w:r>
      <w:r w:rsidRPr="00F8489F">
        <w:rPr>
          <w:rFonts w:ascii="Verdana" w:eastAsia="Times New Roman" w:hAnsi="Verdana"/>
        </w:rPr>
        <w:t xml:space="preserve"> młodych dziewcząt. Skarżył się na włączenie go do </w:t>
      </w:r>
      <w:r w:rsidR="00815261">
        <w:rPr>
          <w:rFonts w:ascii="Verdana" w:eastAsia="Times New Roman" w:hAnsi="Verdana"/>
        </w:rPr>
        <w:t>rejestrów</w:t>
      </w:r>
      <w:r w:rsidRPr="00F8489F">
        <w:rPr>
          <w:rFonts w:ascii="Verdana" w:eastAsia="Times New Roman" w:hAnsi="Verdana"/>
        </w:rPr>
        <w:t xml:space="preserve"> policyjnych i brak środków zaradczych, które pozwoliłyby na rozpatrzenie skargi.</w:t>
      </w:r>
    </w:p>
    <w:p w14:paraId="7758C1A4" w14:textId="77777777" w:rsidR="00640924" w:rsidRDefault="001E658D" w:rsidP="00AB713F">
      <w:pPr>
        <w:ind w:left="740"/>
        <w:jc w:val="both"/>
        <w:rPr>
          <w:rFonts w:ascii="Verdana" w:eastAsia="Times New Roman" w:hAnsi="Verdana"/>
          <w:color w:val="0070C0"/>
        </w:rPr>
      </w:pPr>
      <w:r w:rsidRPr="00F8489F">
        <w:rPr>
          <w:rFonts w:ascii="Verdana" w:eastAsia="Times New Roman" w:hAnsi="Verdana"/>
          <w:color w:val="0070C0"/>
        </w:rPr>
        <w:t xml:space="preserve">Trybunał orzekł, że nastąpiło </w:t>
      </w:r>
      <w:r w:rsidRPr="00D66926">
        <w:rPr>
          <w:rFonts w:ascii="Verdana" w:eastAsia="Times New Roman" w:hAnsi="Verdana"/>
          <w:b/>
          <w:color w:val="0070C0"/>
        </w:rPr>
        <w:t>naruszenie art. 8 Konwencji</w:t>
      </w:r>
      <w:r w:rsidRPr="00F8489F">
        <w:rPr>
          <w:rFonts w:ascii="Verdana" w:eastAsia="Times New Roman" w:hAnsi="Verdana"/>
          <w:color w:val="0070C0"/>
        </w:rPr>
        <w:t xml:space="preserve">, stwierdzając, że włączenie do akt policyjnych nie było "zgodne z prawem" w rozumieniu tego artykułu. Orzekł również, że nastąpiło </w:t>
      </w:r>
      <w:r w:rsidRPr="00D66926">
        <w:rPr>
          <w:rFonts w:ascii="Verdana" w:eastAsia="Times New Roman" w:hAnsi="Verdana"/>
          <w:b/>
          <w:color w:val="0070C0"/>
        </w:rPr>
        <w:t>naruszenie art. 13</w:t>
      </w:r>
      <w:r w:rsidRPr="00F8489F">
        <w:rPr>
          <w:rFonts w:ascii="Verdana" w:eastAsia="Times New Roman" w:hAnsi="Verdana"/>
          <w:color w:val="0070C0"/>
        </w:rPr>
        <w:t xml:space="preserve"> (prawo do skutecznego środka odwoławczego) </w:t>
      </w:r>
      <w:r w:rsidR="008A1DE2">
        <w:rPr>
          <w:rFonts w:ascii="Verdana" w:eastAsia="Times New Roman" w:hAnsi="Verdana"/>
          <w:color w:val="0070C0"/>
        </w:rPr>
        <w:t>K</w:t>
      </w:r>
      <w:r w:rsidRPr="00F8489F">
        <w:rPr>
          <w:rFonts w:ascii="Verdana" w:eastAsia="Times New Roman" w:hAnsi="Verdana"/>
          <w:color w:val="0070C0"/>
        </w:rPr>
        <w:t xml:space="preserve">onwencji </w:t>
      </w:r>
      <w:r w:rsidRPr="00D66926">
        <w:rPr>
          <w:rFonts w:ascii="Verdana" w:eastAsia="Times New Roman" w:hAnsi="Verdana"/>
          <w:b/>
          <w:color w:val="0070C0"/>
        </w:rPr>
        <w:t>w związku z art. 8</w:t>
      </w:r>
      <w:r w:rsidRPr="00F8489F">
        <w:rPr>
          <w:rFonts w:ascii="Verdana" w:eastAsia="Times New Roman" w:hAnsi="Verdana"/>
          <w:color w:val="0070C0"/>
        </w:rPr>
        <w:t>, ze względu na brak skutecznego środka odwoławczego w tym zakresie.</w:t>
      </w:r>
    </w:p>
    <w:p w14:paraId="2309B175" w14:textId="25BA6708" w:rsidR="001E658D" w:rsidRPr="00A14197" w:rsidRDefault="001E658D" w:rsidP="00AB713F">
      <w:pPr>
        <w:spacing w:before="120" w:line="0" w:lineRule="atLeast"/>
        <w:ind w:left="740"/>
        <w:rPr>
          <w:rFonts w:ascii="Verdana" w:eastAsia="Verdana" w:hAnsi="Verdana"/>
          <w:b/>
          <w:color w:val="0072BC"/>
          <w:u w:val="single"/>
        </w:rPr>
      </w:pPr>
      <w:hyperlink r:id="rId57" w:anchor="{%22itemid%22:[%22003-3581541-4053078%22]}" w:history="1">
        <w:r w:rsidRPr="008572E9">
          <w:rPr>
            <w:rStyle w:val="Hipercze"/>
            <w:rFonts w:ascii="Verdana" w:eastAsia="Verdana" w:hAnsi="Verdana"/>
            <w:b/>
          </w:rPr>
          <w:t>Shimovolos przeciwko Rosji</w:t>
        </w:r>
        <w:r w:rsidR="00CB2D15" w:rsidRPr="008572E9">
          <w:rPr>
            <w:rStyle w:val="Hipercze"/>
            <w:rFonts w:ascii="Verdana" w:eastAsia="Verdana" w:hAnsi="Verdana"/>
            <w:b/>
            <w:vertAlign w:val="superscript"/>
          </w:rPr>
          <w:footnoteReference w:id="12"/>
        </w:r>
      </w:hyperlink>
    </w:p>
    <w:p w14:paraId="45E9992A" w14:textId="77777777" w:rsidR="00815261" w:rsidRDefault="00815261" w:rsidP="00AB713F">
      <w:pPr>
        <w:spacing w:line="0" w:lineRule="atLeast"/>
        <w:ind w:left="740"/>
        <w:rPr>
          <w:rFonts w:ascii="Verdana" w:eastAsia="Verdana" w:hAnsi="Verdana"/>
          <w:color w:val="808080"/>
          <w:sz w:val="18"/>
        </w:rPr>
      </w:pPr>
      <w:r>
        <w:rPr>
          <w:rFonts w:ascii="Verdana" w:eastAsia="Verdana" w:hAnsi="Verdana"/>
          <w:color w:val="808080"/>
          <w:sz w:val="18"/>
        </w:rPr>
        <w:t>21 czerwca 2011 roku</w:t>
      </w:r>
    </w:p>
    <w:p w14:paraId="2DA5BAEC" w14:textId="77777777" w:rsidR="001E658D" w:rsidRPr="00F8489F" w:rsidRDefault="001E658D" w:rsidP="00AB713F">
      <w:pPr>
        <w:spacing w:line="0" w:lineRule="atLeast"/>
        <w:ind w:left="740"/>
        <w:jc w:val="both"/>
        <w:rPr>
          <w:rFonts w:ascii="Verdana" w:eastAsia="Verdana" w:hAnsi="Verdana"/>
          <w:sz w:val="18"/>
        </w:rPr>
      </w:pPr>
      <w:r w:rsidRPr="00F8489F">
        <w:rPr>
          <w:rFonts w:ascii="Verdana" w:eastAsia="Times New Roman" w:hAnsi="Verdana"/>
        </w:rPr>
        <w:t>Sprawa ta dotyczyła rejestracji obrońcy praw człowieka w tzw. "</w:t>
      </w:r>
      <w:r w:rsidR="00407E3B">
        <w:rPr>
          <w:rFonts w:ascii="Verdana" w:eastAsia="Times New Roman" w:hAnsi="Verdana"/>
        </w:rPr>
        <w:t xml:space="preserve">obserwacyjnej </w:t>
      </w:r>
      <w:r w:rsidRPr="00F8489F">
        <w:rPr>
          <w:rFonts w:ascii="Verdana" w:eastAsia="Times New Roman" w:hAnsi="Verdana"/>
        </w:rPr>
        <w:t xml:space="preserve">bazie danych", która gromadziła informacje o jego </w:t>
      </w:r>
      <w:r w:rsidR="00407E3B">
        <w:rPr>
          <w:rFonts w:ascii="Verdana" w:eastAsia="Times New Roman" w:hAnsi="Verdana"/>
        </w:rPr>
        <w:t>przemieszczaniu się</w:t>
      </w:r>
      <w:r w:rsidRPr="00F8489F">
        <w:rPr>
          <w:rFonts w:ascii="Verdana" w:eastAsia="Times New Roman" w:hAnsi="Verdana"/>
        </w:rPr>
        <w:t>, pociągiem lub samolotem, na terenie Rosji, oraz jego aresztowania</w:t>
      </w:r>
      <w:r w:rsidR="00815261">
        <w:rPr>
          <w:rFonts w:ascii="Verdana" w:eastAsia="Times New Roman" w:hAnsi="Verdana"/>
        </w:rPr>
        <w:t>ch</w:t>
      </w:r>
      <w:r w:rsidRPr="00F8489F">
        <w:rPr>
          <w:rFonts w:ascii="Verdana" w:eastAsia="Times New Roman" w:hAnsi="Verdana"/>
        </w:rPr>
        <w:t>.</w:t>
      </w:r>
    </w:p>
    <w:p w14:paraId="4A00C155" w14:textId="77777777" w:rsidR="00815261" w:rsidRDefault="001E658D" w:rsidP="00AB713F">
      <w:pPr>
        <w:ind w:left="740"/>
        <w:jc w:val="both"/>
        <w:rPr>
          <w:rFonts w:ascii="Verdana" w:eastAsia="Times New Roman" w:hAnsi="Verdana"/>
          <w:b/>
          <w:color w:val="0070C0"/>
        </w:rPr>
      </w:pPr>
      <w:r w:rsidRPr="00F8489F">
        <w:rPr>
          <w:rFonts w:ascii="Verdana" w:eastAsia="Times New Roman" w:hAnsi="Verdana"/>
          <w:color w:val="0070C0"/>
        </w:rPr>
        <w:t xml:space="preserve">Trybunał orzekł, że nastąpiło </w:t>
      </w:r>
      <w:r w:rsidRPr="00D66926">
        <w:rPr>
          <w:rFonts w:ascii="Verdana" w:eastAsia="Times New Roman" w:hAnsi="Verdana"/>
          <w:b/>
          <w:color w:val="0070C0"/>
        </w:rPr>
        <w:t>naruszenie art. 8 Konwencji</w:t>
      </w:r>
      <w:r w:rsidRPr="00F8489F">
        <w:rPr>
          <w:rFonts w:ascii="Verdana" w:eastAsia="Times New Roman" w:hAnsi="Verdana"/>
          <w:color w:val="0070C0"/>
        </w:rPr>
        <w:t>. Trybunał zauważył w szczególności, że tworzenie i prowadzenie baz</w:t>
      </w:r>
      <w:r w:rsidR="00407E3B">
        <w:rPr>
          <w:rFonts w:ascii="Verdana" w:eastAsia="Times New Roman" w:hAnsi="Verdana"/>
          <w:color w:val="0070C0"/>
        </w:rPr>
        <w:t>y</w:t>
      </w:r>
      <w:r w:rsidRPr="00F8489F">
        <w:rPr>
          <w:rFonts w:ascii="Verdana" w:eastAsia="Times New Roman" w:hAnsi="Verdana"/>
          <w:color w:val="0070C0"/>
        </w:rPr>
        <w:t xml:space="preserve"> danych oraz procedura </w:t>
      </w:r>
      <w:r w:rsidR="00407E3B">
        <w:rPr>
          <w:rFonts w:ascii="Verdana" w:eastAsia="Times New Roman" w:hAnsi="Verdana"/>
          <w:color w:val="0070C0"/>
        </w:rPr>
        <w:t>jej</w:t>
      </w:r>
      <w:r w:rsidRPr="00F8489F">
        <w:rPr>
          <w:rFonts w:ascii="Verdana" w:eastAsia="Times New Roman" w:hAnsi="Verdana"/>
          <w:color w:val="0070C0"/>
        </w:rPr>
        <w:t xml:space="preserve"> funkcjonowania regulowane </w:t>
      </w:r>
      <w:r w:rsidR="00407E3B">
        <w:rPr>
          <w:rFonts w:ascii="Verdana" w:eastAsia="Times New Roman" w:hAnsi="Verdana"/>
          <w:color w:val="0070C0"/>
        </w:rPr>
        <w:t>były</w:t>
      </w:r>
      <w:r w:rsidRPr="00F8489F">
        <w:rPr>
          <w:rFonts w:ascii="Verdana" w:eastAsia="Times New Roman" w:hAnsi="Verdana"/>
          <w:color w:val="0070C0"/>
        </w:rPr>
        <w:t xml:space="preserve"> zarządzeniem </w:t>
      </w:r>
      <w:r w:rsidR="00407E3B">
        <w:rPr>
          <w:rFonts w:ascii="Verdana" w:eastAsia="Times New Roman" w:hAnsi="Verdana"/>
          <w:color w:val="0070C0"/>
        </w:rPr>
        <w:t>ministra</w:t>
      </w:r>
      <w:r w:rsidRPr="00F8489F">
        <w:rPr>
          <w:rFonts w:ascii="Verdana" w:eastAsia="Times New Roman" w:hAnsi="Verdana"/>
          <w:color w:val="0070C0"/>
        </w:rPr>
        <w:t>, które nigdy nie zostało opublikowane lub w inny sposób udostępnione opinii publicznej. W związku z tym Trybunał stwierdził, że prawo krajowe nie określa wystarczająco jasno zakresu i sposobu korzystania z uprawnień dyskrecjonalnych przyznanych władzom krajowym w zakresie gromadzenia i przechowywania w bazie danych informacji dotyczących życia prywatnego osób fizycznych. W szczególności nie określiła ona w formie dostępnej dla ogółu społeczeństwa żadnego wskazania minimalnych zabezpieczeń przed nadużyciami.</w:t>
      </w:r>
    </w:p>
    <w:p w14:paraId="1A05AC4D" w14:textId="5D099D98" w:rsidR="001E658D" w:rsidRPr="00A14197" w:rsidRDefault="001E658D" w:rsidP="00AB713F">
      <w:pPr>
        <w:spacing w:before="120" w:line="0" w:lineRule="atLeast"/>
        <w:ind w:left="740"/>
        <w:rPr>
          <w:rFonts w:ascii="Verdana" w:eastAsia="Verdana" w:hAnsi="Verdana"/>
          <w:b/>
          <w:color w:val="0072BC"/>
          <w:u w:val="single"/>
        </w:rPr>
      </w:pPr>
      <w:hyperlink r:id="rId58" w:anchor="{%22itemid%22:[%22003-3714372-4232718%22]}" w:history="1">
        <w:r w:rsidRPr="008572E9">
          <w:rPr>
            <w:rStyle w:val="Hipercze"/>
            <w:rFonts w:ascii="Verdana" w:eastAsia="Verdana" w:hAnsi="Verdana"/>
            <w:b/>
          </w:rPr>
          <w:t>Khelili przeciwko Szwajcarii</w:t>
        </w:r>
      </w:hyperlink>
    </w:p>
    <w:p w14:paraId="66AFD851" w14:textId="77777777" w:rsidR="002E1E51" w:rsidRDefault="002E1E51" w:rsidP="00AB713F">
      <w:pPr>
        <w:spacing w:line="0" w:lineRule="atLeast"/>
        <w:ind w:left="740"/>
        <w:rPr>
          <w:rFonts w:ascii="Verdana" w:eastAsia="Verdana" w:hAnsi="Verdana"/>
          <w:color w:val="808080"/>
          <w:sz w:val="18"/>
        </w:rPr>
      </w:pPr>
      <w:r>
        <w:rPr>
          <w:rFonts w:ascii="Verdana" w:eastAsia="Verdana" w:hAnsi="Verdana"/>
          <w:color w:val="808080"/>
          <w:sz w:val="18"/>
        </w:rPr>
        <w:t>18 października 2011 roku</w:t>
      </w:r>
    </w:p>
    <w:p w14:paraId="030A8D2C" w14:textId="77777777" w:rsidR="001E658D" w:rsidRPr="00F8489F" w:rsidRDefault="00C2019B" w:rsidP="00AB713F">
      <w:pPr>
        <w:ind w:left="740"/>
        <w:jc w:val="both"/>
        <w:rPr>
          <w:rFonts w:ascii="Verdana" w:eastAsia="Times New Roman" w:hAnsi="Verdana"/>
        </w:rPr>
      </w:pPr>
      <w:r>
        <w:rPr>
          <w:rFonts w:ascii="Verdana" w:eastAsia="Times New Roman" w:hAnsi="Verdana"/>
        </w:rPr>
        <w:t xml:space="preserve">Przedmiotem niniejszej skargi były wizytówki o treści: </w:t>
      </w:r>
      <w:r w:rsidR="001E658D" w:rsidRPr="00F8489F">
        <w:rPr>
          <w:rFonts w:ascii="Verdana" w:eastAsia="Times New Roman" w:hAnsi="Verdana"/>
          <w:i/>
        </w:rPr>
        <w:t xml:space="preserve">"Miła, </w:t>
      </w:r>
      <w:r w:rsidR="005538F0">
        <w:rPr>
          <w:rFonts w:ascii="Verdana" w:eastAsia="Times New Roman" w:hAnsi="Verdana"/>
          <w:i/>
        </w:rPr>
        <w:t>ładna</w:t>
      </w:r>
      <w:r w:rsidR="001E658D" w:rsidRPr="00F8489F">
        <w:rPr>
          <w:rFonts w:ascii="Verdana" w:eastAsia="Times New Roman" w:hAnsi="Verdana"/>
          <w:i/>
        </w:rPr>
        <w:t xml:space="preserve"> kobieta, </w:t>
      </w:r>
      <w:r w:rsidR="005538F0">
        <w:rPr>
          <w:rFonts w:ascii="Verdana" w:eastAsia="Times New Roman" w:hAnsi="Verdana"/>
          <w:i/>
        </w:rPr>
        <w:t>przed czterdziestką</w:t>
      </w:r>
      <w:r w:rsidR="001E658D" w:rsidRPr="00F8489F">
        <w:rPr>
          <w:rFonts w:ascii="Verdana" w:eastAsia="Times New Roman" w:hAnsi="Verdana"/>
          <w:i/>
        </w:rPr>
        <w:t>, chciałaby spotkać się z mężczyzną, ab</w:t>
      </w:r>
      <w:r w:rsidR="005538F0">
        <w:rPr>
          <w:rFonts w:ascii="Verdana" w:eastAsia="Times New Roman" w:hAnsi="Verdana"/>
          <w:i/>
        </w:rPr>
        <w:t>y wy</w:t>
      </w:r>
      <w:r w:rsidR="001E658D" w:rsidRPr="00F8489F">
        <w:rPr>
          <w:rFonts w:ascii="Verdana" w:eastAsia="Times New Roman" w:hAnsi="Verdana"/>
          <w:i/>
        </w:rPr>
        <w:t xml:space="preserve">pić razem </w:t>
      </w:r>
      <w:r w:rsidR="005538F0">
        <w:rPr>
          <w:rFonts w:ascii="Verdana" w:eastAsia="Times New Roman" w:hAnsi="Verdana"/>
          <w:i/>
        </w:rPr>
        <w:t xml:space="preserve">drinka </w:t>
      </w:r>
      <w:r w:rsidR="001E658D" w:rsidRPr="00F8489F">
        <w:rPr>
          <w:rFonts w:ascii="Verdana" w:eastAsia="Times New Roman" w:hAnsi="Verdana"/>
          <w:i/>
        </w:rPr>
        <w:t>lub wyjść od czasu do czasu</w:t>
      </w:r>
      <w:r w:rsidR="00937A98" w:rsidRPr="00F8489F">
        <w:rPr>
          <w:rFonts w:ascii="Verdana" w:eastAsia="Times New Roman" w:hAnsi="Verdana"/>
          <w:i/>
        </w:rPr>
        <w:t>. Nr telefonu:</w:t>
      </w:r>
      <w:r w:rsidR="001E658D" w:rsidRPr="00F8489F">
        <w:rPr>
          <w:rFonts w:ascii="Verdana" w:eastAsia="Times New Roman" w:hAnsi="Verdana"/>
          <w:i/>
        </w:rPr>
        <w:t xml:space="preserve"> ...."</w:t>
      </w:r>
      <w:r>
        <w:rPr>
          <w:rFonts w:ascii="Verdana" w:eastAsia="Times New Roman" w:hAnsi="Verdana"/>
          <w:i/>
        </w:rPr>
        <w:t xml:space="preserve">, </w:t>
      </w:r>
      <w:r w:rsidRPr="00F8489F">
        <w:rPr>
          <w:rFonts w:ascii="Verdana" w:eastAsia="Times New Roman" w:hAnsi="Verdana"/>
        </w:rPr>
        <w:t xml:space="preserve">które policja </w:t>
      </w:r>
      <w:r>
        <w:rPr>
          <w:rFonts w:ascii="Verdana" w:eastAsia="Times New Roman" w:hAnsi="Verdana"/>
        </w:rPr>
        <w:t xml:space="preserve">genewska </w:t>
      </w:r>
      <w:r w:rsidRPr="00F8489F">
        <w:rPr>
          <w:rFonts w:ascii="Verdana" w:eastAsia="Times New Roman" w:hAnsi="Verdana"/>
        </w:rPr>
        <w:t>znalazła</w:t>
      </w:r>
      <w:r>
        <w:rPr>
          <w:rFonts w:ascii="Verdana" w:eastAsia="Times New Roman" w:hAnsi="Verdana"/>
        </w:rPr>
        <w:t xml:space="preserve"> w trakcie kontroli policyjnej w 1993 r</w:t>
      </w:r>
      <w:r w:rsidR="005538F0">
        <w:rPr>
          <w:rFonts w:ascii="Verdana" w:eastAsia="Times New Roman" w:hAnsi="Verdana"/>
        </w:rPr>
        <w:t>oku</w:t>
      </w:r>
      <w:r>
        <w:rPr>
          <w:rFonts w:ascii="Verdana" w:eastAsia="Times New Roman" w:hAnsi="Verdana"/>
        </w:rPr>
        <w:t xml:space="preserve"> przy skarżącej. </w:t>
      </w:r>
      <w:r w:rsidR="001E658D" w:rsidRPr="00F8489F">
        <w:rPr>
          <w:rFonts w:ascii="Verdana" w:eastAsia="Times New Roman" w:hAnsi="Verdana"/>
        </w:rPr>
        <w:t>Skarżąca twierdziła, że w następstwie tego odkrycia policja wpisała j</w:t>
      </w:r>
      <w:r w:rsidR="00C70911">
        <w:rPr>
          <w:rFonts w:ascii="Verdana" w:eastAsia="Times New Roman" w:hAnsi="Verdana"/>
        </w:rPr>
        <w:t>ą</w:t>
      </w:r>
      <w:r w:rsidR="001E658D" w:rsidRPr="00F8489F">
        <w:rPr>
          <w:rFonts w:ascii="Verdana" w:eastAsia="Times New Roman" w:hAnsi="Verdana"/>
        </w:rPr>
        <w:t xml:space="preserve"> do </w:t>
      </w:r>
      <w:r w:rsidRPr="00F8489F">
        <w:rPr>
          <w:rFonts w:ascii="Verdana" w:eastAsia="Times New Roman" w:hAnsi="Verdana"/>
        </w:rPr>
        <w:t>rejestru</w:t>
      </w:r>
      <w:r w:rsidR="001E658D" w:rsidRPr="00F8489F">
        <w:rPr>
          <w:rFonts w:ascii="Verdana" w:eastAsia="Times New Roman" w:hAnsi="Verdana"/>
        </w:rPr>
        <w:t xml:space="preserve"> </w:t>
      </w:r>
      <w:r w:rsidR="005538F0">
        <w:rPr>
          <w:rFonts w:ascii="Verdana" w:eastAsia="Times New Roman" w:hAnsi="Verdana"/>
        </w:rPr>
        <w:t xml:space="preserve">jako </w:t>
      </w:r>
      <w:r w:rsidR="001E658D" w:rsidRPr="00F8489F">
        <w:rPr>
          <w:rFonts w:ascii="Verdana" w:eastAsia="Times New Roman" w:hAnsi="Verdana"/>
        </w:rPr>
        <w:t>prostytut</w:t>
      </w:r>
      <w:r w:rsidR="005538F0">
        <w:rPr>
          <w:rFonts w:ascii="Verdana" w:eastAsia="Times New Roman" w:hAnsi="Verdana"/>
        </w:rPr>
        <w:t>kę</w:t>
      </w:r>
      <w:r w:rsidR="001E658D" w:rsidRPr="00F8489F">
        <w:rPr>
          <w:rFonts w:ascii="Verdana" w:eastAsia="Times New Roman" w:hAnsi="Verdana"/>
        </w:rPr>
        <w:t xml:space="preserve">, </w:t>
      </w:r>
      <w:r w:rsidR="005A0CC4" w:rsidRPr="00F8489F">
        <w:rPr>
          <w:rFonts w:ascii="Verdana" w:eastAsia="Times New Roman" w:hAnsi="Verdana"/>
        </w:rPr>
        <w:t>choć skarżąca</w:t>
      </w:r>
      <w:r w:rsidR="00C70911">
        <w:rPr>
          <w:rFonts w:ascii="Verdana" w:eastAsia="Times New Roman" w:hAnsi="Verdana"/>
        </w:rPr>
        <w:t xml:space="preserve"> konsekwentnie odmawiała przyznania się do uprawiania tego zawodu</w:t>
      </w:r>
      <w:r w:rsidR="005A0CC4" w:rsidRPr="00F8489F">
        <w:rPr>
          <w:rFonts w:ascii="Verdana" w:eastAsia="Times New Roman" w:hAnsi="Verdana"/>
        </w:rPr>
        <w:t>.</w:t>
      </w:r>
      <w:r w:rsidR="001E658D" w:rsidRPr="00F8489F">
        <w:rPr>
          <w:rFonts w:ascii="Verdana" w:eastAsia="Times New Roman" w:hAnsi="Verdana"/>
        </w:rPr>
        <w:t xml:space="preserve"> Oświadczyła, że przechowywanie rzekomo fałszywych danych dotyczących jej życia prywatnego naruszyło jej prawo do poszanowania jej życia prywatnego.</w:t>
      </w:r>
    </w:p>
    <w:p w14:paraId="46D67A1F" w14:textId="77777777" w:rsidR="002E1E51" w:rsidRDefault="00937A98" w:rsidP="00AB713F">
      <w:pPr>
        <w:ind w:left="740"/>
        <w:jc w:val="both"/>
        <w:rPr>
          <w:rFonts w:ascii="Verdana" w:eastAsia="Times New Roman" w:hAnsi="Verdana"/>
          <w:color w:val="0070C0"/>
        </w:rPr>
      </w:pPr>
      <w:r w:rsidRPr="00937A98">
        <w:rPr>
          <w:rFonts w:ascii="Verdana" w:eastAsia="Times New Roman" w:hAnsi="Verdana"/>
          <w:color w:val="0070C0"/>
        </w:rPr>
        <w:t xml:space="preserve">Trybunał orzekł, że nastąpiło </w:t>
      </w:r>
      <w:r w:rsidRPr="00F8489F">
        <w:rPr>
          <w:rFonts w:ascii="Verdana" w:eastAsia="Times New Roman" w:hAnsi="Verdana"/>
          <w:b/>
          <w:color w:val="0070C0"/>
        </w:rPr>
        <w:t>naruszenie art. 8 Konwencji</w:t>
      </w:r>
      <w:r w:rsidRPr="00937A98">
        <w:rPr>
          <w:rFonts w:ascii="Verdana" w:eastAsia="Times New Roman" w:hAnsi="Verdana"/>
          <w:color w:val="0070C0"/>
        </w:rPr>
        <w:t>, stwierdzając, że przechowywanie w aktach policyjnych rzekomo fałszywych danych dotyczących jej życia prywatnego naruszyło prawo skarżącej do poszanowania jej życia prywatnego</w:t>
      </w:r>
      <w:r w:rsidR="00C70911">
        <w:rPr>
          <w:rFonts w:ascii="Verdana" w:eastAsia="Times New Roman" w:hAnsi="Verdana"/>
          <w:color w:val="0070C0"/>
        </w:rPr>
        <w:t>,</w:t>
      </w:r>
      <w:r w:rsidRPr="00937A98">
        <w:rPr>
          <w:rFonts w:ascii="Verdana" w:eastAsia="Times New Roman" w:hAnsi="Verdana"/>
          <w:color w:val="0070C0"/>
        </w:rPr>
        <w:t xml:space="preserve"> oraz że</w:t>
      </w:r>
      <w:r w:rsidR="005A0CC4">
        <w:rPr>
          <w:rFonts w:ascii="Verdana" w:eastAsia="Times New Roman" w:hAnsi="Verdana"/>
          <w:color w:val="0070C0"/>
        </w:rPr>
        <w:t xml:space="preserve"> </w:t>
      </w:r>
      <w:r w:rsidR="00C70911">
        <w:rPr>
          <w:rFonts w:ascii="Verdana" w:eastAsia="Times New Roman" w:hAnsi="Verdana"/>
          <w:color w:val="0070C0"/>
        </w:rPr>
        <w:t>utrzymanie</w:t>
      </w:r>
      <w:r w:rsidR="005A0CC4">
        <w:rPr>
          <w:rFonts w:ascii="Verdana" w:eastAsia="Times New Roman" w:hAnsi="Verdana"/>
          <w:color w:val="0070C0"/>
        </w:rPr>
        <w:t xml:space="preserve"> </w:t>
      </w:r>
      <w:r w:rsidRPr="00937A98">
        <w:rPr>
          <w:rFonts w:ascii="Verdana" w:eastAsia="Times New Roman" w:hAnsi="Verdana"/>
          <w:color w:val="0070C0"/>
        </w:rPr>
        <w:t>słow</w:t>
      </w:r>
      <w:r w:rsidR="005A0CC4">
        <w:rPr>
          <w:rFonts w:ascii="Verdana" w:eastAsia="Times New Roman" w:hAnsi="Verdana"/>
          <w:color w:val="0070C0"/>
        </w:rPr>
        <w:t>a</w:t>
      </w:r>
      <w:r w:rsidRPr="00937A98">
        <w:rPr>
          <w:rFonts w:ascii="Verdana" w:eastAsia="Times New Roman" w:hAnsi="Verdana"/>
          <w:color w:val="0070C0"/>
        </w:rPr>
        <w:t xml:space="preserve"> "prostytutka" </w:t>
      </w:r>
      <w:r w:rsidR="00C70911">
        <w:rPr>
          <w:rFonts w:ascii="Verdana" w:eastAsia="Times New Roman" w:hAnsi="Verdana"/>
          <w:color w:val="0070C0"/>
        </w:rPr>
        <w:t xml:space="preserve">przez lata </w:t>
      </w:r>
      <w:r w:rsidRPr="00937A98">
        <w:rPr>
          <w:rFonts w:ascii="Verdana" w:eastAsia="Times New Roman" w:hAnsi="Verdana"/>
          <w:color w:val="0070C0"/>
        </w:rPr>
        <w:t xml:space="preserve">nie było ani uzasadnione, ani konieczne w społeczeństwie demokratycznym. Trybunał zauważył w szczególności, że rozpatrywane słowo może zaszkodzić reputacji skarżącej i sprawić, że jej życie codzienne stanie się bardziej problematyczne, biorąc pod uwagę, że dane zawarte w aktach policyjnych mogą zostać przekazane władzom. Było to tym bardziej istotne, że dane osobowe są obecnie poddawane automatycznemu przetwarzaniu, co znacznie ułatwia dostęp do takich danych i ich rozpowszechnianie. </w:t>
      </w:r>
      <w:r w:rsidR="00640924">
        <w:rPr>
          <w:rFonts w:ascii="Verdana" w:eastAsia="Times New Roman" w:hAnsi="Verdana"/>
          <w:color w:val="0070C0"/>
        </w:rPr>
        <w:t>Stąd s</w:t>
      </w:r>
      <w:r w:rsidRPr="00937A98">
        <w:rPr>
          <w:rFonts w:ascii="Verdana" w:eastAsia="Times New Roman" w:hAnsi="Verdana"/>
          <w:color w:val="0070C0"/>
        </w:rPr>
        <w:t>karżąc</w:t>
      </w:r>
      <w:r w:rsidR="005A0CC4">
        <w:rPr>
          <w:rFonts w:ascii="Verdana" w:eastAsia="Times New Roman" w:hAnsi="Verdana"/>
          <w:color w:val="0070C0"/>
        </w:rPr>
        <w:t>a</w:t>
      </w:r>
      <w:r w:rsidRPr="00937A98">
        <w:rPr>
          <w:rFonts w:ascii="Verdana" w:eastAsia="Times New Roman" w:hAnsi="Verdana"/>
          <w:color w:val="0070C0"/>
        </w:rPr>
        <w:t xml:space="preserve"> </w:t>
      </w:r>
      <w:r w:rsidR="00C70911">
        <w:rPr>
          <w:rFonts w:ascii="Verdana" w:eastAsia="Times New Roman" w:hAnsi="Verdana"/>
          <w:color w:val="0070C0"/>
        </w:rPr>
        <w:t>miała</w:t>
      </w:r>
      <w:r w:rsidRPr="00937A98">
        <w:rPr>
          <w:rFonts w:ascii="Verdana" w:eastAsia="Times New Roman" w:hAnsi="Verdana"/>
          <w:color w:val="0070C0"/>
        </w:rPr>
        <w:t xml:space="preserve"> </w:t>
      </w:r>
      <w:r w:rsidR="00C70911">
        <w:rPr>
          <w:rFonts w:ascii="Verdana" w:eastAsia="Times New Roman" w:hAnsi="Verdana"/>
          <w:color w:val="0070C0"/>
        </w:rPr>
        <w:t>istotny interes w</w:t>
      </w:r>
      <w:r w:rsidR="00640924">
        <w:rPr>
          <w:rFonts w:ascii="Verdana" w:eastAsia="Times New Roman" w:hAnsi="Verdana"/>
          <w:color w:val="0070C0"/>
        </w:rPr>
        <w:t xml:space="preserve"> </w:t>
      </w:r>
      <w:r w:rsidRPr="00937A98">
        <w:rPr>
          <w:rFonts w:ascii="Verdana" w:eastAsia="Times New Roman" w:hAnsi="Verdana"/>
          <w:color w:val="0070C0"/>
        </w:rPr>
        <w:t>usunięci</w:t>
      </w:r>
      <w:r w:rsidR="00C70911">
        <w:rPr>
          <w:rFonts w:ascii="Verdana" w:eastAsia="Times New Roman" w:hAnsi="Verdana"/>
          <w:color w:val="0070C0"/>
        </w:rPr>
        <w:t>u</w:t>
      </w:r>
      <w:r w:rsidRPr="00937A98">
        <w:rPr>
          <w:rFonts w:ascii="Verdana" w:eastAsia="Times New Roman" w:hAnsi="Verdana"/>
          <w:color w:val="0070C0"/>
        </w:rPr>
        <w:t xml:space="preserve"> słowa "prostytutka" z policyjnych</w:t>
      </w:r>
      <w:r w:rsidR="00640924">
        <w:rPr>
          <w:rFonts w:ascii="Verdana" w:eastAsia="Times New Roman" w:hAnsi="Verdana"/>
          <w:color w:val="0070C0"/>
        </w:rPr>
        <w:t xml:space="preserve"> rejestrów</w:t>
      </w:r>
      <w:r w:rsidRPr="00937A98">
        <w:rPr>
          <w:rFonts w:ascii="Verdana" w:eastAsia="Times New Roman" w:hAnsi="Verdana"/>
          <w:color w:val="0070C0"/>
        </w:rPr>
        <w:t>.</w:t>
      </w:r>
    </w:p>
    <w:p w14:paraId="2D17C664" w14:textId="7E9B2657" w:rsidR="001E658D" w:rsidRPr="00A14197" w:rsidRDefault="001E658D" w:rsidP="00AB713F">
      <w:pPr>
        <w:spacing w:before="120" w:line="0" w:lineRule="atLeast"/>
        <w:ind w:left="740"/>
        <w:rPr>
          <w:rFonts w:ascii="Verdana" w:eastAsia="Verdana" w:hAnsi="Verdana"/>
          <w:b/>
          <w:color w:val="0072BC"/>
          <w:u w:val="single"/>
        </w:rPr>
      </w:pPr>
      <w:hyperlink r:id="rId59" w:anchor="{%22itemid%22:[%22002-7300%22]}" w:history="1">
        <w:r w:rsidRPr="008572E9">
          <w:rPr>
            <w:rStyle w:val="Hipercze"/>
            <w:rFonts w:ascii="Verdana" w:eastAsia="Verdana" w:hAnsi="Verdana"/>
            <w:b/>
          </w:rPr>
          <w:t>M.M. przeciwko Zjednoczonemu Królestwu (nr 24029/07)</w:t>
        </w:r>
      </w:hyperlink>
    </w:p>
    <w:p w14:paraId="0422AD9E" w14:textId="77777777" w:rsidR="00640924" w:rsidRDefault="00640924" w:rsidP="00AB713F">
      <w:pPr>
        <w:ind w:left="740"/>
        <w:jc w:val="both"/>
        <w:rPr>
          <w:rFonts w:ascii="Verdana" w:eastAsia="Times New Roman" w:hAnsi="Verdana"/>
          <w:b/>
          <w:color w:val="0070C0"/>
          <w:u w:val="single"/>
        </w:rPr>
      </w:pPr>
      <w:bookmarkStart w:id="11" w:name="_Hlk18054384"/>
      <w:r>
        <w:rPr>
          <w:rFonts w:ascii="Verdana" w:eastAsia="Verdana" w:hAnsi="Verdana"/>
          <w:color w:val="808080"/>
          <w:sz w:val="18"/>
        </w:rPr>
        <w:t>13 listopada 2012 roku</w:t>
      </w:r>
    </w:p>
    <w:bookmarkEnd w:id="11"/>
    <w:p w14:paraId="416B3E38" w14:textId="77777777" w:rsidR="00D66926" w:rsidRDefault="001E658D" w:rsidP="00AB713F">
      <w:pPr>
        <w:ind w:left="740"/>
        <w:jc w:val="both"/>
        <w:rPr>
          <w:rFonts w:ascii="Verdana" w:eastAsia="Times New Roman" w:hAnsi="Verdana"/>
        </w:rPr>
      </w:pPr>
      <w:r w:rsidRPr="00F8489F">
        <w:rPr>
          <w:rFonts w:ascii="Verdana" w:eastAsia="Times New Roman" w:hAnsi="Verdana"/>
        </w:rPr>
        <w:t>W 2000 r</w:t>
      </w:r>
      <w:r w:rsidR="00EB3B3E">
        <w:rPr>
          <w:rFonts w:ascii="Verdana" w:eastAsia="Times New Roman" w:hAnsi="Verdana"/>
        </w:rPr>
        <w:t>oku</w:t>
      </w:r>
      <w:r w:rsidRPr="00F8489F">
        <w:rPr>
          <w:rFonts w:ascii="Verdana" w:eastAsia="Times New Roman" w:hAnsi="Verdana"/>
        </w:rPr>
        <w:t xml:space="preserve"> skarżąca została aresztowana przez policję po tym, jak zniknęła z wnuczkiem na jeden dzień, próbując zapobiec jego wyjazdowi do Australii po rozpadzie małżeństwa jej syna. Władze postanowiły nie wnosić oskarżenia</w:t>
      </w:r>
      <w:r w:rsidR="00D66926">
        <w:rPr>
          <w:rFonts w:ascii="Verdana" w:eastAsia="Times New Roman" w:hAnsi="Verdana"/>
        </w:rPr>
        <w:t xml:space="preserve"> o uprowadzeni</w:t>
      </w:r>
      <w:r w:rsidR="00EB3B3E">
        <w:rPr>
          <w:rFonts w:ascii="Verdana" w:eastAsia="Times New Roman" w:hAnsi="Verdana"/>
        </w:rPr>
        <w:t>e</w:t>
      </w:r>
      <w:r w:rsidR="00D66926">
        <w:rPr>
          <w:rFonts w:ascii="Verdana" w:eastAsia="Times New Roman" w:hAnsi="Verdana"/>
        </w:rPr>
        <w:t xml:space="preserve"> dziecka, zamiast tego</w:t>
      </w:r>
      <w:r w:rsidR="00EB3B3E">
        <w:rPr>
          <w:rFonts w:ascii="Verdana" w:eastAsia="Times New Roman" w:hAnsi="Verdana"/>
        </w:rPr>
        <w:t xml:space="preserve"> skarżąca</w:t>
      </w:r>
      <w:r w:rsidR="00D66926">
        <w:rPr>
          <w:rFonts w:ascii="Verdana" w:eastAsia="Times New Roman" w:hAnsi="Verdana"/>
        </w:rPr>
        <w:t xml:space="preserve"> została pouczona. </w:t>
      </w:r>
      <w:r w:rsidRPr="00F8489F">
        <w:rPr>
          <w:rFonts w:ascii="Verdana" w:eastAsia="Times New Roman" w:hAnsi="Verdana"/>
        </w:rPr>
        <w:t xml:space="preserve">Początkowo </w:t>
      </w:r>
      <w:r w:rsidR="00375895">
        <w:rPr>
          <w:rFonts w:ascii="Verdana" w:eastAsia="Times New Roman" w:hAnsi="Verdana"/>
        </w:rPr>
        <w:t>pouczenie</w:t>
      </w:r>
      <w:r w:rsidRPr="00F8489F">
        <w:rPr>
          <w:rFonts w:ascii="Verdana" w:eastAsia="Times New Roman" w:hAnsi="Verdana"/>
        </w:rPr>
        <w:t xml:space="preserve"> </w:t>
      </w:r>
      <w:r w:rsidR="00D66926">
        <w:rPr>
          <w:rFonts w:ascii="Verdana" w:eastAsia="Times New Roman" w:hAnsi="Verdana"/>
        </w:rPr>
        <w:t xml:space="preserve">to </w:t>
      </w:r>
      <w:r w:rsidRPr="00F8489F">
        <w:rPr>
          <w:rFonts w:ascii="Verdana" w:eastAsia="Times New Roman" w:hAnsi="Verdana"/>
        </w:rPr>
        <w:t>miał</w:t>
      </w:r>
      <w:r w:rsidR="00375895">
        <w:rPr>
          <w:rFonts w:ascii="Verdana" w:eastAsia="Times New Roman" w:hAnsi="Verdana"/>
        </w:rPr>
        <w:t>o</w:t>
      </w:r>
      <w:r w:rsidRPr="00F8489F">
        <w:rPr>
          <w:rFonts w:ascii="Verdana" w:eastAsia="Times New Roman" w:hAnsi="Verdana"/>
        </w:rPr>
        <w:t xml:space="preserve"> pozostać w aktach przez pięć lat, lecz z powodu zmiany polityki w przypadkach, gdy pokrzywdzonym było dziecko, okres ten został przedłużony </w:t>
      </w:r>
      <w:r w:rsidR="00561CD2">
        <w:rPr>
          <w:rFonts w:ascii="Verdana" w:eastAsia="Times New Roman" w:hAnsi="Verdana"/>
        </w:rPr>
        <w:t>dożywotnio</w:t>
      </w:r>
      <w:r w:rsidRPr="00F8489F">
        <w:rPr>
          <w:rFonts w:ascii="Verdana" w:eastAsia="Times New Roman" w:hAnsi="Verdana"/>
        </w:rPr>
        <w:t xml:space="preserve">. </w:t>
      </w:r>
      <w:r w:rsidR="00561CD2">
        <w:rPr>
          <w:rFonts w:ascii="Verdana" w:eastAsia="Times New Roman" w:hAnsi="Verdana"/>
        </w:rPr>
        <w:t>Skarżąca</w:t>
      </w:r>
      <w:r w:rsidRPr="00F8489F">
        <w:rPr>
          <w:rFonts w:ascii="Verdana" w:eastAsia="Times New Roman" w:hAnsi="Verdana"/>
        </w:rPr>
        <w:t xml:space="preserve"> skarżyła się na </w:t>
      </w:r>
      <w:r w:rsidR="00F437CE">
        <w:rPr>
          <w:rFonts w:ascii="Verdana" w:eastAsia="Times New Roman" w:hAnsi="Verdana"/>
        </w:rPr>
        <w:t xml:space="preserve">brak ograniczenia czasowego </w:t>
      </w:r>
      <w:r w:rsidR="00F437CE">
        <w:rPr>
          <w:rFonts w:ascii="Verdana" w:eastAsia="Times New Roman" w:hAnsi="Verdana"/>
        </w:rPr>
        <w:lastRenderedPageBreak/>
        <w:t>co do</w:t>
      </w:r>
      <w:r w:rsidRPr="00F8489F">
        <w:rPr>
          <w:rFonts w:ascii="Verdana" w:eastAsia="Times New Roman" w:hAnsi="Verdana"/>
        </w:rPr>
        <w:t xml:space="preserve"> przechowywani</w:t>
      </w:r>
      <w:r w:rsidR="00F437CE">
        <w:rPr>
          <w:rFonts w:ascii="Verdana" w:eastAsia="Times New Roman" w:hAnsi="Verdana"/>
        </w:rPr>
        <w:t>a</w:t>
      </w:r>
      <w:r w:rsidRPr="00F8489F">
        <w:rPr>
          <w:rFonts w:ascii="Verdana" w:eastAsia="Times New Roman" w:hAnsi="Verdana"/>
        </w:rPr>
        <w:t xml:space="preserve"> i ujawniani</w:t>
      </w:r>
      <w:r w:rsidR="00F437CE">
        <w:rPr>
          <w:rFonts w:ascii="Verdana" w:eastAsia="Times New Roman" w:hAnsi="Verdana"/>
        </w:rPr>
        <w:t>a</w:t>
      </w:r>
      <w:r w:rsidRPr="00F8489F">
        <w:rPr>
          <w:rFonts w:ascii="Verdana" w:eastAsia="Times New Roman" w:hAnsi="Verdana"/>
        </w:rPr>
        <w:t xml:space="preserve"> jej danych dotyczących </w:t>
      </w:r>
      <w:r w:rsidR="00375895">
        <w:rPr>
          <w:rFonts w:ascii="Verdana" w:eastAsia="Times New Roman" w:hAnsi="Verdana"/>
        </w:rPr>
        <w:t>pouczenia</w:t>
      </w:r>
      <w:r w:rsidRPr="00F8489F">
        <w:rPr>
          <w:rFonts w:ascii="Verdana" w:eastAsia="Times New Roman" w:hAnsi="Verdana"/>
        </w:rPr>
        <w:t xml:space="preserve"> oraz na wpływ tego faktu na jej perspektywy zatrudnienia.</w:t>
      </w:r>
    </w:p>
    <w:p w14:paraId="4A3ED08C" w14:textId="77777777" w:rsidR="00640924" w:rsidRDefault="001E658D" w:rsidP="00AB713F">
      <w:pPr>
        <w:ind w:left="740"/>
        <w:jc w:val="both"/>
        <w:rPr>
          <w:rFonts w:ascii="Verdana" w:eastAsia="Times New Roman" w:hAnsi="Verdana"/>
          <w:color w:val="0070C0"/>
        </w:rPr>
      </w:pPr>
      <w:r w:rsidRPr="006612CF">
        <w:rPr>
          <w:rFonts w:ascii="Verdana" w:eastAsia="Times New Roman" w:hAnsi="Verdana"/>
          <w:color w:val="0070C0"/>
        </w:rPr>
        <w:t xml:space="preserve">Trybunał orzekł, że nastąpiło </w:t>
      </w:r>
      <w:r w:rsidRPr="00F8489F">
        <w:rPr>
          <w:rFonts w:ascii="Verdana" w:eastAsia="Times New Roman" w:hAnsi="Verdana"/>
          <w:b/>
          <w:color w:val="0070C0"/>
        </w:rPr>
        <w:t xml:space="preserve">naruszenie art. 8 </w:t>
      </w:r>
      <w:r w:rsidR="00640924" w:rsidRPr="006612CF">
        <w:rPr>
          <w:rFonts w:ascii="Verdana" w:eastAsia="Times New Roman" w:hAnsi="Verdana"/>
          <w:b/>
          <w:color w:val="0070C0"/>
        </w:rPr>
        <w:t>K</w:t>
      </w:r>
      <w:r w:rsidRPr="00F8489F">
        <w:rPr>
          <w:rFonts w:ascii="Verdana" w:eastAsia="Times New Roman" w:hAnsi="Verdana"/>
          <w:b/>
          <w:color w:val="0070C0"/>
        </w:rPr>
        <w:t>onwencji</w:t>
      </w:r>
      <w:r w:rsidRPr="006612CF">
        <w:rPr>
          <w:rFonts w:ascii="Verdana" w:eastAsia="Times New Roman" w:hAnsi="Verdana"/>
          <w:color w:val="0070C0"/>
        </w:rPr>
        <w:t xml:space="preserve">. W istocie, w wyniku skumulowanego skutku stwierdzonych </w:t>
      </w:r>
      <w:r w:rsidR="00781E54">
        <w:rPr>
          <w:rFonts w:ascii="Verdana" w:eastAsia="Times New Roman" w:hAnsi="Verdana"/>
          <w:color w:val="0070C0"/>
        </w:rPr>
        <w:t>uchybień</w:t>
      </w:r>
      <w:r w:rsidRPr="00EA6461">
        <w:rPr>
          <w:rFonts w:ascii="Verdana" w:eastAsia="Times New Roman" w:hAnsi="Verdana"/>
          <w:color w:val="0070C0"/>
        </w:rPr>
        <w:t xml:space="preserve">, </w:t>
      </w:r>
      <w:r w:rsidRPr="00E94ADB">
        <w:rPr>
          <w:rFonts w:ascii="Verdana" w:eastAsia="Times New Roman" w:hAnsi="Verdana"/>
          <w:color w:val="0070C0"/>
        </w:rPr>
        <w:t xml:space="preserve">nie </w:t>
      </w:r>
      <w:r w:rsidR="00781E54">
        <w:rPr>
          <w:rFonts w:ascii="Verdana" w:eastAsia="Times New Roman" w:hAnsi="Verdana"/>
          <w:color w:val="0070C0"/>
        </w:rPr>
        <w:t>wykazano</w:t>
      </w:r>
      <w:r w:rsidRPr="006612CF">
        <w:rPr>
          <w:rFonts w:ascii="Verdana" w:eastAsia="Times New Roman" w:hAnsi="Verdana"/>
          <w:color w:val="0070C0"/>
        </w:rPr>
        <w:t xml:space="preserve">, że istnieją wystarczające </w:t>
      </w:r>
      <w:r w:rsidR="00006AF2" w:rsidRPr="00F8489F">
        <w:rPr>
          <w:rFonts w:ascii="Verdana" w:eastAsia="Times New Roman" w:hAnsi="Verdana"/>
          <w:color w:val="0070C0"/>
        </w:rPr>
        <w:t>środki zabezpieczające</w:t>
      </w:r>
      <w:r w:rsidRPr="006612CF">
        <w:rPr>
          <w:rFonts w:ascii="Verdana" w:eastAsia="Times New Roman" w:hAnsi="Verdana"/>
          <w:color w:val="0070C0"/>
        </w:rPr>
        <w:t xml:space="preserve"> </w:t>
      </w:r>
      <w:r w:rsidR="00006AF2" w:rsidRPr="00F8489F">
        <w:rPr>
          <w:rFonts w:ascii="Verdana" w:eastAsia="Times New Roman" w:hAnsi="Verdana"/>
          <w:color w:val="0070C0"/>
        </w:rPr>
        <w:t xml:space="preserve">co do </w:t>
      </w:r>
      <w:r w:rsidR="00781E54">
        <w:rPr>
          <w:rFonts w:ascii="Verdana" w:eastAsia="Times New Roman" w:hAnsi="Verdana"/>
          <w:color w:val="0070C0"/>
        </w:rPr>
        <w:t>przechowywania</w:t>
      </w:r>
      <w:r w:rsidRPr="006612CF">
        <w:rPr>
          <w:rFonts w:ascii="Verdana" w:eastAsia="Times New Roman" w:hAnsi="Verdana"/>
          <w:color w:val="0070C0"/>
        </w:rPr>
        <w:t xml:space="preserve"> i ujawniania danych z rejestrów karnych</w:t>
      </w:r>
      <w:r w:rsidR="00D664EB">
        <w:rPr>
          <w:rFonts w:ascii="Verdana" w:eastAsia="Times New Roman" w:hAnsi="Verdana"/>
          <w:color w:val="0070C0"/>
        </w:rPr>
        <w:t>, które</w:t>
      </w:r>
      <w:r w:rsidRPr="006612CF">
        <w:rPr>
          <w:rFonts w:ascii="Verdana" w:eastAsia="Times New Roman" w:hAnsi="Verdana"/>
          <w:color w:val="0070C0"/>
        </w:rPr>
        <w:t xml:space="preserve"> </w:t>
      </w:r>
      <w:r w:rsidR="00D664EB">
        <w:rPr>
          <w:rFonts w:ascii="Verdana" w:eastAsia="Times New Roman" w:hAnsi="Verdana"/>
          <w:color w:val="0070C0"/>
        </w:rPr>
        <w:t>zapewnią</w:t>
      </w:r>
      <w:r w:rsidRPr="006612CF">
        <w:rPr>
          <w:rFonts w:ascii="Verdana" w:eastAsia="Times New Roman" w:hAnsi="Verdana"/>
          <w:color w:val="0070C0"/>
        </w:rPr>
        <w:t xml:space="preserve">, że dane dotyczące życia prywatnego skarżącej nie zostaną ujawnione z naruszeniem jej prawa do poszanowania </w:t>
      </w:r>
      <w:r w:rsidRPr="00EA6461">
        <w:rPr>
          <w:rFonts w:ascii="Verdana" w:eastAsia="Times New Roman" w:hAnsi="Verdana"/>
          <w:color w:val="0070C0"/>
        </w:rPr>
        <w:t>życ</w:t>
      </w:r>
      <w:r w:rsidRPr="00E94ADB">
        <w:rPr>
          <w:rFonts w:ascii="Verdana" w:eastAsia="Times New Roman" w:hAnsi="Verdana"/>
          <w:color w:val="0070C0"/>
        </w:rPr>
        <w:t xml:space="preserve">ia prywatnego. </w:t>
      </w:r>
      <w:r w:rsidR="00781E54">
        <w:rPr>
          <w:rFonts w:ascii="Verdana" w:eastAsia="Times New Roman" w:hAnsi="Verdana"/>
          <w:color w:val="0070C0"/>
        </w:rPr>
        <w:t>Przechowywanie</w:t>
      </w:r>
      <w:r w:rsidRPr="00E94ADB">
        <w:rPr>
          <w:rFonts w:ascii="Verdana" w:eastAsia="Times New Roman" w:hAnsi="Verdana"/>
          <w:color w:val="0070C0"/>
        </w:rPr>
        <w:t xml:space="preserve"> i ujawnianie danych </w:t>
      </w:r>
      <w:r w:rsidR="00006AF2" w:rsidRPr="00F8489F">
        <w:rPr>
          <w:rFonts w:ascii="Verdana" w:eastAsia="Times New Roman" w:hAnsi="Verdana"/>
          <w:color w:val="0070C0"/>
        </w:rPr>
        <w:t>o pouczeniu</w:t>
      </w:r>
      <w:r w:rsidRPr="006612CF">
        <w:rPr>
          <w:rFonts w:ascii="Verdana" w:eastAsia="Times New Roman" w:hAnsi="Verdana"/>
          <w:color w:val="0070C0"/>
        </w:rPr>
        <w:t xml:space="preserve"> skarżącej nie może być zatem uznane za zgodne z prawem w rozumieniu </w:t>
      </w:r>
      <w:r w:rsidR="00781E54">
        <w:rPr>
          <w:rFonts w:ascii="Verdana" w:eastAsia="Times New Roman" w:hAnsi="Verdana"/>
          <w:color w:val="0070C0"/>
        </w:rPr>
        <w:t>art.</w:t>
      </w:r>
      <w:r w:rsidRPr="006612CF">
        <w:rPr>
          <w:rFonts w:ascii="Verdana" w:eastAsia="Times New Roman" w:hAnsi="Verdana"/>
          <w:color w:val="0070C0"/>
        </w:rPr>
        <w:t xml:space="preserve"> 8</w:t>
      </w:r>
      <w:r w:rsidRPr="00EA6461">
        <w:rPr>
          <w:rFonts w:ascii="Verdana" w:eastAsia="Times New Roman" w:hAnsi="Verdana"/>
          <w:color w:val="0070C0"/>
        </w:rPr>
        <w:t xml:space="preserve">. </w:t>
      </w:r>
      <w:r w:rsidRPr="00E94ADB">
        <w:rPr>
          <w:rFonts w:ascii="Verdana" w:eastAsia="Times New Roman" w:hAnsi="Verdana"/>
          <w:color w:val="0070C0"/>
        </w:rPr>
        <w:t>Trybunał zauważył w szczególności, że chociaż dane zawarte w rejestrze karnym były w pewnym sensie informacjami publ</w:t>
      </w:r>
      <w:r w:rsidRPr="00F8489F">
        <w:rPr>
          <w:rFonts w:ascii="Verdana" w:eastAsia="Times New Roman" w:hAnsi="Verdana"/>
          <w:color w:val="0070C0"/>
        </w:rPr>
        <w:t xml:space="preserve">icznymi, ich systematyczne przechowywanie w centralnych rejestrach oznaczało, że </w:t>
      </w:r>
      <w:r w:rsidR="00B826D1">
        <w:rPr>
          <w:rFonts w:ascii="Verdana" w:eastAsia="Times New Roman" w:hAnsi="Verdana"/>
          <w:color w:val="0070C0"/>
        </w:rPr>
        <w:t>mogły zostać</w:t>
      </w:r>
      <w:r w:rsidRPr="006612CF">
        <w:rPr>
          <w:rFonts w:ascii="Verdana" w:eastAsia="Times New Roman" w:hAnsi="Verdana"/>
          <w:color w:val="0070C0"/>
        </w:rPr>
        <w:t xml:space="preserve"> ujawn</w:t>
      </w:r>
      <w:r w:rsidR="00B826D1">
        <w:rPr>
          <w:rFonts w:ascii="Verdana" w:eastAsia="Times New Roman" w:hAnsi="Verdana"/>
          <w:color w:val="0070C0"/>
        </w:rPr>
        <w:t>ione</w:t>
      </w:r>
      <w:r w:rsidRPr="006612CF">
        <w:rPr>
          <w:rFonts w:ascii="Verdana" w:eastAsia="Times New Roman" w:hAnsi="Verdana"/>
          <w:color w:val="0070C0"/>
        </w:rPr>
        <w:t xml:space="preserve"> długo po zdarzeniu, </w:t>
      </w:r>
      <w:r w:rsidR="00B826D1">
        <w:rPr>
          <w:rFonts w:ascii="Verdana" w:eastAsia="Times New Roman" w:hAnsi="Verdana"/>
          <w:color w:val="0070C0"/>
        </w:rPr>
        <w:t>gdy osoby postronne już o nim zapomniały</w:t>
      </w:r>
      <w:r w:rsidR="00D664EB">
        <w:rPr>
          <w:rFonts w:ascii="Verdana" w:eastAsia="Times New Roman" w:hAnsi="Verdana"/>
          <w:color w:val="0070C0"/>
        </w:rPr>
        <w:t xml:space="preserve">, </w:t>
      </w:r>
      <w:r w:rsidRPr="006612CF">
        <w:rPr>
          <w:rFonts w:ascii="Verdana" w:eastAsia="Times New Roman" w:hAnsi="Verdana"/>
          <w:color w:val="0070C0"/>
        </w:rPr>
        <w:t>w szczególności</w:t>
      </w:r>
      <w:r w:rsidR="00B826D1" w:rsidRPr="00F8489F">
        <w:rPr>
          <w:rFonts w:ascii="Verdana" w:eastAsia="Times New Roman" w:hAnsi="Verdana"/>
          <w:color w:val="0070C0"/>
        </w:rPr>
        <w:t xml:space="preserve"> </w:t>
      </w:r>
      <w:r w:rsidRPr="006612CF">
        <w:rPr>
          <w:rFonts w:ascii="Verdana" w:eastAsia="Times New Roman" w:hAnsi="Verdana"/>
          <w:color w:val="0070C0"/>
        </w:rPr>
        <w:t>gdy, jak w przypadku skar</w:t>
      </w:r>
      <w:r w:rsidRPr="00EA6461">
        <w:rPr>
          <w:rFonts w:ascii="Verdana" w:eastAsia="Times New Roman" w:hAnsi="Verdana"/>
          <w:color w:val="0070C0"/>
        </w:rPr>
        <w:t>żące</w:t>
      </w:r>
      <w:r w:rsidR="00D664EB" w:rsidRPr="00F8489F">
        <w:rPr>
          <w:rFonts w:ascii="Verdana" w:eastAsia="Times New Roman" w:hAnsi="Verdana"/>
          <w:color w:val="0070C0"/>
        </w:rPr>
        <w:t>j</w:t>
      </w:r>
      <w:r w:rsidRPr="006612CF">
        <w:rPr>
          <w:rFonts w:ascii="Verdana" w:eastAsia="Times New Roman" w:hAnsi="Verdana"/>
          <w:color w:val="0070C0"/>
        </w:rPr>
        <w:t xml:space="preserve">, </w:t>
      </w:r>
      <w:r w:rsidR="00D664EB" w:rsidRPr="00F8489F">
        <w:rPr>
          <w:rFonts w:ascii="Verdana" w:eastAsia="Times New Roman" w:hAnsi="Verdana"/>
          <w:color w:val="0070C0"/>
        </w:rPr>
        <w:t>pouczenie</w:t>
      </w:r>
      <w:r w:rsidRPr="006612CF">
        <w:rPr>
          <w:rFonts w:ascii="Verdana" w:eastAsia="Times New Roman" w:hAnsi="Verdana"/>
          <w:color w:val="0070C0"/>
        </w:rPr>
        <w:t xml:space="preserve"> miało charakter prywatny. </w:t>
      </w:r>
      <w:r w:rsidRPr="00EA6461">
        <w:rPr>
          <w:rFonts w:ascii="Verdana" w:eastAsia="Times New Roman" w:hAnsi="Verdana"/>
          <w:color w:val="0070C0"/>
        </w:rPr>
        <w:t xml:space="preserve">Tak więc, ponieważ </w:t>
      </w:r>
      <w:r w:rsidRPr="00E94ADB">
        <w:rPr>
          <w:rFonts w:ascii="Verdana" w:eastAsia="Times New Roman" w:hAnsi="Verdana"/>
          <w:color w:val="0070C0"/>
        </w:rPr>
        <w:t xml:space="preserve">skazanie lub </w:t>
      </w:r>
      <w:r w:rsidR="00B826D1" w:rsidRPr="00F8489F">
        <w:rPr>
          <w:rFonts w:ascii="Verdana" w:eastAsia="Times New Roman" w:hAnsi="Verdana"/>
          <w:color w:val="0070C0"/>
        </w:rPr>
        <w:t>pouczenie</w:t>
      </w:r>
      <w:r w:rsidRPr="006612CF">
        <w:rPr>
          <w:rFonts w:ascii="Verdana" w:eastAsia="Times New Roman" w:hAnsi="Verdana"/>
          <w:color w:val="0070C0"/>
        </w:rPr>
        <w:t xml:space="preserve"> </w:t>
      </w:r>
      <w:r w:rsidR="00781E54">
        <w:rPr>
          <w:rFonts w:ascii="Verdana" w:eastAsia="Times New Roman" w:hAnsi="Verdana"/>
          <w:color w:val="0070C0"/>
        </w:rPr>
        <w:t>odeszło w przeszłość</w:t>
      </w:r>
      <w:r w:rsidR="008669C2">
        <w:rPr>
          <w:rFonts w:ascii="Verdana" w:eastAsia="Times New Roman" w:hAnsi="Verdana"/>
          <w:color w:val="0070C0"/>
        </w:rPr>
        <w:t xml:space="preserve">, stało </w:t>
      </w:r>
      <w:r w:rsidRPr="006612CF">
        <w:rPr>
          <w:rFonts w:ascii="Verdana" w:eastAsia="Times New Roman" w:hAnsi="Verdana"/>
          <w:color w:val="0070C0"/>
        </w:rPr>
        <w:t>się ono częścią życia prywatnego osoby, które należało uszanować.</w:t>
      </w:r>
    </w:p>
    <w:p w14:paraId="66D35B68" w14:textId="21F6FD85" w:rsidR="00874759" w:rsidRPr="00A14197" w:rsidRDefault="00874759" w:rsidP="00AB713F">
      <w:pPr>
        <w:spacing w:before="120" w:line="0" w:lineRule="atLeast"/>
        <w:ind w:left="740"/>
        <w:rPr>
          <w:rFonts w:ascii="Verdana" w:eastAsia="Verdana" w:hAnsi="Verdana"/>
          <w:b/>
          <w:color w:val="0072BC"/>
          <w:u w:val="single"/>
        </w:rPr>
      </w:pPr>
      <w:hyperlink r:id="rId60" w:anchor="{%22itemid%22:[%22003-4332390-5192548%22]}" w:history="1">
        <w:r w:rsidRPr="008572E9">
          <w:rPr>
            <w:rStyle w:val="Hipercze"/>
            <w:rFonts w:ascii="Verdana" w:eastAsia="Verdana" w:hAnsi="Verdana"/>
            <w:b/>
          </w:rPr>
          <w:t>M.K. przeciwko Francji (nr 19522/09)</w:t>
        </w:r>
      </w:hyperlink>
    </w:p>
    <w:p w14:paraId="556688BC" w14:textId="77777777" w:rsidR="00F437CE" w:rsidRDefault="00F437CE" w:rsidP="00AB713F">
      <w:pPr>
        <w:ind w:left="740"/>
        <w:jc w:val="both"/>
        <w:rPr>
          <w:rFonts w:ascii="Verdana" w:eastAsia="Times New Roman" w:hAnsi="Verdana"/>
          <w:b/>
          <w:color w:val="0070C0"/>
          <w:u w:val="single"/>
        </w:rPr>
      </w:pPr>
      <w:r>
        <w:rPr>
          <w:rFonts w:ascii="Verdana" w:eastAsia="Verdana" w:hAnsi="Verdana"/>
          <w:color w:val="808080"/>
          <w:sz w:val="18"/>
        </w:rPr>
        <w:t>18 kwietnia 2013 roku</w:t>
      </w:r>
    </w:p>
    <w:p w14:paraId="599879F9" w14:textId="77777777" w:rsidR="00874759" w:rsidRPr="00874759" w:rsidRDefault="00874759" w:rsidP="00AB713F">
      <w:pPr>
        <w:ind w:left="740"/>
        <w:jc w:val="both"/>
        <w:rPr>
          <w:rFonts w:ascii="Verdana" w:eastAsia="Times New Roman" w:hAnsi="Verdana"/>
          <w:color w:val="0070C0"/>
        </w:rPr>
      </w:pPr>
      <w:r w:rsidRPr="00F8489F">
        <w:rPr>
          <w:rFonts w:ascii="Verdana" w:eastAsia="Times New Roman" w:hAnsi="Verdana"/>
        </w:rPr>
        <w:t xml:space="preserve">W latach 2004 i 2005 </w:t>
      </w:r>
      <w:r w:rsidR="0017226C">
        <w:rPr>
          <w:rFonts w:ascii="Verdana" w:eastAsia="Times New Roman" w:hAnsi="Verdana"/>
        </w:rPr>
        <w:t xml:space="preserve">sprawa </w:t>
      </w:r>
      <w:r w:rsidR="008669C2">
        <w:rPr>
          <w:rFonts w:ascii="Verdana" w:eastAsia="Times New Roman" w:hAnsi="Verdana"/>
        </w:rPr>
        <w:t>skarżąc</w:t>
      </w:r>
      <w:r w:rsidR="0017226C">
        <w:rPr>
          <w:rFonts w:ascii="Verdana" w:eastAsia="Times New Roman" w:hAnsi="Verdana"/>
        </w:rPr>
        <w:t>ego</w:t>
      </w:r>
      <w:r w:rsidRPr="00F8489F">
        <w:rPr>
          <w:rFonts w:ascii="Verdana" w:eastAsia="Times New Roman" w:hAnsi="Verdana"/>
        </w:rPr>
        <w:t xml:space="preserve"> był przedmiotem dwóch dochodzeń </w:t>
      </w:r>
      <w:r w:rsidR="001F7085">
        <w:rPr>
          <w:rFonts w:ascii="Verdana" w:eastAsia="Times New Roman" w:hAnsi="Verdana"/>
        </w:rPr>
        <w:t>dotyczących</w:t>
      </w:r>
      <w:r w:rsidRPr="00F8489F">
        <w:rPr>
          <w:rFonts w:ascii="Verdana" w:eastAsia="Times New Roman" w:hAnsi="Verdana"/>
        </w:rPr>
        <w:t xml:space="preserve"> kradzieży książek. </w:t>
      </w:r>
      <w:r w:rsidR="008E3C5D">
        <w:rPr>
          <w:rFonts w:ascii="Verdana" w:eastAsia="Times New Roman" w:hAnsi="Verdana"/>
        </w:rPr>
        <w:t>Skarżący</w:t>
      </w:r>
      <w:r w:rsidR="00834141">
        <w:rPr>
          <w:rFonts w:ascii="Verdana" w:eastAsia="Times New Roman" w:hAnsi="Verdana"/>
        </w:rPr>
        <w:t xml:space="preserve"> z</w:t>
      </w:r>
      <w:r w:rsidRPr="00F8489F">
        <w:rPr>
          <w:rFonts w:ascii="Verdana" w:eastAsia="Times New Roman" w:hAnsi="Verdana"/>
        </w:rPr>
        <w:t xml:space="preserve">ostał uniewinniony w </w:t>
      </w:r>
      <w:r w:rsidR="00834141">
        <w:rPr>
          <w:rFonts w:ascii="Verdana" w:eastAsia="Times New Roman" w:hAnsi="Verdana"/>
        </w:rPr>
        <w:t>ramach</w:t>
      </w:r>
      <w:r w:rsidRPr="00F8489F">
        <w:rPr>
          <w:rFonts w:ascii="Verdana" w:eastAsia="Times New Roman" w:hAnsi="Verdana"/>
        </w:rPr>
        <w:t xml:space="preserve"> pierwszego postępowania, </w:t>
      </w:r>
      <w:r w:rsidR="00834141">
        <w:rPr>
          <w:rFonts w:ascii="Verdana" w:eastAsia="Times New Roman" w:hAnsi="Verdana"/>
        </w:rPr>
        <w:t>zaś</w:t>
      </w:r>
      <w:r w:rsidRPr="00F8489F">
        <w:rPr>
          <w:rFonts w:ascii="Verdana" w:eastAsia="Times New Roman" w:hAnsi="Verdana"/>
        </w:rPr>
        <w:t xml:space="preserve"> drugi</w:t>
      </w:r>
      <w:r w:rsidR="00834141">
        <w:rPr>
          <w:rFonts w:ascii="Verdana" w:eastAsia="Times New Roman" w:hAnsi="Verdana"/>
        </w:rPr>
        <w:t>e</w:t>
      </w:r>
      <w:r w:rsidRPr="00F8489F">
        <w:rPr>
          <w:rFonts w:ascii="Verdana" w:eastAsia="Times New Roman" w:hAnsi="Verdana"/>
        </w:rPr>
        <w:t xml:space="preserve"> postępowanie zostało umorzone. W obu przypadkach jego odciski palców zostały pobrane i zapisane w bazie danych. W 2006 r</w:t>
      </w:r>
      <w:r w:rsidR="009514BA">
        <w:rPr>
          <w:rFonts w:ascii="Verdana" w:eastAsia="Times New Roman" w:hAnsi="Verdana"/>
        </w:rPr>
        <w:t>oku</w:t>
      </w:r>
      <w:r w:rsidRPr="00F8489F">
        <w:rPr>
          <w:rFonts w:ascii="Verdana" w:eastAsia="Times New Roman" w:hAnsi="Verdana"/>
        </w:rPr>
        <w:t xml:space="preserve"> skarżący wniósł o usunięcie jego odcisków palców z bazy danych. Jego wniosek został uwzględniony jedynie w odniesieniu do odcisków palców pobranych </w:t>
      </w:r>
      <w:r w:rsidR="00834141">
        <w:rPr>
          <w:rFonts w:ascii="Verdana" w:eastAsia="Times New Roman" w:hAnsi="Verdana"/>
        </w:rPr>
        <w:t>w związku z</w:t>
      </w:r>
      <w:r w:rsidRPr="00F8489F">
        <w:rPr>
          <w:rFonts w:ascii="Verdana" w:eastAsia="Times New Roman" w:hAnsi="Verdana"/>
        </w:rPr>
        <w:t xml:space="preserve"> pierwsz</w:t>
      </w:r>
      <w:r w:rsidR="00834141">
        <w:rPr>
          <w:rFonts w:ascii="Verdana" w:eastAsia="Times New Roman" w:hAnsi="Verdana"/>
        </w:rPr>
        <w:t>ym</w:t>
      </w:r>
      <w:r w:rsidRPr="00F8489F">
        <w:rPr>
          <w:rFonts w:ascii="Verdana" w:eastAsia="Times New Roman" w:hAnsi="Verdana"/>
        </w:rPr>
        <w:t xml:space="preserve"> postępowani</w:t>
      </w:r>
      <w:r w:rsidR="00834141">
        <w:rPr>
          <w:rFonts w:ascii="Verdana" w:eastAsia="Times New Roman" w:hAnsi="Verdana"/>
        </w:rPr>
        <w:t>em</w:t>
      </w:r>
      <w:r w:rsidRPr="00F8489F">
        <w:rPr>
          <w:rFonts w:ascii="Verdana" w:eastAsia="Times New Roman" w:hAnsi="Verdana"/>
        </w:rPr>
        <w:t xml:space="preserve">. </w:t>
      </w:r>
      <w:r w:rsidR="009514BA">
        <w:rPr>
          <w:rFonts w:ascii="Verdana" w:eastAsia="Times New Roman" w:hAnsi="Verdana"/>
        </w:rPr>
        <w:t>Odwołania</w:t>
      </w:r>
      <w:r w:rsidRPr="00F8489F">
        <w:rPr>
          <w:rFonts w:ascii="Verdana" w:eastAsia="Times New Roman" w:hAnsi="Verdana"/>
        </w:rPr>
        <w:t xml:space="preserve"> wniesione przez skarżącego zostały oddalone. Skarżący zarzucił, że przechowywanie </w:t>
      </w:r>
      <w:r w:rsidR="009514BA">
        <w:rPr>
          <w:rFonts w:ascii="Verdana" w:eastAsia="Times New Roman" w:hAnsi="Verdana"/>
        </w:rPr>
        <w:t xml:space="preserve">dotyczących go danych </w:t>
      </w:r>
      <w:r w:rsidRPr="00F8489F">
        <w:rPr>
          <w:rFonts w:ascii="Verdana" w:eastAsia="Times New Roman" w:hAnsi="Verdana"/>
        </w:rPr>
        <w:t>w skomputeryzowanej bazie danych zawierającej odciski palców naruszyło jego prawo do poszanowania życia prywatnego</w:t>
      </w:r>
      <w:r w:rsidRPr="00874759">
        <w:rPr>
          <w:rFonts w:ascii="Verdana" w:eastAsia="Times New Roman" w:hAnsi="Verdana"/>
          <w:color w:val="0070C0"/>
        </w:rPr>
        <w:t>.</w:t>
      </w:r>
    </w:p>
    <w:p w14:paraId="498C31F4" w14:textId="77777777" w:rsidR="008669C2" w:rsidRDefault="00874759" w:rsidP="00AB713F">
      <w:pPr>
        <w:ind w:left="740"/>
        <w:jc w:val="both"/>
        <w:rPr>
          <w:rFonts w:ascii="Verdana" w:eastAsia="Times New Roman" w:hAnsi="Verdana"/>
          <w:color w:val="0070C0"/>
        </w:rPr>
      </w:pPr>
      <w:r w:rsidRPr="00874759">
        <w:rPr>
          <w:rFonts w:ascii="Verdana" w:eastAsia="Times New Roman" w:hAnsi="Verdana"/>
          <w:color w:val="0070C0"/>
        </w:rPr>
        <w:t xml:space="preserve">Trybunał orzekł, że nastąpiło </w:t>
      </w:r>
      <w:r w:rsidRPr="00F8489F">
        <w:rPr>
          <w:rFonts w:ascii="Verdana" w:eastAsia="Times New Roman" w:hAnsi="Verdana"/>
          <w:b/>
          <w:color w:val="0070C0"/>
        </w:rPr>
        <w:t xml:space="preserve">naruszenie art. 8 </w:t>
      </w:r>
      <w:r w:rsidR="00F437CE">
        <w:rPr>
          <w:rFonts w:ascii="Verdana" w:eastAsia="Times New Roman" w:hAnsi="Verdana"/>
          <w:b/>
          <w:color w:val="0070C0"/>
        </w:rPr>
        <w:t>K</w:t>
      </w:r>
      <w:r w:rsidRPr="00F8489F">
        <w:rPr>
          <w:rFonts w:ascii="Verdana" w:eastAsia="Times New Roman" w:hAnsi="Verdana"/>
          <w:b/>
          <w:color w:val="0070C0"/>
        </w:rPr>
        <w:t>onwencji</w:t>
      </w:r>
      <w:r w:rsidRPr="00874759">
        <w:rPr>
          <w:rFonts w:ascii="Verdana" w:eastAsia="Times New Roman" w:hAnsi="Verdana"/>
          <w:color w:val="0070C0"/>
        </w:rPr>
        <w:t xml:space="preserve">, stwierdzając, że </w:t>
      </w:r>
      <w:r w:rsidR="00834141">
        <w:rPr>
          <w:rFonts w:ascii="Verdana" w:eastAsia="Times New Roman" w:hAnsi="Verdana"/>
          <w:color w:val="0070C0"/>
        </w:rPr>
        <w:t>przetrzymywanie</w:t>
      </w:r>
      <w:r w:rsidRPr="00874759">
        <w:rPr>
          <w:rFonts w:ascii="Verdana" w:eastAsia="Times New Roman" w:hAnsi="Verdana"/>
          <w:color w:val="0070C0"/>
        </w:rPr>
        <w:t xml:space="preserve"> danych stanowi nieproporcjonalną ingerencję w prawo skarżącego do poszanowania jego życia prywatnego i nie może zostać uznane za konieczne w społeczeństwie demokratycznym.</w:t>
      </w:r>
      <w:r w:rsidR="009514BA">
        <w:rPr>
          <w:rFonts w:ascii="Verdana" w:eastAsia="Times New Roman" w:hAnsi="Verdana"/>
          <w:color w:val="0070C0"/>
        </w:rPr>
        <w:t xml:space="preserve"> </w:t>
      </w:r>
      <w:r w:rsidRPr="00874759">
        <w:rPr>
          <w:rFonts w:ascii="Verdana" w:eastAsia="Times New Roman" w:hAnsi="Verdana"/>
          <w:color w:val="0070C0"/>
        </w:rPr>
        <w:t xml:space="preserve">Trybunał zauważył w szczególności, że państwo francuskie przekroczyło swój margines swobody w tej kwestii, ponieważ system </w:t>
      </w:r>
      <w:r w:rsidR="009514BA">
        <w:rPr>
          <w:rFonts w:ascii="Verdana" w:eastAsia="Times New Roman" w:hAnsi="Verdana"/>
          <w:color w:val="0070C0"/>
        </w:rPr>
        <w:t>przechowywania</w:t>
      </w:r>
      <w:r w:rsidRPr="00874759">
        <w:rPr>
          <w:rFonts w:ascii="Verdana" w:eastAsia="Times New Roman" w:hAnsi="Verdana"/>
          <w:color w:val="0070C0"/>
        </w:rPr>
        <w:t xml:space="preserve"> odcisków palców osób podejrzanych o popełnienie przestępstwa lecz nie skazanych</w:t>
      </w:r>
      <w:r w:rsidR="00E64285">
        <w:rPr>
          <w:rFonts w:ascii="Verdana" w:eastAsia="Times New Roman" w:hAnsi="Verdana"/>
          <w:color w:val="0070C0"/>
        </w:rPr>
        <w:t xml:space="preserve"> (</w:t>
      </w:r>
      <w:r w:rsidRPr="00874759">
        <w:rPr>
          <w:rFonts w:ascii="Verdana" w:eastAsia="Times New Roman" w:hAnsi="Verdana"/>
          <w:color w:val="0070C0"/>
        </w:rPr>
        <w:t>jak ma to miejsce w niniejszej sprawie</w:t>
      </w:r>
      <w:r w:rsidR="00E64285">
        <w:rPr>
          <w:rFonts w:ascii="Verdana" w:eastAsia="Times New Roman" w:hAnsi="Verdana"/>
          <w:color w:val="0070C0"/>
        </w:rPr>
        <w:t>)</w:t>
      </w:r>
      <w:r w:rsidRPr="00874759">
        <w:rPr>
          <w:rFonts w:ascii="Verdana" w:eastAsia="Times New Roman" w:hAnsi="Verdana"/>
          <w:color w:val="0070C0"/>
        </w:rPr>
        <w:t>, nie zapewni</w:t>
      </w:r>
      <w:r w:rsidR="009514BA">
        <w:rPr>
          <w:rFonts w:ascii="Verdana" w:eastAsia="Times New Roman" w:hAnsi="Verdana"/>
          <w:color w:val="0070C0"/>
        </w:rPr>
        <w:t>a</w:t>
      </w:r>
      <w:r w:rsidRPr="00874759">
        <w:rPr>
          <w:rFonts w:ascii="Verdana" w:eastAsia="Times New Roman" w:hAnsi="Verdana"/>
          <w:color w:val="0070C0"/>
        </w:rPr>
        <w:t>ł właściwej równowagi między konkur</w:t>
      </w:r>
      <w:r w:rsidR="009514BA">
        <w:rPr>
          <w:rFonts w:ascii="Verdana" w:eastAsia="Times New Roman" w:hAnsi="Verdana"/>
          <w:color w:val="0070C0"/>
        </w:rPr>
        <w:t>ującymi</w:t>
      </w:r>
      <w:r w:rsidRPr="00874759">
        <w:rPr>
          <w:rFonts w:ascii="Verdana" w:eastAsia="Times New Roman" w:hAnsi="Verdana"/>
          <w:color w:val="0070C0"/>
        </w:rPr>
        <w:t xml:space="preserve"> interesami publicznymi i prywatnymi</w:t>
      </w:r>
      <w:r w:rsidR="00E64285">
        <w:rPr>
          <w:rFonts w:ascii="Verdana" w:eastAsia="Times New Roman" w:hAnsi="Verdana"/>
          <w:color w:val="0070C0"/>
        </w:rPr>
        <w:t>.</w:t>
      </w:r>
    </w:p>
    <w:p w14:paraId="22653815" w14:textId="12D93781" w:rsidR="00874759" w:rsidRPr="008B33E0" w:rsidRDefault="00874759" w:rsidP="00AB713F">
      <w:pPr>
        <w:spacing w:before="120" w:line="0" w:lineRule="atLeast"/>
        <w:ind w:left="740"/>
        <w:rPr>
          <w:rFonts w:ascii="Verdana" w:eastAsia="Verdana" w:hAnsi="Verdana"/>
          <w:b/>
          <w:color w:val="0072BC"/>
          <w:u w:val="single"/>
        </w:rPr>
      </w:pPr>
      <w:hyperlink r:id="rId61" w:anchor="{%22itemid%22:[%22002-7614%22]}" w:history="1">
        <w:proofErr w:type="spellStart"/>
        <w:r w:rsidRPr="008B33E0">
          <w:rPr>
            <w:rFonts w:ascii="Verdana" w:hAnsi="Verdana"/>
            <w:b/>
            <w:color w:val="0072BC"/>
            <w:u w:val="single"/>
          </w:rPr>
          <w:t>Peruzzo</w:t>
        </w:r>
        <w:proofErr w:type="spellEnd"/>
        <w:r w:rsidRPr="008B33E0">
          <w:rPr>
            <w:rFonts w:ascii="Verdana" w:hAnsi="Verdana"/>
            <w:b/>
            <w:color w:val="0072BC"/>
            <w:u w:val="single"/>
          </w:rPr>
          <w:t xml:space="preserve"> i Martens przeciwko Niemcom</w:t>
        </w:r>
      </w:hyperlink>
    </w:p>
    <w:p w14:paraId="20253A53" w14:textId="77777777" w:rsidR="00F437CE" w:rsidRDefault="008669C2" w:rsidP="00AB713F">
      <w:pPr>
        <w:ind w:left="740"/>
        <w:jc w:val="both"/>
        <w:rPr>
          <w:rFonts w:ascii="Verdana" w:eastAsia="Times New Roman" w:hAnsi="Verdana"/>
          <w:b/>
          <w:color w:val="0070C0"/>
          <w:u w:val="single"/>
        </w:rPr>
      </w:pPr>
      <w:r>
        <w:rPr>
          <w:rFonts w:ascii="Verdana" w:eastAsia="Verdana" w:hAnsi="Verdana"/>
          <w:color w:val="808080"/>
          <w:sz w:val="18"/>
        </w:rPr>
        <w:t>4</w:t>
      </w:r>
      <w:r w:rsidR="00F437CE">
        <w:rPr>
          <w:rFonts w:ascii="Verdana" w:eastAsia="Verdana" w:hAnsi="Verdana"/>
          <w:color w:val="808080"/>
          <w:sz w:val="18"/>
        </w:rPr>
        <w:t xml:space="preserve"> </w:t>
      </w:r>
      <w:r>
        <w:rPr>
          <w:rFonts w:ascii="Verdana" w:eastAsia="Verdana" w:hAnsi="Verdana"/>
          <w:color w:val="808080"/>
          <w:sz w:val="18"/>
        </w:rPr>
        <w:t>czerwca</w:t>
      </w:r>
      <w:r w:rsidR="00F437CE">
        <w:rPr>
          <w:rFonts w:ascii="Verdana" w:eastAsia="Verdana" w:hAnsi="Verdana"/>
          <w:color w:val="808080"/>
          <w:sz w:val="18"/>
        </w:rPr>
        <w:t xml:space="preserve"> 2013 roku</w:t>
      </w:r>
      <w:r>
        <w:rPr>
          <w:rFonts w:ascii="Verdana" w:eastAsia="Verdana" w:hAnsi="Verdana"/>
          <w:color w:val="808080"/>
          <w:sz w:val="18"/>
        </w:rPr>
        <w:t xml:space="preserve"> (decyzja o dopuszczalności)</w:t>
      </w:r>
    </w:p>
    <w:p w14:paraId="4F3B3A93" w14:textId="77777777" w:rsidR="00874759" w:rsidRPr="00F8489F" w:rsidRDefault="00874759" w:rsidP="00AB713F">
      <w:pPr>
        <w:ind w:left="740"/>
        <w:jc w:val="both"/>
        <w:rPr>
          <w:rFonts w:ascii="Verdana" w:eastAsia="Times New Roman" w:hAnsi="Verdana"/>
        </w:rPr>
      </w:pPr>
      <w:r w:rsidRPr="00F8489F">
        <w:rPr>
          <w:rFonts w:ascii="Verdana" w:eastAsia="Times New Roman" w:hAnsi="Verdana"/>
        </w:rPr>
        <w:t>Skarżący, którzy zostali skazani za poważne przestępstwa, skarżyli się na wydane przez sądy krajowe nakaz</w:t>
      </w:r>
      <w:r w:rsidR="00EE21B2">
        <w:rPr>
          <w:rFonts w:ascii="Verdana" w:eastAsia="Times New Roman" w:hAnsi="Verdana"/>
        </w:rPr>
        <w:t xml:space="preserve">y </w:t>
      </w:r>
      <w:r w:rsidR="00500099">
        <w:rPr>
          <w:rFonts w:ascii="Verdana" w:eastAsia="Times New Roman" w:hAnsi="Verdana"/>
        </w:rPr>
        <w:t>pobierania</w:t>
      </w:r>
      <w:r w:rsidRPr="00F8489F">
        <w:rPr>
          <w:rFonts w:ascii="Verdana" w:eastAsia="Times New Roman" w:hAnsi="Verdana"/>
        </w:rPr>
        <w:t xml:space="preserve"> od nich materiału komórkowego i przechowywania go w bazie danych w postaci profili DNA</w:t>
      </w:r>
      <w:r w:rsidR="00500099">
        <w:rPr>
          <w:rFonts w:ascii="Verdana" w:eastAsia="Times New Roman" w:hAnsi="Verdana"/>
        </w:rPr>
        <w:t>.</w:t>
      </w:r>
      <w:r w:rsidRPr="00F8489F">
        <w:rPr>
          <w:rFonts w:ascii="Verdana" w:eastAsia="Times New Roman" w:hAnsi="Verdana"/>
        </w:rPr>
        <w:t xml:space="preserve"> </w:t>
      </w:r>
      <w:r w:rsidR="00500099">
        <w:rPr>
          <w:rFonts w:ascii="Verdana" w:eastAsia="Times New Roman" w:hAnsi="Verdana"/>
        </w:rPr>
        <w:t>Celem nakazów było</w:t>
      </w:r>
      <w:r w:rsidRPr="00F8489F">
        <w:rPr>
          <w:rFonts w:ascii="Verdana" w:eastAsia="Times New Roman" w:hAnsi="Verdana"/>
        </w:rPr>
        <w:t xml:space="preserve"> ułatwieni</w:t>
      </w:r>
      <w:r w:rsidR="00500099">
        <w:rPr>
          <w:rFonts w:ascii="Verdana" w:eastAsia="Times New Roman" w:hAnsi="Verdana"/>
        </w:rPr>
        <w:t>e</w:t>
      </w:r>
      <w:r w:rsidRPr="00F8489F">
        <w:rPr>
          <w:rFonts w:ascii="Verdana" w:eastAsia="Times New Roman" w:hAnsi="Verdana"/>
        </w:rPr>
        <w:t xml:space="preserve"> dochodzenia</w:t>
      </w:r>
      <w:r w:rsidR="00500099">
        <w:rPr>
          <w:rFonts w:ascii="Verdana" w:eastAsia="Times New Roman" w:hAnsi="Verdana"/>
        </w:rPr>
        <w:t xml:space="preserve"> w odniesieniu do</w:t>
      </w:r>
      <w:r w:rsidRPr="00F8489F">
        <w:rPr>
          <w:rFonts w:ascii="Verdana" w:eastAsia="Times New Roman" w:hAnsi="Verdana"/>
        </w:rPr>
        <w:t xml:space="preserve"> ewentualnych przyszłych przestępstw.</w:t>
      </w:r>
    </w:p>
    <w:p w14:paraId="2E42EAA0" w14:textId="77777777" w:rsidR="00874759" w:rsidRPr="00874759" w:rsidRDefault="008669C2" w:rsidP="00AB713F">
      <w:pPr>
        <w:ind w:left="740"/>
        <w:jc w:val="both"/>
        <w:rPr>
          <w:rFonts w:ascii="Verdana" w:eastAsia="Times New Roman" w:hAnsi="Verdana"/>
          <w:color w:val="0070C0"/>
        </w:rPr>
      </w:pPr>
      <w:r>
        <w:rPr>
          <w:rFonts w:ascii="Verdana" w:eastAsia="Times New Roman" w:hAnsi="Verdana"/>
          <w:color w:val="0070C0"/>
        </w:rPr>
        <w:t>Trybunał</w:t>
      </w:r>
      <w:r w:rsidR="00874759" w:rsidRPr="00874759">
        <w:rPr>
          <w:rFonts w:ascii="Verdana" w:eastAsia="Times New Roman" w:hAnsi="Verdana"/>
          <w:color w:val="0070C0"/>
        </w:rPr>
        <w:t xml:space="preserve"> uznał skargę za </w:t>
      </w:r>
      <w:r w:rsidR="00874759" w:rsidRPr="00F8489F">
        <w:rPr>
          <w:rFonts w:ascii="Verdana" w:eastAsia="Times New Roman" w:hAnsi="Verdana"/>
          <w:b/>
          <w:color w:val="0070C0"/>
        </w:rPr>
        <w:t>niedopuszczalną</w:t>
      </w:r>
      <w:r w:rsidR="00874759" w:rsidRPr="00874759">
        <w:rPr>
          <w:rFonts w:ascii="Verdana" w:eastAsia="Times New Roman" w:hAnsi="Verdana"/>
          <w:color w:val="0070C0"/>
        </w:rPr>
        <w:t xml:space="preserve"> jako oczywiście bezzasadną. Stwierdził, że przepisy krajowe dotyczące pobierania i </w:t>
      </w:r>
      <w:r w:rsidR="00B251C4">
        <w:rPr>
          <w:rFonts w:ascii="Verdana" w:eastAsia="Times New Roman" w:hAnsi="Verdana"/>
          <w:color w:val="0070C0"/>
        </w:rPr>
        <w:t>przechowywanie</w:t>
      </w:r>
      <w:r w:rsidR="00874759" w:rsidRPr="00874759">
        <w:rPr>
          <w:rFonts w:ascii="Verdana" w:eastAsia="Times New Roman" w:hAnsi="Verdana"/>
          <w:color w:val="0070C0"/>
        </w:rPr>
        <w:t xml:space="preserve"> materiału DNA osób skazanych za przestępstwa osiągające określony poziom ciężkości, </w:t>
      </w:r>
      <w:r w:rsidR="00D738B6">
        <w:rPr>
          <w:rFonts w:ascii="Verdana" w:eastAsia="Times New Roman" w:hAnsi="Verdana"/>
          <w:color w:val="0070C0"/>
        </w:rPr>
        <w:t>osiągnęły</w:t>
      </w:r>
      <w:r w:rsidR="00874759" w:rsidRPr="00874759">
        <w:rPr>
          <w:rFonts w:ascii="Verdana" w:eastAsia="Times New Roman" w:hAnsi="Verdana"/>
          <w:color w:val="0070C0"/>
        </w:rPr>
        <w:t xml:space="preserve"> odpowiednią równowagę między konkur</w:t>
      </w:r>
      <w:r w:rsidR="009514BA">
        <w:rPr>
          <w:rFonts w:ascii="Verdana" w:eastAsia="Times New Roman" w:hAnsi="Verdana"/>
          <w:color w:val="0070C0"/>
        </w:rPr>
        <w:t>ującymi</w:t>
      </w:r>
      <w:r w:rsidR="00874759" w:rsidRPr="00874759">
        <w:rPr>
          <w:rFonts w:ascii="Verdana" w:eastAsia="Times New Roman" w:hAnsi="Verdana"/>
          <w:color w:val="0070C0"/>
        </w:rPr>
        <w:t xml:space="preserve"> interesami publicznymi i prywatnymi oraz mieścił</w:t>
      </w:r>
      <w:r w:rsidR="00D738B6">
        <w:rPr>
          <w:rFonts w:ascii="Verdana" w:eastAsia="Times New Roman" w:hAnsi="Verdana"/>
          <w:color w:val="0070C0"/>
        </w:rPr>
        <w:t>y</w:t>
      </w:r>
      <w:r w:rsidR="00874759" w:rsidRPr="00874759">
        <w:rPr>
          <w:rFonts w:ascii="Verdana" w:eastAsia="Times New Roman" w:hAnsi="Verdana"/>
          <w:color w:val="0070C0"/>
        </w:rPr>
        <w:t xml:space="preserve"> się w dopuszczalnym marginesie </w:t>
      </w:r>
      <w:r w:rsidR="009514BA">
        <w:rPr>
          <w:rFonts w:ascii="Verdana" w:eastAsia="Times New Roman" w:hAnsi="Verdana"/>
          <w:color w:val="0070C0"/>
        </w:rPr>
        <w:t>uznania</w:t>
      </w:r>
      <w:r w:rsidR="00874759" w:rsidRPr="00874759">
        <w:rPr>
          <w:rFonts w:ascii="Verdana" w:eastAsia="Times New Roman" w:hAnsi="Verdana"/>
          <w:color w:val="0070C0"/>
        </w:rPr>
        <w:t xml:space="preserve"> państwa będącego stroną pozwaną.</w:t>
      </w:r>
    </w:p>
    <w:p w14:paraId="582FD211" w14:textId="77777777" w:rsidR="00874759" w:rsidRDefault="00874759" w:rsidP="00AB713F">
      <w:pPr>
        <w:ind w:left="740"/>
        <w:jc w:val="both"/>
        <w:rPr>
          <w:rFonts w:ascii="Verdana" w:eastAsia="Times New Roman" w:hAnsi="Verdana"/>
          <w:color w:val="0070C0"/>
        </w:rPr>
      </w:pPr>
      <w:r w:rsidRPr="00F8489F">
        <w:rPr>
          <w:rFonts w:ascii="Verdana" w:eastAsia="Times New Roman" w:hAnsi="Verdana"/>
          <w:i/>
          <w:color w:val="0070C0"/>
        </w:rPr>
        <w:t>Zob. również:</w:t>
      </w:r>
      <w:r w:rsidRPr="00874759">
        <w:rPr>
          <w:rFonts w:ascii="Verdana" w:eastAsia="Times New Roman" w:hAnsi="Verdana"/>
          <w:color w:val="0070C0"/>
        </w:rPr>
        <w:t xml:space="preserve"> </w:t>
      </w:r>
      <w:hyperlink r:id="rId62" w:history="1">
        <w:r w:rsidRPr="00F8489F">
          <w:rPr>
            <w:rStyle w:val="Hipercze"/>
            <w:rFonts w:ascii="Verdana" w:eastAsia="Times New Roman" w:hAnsi="Verdana"/>
            <w:b/>
          </w:rPr>
          <w:t xml:space="preserve">W. przeciwko </w:t>
        </w:r>
        <w:r w:rsidR="00D738B6" w:rsidRPr="00D738B6">
          <w:rPr>
            <w:rStyle w:val="Hipercze"/>
            <w:rFonts w:ascii="Verdana" w:eastAsia="Times New Roman" w:hAnsi="Verdana"/>
            <w:b/>
          </w:rPr>
          <w:t>Holandii</w:t>
        </w:r>
      </w:hyperlink>
      <w:r w:rsidRPr="00874759">
        <w:rPr>
          <w:rFonts w:ascii="Verdana" w:eastAsia="Times New Roman" w:hAnsi="Verdana"/>
          <w:color w:val="0070C0"/>
        </w:rPr>
        <w:t xml:space="preserve"> (nr 20689/08), decyzja (</w:t>
      </w:r>
      <w:r w:rsidR="00D738B6">
        <w:rPr>
          <w:rFonts w:ascii="Verdana" w:eastAsia="Times New Roman" w:hAnsi="Verdana"/>
          <w:color w:val="0070C0"/>
        </w:rPr>
        <w:t>niedopuszczalność</w:t>
      </w:r>
      <w:r w:rsidRPr="00874759">
        <w:rPr>
          <w:rFonts w:ascii="Verdana" w:eastAsia="Times New Roman" w:hAnsi="Verdana"/>
          <w:color w:val="0070C0"/>
        </w:rPr>
        <w:t>) z dnia 20 stycznia 2009 r</w:t>
      </w:r>
      <w:r w:rsidR="00B22F59">
        <w:rPr>
          <w:rFonts w:ascii="Verdana" w:eastAsia="Times New Roman" w:hAnsi="Verdana"/>
          <w:color w:val="0070C0"/>
        </w:rPr>
        <w:t>oku.</w:t>
      </w:r>
    </w:p>
    <w:p w14:paraId="3D9ABD21" w14:textId="77777777" w:rsidR="00874759" w:rsidRPr="00A14197" w:rsidRDefault="00874759" w:rsidP="00AB713F">
      <w:pPr>
        <w:spacing w:before="120" w:line="0" w:lineRule="atLeast"/>
        <w:ind w:left="740"/>
        <w:rPr>
          <w:rFonts w:ascii="Verdana" w:eastAsia="Verdana" w:hAnsi="Verdana"/>
          <w:b/>
          <w:color w:val="0072BC"/>
          <w:u w:val="single"/>
        </w:rPr>
      </w:pPr>
      <w:hyperlink r:id="rId63" w:history="1">
        <w:r w:rsidRPr="00A14197">
          <w:rPr>
            <w:rFonts w:ascii="Verdana" w:eastAsia="Verdana" w:hAnsi="Verdana"/>
            <w:b/>
            <w:color w:val="0072BC"/>
            <w:u w:val="single"/>
          </w:rPr>
          <w:t>Brunet przeciwko Francji</w:t>
        </w:r>
      </w:hyperlink>
    </w:p>
    <w:p w14:paraId="7456647D" w14:textId="77777777" w:rsidR="008669C2" w:rsidRDefault="008669C2" w:rsidP="00AB713F">
      <w:pPr>
        <w:ind w:left="740"/>
        <w:jc w:val="both"/>
        <w:rPr>
          <w:rFonts w:ascii="Verdana" w:eastAsia="Times New Roman" w:hAnsi="Verdana"/>
          <w:b/>
          <w:color w:val="0070C0"/>
          <w:u w:val="single"/>
        </w:rPr>
      </w:pPr>
      <w:r>
        <w:rPr>
          <w:rFonts w:ascii="Verdana" w:eastAsia="Verdana" w:hAnsi="Verdana"/>
          <w:color w:val="808080"/>
          <w:sz w:val="18"/>
        </w:rPr>
        <w:t>18 września 2014 roku</w:t>
      </w:r>
    </w:p>
    <w:p w14:paraId="315A16E2" w14:textId="77777777" w:rsidR="00874759" w:rsidRPr="00F8489F" w:rsidRDefault="00254B56" w:rsidP="00AB713F">
      <w:pPr>
        <w:ind w:left="740"/>
        <w:jc w:val="both"/>
        <w:rPr>
          <w:rFonts w:ascii="Verdana" w:eastAsia="Times New Roman" w:hAnsi="Verdana"/>
        </w:rPr>
      </w:pPr>
      <w:r>
        <w:rPr>
          <w:rFonts w:ascii="Verdana" w:eastAsia="Times New Roman" w:hAnsi="Verdana"/>
        </w:rPr>
        <w:t>Skarżący</w:t>
      </w:r>
      <w:r w:rsidR="00874759" w:rsidRPr="00F8489F">
        <w:rPr>
          <w:rFonts w:ascii="Verdana" w:eastAsia="Times New Roman" w:hAnsi="Verdana"/>
        </w:rPr>
        <w:t xml:space="preserve"> skarżył się w szczególności na ingerencję w jego życie prywatne w </w:t>
      </w:r>
      <w:r w:rsidR="00B22F59">
        <w:rPr>
          <w:rFonts w:ascii="Verdana" w:eastAsia="Times New Roman" w:hAnsi="Verdana"/>
        </w:rPr>
        <w:t xml:space="preserve">następstwie </w:t>
      </w:r>
      <w:r w:rsidR="00874759" w:rsidRPr="00F8489F">
        <w:rPr>
          <w:rFonts w:ascii="Verdana" w:eastAsia="Times New Roman" w:hAnsi="Verdana"/>
        </w:rPr>
        <w:t>dodania go do policyjnej bazy danych STIC (system przetwarzania zarejestrowanych przestępstw) - zawierającej informacje ze sprawozdań z dochodzenia, wymieniając</w:t>
      </w:r>
      <w:r w:rsidR="00B105DC">
        <w:rPr>
          <w:rFonts w:ascii="Verdana" w:eastAsia="Times New Roman" w:hAnsi="Verdana"/>
        </w:rPr>
        <w:t>ych</w:t>
      </w:r>
      <w:r w:rsidR="00874759" w:rsidRPr="00F8489F">
        <w:rPr>
          <w:rFonts w:ascii="Verdana" w:eastAsia="Times New Roman" w:hAnsi="Verdana"/>
        </w:rPr>
        <w:t xml:space="preserve"> osoby, których dotyczy postępowanie </w:t>
      </w:r>
      <w:r w:rsidR="00B105DC">
        <w:rPr>
          <w:rFonts w:ascii="Verdana" w:eastAsia="Times New Roman" w:hAnsi="Verdana"/>
        </w:rPr>
        <w:t>oraz</w:t>
      </w:r>
      <w:r w:rsidR="00874759" w:rsidRPr="00F8489F">
        <w:rPr>
          <w:rFonts w:ascii="Verdana" w:eastAsia="Times New Roman" w:hAnsi="Verdana"/>
        </w:rPr>
        <w:t xml:space="preserve"> ofiary - po umorzeniu przeciwko niemu postępowania karnego.</w:t>
      </w:r>
    </w:p>
    <w:p w14:paraId="682C9F29" w14:textId="77777777" w:rsidR="001E658D" w:rsidRDefault="00874759" w:rsidP="00AB713F">
      <w:pPr>
        <w:ind w:left="740"/>
        <w:jc w:val="both"/>
        <w:rPr>
          <w:rFonts w:ascii="Verdana" w:eastAsia="Times New Roman" w:hAnsi="Verdana"/>
          <w:color w:val="0070C0"/>
        </w:rPr>
      </w:pPr>
      <w:r w:rsidRPr="00874759">
        <w:rPr>
          <w:rFonts w:ascii="Verdana" w:eastAsia="Times New Roman" w:hAnsi="Verdana"/>
          <w:color w:val="0070C0"/>
        </w:rPr>
        <w:t xml:space="preserve">Trybunał orzekł, że doszło do </w:t>
      </w:r>
      <w:r w:rsidRPr="00F8489F">
        <w:rPr>
          <w:rFonts w:ascii="Verdana" w:eastAsia="Times New Roman" w:hAnsi="Verdana"/>
          <w:b/>
          <w:color w:val="0070C0"/>
        </w:rPr>
        <w:t xml:space="preserve">naruszenia </w:t>
      </w:r>
      <w:r w:rsidR="00B105DC">
        <w:rPr>
          <w:rFonts w:ascii="Verdana" w:eastAsia="Times New Roman" w:hAnsi="Verdana"/>
          <w:b/>
          <w:color w:val="0070C0"/>
        </w:rPr>
        <w:t>art.</w:t>
      </w:r>
      <w:r w:rsidRPr="00F8489F">
        <w:rPr>
          <w:rFonts w:ascii="Verdana" w:eastAsia="Times New Roman" w:hAnsi="Verdana"/>
          <w:b/>
          <w:color w:val="0070C0"/>
        </w:rPr>
        <w:t xml:space="preserve"> 8 </w:t>
      </w:r>
      <w:r w:rsidR="00B22F59" w:rsidRPr="00F8489F">
        <w:rPr>
          <w:rFonts w:ascii="Verdana" w:eastAsia="Times New Roman" w:hAnsi="Verdana"/>
          <w:color w:val="0070C0"/>
        </w:rPr>
        <w:t>K</w:t>
      </w:r>
      <w:r w:rsidRPr="006612CF">
        <w:rPr>
          <w:rFonts w:ascii="Verdana" w:eastAsia="Times New Roman" w:hAnsi="Verdana"/>
          <w:color w:val="0070C0"/>
        </w:rPr>
        <w:t>onwencji</w:t>
      </w:r>
      <w:r w:rsidRPr="00874759">
        <w:rPr>
          <w:rFonts w:ascii="Verdana" w:eastAsia="Times New Roman" w:hAnsi="Verdana"/>
          <w:color w:val="0070C0"/>
        </w:rPr>
        <w:t>, stwierdzając, że państwo francuskie przekroczyło przysługujące mu prawo decydowania (</w:t>
      </w:r>
      <w:r w:rsidR="00F8469C">
        <w:rPr>
          <w:rFonts w:ascii="Verdana" w:eastAsia="Times New Roman" w:hAnsi="Verdana"/>
          <w:color w:val="0070C0"/>
        </w:rPr>
        <w:t>„</w:t>
      </w:r>
      <w:r w:rsidRPr="00874759">
        <w:rPr>
          <w:rFonts w:ascii="Verdana" w:eastAsia="Times New Roman" w:hAnsi="Verdana"/>
          <w:color w:val="0070C0"/>
        </w:rPr>
        <w:t xml:space="preserve">margines swobody") w </w:t>
      </w:r>
      <w:r w:rsidR="00B22F59">
        <w:rPr>
          <w:rFonts w:ascii="Verdana" w:eastAsia="Times New Roman" w:hAnsi="Verdana"/>
          <w:color w:val="0070C0"/>
        </w:rPr>
        <w:t>tych sprawach;</w:t>
      </w:r>
      <w:r w:rsidR="00F8469C">
        <w:rPr>
          <w:rFonts w:ascii="Verdana" w:eastAsia="Times New Roman" w:hAnsi="Verdana"/>
          <w:color w:val="0070C0"/>
        </w:rPr>
        <w:t xml:space="preserve"> </w:t>
      </w:r>
      <w:r w:rsidR="004D6DC3">
        <w:rPr>
          <w:rFonts w:ascii="Verdana" w:eastAsia="Times New Roman" w:hAnsi="Verdana"/>
          <w:color w:val="0070C0"/>
        </w:rPr>
        <w:t>przechowywanie</w:t>
      </w:r>
      <w:r w:rsidRPr="00874759">
        <w:rPr>
          <w:rFonts w:ascii="Verdana" w:eastAsia="Times New Roman" w:hAnsi="Verdana"/>
          <w:color w:val="0070C0"/>
        </w:rPr>
        <w:t xml:space="preserve"> danych moż</w:t>
      </w:r>
      <w:r w:rsidR="00B105DC">
        <w:rPr>
          <w:rFonts w:ascii="Verdana" w:eastAsia="Times New Roman" w:hAnsi="Verdana"/>
          <w:color w:val="0070C0"/>
        </w:rPr>
        <w:t>e zostać</w:t>
      </w:r>
      <w:r w:rsidRPr="00874759">
        <w:rPr>
          <w:rFonts w:ascii="Verdana" w:eastAsia="Times New Roman" w:hAnsi="Verdana"/>
          <w:color w:val="0070C0"/>
        </w:rPr>
        <w:t xml:space="preserve"> uzna</w:t>
      </w:r>
      <w:r w:rsidR="004D6DC3">
        <w:rPr>
          <w:rFonts w:ascii="Verdana" w:eastAsia="Times New Roman" w:hAnsi="Verdana"/>
          <w:color w:val="0070C0"/>
        </w:rPr>
        <w:t xml:space="preserve">ne </w:t>
      </w:r>
      <w:r w:rsidR="00B105DC">
        <w:rPr>
          <w:rFonts w:ascii="Verdana" w:eastAsia="Times New Roman" w:hAnsi="Verdana"/>
          <w:color w:val="0070C0"/>
        </w:rPr>
        <w:t>za</w:t>
      </w:r>
      <w:r w:rsidRPr="00874759">
        <w:rPr>
          <w:rFonts w:ascii="Verdana" w:eastAsia="Times New Roman" w:hAnsi="Verdana"/>
          <w:color w:val="0070C0"/>
        </w:rPr>
        <w:t xml:space="preserve"> nieproporcjonalne naruszenie prawa skarżącego do poszanowania jego życia prywatnego i nie było konieczne </w:t>
      </w:r>
      <w:r w:rsidRPr="00874759">
        <w:rPr>
          <w:rFonts w:ascii="Verdana" w:eastAsia="Times New Roman" w:hAnsi="Verdana"/>
          <w:color w:val="0070C0"/>
        </w:rPr>
        <w:lastRenderedPageBreak/>
        <w:t xml:space="preserve">w społeczeństwie demokratycznym. </w:t>
      </w:r>
      <w:r w:rsidR="004D6DC3">
        <w:rPr>
          <w:rFonts w:ascii="Verdana" w:eastAsia="Times New Roman" w:hAnsi="Verdana"/>
          <w:color w:val="0070C0"/>
        </w:rPr>
        <w:t>Trybunał</w:t>
      </w:r>
      <w:r w:rsidRPr="00874759">
        <w:rPr>
          <w:rFonts w:ascii="Verdana" w:eastAsia="Times New Roman" w:hAnsi="Verdana"/>
          <w:color w:val="0070C0"/>
        </w:rPr>
        <w:t xml:space="preserve"> uznał w szczególności, że skarżący nie miał rzeczywistej możliwości żądania usunięcia z bazy danych dotyczących go informacji i że okres przechowywania tych danych, wynoszący 20 lat, </w:t>
      </w:r>
      <w:r w:rsidR="00A755D0">
        <w:rPr>
          <w:rFonts w:ascii="Verdana" w:eastAsia="Times New Roman" w:hAnsi="Verdana"/>
          <w:color w:val="0070C0"/>
        </w:rPr>
        <w:t>wykraczał daleko poza przyjętą normę.</w:t>
      </w:r>
    </w:p>
    <w:p w14:paraId="12E2D78A" w14:textId="516C7775" w:rsidR="00F832FE" w:rsidRPr="00F8489F" w:rsidRDefault="004F325D" w:rsidP="00AB713F">
      <w:pPr>
        <w:spacing w:before="120" w:line="0" w:lineRule="atLeast"/>
        <w:ind w:left="740"/>
        <w:rPr>
          <w:rFonts w:ascii="Verdana" w:eastAsia="Verdana" w:hAnsi="Verdana"/>
          <w:b/>
          <w:color w:val="0072BC"/>
          <w:u w:val="single"/>
        </w:rPr>
      </w:pPr>
      <w:hyperlink r:id="rId64" w:anchor="{%22itemid%22:[%22003-5398113-6750774%22]}" w:history="1">
        <w:r w:rsidRPr="008572E9">
          <w:rPr>
            <w:rStyle w:val="Hipercze"/>
            <w:rFonts w:ascii="Verdana" w:eastAsia="Verdana" w:hAnsi="Verdana"/>
            <w:b/>
          </w:rPr>
          <w:t>Karabeyoğlu przeciwko Turcji</w:t>
        </w:r>
      </w:hyperlink>
    </w:p>
    <w:p w14:paraId="23739556" w14:textId="77777777" w:rsidR="00F832FE" w:rsidRPr="00F8489F" w:rsidRDefault="00F832FE" w:rsidP="00AB713F">
      <w:pPr>
        <w:spacing w:line="63" w:lineRule="exact"/>
        <w:ind w:left="740"/>
        <w:rPr>
          <w:rFonts w:ascii="Times New Roman" w:eastAsia="Times New Roman" w:hAnsi="Times New Roman"/>
        </w:rPr>
      </w:pPr>
    </w:p>
    <w:p w14:paraId="2434D3AB" w14:textId="77777777" w:rsidR="00F832FE" w:rsidRPr="00F8489F" w:rsidRDefault="004F325D" w:rsidP="00AB713F">
      <w:pPr>
        <w:spacing w:line="0" w:lineRule="atLeast"/>
        <w:ind w:left="740"/>
        <w:rPr>
          <w:rFonts w:ascii="Verdana" w:eastAsia="Verdana" w:hAnsi="Verdana"/>
          <w:color w:val="808080"/>
          <w:sz w:val="18"/>
        </w:rPr>
      </w:pPr>
      <w:r w:rsidRPr="00F8489F">
        <w:rPr>
          <w:rFonts w:ascii="Verdana" w:eastAsia="Verdana" w:hAnsi="Verdana"/>
          <w:color w:val="808080"/>
          <w:sz w:val="18"/>
        </w:rPr>
        <w:t>7 czerwca</w:t>
      </w:r>
      <w:r w:rsidR="00F832FE" w:rsidRPr="00F8489F">
        <w:rPr>
          <w:rFonts w:ascii="Verdana" w:eastAsia="Verdana" w:hAnsi="Verdana"/>
          <w:color w:val="808080"/>
          <w:sz w:val="18"/>
        </w:rPr>
        <w:t xml:space="preserve"> 2016</w:t>
      </w:r>
      <w:r w:rsidR="00487B7A" w:rsidRPr="00F8489F">
        <w:rPr>
          <w:rFonts w:ascii="Verdana" w:eastAsia="Verdana" w:hAnsi="Verdana"/>
          <w:color w:val="808080"/>
          <w:sz w:val="18"/>
        </w:rPr>
        <w:t xml:space="preserve"> roku</w:t>
      </w:r>
    </w:p>
    <w:p w14:paraId="19A90F48" w14:textId="77777777" w:rsidR="00043280" w:rsidRDefault="00043280" w:rsidP="00AB713F">
      <w:pPr>
        <w:spacing w:line="238" w:lineRule="auto"/>
        <w:ind w:left="740" w:right="20"/>
        <w:jc w:val="both"/>
        <w:rPr>
          <w:rFonts w:ascii="Verdana" w:eastAsia="Verdana" w:hAnsi="Verdana"/>
        </w:rPr>
      </w:pPr>
      <w:r w:rsidRPr="00F8489F">
        <w:rPr>
          <w:rFonts w:ascii="Verdana" w:eastAsia="Verdana" w:hAnsi="Verdana"/>
        </w:rPr>
        <w:t xml:space="preserve">Sprawa ta dotyczyła </w:t>
      </w:r>
      <w:r w:rsidR="00181E99">
        <w:rPr>
          <w:rFonts w:ascii="Verdana" w:eastAsia="Verdana" w:hAnsi="Verdana"/>
        </w:rPr>
        <w:t>obserwacji</w:t>
      </w:r>
      <w:r w:rsidR="00CB6E28" w:rsidRPr="00F8489F">
        <w:rPr>
          <w:rFonts w:ascii="Verdana" w:eastAsia="Verdana" w:hAnsi="Verdana"/>
        </w:rPr>
        <w:t xml:space="preserve"> telefoniczne</w:t>
      </w:r>
      <w:r w:rsidR="00181E99">
        <w:rPr>
          <w:rFonts w:ascii="Verdana" w:eastAsia="Verdana" w:hAnsi="Verdana"/>
        </w:rPr>
        <w:t>j</w:t>
      </w:r>
      <w:r w:rsidR="00CB6E28" w:rsidRPr="00F8489F">
        <w:rPr>
          <w:rFonts w:ascii="Verdana" w:eastAsia="Verdana" w:hAnsi="Verdana"/>
        </w:rPr>
        <w:t xml:space="preserve"> skar</w:t>
      </w:r>
      <w:r w:rsidR="00F8469C">
        <w:rPr>
          <w:rFonts w:ascii="Verdana" w:eastAsia="Verdana" w:hAnsi="Verdana"/>
        </w:rPr>
        <w:t>ż</w:t>
      </w:r>
      <w:r w:rsidR="00CB6E28" w:rsidRPr="00EA6461">
        <w:rPr>
          <w:rFonts w:ascii="Verdana" w:eastAsia="Verdana" w:hAnsi="Verdana"/>
        </w:rPr>
        <w:t>ąc</w:t>
      </w:r>
      <w:r w:rsidR="00181E99">
        <w:rPr>
          <w:rFonts w:ascii="Verdana" w:eastAsia="Verdana" w:hAnsi="Verdana"/>
        </w:rPr>
        <w:t>ego</w:t>
      </w:r>
      <w:r w:rsidRPr="00E94ADB">
        <w:rPr>
          <w:rFonts w:ascii="Verdana" w:eastAsia="Verdana" w:hAnsi="Verdana"/>
        </w:rPr>
        <w:t>, prokurator</w:t>
      </w:r>
      <w:r w:rsidR="00181E99">
        <w:rPr>
          <w:rFonts w:ascii="Verdana" w:eastAsia="Verdana" w:hAnsi="Verdana"/>
        </w:rPr>
        <w:t>a</w:t>
      </w:r>
      <w:r w:rsidRPr="00E94ADB">
        <w:rPr>
          <w:rFonts w:ascii="Verdana" w:eastAsia="Verdana" w:hAnsi="Verdana"/>
        </w:rPr>
        <w:t xml:space="preserve">, podczas </w:t>
      </w:r>
      <w:r w:rsidR="00181E99">
        <w:rPr>
          <w:rFonts w:ascii="Verdana" w:eastAsia="Verdana" w:hAnsi="Verdana"/>
        </w:rPr>
        <w:t>śledztwa</w:t>
      </w:r>
      <w:r w:rsidRPr="00E94ADB">
        <w:rPr>
          <w:rFonts w:ascii="Verdana" w:eastAsia="Verdana" w:hAnsi="Verdana"/>
        </w:rPr>
        <w:t xml:space="preserve"> karnego w</w:t>
      </w:r>
      <w:r w:rsidRPr="00043280">
        <w:rPr>
          <w:rFonts w:ascii="Verdana" w:eastAsia="Verdana" w:hAnsi="Verdana"/>
        </w:rPr>
        <w:t xml:space="preserve"> sprawie nielegalnej organizacji znanej pod nazwą </w:t>
      </w:r>
      <w:r w:rsidRPr="007F230D">
        <w:rPr>
          <w:rFonts w:ascii="Verdana" w:eastAsia="Verdana" w:hAnsi="Verdana"/>
          <w:i/>
        </w:rPr>
        <w:t>Ergenekon</w:t>
      </w:r>
      <w:r w:rsidRPr="00043280">
        <w:rPr>
          <w:rFonts w:ascii="Verdana" w:eastAsia="Verdana" w:hAnsi="Verdana"/>
        </w:rPr>
        <w:t xml:space="preserve">, oraz wykorzystania informacji uzyskanych w ten sposób w ramach oddzielnego </w:t>
      </w:r>
      <w:r w:rsidR="007F230D">
        <w:rPr>
          <w:rFonts w:ascii="Verdana" w:eastAsia="Verdana" w:hAnsi="Verdana"/>
        </w:rPr>
        <w:t>postępowania</w:t>
      </w:r>
      <w:r w:rsidRPr="00043280">
        <w:rPr>
          <w:rFonts w:ascii="Verdana" w:eastAsia="Verdana" w:hAnsi="Verdana"/>
        </w:rPr>
        <w:t xml:space="preserve"> dyscyplinarnego.</w:t>
      </w:r>
    </w:p>
    <w:p w14:paraId="05BBED90" w14:textId="77777777" w:rsidR="00F832FE" w:rsidRDefault="00F832FE" w:rsidP="00AB713F">
      <w:pPr>
        <w:spacing w:line="4" w:lineRule="exact"/>
        <w:ind w:left="740"/>
        <w:rPr>
          <w:rFonts w:ascii="Times New Roman" w:eastAsia="Times New Roman" w:hAnsi="Times New Roman"/>
        </w:rPr>
      </w:pPr>
    </w:p>
    <w:p w14:paraId="15956DD4" w14:textId="77777777" w:rsidR="00F832FE" w:rsidRDefault="00C01500" w:rsidP="00AB713F">
      <w:pPr>
        <w:ind w:left="740" w:right="20"/>
        <w:jc w:val="both"/>
        <w:rPr>
          <w:rFonts w:ascii="Verdana" w:eastAsia="Verdana" w:hAnsi="Verdana"/>
          <w:color w:val="0072BC"/>
        </w:rPr>
      </w:pPr>
      <w:r w:rsidRPr="00C01500">
        <w:rPr>
          <w:rFonts w:ascii="Verdana" w:eastAsia="Verdana" w:hAnsi="Verdana"/>
          <w:color w:val="0072BC"/>
        </w:rPr>
        <w:t xml:space="preserve">Trybunał orzekł, że </w:t>
      </w:r>
      <w:r w:rsidRPr="007F230D">
        <w:rPr>
          <w:rFonts w:ascii="Verdana" w:eastAsia="Verdana" w:hAnsi="Verdana"/>
          <w:b/>
          <w:color w:val="0072BC"/>
        </w:rPr>
        <w:t>nie doszło do naruszenia art. 8</w:t>
      </w:r>
      <w:r w:rsidR="007F230D">
        <w:rPr>
          <w:rFonts w:ascii="Verdana" w:eastAsia="Verdana" w:hAnsi="Verdana"/>
          <w:color w:val="0072BC"/>
        </w:rPr>
        <w:t xml:space="preserve"> K</w:t>
      </w:r>
      <w:r w:rsidRPr="00C01500">
        <w:rPr>
          <w:rFonts w:ascii="Verdana" w:eastAsia="Verdana" w:hAnsi="Verdana"/>
          <w:color w:val="0072BC"/>
        </w:rPr>
        <w:t xml:space="preserve">onwencji w zakresie podsłuchu telefonicznego w związku z </w:t>
      </w:r>
      <w:r w:rsidR="007F230D">
        <w:rPr>
          <w:rFonts w:ascii="Verdana" w:eastAsia="Verdana" w:hAnsi="Verdana"/>
          <w:color w:val="0072BC"/>
        </w:rPr>
        <w:t xml:space="preserve">prowadzonym </w:t>
      </w:r>
      <w:r w:rsidR="009B3363">
        <w:rPr>
          <w:rFonts w:ascii="Verdana" w:eastAsia="Verdana" w:hAnsi="Verdana"/>
          <w:color w:val="0072BC"/>
        </w:rPr>
        <w:t>śledztwem</w:t>
      </w:r>
      <w:r w:rsidRPr="00C01500">
        <w:rPr>
          <w:rFonts w:ascii="Verdana" w:eastAsia="Verdana" w:hAnsi="Verdana"/>
          <w:color w:val="0072BC"/>
        </w:rPr>
        <w:t xml:space="preserve"> oraz naruszenia art. 8 w zakresie wykorzystania w postępowaniu dyscyplinarnym informacji uzyskanych za pomocą podsłuchu telefonicznego. Trybunał stwierdził w szczególności, że w trakcie </w:t>
      </w:r>
      <w:r w:rsidR="009B3363">
        <w:rPr>
          <w:rFonts w:ascii="Verdana" w:eastAsia="Verdana" w:hAnsi="Verdana"/>
          <w:color w:val="0072BC"/>
        </w:rPr>
        <w:t>śledztwa</w:t>
      </w:r>
      <w:r w:rsidRPr="00C01500">
        <w:rPr>
          <w:rFonts w:ascii="Verdana" w:eastAsia="Verdana" w:hAnsi="Verdana"/>
          <w:color w:val="0072BC"/>
        </w:rPr>
        <w:t xml:space="preserve"> </w:t>
      </w:r>
      <w:r w:rsidR="007F230D">
        <w:rPr>
          <w:rFonts w:ascii="Verdana" w:eastAsia="Verdana" w:hAnsi="Verdana"/>
          <w:color w:val="0072BC"/>
        </w:rPr>
        <w:t>skarżący</w:t>
      </w:r>
      <w:r w:rsidRPr="00C01500">
        <w:rPr>
          <w:rFonts w:ascii="Verdana" w:eastAsia="Verdana" w:hAnsi="Verdana"/>
          <w:color w:val="0072BC"/>
        </w:rPr>
        <w:t xml:space="preserve"> korzystał z minimalnego poziomu ochrony wymaganego przez państwo prawa w społeczeństwie demokratycznym, ponieważ podsłuch telefoniczny </w:t>
      </w:r>
      <w:r w:rsidR="007F230D">
        <w:rPr>
          <w:rFonts w:ascii="Verdana" w:eastAsia="Verdana" w:hAnsi="Verdana"/>
          <w:color w:val="0072BC"/>
        </w:rPr>
        <w:t xml:space="preserve">został </w:t>
      </w:r>
      <w:r w:rsidR="00487B7A">
        <w:rPr>
          <w:rFonts w:ascii="Verdana" w:eastAsia="Verdana" w:hAnsi="Verdana"/>
          <w:color w:val="0072BC"/>
        </w:rPr>
        <w:t>ustanowiony</w:t>
      </w:r>
      <w:r w:rsidRPr="00C01500">
        <w:rPr>
          <w:rFonts w:ascii="Verdana" w:eastAsia="Verdana" w:hAnsi="Verdana"/>
          <w:color w:val="0072BC"/>
        </w:rPr>
        <w:t xml:space="preserve"> na podstawie obiektywnie uzasadnion</w:t>
      </w:r>
      <w:r w:rsidR="007F230D">
        <w:rPr>
          <w:rFonts w:ascii="Verdana" w:eastAsia="Verdana" w:hAnsi="Verdana"/>
          <w:color w:val="0072BC"/>
        </w:rPr>
        <w:t>ego podejrzenia i przeprowadzony</w:t>
      </w:r>
      <w:r w:rsidRPr="00C01500">
        <w:rPr>
          <w:rFonts w:ascii="Verdana" w:eastAsia="Verdana" w:hAnsi="Verdana"/>
          <w:color w:val="0072BC"/>
        </w:rPr>
        <w:t xml:space="preserve"> zgodnie z odpowiednimi</w:t>
      </w:r>
      <w:r w:rsidR="007F230D">
        <w:rPr>
          <w:rFonts w:ascii="Verdana" w:eastAsia="Verdana" w:hAnsi="Verdana"/>
          <w:color w:val="0072BC"/>
        </w:rPr>
        <w:t xml:space="preserve"> przepisami. Zdaniem Trybunału</w:t>
      </w:r>
      <w:r w:rsidRPr="00C01500">
        <w:rPr>
          <w:rFonts w:ascii="Verdana" w:eastAsia="Verdana" w:hAnsi="Verdana"/>
          <w:color w:val="0072BC"/>
        </w:rPr>
        <w:t xml:space="preserve"> ingerencja w prawo skarżącego do poszanowania jego życia prywatnego była konieczna w interesie bezpieczeństwa narodowego oraz w celu zapobiegania zakłóceniom porządku i przestępstwom. Jednakże wykorzystanie informacji uzyskanych w ten sposób w ramach </w:t>
      </w:r>
      <w:r w:rsidR="007F230D">
        <w:rPr>
          <w:rFonts w:ascii="Verdana" w:eastAsia="Verdana" w:hAnsi="Verdana"/>
          <w:color w:val="0072BC"/>
        </w:rPr>
        <w:t>postępowania</w:t>
      </w:r>
      <w:r w:rsidRPr="00C01500">
        <w:rPr>
          <w:rFonts w:ascii="Verdana" w:eastAsia="Verdana" w:hAnsi="Verdana"/>
          <w:color w:val="0072BC"/>
        </w:rPr>
        <w:t xml:space="preserve"> dyscyplinarnego było niezgodne z prawem, a odpowiednie przepisy zostały naruszone pod dwoma względami: informacje te zostały wykorzystane do celów innych niż ten, do którego zostały zebrane, i nie zostały zniszczone w terminie 15 dni po zakończeniu </w:t>
      </w:r>
      <w:r w:rsidR="009B3363">
        <w:rPr>
          <w:rFonts w:ascii="Verdana" w:eastAsia="Verdana" w:hAnsi="Verdana"/>
          <w:color w:val="0072BC"/>
        </w:rPr>
        <w:t>śledztwa</w:t>
      </w:r>
      <w:r w:rsidRPr="00C01500">
        <w:rPr>
          <w:rFonts w:ascii="Verdana" w:eastAsia="Verdana" w:hAnsi="Verdana"/>
          <w:color w:val="0072BC"/>
        </w:rPr>
        <w:t xml:space="preserve">. W niniejszej sprawie Trybunał stwierdził również </w:t>
      </w:r>
      <w:r w:rsidRPr="007F230D">
        <w:rPr>
          <w:rFonts w:ascii="Verdana" w:eastAsia="Verdana" w:hAnsi="Verdana"/>
          <w:b/>
          <w:color w:val="0072BC"/>
        </w:rPr>
        <w:t>naruszenie art. 13</w:t>
      </w:r>
      <w:r w:rsidRPr="00C01500">
        <w:rPr>
          <w:rFonts w:ascii="Verdana" w:eastAsia="Verdana" w:hAnsi="Verdana"/>
          <w:color w:val="0072BC"/>
        </w:rPr>
        <w:t xml:space="preserve"> (prawo do s</w:t>
      </w:r>
      <w:r w:rsidR="007F230D">
        <w:rPr>
          <w:rFonts w:ascii="Verdana" w:eastAsia="Verdana" w:hAnsi="Verdana"/>
          <w:color w:val="0072BC"/>
        </w:rPr>
        <w:t>kutecznego środka odwoławczego) K</w:t>
      </w:r>
      <w:r w:rsidRPr="00C01500">
        <w:rPr>
          <w:rFonts w:ascii="Verdana" w:eastAsia="Verdana" w:hAnsi="Verdana"/>
          <w:color w:val="0072BC"/>
        </w:rPr>
        <w:t xml:space="preserve">onwencji, zauważając, że zarówno w odniesieniu do </w:t>
      </w:r>
      <w:r w:rsidR="009B3363">
        <w:rPr>
          <w:rFonts w:ascii="Verdana" w:eastAsia="Verdana" w:hAnsi="Verdana"/>
          <w:color w:val="0072BC"/>
        </w:rPr>
        <w:t>śledztwa</w:t>
      </w:r>
      <w:r w:rsidRPr="00C01500">
        <w:rPr>
          <w:rFonts w:ascii="Verdana" w:eastAsia="Verdana" w:hAnsi="Verdana"/>
          <w:color w:val="0072BC"/>
        </w:rPr>
        <w:t xml:space="preserve">, jak i </w:t>
      </w:r>
      <w:r w:rsidR="007F230D">
        <w:rPr>
          <w:rFonts w:ascii="Verdana" w:eastAsia="Verdana" w:hAnsi="Verdana"/>
          <w:color w:val="0072BC"/>
        </w:rPr>
        <w:t xml:space="preserve">postępowania </w:t>
      </w:r>
      <w:r w:rsidRPr="00C01500">
        <w:rPr>
          <w:rFonts w:ascii="Verdana" w:eastAsia="Verdana" w:hAnsi="Verdana"/>
          <w:color w:val="0072BC"/>
        </w:rPr>
        <w:t xml:space="preserve">dyscyplinarnego, skarżący nie dysponował krajowym środkiem odwoławczym umożliwiającym kontrolę zgodności ingerencji z jego prawem do poszanowania życia prywatnego i </w:t>
      </w:r>
      <w:r w:rsidR="007F230D">
        <w:rPr>
          <w:rFonts w:ascii="Verdana" w:eastAsia="Verdana" w:hAnsi="Verdana"/>
          <w:color w:val="0072BC"/>
        </w:rPr>
        <w:t xml:space="preserve">tajemnicy </w:t>
      </w:r>
      <w:r w:rsidRPr="00C01500">
        <w:rPr>
          <w:rFonts w:ascii="Verdana" w:eastAsia="Verdana" w:hAnsi="Verdana"/>
          <w:color w:val="0072BC"/>
        </w:rPr>
        <w:t>korespondencji.</w:t>
      </w:r>
      <w:r w:rsidR="00F832FE">
        <w:rPr>
          <w:rFonts w:ascii="Verdana" w:eastAsia="Verdana" w:hAnsi="Verdana"/>
          <w:color w:val="0072BC"/>
        </w:rPr>
        <w:t xml:space="preserve"> </w:t>
      </w:r>
    </w:p>
    <w:p w14:paraId="20A3208E" w14:textId="298BB0B8" w:rsidR="00F832FE" w:rsidRDefault="00043280" w:rsidP="00AB713F">
      <w:pPr>
        <w:spacing w:before="120" w:line="0" w:lineRule="atLeast"/>
        <w:ind w:left="740"/>
        <w:rPr>
          <w:rFonts w:ascii="Verdana" w:eastAsia="Verdana" w:hAnsi="Verdana"/>
          <w:b/>
          <w:color w:val="0072BC"/>
          <w:u w:val="single"/>
        </w:rPr>
      </w:pPr>
      <w:hyperlink r:id="rId65" w:anchor="{%22itemid%22:[%22003-5539990-6976357%22]}" w:history="1">
        <w:r w:rsidRPr="00F91F13">
          <w:rPr>
            <w:rStyle w:val="Hipercze"/>
            <w:rFonts w:ascii="Verdana" w:eastAsia="Verdana" w:hAnsi="Verdana"/>
            <w:b/>
          </w:rPr>
          <w:t>Figueiredo Teixeira przeciwko Andorze</w:t>
        </w:r>
      </w:hyperlink>
    </w:p>
    <w:p w14:paraId="2D24A674" w14:textId="77777777" w:rsidR="00F832FE" w:rsidRDefault="00F832FE" w:rsidP="00AB713F">
      <w:pPr>
        <w:spacing w:line="64" w:lineRule="exact"/>
        <w:ind w:left="740"/>
        <w:rPr>
          <w:rFonts w:ascii="Times New Roman" w:eastAsia="Times New Roman" w:hAnsi="Times New Roman"/>
        </w:rPr>
      </w:pPr>
    </w:p>
    <w:p w14:paraId="721272D3" w14:textId="77777777" w:rsidR="00F832FE" w:rsidRDefault="00043280" w:rsidP="00AB713F">
      <w:pPr>
        <w:spacing w:line="0" w:lineRule="atLeast"/>
        <w:ind w:left="740"/>
        <w:rPr>
          <w:rFonts w:ascii="Verdana" w:eastAsia="Verdana" w:hAnsi="Verdana"/>
          <w:color w:val="808080"/>
          <w:sz w:val="18"/>
        </w:rPr>
      </w:pPr>
      <w:r>
        <w:rPr>
          <w:rFonts w:ascii="Verdana" w:eastAsia="Verdana" w:hAnsi="Verdana"/>
          <w:color w:val="808080"/>
          <w:sz w:val="18"/>
        </w:rPr>
        <w:t>8 listopada</w:t>
      </w:r>
      <w:r w:rsidR="00F832FE">
        <w:rPr>
          <w:rFonts w:ascii="Verdana" w:eastAsia="Verdana" w:hAnsi="Verdana"/>
          <w:color w:val="808080"/>
          <w:sz w:val="18"/>
        </w:rPr>
        <w:t xml:space="preserve"> 2016</w:t>
      </w:r>
      <w:r w:rsidR="00487B7A">
        <w:rPr>
          <w:rFonts w:ascii="Verdana" w:eastAsia="Verdana" w:hAnsi="Verdana"/>
          <w:color w:val="808080"/>
          <w:sz w:val="18"/>
        </w:rPr>
        <w:t xml:space="preserve"> roku</w:t>
      </w:r>
    </w:p>
    <w:p w14:paraId="48CBFBD1" w14:textId="77777777" w:rsidR="00F832FE" w:rsidRDefault="00F832FE" w:rsidP="00AB713F">
      <w:pPr>
        <w:spacing w:line="1" w:lineRule="exact"/>
        <w:ind w:left="740"/>
        <w:rPr>
          <w:rFonts w:ascii="Times New Roman" w:eastAsia="Times New Roman" w:hAnsi="Times New Roman"/>
        </w:rPr>
      </w:pPr>
    </w:p>
    <w:p w14:paraId="548861CF" w14:textId="77777777" w:rsidR="00043280" w:rsidRDefault="00043280" w:rsidP="00AB713F">
      <w:pPr>
        <w:spacing w:line="239" w:lineRule="auto"/>
        <w:ind w:left="740" w:right="20"/>
        <w:jc w:val="both"/>
        <w:rPr>
          <w:rFonts w:ascii="Verdana" w:eastAsia="Verdana" w:hAnsi="Verdana"/>
        </w:rPr>
      </w:pPr>
      <w:r w:rsidRPr="00043280">
        <w:rPr>
          <w:rFonts w:ascii="Verdana" w:eastAsia="Verdana" w:hAnsi="Verdana"/>
        </w:rPr>
        <w:t>Sprawa ta dotyczyła przechowywania i przekazywania organom sądowym danych z</w:t>
      </w:r>
      <w:r w:rsidR="007F230D">
        <w:rPr>
          <w:rFonts w:ascii="Verdana" w:eastAsia="Verdana" w:hAnsi="Verdana"/>
        </w:rPr>
        <w:t xml:space="preserve"> rozmów telefonicznych skarżącego, podejrzanego</w:t>
      </w:r>
      <w:r w:rsidRPr="00043280">
        <w:rPr>
          <w:rFonts w:ascii="Verdana" w:eastAsia="Verdana" w:hAnsi="Verdana"/>
        </w:rPr>
        <w:t xml:space="preserve"> o popełnienie poważnego przestępstwa handlu narkotykami. Skarżący zarzuca</w:t>
      </w:r>
      <w:r w:rsidR="007F230D">
        <w:rPr>
          <w:rFonts w:ascii="Verdana" w:eastAsia="Verdana" w:hAnsi="Verdana"/>
        </w:rPr>
        <w:t>ł</w:t>
      </w:r>
      <w:r w:rsidRPr="00043280">
        <w:rPr>
          <w:rFonts w:ascii="Verdana" w:eastAsia="Verdana" w:hAnsi="Verdana"/>
        </w:rPr>
        <w:t xml:space="preserve"> w szczególności, że przechowywanie danych dotyczących jego połączeń telefonicznych stanowi nieuzasadnioną ingerencję w jego prawo do poszanowania życia prywatnego.</w:t>
      </w:r>
    </w:p>
    <w:p w14:paraId="0F1D16B9" w14:textId="77777777" w:rsidR="00F832FE" w:rsidRDefault="00043280" w:rsidP="00AB713F">
      <w:pPr>
        <w:spacing w:line="239" w:lineRule="auto"/>
        <w:ind w:left="740" w:right="20"/>
        <w:jc w:val="both"/>
        <w:rPr>
          <w:rFonts w:ascii="Verdana" w:eastAsia="Verdana" w:hAnsi="Verdana"/>
          <w:color w:val="0072BC"/>
        </w:rPr>
      </w:pPr>
      <w:r w:rsidRPr="00043280">
        <w:rPr>
          <w:rFonts w:ascii="Verdana" w:eastAsia="Verdana" w:hAnsi="Verdana"/>
          <w:color w:val="0070C0"/>
        </w:rPr>
        <w:t xml:space="preserve">Trybunał orzekł, że </w:t>
      </w:r>
      <w:r w:rsidRPr="007F230D">
        <w:rPr>
          <w:rFonts w:ascii="Verdana" w:eastAsia="Verdana" w:hAnsi="Verdana"/>
          <w:b/>
          <w:color w:val="0070C0"/>
        </w:rPr>
        <w:t>nie doszło do naruszenia art. 8</w:t>
      </w:r>
      <w:r w:rsidRPr="00043280">
        <w:rPr>
          <w:rFonts w:ascii="Verdana" w:eastAsia="Verdana" w:hAnsi="Verdana"/>
          <w:color w:val="0070C0"/>
        </w:rPr>
        <w:t xml:space="preserve"> Konwencji. Stwierdził w szczególności, że ponieważ domniemana ingerencja była przewidziana w prawie Andory na podstawie art. 87 kodeksu postępowania karnego i ustawy nr 15/2003 o ochronie danych osobowych, osoba posiadająca </w:t>
      </w:r>
      <w:r w:rsidR="007F230D">
        <w:rPr>
          <w:rFonts w:ascii="Verdana" w:eastAsia="Verdana" w:hAnsi="Verdana"/>
          <w:color w:val="0070C0"/>
        </w:rPr>
        <w:t>kartę pre-paid</w:t>
      </w:r>
      <w:r w:rsidRPr="00043280">
        <w:rPr>
          <w:rFonts w:ascii="Verdana" w:eastAsia="Verdana" w:hAnsi="Verdana"/>
          <w:color w:val="0070C0"/>
        </w:rPr>
        <w:t xml:space="preserve"> mogła racjonalnie oczekiwać, że przepisy te będą miały zastosowanie w jej przypadku. Ponadto Trybunał zauważył, że postępowanie karne w Andorze przewidywało szeroki zakres zabezpieczeń przed arbitralnymi działaniami, biorąc pod uwagę, że sędzia (</w:t>
      </w:r>
      <w:r w:rsidRPr="007F230D">
        <w:rPr>
          <w:rFonts w:ascii="Verdana" w:eastAsia="Verdana" w:hAnsi="Verdana"/>
          <w:i/>
          <w:color w:val="0070C0"/>
        </w:rPr>
        <w:t>bat</w:t>
      </w:r>
      <w:r w:rsidR="007F230D" w:rsidRPr="007F230D">
        <w:rPr>
          <w:rFonts w:ascii="Verdana" w:eastAsia="Verdana" w:hAnsi="Verdana"/>
          <w:i/>
          <w:color w:val="0070C0"/>
        </w:rPr>
        <w:t>lle</w:t>
      </w:r>
      <w:r w:rsidRPr="00043280">
        <w:rPr>
          <w:rFonts w:ascii="Verdana" w:eastAsia="Verdana" w:hAnsi="Verdana"/>
          <w:color w:val="0070C0"/>
        </w:rPr>
        <w:t>) ocenił konieczność i proporcjonalność nakazu przekazania danych w świetle zgromadzonych dowodów i wagi danego przestępstwa. Trybunał stwierdził zatem, że w niniejszej sprawie zachowana została równowaga między prawem skarżącego do poszanowania życia prywatnego</w:t>
      </w:r>
      <w:r w:rsidR="007F230D">
        <w:rPr>
          <w:rFonts w:ascii="Verdana" w:eastAsia="Verdana" w:hAnsi="Verdana"/>
          <w:color w:val="0070C0"/>
        </w:rPr>
        <w:t xml:space="preserve"> a zapobieganiem przestępstwom</w:t>
      </w:r>
      <w:r w:rsidRPr="00043280">
        <w:rPr>
          <w:rFonts w:ascii="Verdana" w:eastAsia="Verdana" w:hAnsi="Verdana"/>
          <w:color w:val="0070C0"/>
        </w:rPr>
        <w:t>.</w:t>
      </w:r>
    </w:p>
    <w:p w14:paraId="69FD667C" w14:textId="77777777" w:rsidR="00F832FE" w:rsidRDefault="00F832FE" w:rsidP="00AB713F">
      <w:pPr>
        <w:spacing w:line="87" w:lineRule="exact"/>
        <w:ind w:left="740"/>
        <w:rPr>
          <w:rFonts w:ascii="Times New Roman" w:eastAsia="Times New Roman" w:hAnsi="Times New Roman"/>
        </w:rPr>
      </w:pPr>
    </w:p>
    <w:p w14:paraId="3951947D" w14:textId="28192EB1" w:rsidR="00F832FE" w:rsidRDefault="00043280" w:rsidP="00AB713F">
      <w:pPr>
        <w:spacing w:before="120" w:line="0" w:lineRule="atLeast"/>
        <w:ind w:left="740"/>
        <w:rPr>
          <w:rFonts w:ascii="Verdana" w:eastAsia="Verdana" w:hAnsi="Verdana"/>
          <w:b/>
          <w:color w:val="0072BC"/>
          <w:u w:val="single"/>
        </w:rPr>
      </w:pPr>
      <w:hyperlink r:id="rId66" w:anchor="{%22itemid%22:[%22003-5758396-7320011%22]}" w:history="1">
        <w:r w:rsidRPr="00F91F13">
          <w:rPr>
            <w:rStyle w:val="Hipercze"/>
            <w:rFonts w:ascii="Verdana" w:eastAsia="Verdana" w:hAnsi="Verdana"/>
            <w:b/>
          </w:rPr>
          <w:t>Dagregorio i Mosconi przeciwko</w:t>
        </w:r>
        <w:r w:rsidR="00F832FE" w:rsidRPr="00F91F13">
          <w:rPr>
            <w:rStyle w:val="Hipercze"/>
            <w:rFonts w:ascii="Verdana" w:eastAsia="Verdana" w:hAnsi="Verdana"/>
            <w:b/>
          </w:rPr>
          <w:t xml:space="preserve"> Franc</w:t>
        </w:r>
        <w:r w:rsidRPr="00F91F13">
          <w:rPr>
            <w:rStyle w:val="Hipercze"/>
            <w:rFonts w:ascii="Verdana" w:eastAsia="Verdana" w:hAnsi="Verdana"/>
            <w:b/>
          </w:rPr>
          <w:t>ji</w:t>
        </w:r>
      </w:hyperlink>
    </w:p>
    <w:p w14:paraId="09BA5967" w14:textId="77777777" w:rsidR="00F832FE" w:rsidRDefault="00F832FE" w:rsidP="00AB713F">
      <w:pPr>
        <w:spacing w:line="63" w:lineRule="exact"/>
        <w:ind w:left="740"/>
        <w:rPr>
          <w:rFonts w:ascii="Times New Roman" w:eastAsia="Times New Roman" w:hAnsi="Times New Roman"/>
        </w:rPr>
      </w:pPr>
    </w:p>
    <w:p w14:paraId="4D047DAA" w14:textId="77777777" w:rsidR="00F832FE" w:rsidRDefault="00043280" w:rsidP="00AB713F">
      <w:pPr>
        <w:spacing w:line="0" w:lineRule="atLeast"/>
        <w:ind w:left="740"/>
        <w:rPr>
          <w:rFonts w:ascii="Verdana" w:eastAsia="Verdana" w:hAnsi="Verdana"/>
          <w:color w:val="808080"/>
          <w:sz w:val="18"/>
        </w:rPr>
      </w:pPr>
      <w:r>
        <w:rPr>
          <w:rFonts w:ascii="Verdana" w:eastAsia="Verdana" w:hAnsi="Verdana"/>
          <w:color w:val="808080"/>
          <w:sz w:val="18"/>
        </w:rPr>
        <w:t>30 maja</w:t>
      </w:r>
      <w:r w:rsidR="00F832FE">
        <w:rPr>
          <w:rFonts w:ascii="Verdana" w:eastAsia="Verdana" w:hAnsi="Verdana"/>
          <w:color w:val="808080"/>
          <w:sz w:val="18"/>
        </w:rPr>
        <w:t xml:space="preserve"> 201</w:t>
      </w:r>
      <w:r w:rsidR="009A0167">
        <w:rPr>
          <w:rFonts w:ascii="Verdana" w:eastAsia="Verdana" w:hAnsi="Verdana"/>
          <w:color w:val="808080"/>
          <w:sz w:val="18"/>
        </w:rPr>
        <w:t xml:space="preserve">7 roku (decyzja </w:t>
      </w:r>
      <w:r w:rsidR="0068481D">
        <w:rPr>
          <w:rFonts w:ascii="Verdana" w:eastAsia="Verdana" w:hAnsi="Verdana"/>
          <w:color w:val="808080"/>
          <w:sz w:val="18"/>
        </w:rPr>
        <w:t>o</w:t>
      </w:r>
      <w:r>
        <w:rPr>
          <w:rFonts w:ascii="Verdana" w:eastAsia="Verdana" w:hAnsi="Verdana"/>
          <w:color w:val="808080"/>
          <w:sz w:val="18"/>
        </w:rPr>
        <w:t xml:space="preserve"> dopuszczalności</w:t>
      </w:r>
      <w:r w:rsidR="00F832FE">
        <w:rPr>
          <w:rFonts w:ascii="Verdana" w:eastAsia="Verdana" w:hAnsi="Verdana"/>
          <w:color w:val="808080"/>
          <w:sz w:val="18"/>
        </w:rPr>
        <w:t>)</w:t>
      </w:r>
    </w:p>
    <w:p w14:paraId="4055B3E8" w14:textId="77777777" w:rsidR="00043280" w:rsidRPr="00043280" w:rsidRDefault="00732BB5" w:rsidP="00AB713F">
      <w:pPr>
        <w:spacing w:line="239" w:lineRule="auto"/>
        <w:ind w:left="740" w:right="20"/>
        <w:jc w:val="both"/>
        <w:rPr>
          <w:rFonts w:ascii="Verdana" w:eastAsia="Verdana" w:hAnsi="Verdana"/>
        </w:rPr>
      </w:pPr>
      <w:r>
        <w:rPr>
          <w:rFonts w:ascii="Verdana" w:eastAsia="Verdana" w:hAnsi="Verdana"/>
        </w:rPr>
        <w:t>Skarżący, należą</w:t>
      </w:r>
      <w:r w:rsidR="0068481D">
        <w:rPr>
          <w:rFonts w:ascii="Verdana" w:eastAsia="Verdana" w:hAnsi="Verdana"/>
        </w:rPr>
        <w:t>cy</w:t>
      </w:r>
      <w:r>
        <w:rPr>
          <w:rFonts w:ascii="Verdana" w:eastAsia="Verdana" w:hAnsi="Verdana"/>
        </w:rPr>
        <w:t xml:space="preserve"> do </w:t>
      </w:r>
      <w:r w:rsidR="009A0167">
        <w:rPr>
          <w:rFonts w:ascii="Verdana" w:eastAsia="Verdana" w:hAnsi="Verdana"/>
        </w:rPr>
        <w:t>związków</w:t>
      </w:r>
      <w:r>
        <w:rPr>
          <w:rFonts w:ascii="Verdana" w:eastAsia="Verdana" w:hAnsi="Verdana"/>
        </w:rPr>
        <w:t xml:space="preserve"> zawodowych,</w:t>
      </w:r>
      <w:r w:rsidR="00043280" w:rsidRPr="00043280">
        <w:rPr>
          <w:rFonts w:ascii="Verdana" w:eastAsia="Verdana" w:hAnsi="Verdana"/>
        </w:rPr>
        <w:t xml:space="preserve"> wzięli udział w </w:t>
      </w:r>
      <w:r w:rsidR="005A0CE6">
        <w:rPr>
          <w:rFonts w:ascii="Verdana" w:eastAsia="Verdana" w:hAnsi="Verdana"/>
        </w:rPr>
        <w:t>zajęciu</w:t>
      </w:r>
      <w:r w:rsidR="00043280" w:rsidRPr="00043280">
        <w:rPr>
          <w:rFonts w:ascii="Verdana" w:eastAsia="Verdana" w:hAnsi="Verdana"/>
        </w:rPr>
        <w:t xml:space="preserve"> i unieruchomieniu </w:t>
      </w:r>
      <w:r>
        <w:rPr>
          <w:rFonts w:ascii="Verdana" w:eastAsia="Verdana" w:hAnsi="Verdana"/>
        </w:rPr>
        <w:t>prom</w:t>
      </w:r>
      <w:r w:rsidR="00534999">
        <w:rPr>
          <w:rFonts w:ascii="Verdana" w:eastAsia="Verdana" w:hAnsi="Verdana"/>
        </w:rPr>
        <w:t>u</w:t>
      </w:r>
      <w:r w:rsidRPr="00043280">
        <w:rPr>
          <w:rFonts w:ascii="Verdana" w:eastAsia="Verdana" w:hAnsi="Verdana"/>
        </w:rPr>
        <w:t xml:space="preserve"> </w:t>
      </w:r>
      <w:r w:rsidR="005A0CE6" w:rsidRPr="00732BB5">
        <w:rPr>
          <w:rFonts w:ascii="Verdana" w:eastAsia="Verdana" w:hAnsi="Verdana"/>
          <w:i/>
        </w:rPr>
        <w:t xml:space="preserve">Société nationale Corse Méditerranée </w:t>
      </w:r>
      <w:r w:rsidR="005A0CE6" w:rsidRPr="005A0CE6">
        <w:rPr>
          <w:rFonts w:ascii="Verdana" w:eastAsia="Verdana" w:hAnsi="Verdana"/>
          <w:iCs/>
        </w:rPr>
        <w:t>(SNCM)</w:t>
      </w:r>
      <w:r w:rsidR="005A0CE6">
        <w:rPr>
          <w:rFonts w:ascii="Verdana" w:eastAsia="Verdana" w:hAnsi="Verdana"/>
        </w:rPr>
        <w:t xml:space="preserve"> o nazwie</w:t>
      </w:r>
      <w:r w:rsidR="005A0CE6" w:rsidRPr="00043280">
        <w:rPr>
          <w:rFonts w:ascii="Verdana" w:eastAsia="Verdana" w:hAnsi="Verdana"/>
        </w:rPr>
        <w:t xml:space="preserve"> </w:t>
      </w:r>
      <w:r w:rsidRPr="005A0CE6">
        <w:rPr>
          <w:rFonts w:ascii="Verdana" w:eastAsia="Verdana" w:hAnsi="Verdana"/>
          <w:i/>
          <w:iCs/>
        </w:rPr>
        <w:t>"</w:t>
      </w:r>
      <w:r w:rsidRPr="00732BB5">
        <w:rPr>
          <w:rFonts w:ascii="Verdana" w:eastAsia="Verdana" w:hAnsi="Verdana"/>
          <w:i/>
        </w:rPr>
        <w:t>Pascal Paoli</w:t>
      </w:r>
      <w:r w:rsidRPr="00043280">
        <w:rPr>
          <w:rFonts w:ascii="Verdana" w:eastAsia="Verdana" w:hAnsi="Verdana"/>
        </w:rPr>
        <w:t xml:space="preserve">" </w:t>
      </w:r>
      <w:r w:rsidR="00043280" w:rsidRPr="00043280">
        <w:rPr>
          <w:rFonts w:ascii="Verdana" w:eastAsia="Verdana" w:hAnsi="Verdana"/>
        </w:rPr>
        <w:t xml:space="preserve">podczas przejęcia przedsiębiorstwa przez podmiot finansowy. Sprawa dotyczyła odmowy </w:t>
      </w:r>
      <w:r w:rsidR="005A0CE6">
        <w:rPr>
          <w:rFonts w:ascii="Verdana" w:eastAsia="Verdana" w:hAnsi="Verdana"/>
        </w:rPr>
        <w:t xml:space="preserve">skarżących </w:t>
      </w:r>
      <w:r w:rsidR="00043280" w:rsidRPr="00043280">
        <w:rPr>
          <w:rFonts w:ascii="Verdana" w:eastAsia="Verdana" w:hAnsi="Verdana"/>
        </w:rPr>
        <w:t xml:space="preserve">poddania </w:t>
      </w:r>
      <w:r w:rsidR="005A0CE6">
        <w:rPr>
          <w:rFonts w:ascii="Verdana" w:eastAsia="Verdana" w:hAnsi="Verdana"/>
        </w:rPr>
        <w:t>się</w:t>
      </w:r>
      <w:r w:rsidR="00043280" w:rsidRPr="00043280">
        <w:rPr>
          <w:rFonts w:ascii="Verdana" w:eastAsia="Verdana" w:hAnsi="Verdana"/>
        </w:rPr>
        <w:t xml:space="preserve"> badaniom biologicznym, których wyniki miały zostać włączone do krajowej skomputeryzowanej bazy danych DNA (FNAEG). Skarżący, skazani w pierwszej instancji i w postępowaniu o</w:t>
      </w:r>
      <w:r w:rsidR="00534999">
        <w:rPr>
          <w:rFonts w:ascii="Verdana" w:eastAsia="Verdana" w:hAnsi="Verdana"/>
        </w:rPr>
        <w:t xml:space="preserve">dwoławczym, nie wnieśli </w:t>
      </w:r>
      <w:r w:rsidR="005A0CE6">
        <w:rPr>
          <w:rFonts w:ascii="Verdana" w:eastAsia="Verdana" w:hAnsi="Verdana"/>
        </w:rPr>
        <w:t>odwołania</w:t>
      </w:r>
      <w:r w:rsidR="00534999">
        <w:rPr>
          <w:rFonts w:ascii="Verdana" w:eastAsia="Verdana" w:hAnsi="Verdana"/>
        </w:rPr>
        <w:t xml:space="preserve"> co do prawa</w:t>
      </w:r>
      <w:r w:rsidR="00043280" w:rsidRPr="00043280">
        <w:rPr>
          <w:rFonts w:ascii="Verdana" w:eastAsia="Verdana" w:hAnsi="Verdana"/>
        </w:rPr>
        <w:t>.</w:t>
      </w:r>
    </w:p>
    <w:p w14:paraId="32E39A42" w14:textId="77777777" w:rsidR="00F832FE" w:rsidRPr="00043280" w:rsidRDefault="00534999" w:rsidP="00AB713F">
      <w:pPr>
        <w:spacing w:line="239" w:lineRule="auto"/>
        <w:ind w:left="740" w:right="20"/>
        <w:jc w:val="both"/>
        <w:rPr>
          <w:rFonts w:ascii="Verdana" w:eastAsia="Verdana" w:hAnsi="Verdana"/>
          <w:color w:val="0070C0"/>
        </w:rPr>
      </w:pPr>
      <w:r>
        <w:rPr>
          <w:rFonts w:ascii="Verdana" w:eastAsia="Verdana" w:hAnsi="Verdana"/>
          <w:color w:val="0070C0"/>
        </w:rPr>
        <w:t>Trybunał</w:t>
      </w:r>
      <w:r w:rsidR="00043280" w:rsidRPr="00043280">
        <w:rPr>
          <w:rFonts w:ascii="Verdana" w:eastAsia="Verdana" w:hAnsi="Verdana"/>
          <w:color w:val="0070C0"/>
        </w:rPr>
        <w:t xml:space="preserve"> uznał skargę za </w:t>
      </w:r>
      <w:r w:rsidR="00043280" w:rsidRPr="00F8489F">
        <w:rPr>
          <w:rFonts w:ascii="Verdana" w:eastAsia="Verdana" w:hAnsi="Verdana"/>
          <w:b/>
          <w:color w:val="0070C0"/>
        </w:rPr>
        <w:t>niedopuszczalną</w:t>
      </w:r>
      <w:r w:rsidR="00043280" w:rsidRPr="00043280">
        <w:rPr>
          <w:rFonts w:ascii="Verdana" w:eastAsia="Verdana" w:hAnsi="Verdana"/>
          <w:color w:val="0070C0"/>
        </w:rPr>
        <w:t xml:space="preserve"> ze względu na brak wyczerpania krajowych środków odwoławczych. Podkreślił</w:t>
      </w:r>
      <w:r>
        <w:rPr>
          <w:rFonts w:ascii="Verdana" w:eastAsia="Verdana" w:hAnsi="Verdana"/>
          <w:color w:val="0070C0"/>
        </w:rPr>
        <w:t>,</w:t>
      </w:r>
      <w:r w:rsidR="00043280" w:rsidRPr="00043280">
        <w:rPr>
          <w:rFonts w:ascii="Verdana" w:eastAsia="Verdana" w:hAnsi="Verdana"/>
          <w:color w:val="0070C0"/>
        </w:rPr>
        <w:t xml:space="preserve"> w szczególności, że wobec braku jakiegokolwiek </w:t>
      </w:r>
      <w:r w:rsidR="00043280" w:rsidRPr="00043280">
        <w:rPr>
          <w:rFonts w:ascii="Verdana" w:eastAsia="Verdana" w:hAnsi="Verdana"/>
          <w:color w:val="0070C0"/>
        </w:rPr>
        <w:lastRenderedPageBreak/>
        <w:t xml:space="preserve">precedensu prawnego mającego zastosowanie do sytuacji skarżących, istnieją wątpliwości co do skuteczności odwołania </w:t>
      </w:r>
      <w:r>
        <w:rPr>
          <w:rFonts w:ascii="Verdana" w:eastAsia="Verdana" w:hAnsi="Verdana"/>
          <w:color w:val="0070C0"/>
        </w:rPr>
        <w:t>co do prawa,</w:t>
      </w:r>
      <w:r w:rsidR="00043280" w:rsidRPr="00043280">
        <w:rPr>
          <w:rFonts w:ascii="Verdana" w:eastAsia="Verdana" w:hAnsi="Verdana"/>
          <w:color w:val="0070C0"/>
        </w:rPr>
        <w:t xml:space="preserve"> w związku z orze</w:t>
      </w:r>
      <w:r>
        <w:rPr>
          <w:rFonts w:ascii="Verdana" w:eastAsia="Verdana" w:hAnsi="Verdana"/>
          <w:color w:val="0070C0"/>
        </w:rPr>
        <w:t>czeniem Rady Konstytucyjnej. Trybunał</w:t>
      </w:r>
      <w:r w:rsidR="00043280" w:rsidRPr="00043280">
        <w:rPr>
          <w:rFonts w:ascii="Verdana" w:eastAsia="Verdana" w:hAnsi="Verdana"/>
          <w:color w:val="0070C0"/>
        </w:rPr>
        <w:t xml:space="preserve"> uznał więc, że jest to kwestia, która powinna była zostać przedstawiona Sądowi </w:t>
      </w:r>
      <w:r w:rsidR="005A0CE6">
        <w:rPr>
          <w:rFonts w:ascii="Verdana" w:eastAsia="Verdana" w:hAnsi="Verdana"/>
          <w:color w:val="0070C0"/>
        </w:rPr>
        <w:t>Kasacyjnemu</w:t>
      </w:r>
      <w:r w:rsidR="00043280" w:rsidRPr="00043280">
        <w:rPr>
          <w:rFonts w:ascii="Verdana" w:eastAsia="Verdana" w:hAnsi="Verdana"/>
          <w:color w:val="0070C0"/>
        </w:rPr>
        <w:t>. Sam fakt</w:t>
      </w:r>
      <w:r w:rsidR="005A0CE6">
        <w:rPr>
          <w:rFonts w:ascii="Verdana" w:eastAsia="Verdana" w:hAnsi="Verdana"/>
          <w:color w:val="0070C0"/>
        </w:rPr>
        <w:t xml:space="preserve"> istnienia</w:t>
      </w:r>
      <w:r w:rsidR="00043280" w:rsidRPr="00043280">
        <w:rPr>
          <w:rFonts w:ascii="Verdana" w:eastAsia="Verdana" w:hAnsi="Verdana"/>
          <w:color w:val="0070C0"/>
        </w:rPr>
        <w:t xml:space="preserve"> wątpliwości co do perspektyw danego </w:t>
      </w:r>
      <w:r>
        <w:rPr>
          <w:rFonts w:ascii="Verdana" w:eastAsia="Verdana" w:hAnsi="Verdana"/>
          <w:color w:val="0070C0"/>
        </w:rPr>
        <w:t>środka odwoławczego</w:t>
      </w:r>
      <w:r w:rsidR="005A0CE6">
        <w:rPr>
          <w:rFonts w:ascii="Verdana" w:eastAsia="Verdana" w:hAnsi="Verdana"/>
          <w:color w:val="0070C0"/>
        </w:rPr>
        <w:t xml:space="preserve"> </w:t>
      </w:r>
      <w:r w:rsidR="00043280" w:rsidRPr="00043280">
        <w:rPr>
          <w:rFonts w:ascii="Verdana" w:eastAsia="Verdana" w:hAnsi="Verdana"/>
          <w:color w:val="0070C0"/>
        </w:rPr>
        <w:t>nie stanowi wystarczającego powodu do zaniechania zastosowania przedmiotowego środka.</w:t>
      </w:r>
    </w:p>
    <w:p w14:paraId="60A19AAF" w14:textId="77777777" w:rsidR="00F832FE" w:rsidRDefault="00F832FE" w:rsidP="00AB713F">
      <w:pPr>
        <w:spacing w:line="85" w:lineRule="exact"/>
        <w:ind w:left="740"/>
        <w:rPr>
          <w:rFonts w:ascii="Times New Roman" w:eastAsia="Times New Roman" w:hAnsi="Times New Roman"/>
        </w:rPr>
      </w:pPr>
    </w:p>
    <w:p w14:paraId="32B81B12" w14:textId="77777777" w:rsidR="00F832FE" w:rsidRPr="00A14197" w:rsidRDefault="006C1A70" w:rsidP="00AB713F">
      <w:pPr>
        <w:spacing w:before="120" w:line="0" w:lineRule="atLeast"/>
        <w:ind w:left="740"/>
        <w:rPr>
          <w:rFonts w:ascii="Verdana" w:eastAsia="Verdana" w:hAnsi="Verdana"/>
          <w:b/>
          <w:color w:val="0072BC"/>
          <w:u w:val="single"/>
        </w:rPr>
      </w:pPr>
      <w:hyperlink r:id="rId67" w:history="1">
        <w:r w:rsidRPr="00A14197">
          <w:rPr>
            <w:rFonts w:ascii="Verdana" w:hAnsi="Verdana"/>
            <w:b/>
            <w:color w:val="0072BC"/>
            <w:u w:val="single"/>
          </w:rPr>
          <w:t>Aycaguer przeciwko Francji</w:t>
        </w:r>
      </w:hyperlink>
    </w:p>
    <w:p w14:paraId="5BF33FCE" w14:textId="77777777" w:rsidR="00F832FE" w:rsidRDefault="00F832FE" w:rsidP="00AB713F">
      <w:pPr>
        <w:spacing w:line="64" w:lineRule="exact"/>
        <w:ind w:left="740"/>
        <w:rPr>
          <w:rFonts w:ascii="Times New Roman" w:eastAsia="Times New Roman" w:hAnsi="Times New Roman"/>
        </w:rPr>
      </w:pPr>
    </w:p>
    <w:p w14:paraId="1DE39981" w14:textId="77777777" w:rsidR="00F832FE" w:rsidRDefault="006C1A70" w:rsidP="00AB713F">
      <w:pPr>
        <w:spacing w:line="0" w:lineRule="atLeast"/>
        <w:ind w:left="740"/>
        <w:rPr>
          <w:rFonts w:ascii="Verdana" w:eastAsia="Verdana" w:hAnsi="Verdana"/>
          <w:color w:val="808080"/>
          <w:sz w:val="18"/>
        </w:rPr>
      </w:pPr>
      <w:r>
        <w:rPr>
          <w:rFonts w:ascii="Verdana" w:eastAsia="Verdana" w:hAnsi="Verdana"/>
          <w:color w:val="808080"/>
          <w:sz w:val="18"/>
        </w:rPr>
        <w:t>22 czerwca</w:t>
      </w:r>
      <w:r w:rsidR="00F832FE">
        <w:rPr>
          <w:rFonts w:ascii="Verdana" w:eastAsia="Verdana" w:hAnsi="Verdana"/>
          <w:color w:val="808080"/>
          <w:sz w:val="18"/>
        </w:rPr>
        <w:t xml:space="preserve"> 2017</w:t>
      </w:r>
      <w:r w:rsidR="009A0167">
        <w:rPr>
          <w:rFonts w:ascii="Verdana" w:eastAsia="Verdana" w:hAnsi="Verdana"/>
          <w:color w:val="808080"/>
          <w:sz w:val="18"/>
        </w:rPr>
        <w:t xml:space="preserve"> roku</w:t>
      </w:r>
    </w:p>
    <w:p w14:paraId="3F84B145" w14:textId="77777777" w:rsidR="00F832FE" w:rsidRDefault="00F832FE" w:rsidP="00AB713F">
      <w:pPr>
        <w:spacing w:line="1" w:lineRule="exact"/>
        <w:ind w:left="740"/>
        <w:rPr>
          <w:rFonts w:ascii="Times New Roman" w:eastAsia="Times New Roman" w:hAnsi="Times New Roman"/>
        </w:rPr>
      </w:pPr>
    </w:p>
    <w:p w14:paraId="609181E0" w14:textId="77777777" w:rsidR="006C1A70" w:rsidRDefault="006C1A70" w:rsidP="00AB713F">
      <w:pPr>
        <w:spacing w:line="265" w:lineRule="auto"/>
        <w:ind w:left="740"/>
        <w:jc w:val="both"/>
        <w:rPr>
          <w:rFonts w:ascii="Verdana" w:eastAsia="Verdana" w:hAnsi="Verdana"/>
        </w:rPr>
      </w:pPr>
      <w:r w:rsidRPr="006C1A70">
        <w:rPr>
          <w:rFonts w:ascii="Verdana" w:eastAsia="Verdana" w:hAnsi="Verdana"/>
        </w:rPr>
        <w:t xml:space="preserve">Skarżący twierdził, że naruszone zostało jego prawo do poszanowania życia prywatnego poprzez nakazanie dostarczenia próbki biologicznej do </w:t>
      </w:r>
      <w:r w:rsidR="0068481D">
        <w:rPr>
          <w:rFonts w:ascii="Verdana" w:eastAsia="Verdana" w:hAnsi="Verdana"/>
        </w:rPr>
        <w:t>włączenia</w:t>
      </w:r>
      <w:r w:rsidR="0068481D" w:rsidRPr="006C1A70">
        <w:rPr>
          <w:rFonts w:ascii="Verdana" w:eastAsia="Verdana" w:hAnsi="Verdana"/>
        </w:rPr>
        <w:t xml:space="preserve"> </w:t>
      </w:r>
      <w:r w:rsidRPr="006C1A70">
        <w:rPr>
          <w:rFonts w:ascii="Verdana" w:eastAsia="Verdana" w:hAnsi="Verdana"/>
        </w:rPr>
        <w:t xml:space="preserve">do skomputeryzowanej krajowej bazy danych DNA (FNAEG) oraz </w:t>
      </w:r>
      <w:r w:rsidR="00534999">
        <w:rPr>
          <w:rFonts w:ascii="Verdana" w:eastAsia="Verdana" w:hAnsi="Verdana"/>
        </w:rPr>
        <w:t xml:space="preserve">z uwagi na </w:t>
      </w:r>
      <w:r w:rsidRPr="006C1A70">
        <w:rPr>
          <w:rFonts w:ascii="Verdana" w:eastAsia="Verdana" w:hAnsi="Verdana"/>
        </w:rPr>
        <w:t xml:space="preserve">fakt, że odmowa wykonania tego </w:t>
      </w:r>
      <w:r w:rsidR="00534999">
        <w:rPr>
          <w:rFonts w:ascii="Verdana" w:eastAsia="Verdana" w:hAnsi="Verdana"/>
        </w:rPr>
        <w:t xml:space="preserve">obowiązku </w:t>
      </w:r>
      <w:r w:rsidRPr="006C1A70">
        <w:rPr>
          <w:rFonts w:ascii="Verdana" w:eastAsia="Verdana" w:hAnsi="Verdana"/>
        </w:rPr>
        <w:t>doprowadziła do wydania wyroku skazującego w postępowaniu karnym.</w:t>
      </w:r>
    </w:p>
    <w:p w14:paraId="49305819" w14:textId="77777777" w:rsidR="00F832FE" w:rsidRDefault="006C1A70" w:rsidP="0097380D">
      <w:pPr>
        <w:ind w:left="740"/>
        <w:jc w:val="both"/>
        <w:rPr>
          <w:rFonts w:ascii="Verdana" w:eastAsia="Verdana" w:hAnsi="Verdana"/>
          <w:color w:val="0070C0"/>
        </w:rPr>
      </w:pPr>
      <w:r w:rsidRPr="006C1A70">
        <w:rPr>
          <w:rFonts w:ascii="Verdana" w:eastAsia="Verdana" w:hAnsi="Verdana"/>
          <w:color w:val="0070C0"/>
        </w:rPr>
        <w:t xml:space="preserve">Trybunał orzekł, że </w:t>
      </w:r>
      <w:r w:rsidR="00534999">
        <w:rPr>
          <w:rFonts w:ascii="Verdana" w:eastAsia="Verdana" w:hAnsi="Verdana"/>
          <w:b/>
          <w:color w:val="0070C0"/>
        </w:rPr>
        <w:t xml:space="preserve">doszło do naruszenia </w:t>
      </w:r>
      <w:r w:rsidR="003021B1">
        <w:rPr>
          <w:rFonts w:ascii="Verdana" w:eastAsia="Verdana" w:hAnsi="Verdana"/>
          <w:b/>
          <w:color w:val="0070C0"/>
        </w:rPr>
        <w:t>art.</w:t>
      </w:r>
      <w:r w:rsidRPr="00534999">
        <w:rPr>
          <w:rFonts w:ascii="Verdana" w:eastAsia="Verdana" w:hAnsi="Verdana"/>
          <w:b/>
          <w:color w:val="0070C0"/>
        </w:rPr>
        <w:t xml:space="preserve"> 8</w:t>
      </w:r>
      <w:r w:rsidR="00534999">
        <w:rPr>
          <w:rFonts w:ascii="Verdana" w:eastAsia="Verdana" w:hAnsi="Verdana"/>
          <w:color w:val="0070C0"/>
        </w:rPr>
        <w:t xml:space="preserve"> Konwencji. Zauważył</w:t>
      </w:r>
      <w:r w:rsidRPr="006C1A70">
        <w:rPr>
          <w:rFonts w:ascii="Verdana" w:eastAsia="Verdana" w:hAnsi="Verdana"/>
          <w:color w:val="0070C0"/>
        </w:rPr>
        <w:t xml:space="preserve"> w szczególności, że w dniu 16 września 2010 r</w:t>
      </w:r>
      <w:r w:rsidR="003021B1">
        <w:rPr>
          <w:rFonts w:ascii="Verdana" w:eastAsia="Verdana" w:hAnsi="Verdana"/>
          <w:color w:val="0070C0"/>
        </w:rPr>
        <w:t>oku</w:t>
      </w:r>
      <w:r w:rsidRPr="006C1A70">
        <w:rPr>
          <w:rFonts w:ascii="Verdana" w:eastAsia="Verdana" w:hAnsi="Verdana"/>
          <w:color w:val="0070C0"/>
        </w:rPr>
        <w:t xml:space="preserve"> Rada Konstytucyjna wydała decyzję stwierdzającą, że przepisy dotyczące FNAEG są zgodne z </w:t>
      </w:r>
      <w:r w:rsidR="00352098">
        <w:rPr>
          <w:rFonts w:ascii="Verdana" w:eastAsia="Verdana" w:hAnsi="Verdana"/>
          <w:color w:val="0070C0"/>
        </w:rPr>
        <w:t>K</w:t>
      </w:r>
      <w:r w:rsidRPr="006C1A70">
        <w:rPr>
          <w:rFonts w:ascii="Verdana" w:eastAsia="Verdana" w:hAnsi="Verdana"/>
          <w:color w:val="0070C0"/>
        </w:rPr>
        <w:t xml:space="preserve">onstytucją, </w:t>
      </w:r>
      <w:r w:rsidR="003021B1">
        <w:rPr>
          <w:rFonts w:ascii="Verdana" w:eastAsia="Verdana" w:hAnsi="Verdana"/>
          <w:color w:val="0070C0"/>
        </w:rPr>
        <w:t>pod warunkiem</w:t>
      </w:r>
      <w:r w:rsidRPr="006C1A70">
        <w:rPr>
          <w:rFonts w:ascii="Verdana" w:eastAsia="Verdana" w:hAnsi="Verdana"/>
          <w:color w:val="0070C0"/>
        </w:rPr>
        <w:t xml:space="preserve"> między innymi "określenia czasu przechowywania takich danych osobowych w zależności od celu przechowywanych akt oraz charakteru lub wagi danych przestępstw". Trybunał zauważył, że do tej pory nie podjęto odpowiednich działań w związku z tym zastrzeżeniem</w:t>
      </w:r>
      <w:r w:rsidR="003021B1">
        <w:rPr>
          <w:rFonts w:ascii="Verdana" w:eastAsia="Verdana" w:hAnsi="Verdana"/>
          <w:color w:val="0070C0"/>
        </w:rPr>
        <w:t>,</w:t>
      </w:r>
      <w:r w:rsidRPr="006C1A70">
        <w:rPr>
          <w:rFonts w:ascii="Verdana" w:eastAsia="Verdana" w:hAnsi="Verdana"/>
          <w:color w:val="0070C0"/>
        </w:rPr>
        <w:t xml:space="preserve"> i że obecnie nie ma przepisu umożliwiającego zróżnicowanie okresu przechowywania danych w zależności od charakteru i wagi popełnionych przestępstw. Trybunał orzekł również, że przepisy dotyczące przechowywania profili DNA w FNAEG nie zapewniają wystarczającej ochrony osobom, których dane dotyczą, ze względu na czas trwania i fakt, że </w:t>
      </w:r>
      <w:r w:rsidR="003021B1">
        <w:rPr>
          <w:rFonts w:ascii="Verdana" w:eastAsia="Verdana" w:hAnsi="Verdana"/>
          <w:color w:val="0070C0"/>
        </w:rPr>
        <w:t xml:space="preserve">danych </w:t>
      </w:r>
      <w:r w:rsidRPr="006C1A70">
        <w:rPr>
          <w:rFonts w:ascii="Verdana" w:eastAsia="Verdana" w:hAnsi="Verdana"/>
          <w:color w:val="0070C0"/>
        </w:rPr>
        <w:t>nie można usunąć. W związku z tym</w:t>
      </w:r>
      <w:r w:rsidR="00501974">
        <w:rPr>
          <w:rFonts w:ascii="Verdana" w:eastAsia="Verdana" w:hAnsi="Verdana"/>
          <w:color w:val="0070C0"/>
        </w:rPr>
        <w:t xml:space="preserve"> przepisy te </w:t>
      </w:r>
      <w:r w:rsidRPr="006C1A70">
        <w:rPr>
          <w:rFonts w:ascii="Verdana" w:eastAsia="Verdana" w:hAnsi="Verdana"/>
          <w:color w:val="0070C0"/>
        </w:rPr>
        <w:t xml:space="preserve">nie </w:t>
      </w:r>
      <w:r w:rsidR="00534999">
        <w:rPr>
          <w:rFonts w:ascii="Verdana" w:eastAsia="Verdana" w:hAnsi="Verdana"/>
          <w:color w:val="0070C0"/>
        </w:rPr>
        <w:t>zapewni</w:t>
      </w:r>
      <w:r w:rsidR="00501974">
        <w:rPr>
          <w:rFonts w:ascii="Verdana" w:eastAsia="Verdana" w:hAnsi="Verdana"/>
          <w:color w:val="0070C0"/>
        </w:rPr>
        <w:t xml:space="preserve">ły sprawiedliwej </w:t>
      </w:r>
      <w:r w:rsidRPr="006C1A70">
        <w:rPr>
          <w:rFonts w:ascii="Verdana" w:eastAsia="Verdana" w:hAnsi="Verdana"/>
          <w:color w:val="0070C0"/>
        </w:rPr>
        <w:t>równowagi między konkurencyjnymi interesami</w:t>
      </w:r>
      <w:r w:rsidR="00534999">
        <w:rPr>
          <w:rFonts w:ascii="Verdana" w:eastAsia="Verdana" w:hAnsi="Verdana"/>
          <w:color w:val="0070C0"/>
        </w:rPr>
        <w:t>: publicznym i prywatnym</w:t>
      </w:r>
      <w:r w:rsidRPr="006C1A70">
        <w:rPr>
          <w:rFonts w:ascii="Verdana" w:eastAsia="Verdana" w:hAnsi="Verdana"/>
          <w:color w:val="0070C0"/>
        </w:rPr>
        <w:t>.</w:t>
      </w:r>
    </w:p>
    <w:p w14:paraId="5EB09C3C" w14:textId="77777777" w:rsidR="00501974" w:rsidRPr="00A14197" w:rsidRDefault="00501974" w:rsidP="00AB713F">
      <w:pPr>
        <w:spacing w:before="120" w:line="265" w:lineRule="auto"/>
        <w:ind w:left="740"/>
        <w:jc w:val="both"/>
        <w:rPr>
          <w:rFonts w:ascii="Verdana" w:eastAsia="Verdana" w:hAnsi="Verdana"/>
          <w:b/>
          <w:color w:val="0072BC"/>
          <w:u w:val="single"/>
        </w:rPr>
      </w:pPr>
      <w:hyperlink r:id="rId68" w:history="1">
        <w:r w:rsidRPr="00A14197">
          <w:rPr>
            <w:rStyle w:val="Hipercze"/>
            <w:rFonts w:ascii="Verdana" w:eastAsia="Verdana" w:hAnsi="Verdana"/>
            <w:b/>
            <w:color w:val="0072BC"/>
          </w:rPr>
          <w:t>Catt przeciwko Zjednoczonemu Królestwu</w:t>
        </w:r>
      </w:hyperlink>
    </w:p>
    <w:p w14:paraId="38668BE1" w14:textId="77777777" w:rsidR="00501974" w:rsidRDefault="00501974" w:rsidP="00AB713F">
      <w:pPr>
        <w:spacing w:line="0" w:lineRule="atLeast"/>
        <w:ind w:left="740"/>
        <w:rPr>
          <w:rFonts w:ascii="Verdana" w:eastAsia="Verdana" w:hAnsi="Verdana"/>
          <w:color w:val="808080"/>
          <w:sz w:val="18"/>
        </w:rPr>
      </w:pPr>
      <w:r>
        <w:rPr>
          <w:rFonts w:ascii="Verdana" w:eastAsia="Verdana" w:hAnsi="Verdana"/>
          <w:color w:val="808080"/>
          <w:sz w:val="18"/>
        </w:rPr>
        <w:t>24 stycznia 2019 roku</w:t>
      </w:r>
    </w:p>
    <w:p w14:paraId="511107A9" w14:textId="77777777" w:rsidR="009A19EF" w:rsidRPr="00F8489F" w:rsidRDefault="00501974" w:rsidP="00AB713F">
      <w:pPr>
        <w:spacing w:line="0" w:lineRule="atLeast"/>
        <w:ind w:left="740"/>
        <w:jc w:val="both"/>
        <w:rPr>
          <w:rFonts w:ascii="Verdana" w:eastAsia="Verdana" w:hAnsi="Verdana"/>
          <w:color w:val="000000"/>
          <w:sz w:val="18"/>
        </w:rPr>
      </w:pPr>
      <w:r w:rsidRPr="00F8489F">
        <w:rPr>
          <w:rFonts w:ascii="Verdana" w:eastAsia="Verdana" w:hAnsi="Verdana"/>
          <w:color w:val="000000"/>
        </w:rPr>
        <w:t>Sprawa ta dotyczyła</w:t>
      </w:r>
      <w:r w:rsidRPr="00522540">
        <w:rPr>
          <w:rFonts w:ascii="Verdana" w:eastAsia="Verdana" w:hAnsi="Verdana"/>
          <w:color w:val="000000"/>
        </w:rPr>
        <w:t xml:space="preserve"> skargi </w:t>
      </w:r>
      <w:r w:rsidR="003021B1">
        <w:rPr>
          <w:rFonts w:ascii="Verdana" w:eastAsia="Verdana" w:hAnsi="Verdana"/>
          <w:color w:val="000000"/>
        </w:rPr>
        <w:t>skarżącego</w:t>
      </w:r>
      <w:r w:rsidRPr="00522540">
        <w:rPr>
          <w:rFonts w:ascii="Verdana" w:eastAsia="Verdana" w:hAnsi="Verdana"/>
          <w:color w:val="000000"/>
        </w:rPr>
        <w:t>, wieloletniego aktywisty, dotyczącej gromadzenia i przechowywania jego danych osobowych w policyjnej bazie danych</w:t>
      </w:r>
      <w:r w:rsidR="00745178" w:rsidRPr="00522540">
        <w:rPr>
          <w:rFonts w:ascii="Verdana" w:eastAsia="Verdana" w:hAnsi="Verdana"/>
          <w:color w:val="000000"/>
        </w:rPr>
        <w:t xml:space="preserve"> </w:t>
      </w:r>
      <w:r w:rsidR="00590550" w:rsidRPr="00522540">
        <w:rPr>
          <w:rFonts w:ascii="Verdana" w:eastAsia="Verdana" w:hAnsi="Verdana"/>
          <w:color w:val="000000"/>
        </w:rPr>
        <w:t>„krajowych ekstremistów”.</w:t>
      </w:r>
    </w:p>
    <w:p w14:paraId="155FBED5" w14:textId="77777777" w:rsidR="00501974" w:rsidRDefault="009A19EF" w:rsidP="0097380D">
      <w:pPr>
        <w:ind w:left="740"/>
        <w:jc w:val="both"/>
        <w:rPr>
          <w:rFonts w:ascii="Verdana" w:eastAsia="Verdana" w:hAnsi="Verdana"/>
          <w:color w:val="0070C0"/>
        </w:rPr>
      </w:pPr>
      <w:r w:rsidRPr="009A19EF">
        <w:rPr>
          <w:rFonts w:ascii="Verdana" w:eastAsia="Verdana" w:hAnsi="Verdana"/>
          <w:color w:val="0070C0"/>
        </w:rPr>
        <w:t xml:space="preserve">Trybunał orzekł, że nastąpiło </w:t>
      </w:r>
      <w:r w:rsidRPr="00F8489F">
        <w:rPr>
          <w:rFonts w:ascii="Verdana" w:eastAsia="Verdana" w:hAnsi="Verdana"/>
          <w:b/>
          <w:color w:val="0070C0"/>
        </w:rPr>
        <w:t xml:space="preserve">naruszenie art. 8 </w:t>
      </w:r>
      <w:r w:rsidRPr="009A19EF">
        <w:rPr>
          <w:rFonts w:ascii="Verdana" w:eastAsia="Verdana" w:hAnsi="Verdana"/>
          <w:color w:val="0070C0"/>
        </w:rPr>
        <w:t xml:space="preserve">Konwencji. Trybunał stwierdził w szczególności, że dane przechowywane na temat </w:t>
      </w:r>
      <w:r w:rsidR="006C27E8">
        <w:rPr>
          <w:rFonts w:ascii="Verdana" w:eastAsia="Verdana" w:hAnsi="Verdana"/>
          <w:color w:val="0070C0"/>
        </w:rPr>
        <w:t>skarżącego</w:t>
      </w:r>
      <w:r w:rsidRPr="009A19EF">
        <w:rPr>
          <w:rFonts w:ascii="Verdana" w:eastAsia="Verdana" w:hAnsi="Verdana"/>
          <w:color w:val="0070C0"/>
        </w:rPr>
        <w:t xml:space="preserve"> dotyczyły jego poglądów politycznych</w:t>
      </w:r>
      <w:r w:rsidR="006C27E8">
        <w:rPr>
          <w:rFonts w:ascii="Verdana" w:eastAsia="Verdana" w:hAnsi="Verdana"/>
          <w:color w:val="0070C0"/>
        </w:rPr>
        <w:t>,</w:t>
      </w:r>
      <w:r w:rsidRPr="009A19EF">
        <w:rPr>
          <w:rFonts w:ascii="Verdana" w:eastAsia="Verdana" w:hAnsi="Verdana"/>
          <w:color w:val="0070C0"/>
        </w:rPr>
        <w:t xml:space="preserve"> i że informacje te wymagały szczególnej ochrony. </w:t>
      </w:r>
      <w:r w:rsidR="00590550">
        <w:rPr>
          <w:rFonts w:ascii="Verdana" w:eastAsia="Verdana" w:hAnsi="Verdana"/>
          <w:color w:val="0070C0"/>
        </w:rPr>
        <w:t>Trybunał</w:t>
      </w:r>
      <w:r w:rsidRPr="009A19EF">
        <w:rPr>
          <w:rFonts w:ascii="Verdana" w:eastAsia="Verdana" w:hAnsi="Verdana"/>
          <w:color w:val="0070C0"/>
        </w:rPr>
        <w:t xml:space="preserve"> wziął również pod uwagę wiek skarżącego (94 lata) oraz fakt, że nie miał on </w:t>
      </w:r>
      <w:r w:rsidR="00590550">
        <w:rPr>
          <w:rFonts w:ascii="Verdana" w:eastAsia="Verdana" w:hAnsi="Verdana"/>
          <w:color w:val="0070C0"/>
        </w:rPr>
        <w:t>kryminalnej przeszłości</w:t>
      </w:r>
      <w:r w:rsidRPr="009A19EF">
        <w:rPr>
          <w:rFonts w:ascii="Verdana" w:eastAsia="Verdana" w:hAnsi="Verdana"/>
          <w:color w:val="0070C0"/>
        </w:rPr>
        <w:t xml:space="preserve"> ani perspektywy popełnienia aktów przemocy. Trybunał zauważył ponadto, że chociaż gromadzenie informacji na jego temat było uzasadnione, </w:t>
      </w:r>
      <w:r w:rsidR="006C27E8">
        <w:rPr>
          <w:rFonts w:ascii="Verdana" w:eastAsia="Verdana" w:hAnsi="Verdana"/>
          <w:color w:val="0070C0"/>
        </w:rPr>
        <w:t xml:space="preserve">to </w:t>
      </w:r>
      <w:r w:rsidR="00590550">
        <w:rPr>
          <w:rFonts w:ascii="Verdana" w:eastAsia="Verdana" w:hAnsi="Verdana"/>
          <w:color w:val="0070C0"/>
        </w:rPr>
        <w:t>przechowywanie</w:t>
      </w:r>
      <w:r w:rsidRPr="009A19EF">
        <w:rPr>
          <w:rFonts w:ascii="Verdana" w:eastAsia="Verdana" w:hAnsi="Verdana"/>
          <w:color w:val="0070C0"/>
        </w:rPr>
        <w:t xml:space="preserve"> ich </w:t>
      </w:r>
      <w:r w:rsidR="006C27E8">
        <w:rPr>
          <w:rFonts w:ascii="Verdana" w:eastAsia="Verdana" w:hAnsi="Verdana"/>
          <w:color w:val="0070C0"/>
        </w:rPr>
        <w:t>już nie</w:t>
      </w:r>
      <w:r w:rsidRPr="009A19EF">
        <w:rPr>
          <w:rFonts w:ascii="Verdana" w:eastAsia="Verdana" w:hAnsi="Verdana"/>
          <w:color w:val="0070C0"/>
        </w:rPr>
        <w:t xml:space="preserve">, w szczególności ze względu na brak </w:t>
      </w:r>
      <w:r w:rsidR="00590550">
        <w:rPr>
          <w:rFonts w:ascii="Verdana" w:eastAsia="Verdana" w:hAnsi="Verdana"/>
          <w:color w:val="0070C0"/>
        </w:rPr>
        <w:t>środków zabezpieczających</w:t>
      </w:r>
      <w:r w:rsidRPr="009A19EF">
        <w:rPr>
          <w:rFonts w:ascii="Verdana" w:eastAsia="Verdana" w:hAnsi="Verdana"/>
          <w:color w:val="0070C0"/>
        </w:rPr>
        <w:t xml:space="preserve">, takich jak </w:t>
      </w:r>
      <w:r w:rsidR="00E53312">
        <w:rPr>
          <w:rFonts w:ascii="Verdana" w:eastAsia="Verdana" w:hAnsi="Verdana"/>
          <w:color w:val="0070C0"/>
        </w:rPr>
        <w:t>okres przedawnienia</w:t>
      </w:r>
      <w:r w:rsidRPr="009A19EF">
        <w:rPr>
          <w:rFonts w:ascii="Verdana" w:eastAsia="Verdana" w:hAnsi="Verdana"/>
          <w:color w:val="0070C0"/>
        </w:rPr>
        <w:t>.</w:t>
      </w:r>
    </w:p>
    <w:p w14:paraId="15289C17" w14:textId="0D20E670" w:rsidR="006C27E8" w:rsidRPr="00A14197" w:rsidRDefault="006C27E8" w:rsidP="00AB713F">
      <w:pPr>
        <w:spacing w:before="120" w:line="265" w:lineRule="auto"/>
        <w:ind w:left="740"/>
        <w:jc w:val="both"/>
        <w:rPr>
          <w:rStyle w:val="Hipercze"/>
          <w:rFonts w:ascii="Verdana" w:hAnsi="Verdana"/>
          <w:b/>
          <w:color w:val="0072BC"/>
        </w:rPr>
      </w:pPr>
      <w:hyperlink r:id="rId69" w:anchor="{%22itemid%22:[%22003-6638275-8815904%22]}" w:history="1">
        <w:r w:rsidRPr="008B33E0">
          <w:rPr>
            <w:rStyle w:val="Hipercze"/>
            <w:rFonts w:ascii="Verdana" w:eastAsia="Verdana" w:hAnsi="Verdana"/>
            <w:b/>
            <w:color w:val="0072BC"/>
          </w:rPr>
          <w:t>Gaughran przeciwko Zjednoczonemu Królestwu</w:t>
        </w:r>
      </w:hyperlink>
      <w:r w:rsidRPr="00A14197">
        <w:rPr>
          <w:rStyle w:val="Hipercze"/>
          <w:rFonts w:ascii="Verdana" w:hAnsi="Verdana"/>
          <w:b/>
          <w:color w:val="0072BC"/>
        </w:rPr>
        <w:t xml:space="preserve"> </w:t>
      </w:r>
    </w:p>
    <w:p w14:paraId="51F8E65C" w14:textId="77777777" w:rsidR="006C27E8" w:rsidRPr="006C27E8" w:rsidRDefault="006C27E8" w:rsidP="00AB713F">
      <w:pPr>
        <w:spacing w:line="0" w:lineRule="atLeast"/>
        <w:ind w:left="740"/>
        <w:rPr>
          <w:rFonts w:ascii="Verdana" w:eastAsia="Verdana" w:hAnsi="Verdana"/>
          <w:color w:val="0070C0"/>
        </w:rPr>
      </w:pPr>
      <w:r w:rsidRPr="006C27E8">
        <w:rPr>
          <w:rFonts w:ascii="Verdana" w:eastAsia="Verdana" w:hAnsi="Verdana"/>
          <w:color w:val="808080"/>
          <w:sz w:val="18"/>
        </w:rPr>
        <w:t xml:space="preserve">13 </w:t>
      </w:r>
      <w:r>
        <w:rPr>
          <w:rFonts w:ascii="Verdana" w:eastAsia="Verdana" w:hAnsi="Verdana"/>
          <w:color w:val="808080"/>
          <w:sz w:val="18"/>
        </w:rPr>
        <w:t>lutego</w:t>
      </w:r>
      <w:r w:rsidRPr="006C27E8">
        <w:rPr>
          <w:rFonts w:ascii="Verdana" w:eastAsia="Verdana" w:hAnsi="Verdana"/>
          <w:color w:val="808080"/>
          <w:sz w:val="18"/>
        </w:rPr>
        <w:t xml:space="preserve"> 2020</w:t>
      </w:r>
      <w:r>
        <w:rPr>
          <w:rFonts w:ascii="Verdana" w:eastAsia="Verdana" w:hAnsi="Verdana"/>
          <w:color w:val="808080"/>
          <w:sz w:val="18"/>
        </w:rPr>
        <w:t xml:space="preserve"> roku</w:t>
      </w:r>
    </w:p>
    <w:p w14:paraId="54AA469D" w14:textId="77777777" w:rsidR="006C27E8" w:rsidRPr="006C27E8" w:rsidRDefault="00B31479" w:rsidP="00AB713F">
      <w:pPr>
        <w:spacing w:line="0" w:lineRule="atLeast"/>
        <w:ind w:left="740"/>
        <w:jc w:val="both"/>
        <w:rPr>
          <w:rFonts w:ascii="Verdana" w:eastAsia="Verdana" w:hAnsi="Verdana"/>
          <w:color w:val="0070C0"/>
        </w:rPr>
      </w:pPr>
      <w:r w:rsidRPr="00B31479">
        <w:rPr>
          <w:rFonts w:ascii="Verdana" w:eastAsia="Verdana" w:hAnsi="Verdana"/>
          <w:color w:val="000000"/>
        </w:rPr>
        <w:t>Sprawa dotyczyła skargi na nieo</w:t>
      </w:r>
      <w:r>
        <w:rPr>
          <w:rFonts w:ascii="Verdana" w:eastAsia="Verdana" w:hAnsi="Verdana"/>
          <w:color w:val="000000"/>
        </w:rPr>
        <w:t>graniczone czasowo</w:t>
      </w:r>
      <w:r w:rsidRPr="00B31479">
        <w:rPr>
          <w:rFonts w:ascii="Verdana" w:eastAsia="Verdana" w:hAnsi="Verdana"/>
          <w:color w:val="000000"/>
        </w:rPr>
        <w:t xml:space="preserve"> </w:t>
      </w:r>
      <w:r>
        <w:rPr>
          <w:rFonts w:ascii="Verdana" w:eastAsia="Verdana" w:hAnsi="Verdana"/>
          <w:color w:val="000000"/>
        </w:rPr>
        <w:t>przechowywanie</w:t>
      </w:r>
      <w:r w:rsidRPr="00B31479">
        <w:rPr>
          <w:rFonts w:ascii="Verdana" w:eastAsia="Verdana" w:hAnsi="Verdana"/>
          <w:color w:val="000000"/>
        </w:rPr>
        <w:t xml:space="preserve"> danych osobowych (profil DNA, odciski palców i zdjęcie) mężczyzny, który </w:t>
      </w:r>
      <w:r w:rsidR="00455C63">
        <w:rPr>
          <w:rFonts w:ascii="Verdana" w:eastAsia="Verdana" w:hAnsi="Verdana"/>
          <w:color w:val="000000"/>
        </w:rPr>
        <w:t>wykonał wyrok</w:t>
      </w:r>
      <w:r w:rsidRPr="00B31479">
        <w:rPr>
          <w:rFonts w:ascii="Verdana" w:eastAsia="Verdana" w:hAnsi="Verdana"/>
          <w:color w:val="000000"/>
        </w:rPr>
        <w:t xml:space="preserve"> za prowadzenie pojazdu </w:t>
      </w:r>
      <w:r>
        <w:rPr>
          <w:rFonts w:ascii="Verdana" w:eastAsia="Verdana" w:hAnsi="Verdana"/>
          <w:color w:val="000000"/>
        </w:rPr>
        <w:t>pod wpływem</w:t>
      </w:r>
      <w:r w:rsidRPr="00B31479">
        <w:rPr>
          <w:rFonts w:ascii="Verdana" w:eastAsia="Verdana" w:hAnsi="Verdana"/>
          <w:color w:val="000000"/>
        </w:rPr>
        <w:t xml:space="preserve"> alkoholu w Irlandii Północnej</w:t>
      </w:r>
      <w:r w:rsidR="006C27E8" w:rsidRPr="006C27E8">
        <w:rPr>
          <w:rFonts w:ascii="Verdana" w:eastAsia="Verdana" w:hAnsi="Verdana"/>
          <w:color w:val="000000"/>
        </w:rPr>
        <w:t>.</w:t>
      </w:r>
      <w:r w:rsidR="006C27E8" w:rsidRPr="006C27E8">
        <w:rPr>
          <w:rFonts w:ascii="Verdana" w:eastAsia="Verdana" w:hAnsi="Verdana"/>
          <w:color w:val="0070C0"/>
        </w:rPr>
        <w:t xml:space="preserve"> </w:t>
      </w:r>
    </w:p>
    <w:p w14:paraId="2363E428" w14:textId="77777777" w:rsidR="006C27E8" w:rsidRDefault="00B31479" w:rsidP="0097380D">
      <w:pPr>
        <w:ind w:left="740"/>
        <w:jc w:val="both"/>
        <w:rPr>
          <w:rFonts w:ascii="Verdana" w:eastAsia="Verdana" w:hAnsi="Verdana"/>
          <w:color w:val="0070C0"/>
        </w:rPr>
      </w:pPr>
      <w:r w:rsidRPr="00B31479">
        <w:rPr>
          <w:rFonts w:ascii="Verdana" w:eastAsia="Verdana" w:hAnsi="Verdana"/>
          <w:color w:val="0070C0"/>
        </w:rPr>
        <w:t xml:space="preserve">Trybunał </w:t>
      </w:r>
      <w:r w:rsidR="00BA2EF7">
        <w:rPr>
          <w:rFonts w:ascii="Verdana" w:eastAsia="Verdana" w:hAnsi="Verdana"/>
          <w:color w:val="0070C0"/>
        </w:rPr>
        <w:t>stwierdził</w:t>
      </w:r>
      <w:r w:rsidRPr="00B31479">
        <w:rPr>
          <w:rFonts w:ascii="Verdana" w:eastAsia="Verdana" w:hAnsi="Verdana"/>
          <w:color w:val="0070C0"/>
        </w:rPr>
        <w:t xml:space="preserve">, że doszło do naruszenia art. 8 Konwencji, uznając, że Zjednoczone Królestwo przekroczyło dopuszczalny margines uznania, a sporne </w:t>
      </w:r>
      <w:r w:rsidR="00BA2EF7">
        <w:rPr>
          <w:rFonts w:ascii="Verdana" w:eastAsia="Verdana" w:hAnsi="Verdana"/>
          <w:color w:val="0070C0"/>
        </w:rPr>
        <w:t>przechowywanie</w:t>
      </w:r>
      <w:r w:rsidRPr="00B31479">
        <w:rPr>
          <w:rFonts w:ascii="Verdana" w:eastAsia="Verdana" w:hAnsi="Verdana"/>
          <w:color w:val="0070C0"/>
        </w:rPr>
        <w:t xml:space="preserve"> stanowi nieproporcjonalną ingerencję w prawo skarżącego do poszanowania życia prywatnego, któr</w:t>
      </w:r>
      <w:r w:rsidR="00BA2EF7">
        <w:rPr>
          <w:rFonts w:ascii="Verdana" w:eastAsia="Verdana" w:hAnsi="Verdana"/>
          <w:color w:val="0070C0"/>
        </w:rPr>
        <w:t>a</w:t>
      </w:r>
      <w:r w:rsidRPr="00B31479">
        <w:rPr>
          <w:rFonts w:ascii="Verdana" w:eastAsia="Verdana" w:hAnsi="Verdana"/>
          <w:color w:val="0070C0"/>
        </w:rPr>
        <w:t xml:space="preserve"> nie mo</w:t>
      </w:r>
      <w:r w:rsidR="00BA2EF7">
        <w:rPr>
          <w:rFonts w:ascii="Verdana" w:eastAsia="Verdana" w:hAnsi="Verdana"/>
          <w:color w:val="0070C0"/>
        </w:rPr>
        <w:t>że</w:t>
      </w:r>
      <w:r w:rsidRPr="00B31479">
        <w:rPr>
          <w:rFonts w:ascii="Verdana" w:eastAsia="Verdana" w:hAnsi="Verdana"/>
          <w:color w:val="0070C0"/>
        </w:rPr>
        <w:t xml:space="preserve"> być uważan</w:t>
      </w:r>
      <w:r w:rsidR="00BA2EF7">
        <w:rPr>
          <w:rFonts w:ascii="Verdana" w:eastAsia="Verdana" w:hAnsi="Verdana"/>
          <w:color w:val="0070C0"/>
        </w:rPr>
        <w:t>a</w:t>
      </w:r>
      <w:r w:rsidRPr="00B31479">
        <w:rPr>
          <w:rFonts w:ascii="Verdana" w:eastAsia="Verdana" w:hAnsi="Verdana"/>
          <w:color w:val="0070C0"/>
        </w:rPr>
        <w:t xml:space="preserve"> za niezbędn</w:t>
      </w:r>
      <w:r w:rsidR="00BA2EF7">
        <w:rPr>
          <w:rFonts w:ascii="Verdana" w:eastAsia="Verdana" w:hAnsi="Verdana"/>
          <w:color w:val="0070C0"/>
        </w:rPr>
        <w:t>ą</w:t>
      </w:r>
      <w:r w:rsidRPr="00B31479">
        <w:rPr>
          <w:rFonts w:ascii="Verdana" w:eastAsia="Verdana" w:hAnsi="Verdana"/>
          <w:color w:val="0070C0"/>
        </w:rPr>
        <w:t xml:space="preserve"> w społeczeństwie demokratycznym. Trybunał podkreślił w szczególności, że decydujący był nie </w:t>
      </w:r>
      <w:r w:rsidR="00BA2EF7">
        <w:rPr>
          <w:rFonts w:ascii="Verdana" w:eastAsia="Verdana" w:hAnsi="Verdana"/>
          <w:color w:val="0070C0"/>
        </w:rPr>
        <w:t>okres</w:t>
      </w:r>
      <w:r w:rsidRPr="00B31479">
        <w:rPr>
          <w:rFonts w:ascii="Verdana" w:eastAsia="Verdana" w:hAnsi="Verdana"/>
          <w:color w:val="0070C0"/>
        </w:rPr>
        <w:t xml:space="preserve"> przechowywania danych, ale brak pewnych zabezpieczeń. W przypadku skarżącego jego dane osobowe </w:t>
      </w:r>
      <w:r w:rsidR="00BA2EF7">
        <w:rPr>
          <w:rFonts w:ascii="Verdana" w:eastAsia="Verdana" w:hAnsi="Verdana"/>
          <w:color w:val="0070C0"/>
        </w:rPr>
        <w:t>miały być</w:t>
      </w:r>
      <w:r w:rsidRPr="00B31479">
        <w:rPr>
          <w:rFonts w:ascii="Verdana" w:eastAsia="Verdana" w:hAnsi="Verdana"/>
          <w:color w:val="0070C0"/>
        </w:rPr>
        <w:t xml:space="preserve"> </w:t>
      </w:r>
      <w:r w:rsidR="00BA2EF7">
        <w:rPr>
          <w:rFonts w:ascii="Verdana" w:eastAsia="Verdana" w:hAnsi="Verdana"/>
          <w:color w:val="0070C0"/>
        </w:rPr>
        <w:t>przechowywane</w:t>
      </w:r>
      <w:r w:rsidRPr="00B31479">
        <w:rPr>
          <w:rFonts w:ascii="Verdana" w:eastAsia="Verdana" w:hAnsi="Verdana"/>
          <w:color w:val="0070C0"/>
        </w:rPr>
        <w:t xml:space="preserve"> </w:t>
      </w:r>
      <w:r w:rsidR="00BA2EF7">
        <w:rPr>
          <w:rFonts w:ascii="Verdana" w:eastAsia="Verdana" w:hAnsi="Verdana"/>
          <w:color w:val="0070C0"/>
        </w:rPr>
        <w:t>przez</w:t>
      </w:r>
      <w:r w:rsidRPr="00B31479">
        <w:rPr>
          <w:rFonts w:ascii="Verdana" w:eastAsia="Verdana" w:hAnsi="Verdana"/>
          <w:color w:val="0070C0"/>
        </w:rPr>
        <w:t xml:space="preserve"> czas nieokreślony bez względu na powagę jego przestępstwa, potrzebę </w:t>
      </w:r>
      <w:r w:rsidR="00BA2EF7">
        <w:rPr>
          <w:rFonts w:ascii="Verdana" w:eastAsia="Verdana" w:hAnsi="Verdana"/>
          <w:color w:val="0070C0"/>
        </w:rPr>
        <w:t>nieograniczonego czasowo przechowywania</w:t>
      </w:r>
      <w:r w:rsidRPr="00B31479">
        <w:rPr>
          <w:rFonts w:ascii="Verdana" w:eastAsia="Verdana" w:hAnsi="Verdana"/>
          <w:color w:val="0070C0"/>
        </w:rPr>
        <w:t xml:space="preserve"> i bez realnej możliwości weryfikacji. Zauważając również, że zastosowana technologia okazała się bardziej zaawansowana niż ta rozważana przez sądy krajowe w tej sprawie, szczególnie w zakresie przechowywania i analizy zdjęć, Trybunał uznał, że </w:t>
      </w:r>
      <w:r w:rsidR="00935A6F">
        <w:rPr>
          <w:rFonts w:ascii="Verdana" w:eastAsia="Verdana" w:hAnsi="Verdana"/>
          <w:color w:val="0070C0"/>
        </w:rPr>
        <w:t>przechowywanie</w:t>
      </w:r>
      <w:r w:rsidRPr="00B31479">
        <w:rPr>
          <w:rFonts w:ascii="Verdana" w:eastAsia="Verdana" w:hAnsi="Verdana"/>
          <w:color w:val="0070C0"/>
        </w:rPr>
        <w:t xml:space="preserve"> danych skarżącego nie zapewniło właściwej równowagi między konkurującymi interesami publicznymi i prywatnymi</w:t>
      </w:r>
      <w:r w:rsidR="006C27E8" w:rsidRPr="006C27E8">
        <w:rPr>
          <w:rFonts w:ascii="Verdana" w:eastAsia="Verdana" w:hAnsi="Verdana"/>
          <w:color w:val="0070C0"/>
        </w:rPr>
        <w:t>.</w:t>
      </w:r>
    </w:p>
    <w:p w14:paraId="4A349451" w14:textId="77777777" w:rsidR="00501974" w:rsidRDefault="00501974" w:rsidP="00AB713F">
      <w:pPr>
        <w:spacing w:line="265" w:lineRule="auto"/>
        <w:ind w:left="740"/>
        <w:jc w:val="both"/>
        <w:rPr>
          <w:rFonts w:ascii="Verdana" w:eastAsia="Verdana" w:hAnsi="Verdana"/>
          <w:color w:val="0072BC"/>
        </w:rPr>
      </w:pPr>
    </w:p>
    <w:p w14:paraId="2CEE1D8F" w14:textId="12D50FBB" w:rsidR="00097AAE" w:rsidRPr="00097AAE" w:rsidRDefault="00097AAE" w:rsidP="00097AAE">
      <w:pPr>
        <w:spacing w:line="265" w:lineRule="auto"/>
        <w:ind w:left="740"/>
        <w:jc w:val="both"/>
        <w:rPr>
          <w:rFonts w:ascii="Verdana" w:eastAsia="Verdana" w:hAnsi="Verdana"/>
          <w:b/>
          <w:bCs/>
          <w:color w:val="0072BC"/>
        </w:rPr>
      </w:pPr>
      <w:hyperlink r:id="rId70" w:anchor="{%22itemid%22:[%22003-7358935-10052706%22]}" w:history="1">
        <w:r w:rsidRPr="00097AAE">
          <w:rPr>
            <w:rStyle w:val="Hipercze"/>
            <w:rFonts w:ascii="Verdana" w:eastAsia="Verdana" w:hAnsi="Verdana"/>
            <w:b/>
            <w:bCs/>
          </w:rPr>
          <w:t>Algirdas Butkevičius przeciwko Litwie</w:t>
        </w:r>
      </w:hyperlink>
    </w:p>
    <w:p w14:paraId="45F0CA92" w14:textId="0865822A" w:rsidR="00097AAE" w:rsidRPr="008B33E0" w:rsidRDefault="00097AAE" w:rsidP="00097AAE">
      <w:pPr>
        <w:spacing w:line="265"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lastRenderedPageBreak/>
        <w:t>14 czerwca 2022 r</w:t>
      </w:r>
      <w:r w:rsidR="008B33E0">
        <w:rPr>
          <w:rFonts w:ascii="Verdana" w:eastAsia="Verdana" w:hAnsi="Verdana"/>
          <w:color w:val="808080" w:themeColor="background1" w:themeShade="80"/>
          <w:sz w:val="16"/>
          <w:szCs w:val="16"/>
        </w:rPr>
        <w:t>oku</w:t>
      </w:r>
    </w:p>
    <w:p w14:paraId="419811CA" w14:textId="77777777" w:rsidR="00097AAE" w:rsidRPr="00097AAE" w:rsidRDefault="00097AAE" w:rsidP="00097AAE">
      <w:pPr>
        <w:spacing w:line="265" w:lineRule="auto"/>
        <w:ind w:left="740"/>
        <w:jc w:val="both"/>
        <w:rPr>
          <w:rFonts w:ascii="Verdana" w:eastAsia="Verdana" w:hAnsi="Verdana"/>
        </w:rPr>
      </w:pPr>
      <w:r w:rsidRPr="00097AAE">
        <w:rPr>
          <w:rFonts w:ascii="Verdana" w:eastAsia="Verdana" w:hAnsi="Verdana"/>
        </w:rPr>
        <w:t>Sprawa dotyczyła rozmowy telefonicznej między skarżącym - który w tym czasie był premierem Litwy - a burmistrzem, która została potajemnie nagrana podczas postępowania przygotowawczego w sprawie możliwej korupcji w związku z planowaniem terytorialnym i została upubliczniona podczas przesłuchania Komisji Antykorupcyjnej litewskiego parlamentu (Seima). Skarżący zarzucił, że władze państwowe naruszyły jego prawo do życia prywatnego i korespondencji poprzez ujawnienie rozmowy telefonicznej mediom. Skarżący twierdził w szczególności, że prokurator i Komisja Antykorupcyjna nie chroniły należycie tych informacji, do czego były zobowiązane na mocy prawa.</w:t>
      </w:r>
    </w:p>
    <w:p w14:paraId="01EF488E" w14:textId="77777777" w:rsidR="00097AAE" w:rsidRDefault="00097AAE" w:rsidP="00097AAE">
      <w:pPr>
        <w:spacing w:line="265" w:lineRule="auto"/>
        <w:ind w:left="740"/>
        <w:jc w:val="both"/>
        <w:rPr>
          <w:rFonts w:ascii="Verdana" w:eastAsia="Verdana" w:hAnsi="Verdana"/>
          <w:color w:val="0072BC"/>
        </w:rPr>
      </w:pPr>
      <w:r w:rsidRPr="00097AAE">
        <w:rPr>
          <w:rFonts w:ascii="Verdana" w:eastAsia="Verdana" w:hAnsi="Verdana"/>
          <w:color w:val="0072BC"/>
        </w:rPr>
        <w:t xml:space="preserve">Trybunał orzekł, że </w:t>
      </w:r>
      <w:r w:rsidRPr="00097AAE">
        <w:rPr>
          <w:rFonts w:ascii="Verdana" w:eastAsia="Verdana" w:hAnsi="Verdana"/>
          <w:b/>
          <w:bCs/>
          <w:color w:val="0072BC"/>
        </w:rPr>
        <w:t>nie doszło do naruszenia Artykułu 8</w:t>
      </w:r>
      <w:r w:rsidRPr="00097AAE">
        <w:rPr>
          <w:rFonts w:ascii="Verdana" w:eastAsia="Verdana" w:hAnsi="Verdana"/>
          <w:color w:val="0072BC"/>
        </w:rPr>
        <w:t xml:space="preserve"> (prawo do poszanowania życia prywatnego i korespondencji) Konwencji w odniesieniu do skarżącego, stwierdzając, że nawet jeśli jego reputacja wśród kolegów została nadszarpnięta przez ujawnienie jego rozmowy telefonicznej, nie było podstaw faktycznych, nie mówiąc już o dowodach, które wskazywałyby, że zostało to naruszone w nieproporcjonalnym stopniu. Trybunał zauważył w szczególności, że skarżący nie wskazał na żadne konkretne i namacalne reperkusje, jakie ujawnienie przez media rozmowy telefonicznej miało na jego życie prywatne, tym bardziej, że nie został on za nic skazany, a Główna Komisja Etyki Urzędniczej nie stwierdziła w rozmowie niczego niewłaściwego. </w:t>
      </w:r>
    </w:p>
    <w:p w14:paraId="227967D8" w14:textId="77777777" w:rsidR="00097AAE" w:rsidRDefault="00097AAE" w:rsidP="00097AAE">
      <w:pPr>
        <w:spacing w:line="265" w:lineRule="auto"/>
        <w:ind w:left="740"/>
        <w:jc w:val="both"/>
        <w:rPr>
          <w:rFonts w:ascii="Verdana" w:eastAsia="Verdana" w:hAnsi="Verdana"/>
          <w:color w:val="0072BC"/>
        </w:rPr>
      </w:pPr>
    </w:p>
    <w:p w14:paraId="60785F24" w14:textId="3E510394" w:rsidR="00B5277F" w:rsidRPr="00B5277F" w:rsidRDefault="00B5277F" w:rsidP="00B5277F">
      <w:pPr>
        <w:spacing w:line="265" w:lineRule="auto"/>
        <w:ind w:left="740"/>
        <w:jc w:val="both"/>
        <w:rPr>
          <w:rFonts w:ascii="Verdana" w:eastAsia="Verdana" w:hAnsi="Verdana"/>
          <w:b/>
          <w:bCs/>
          <w:color w:val="0072BC"/>
        </w:rPr>
      </w:pPr>
      <w:hyperlink r:id="rId71" w:anchor="{%22itemid%22:[%22003-7367294-10067169%22]}" w:history="1">
        <w:r w:rsidRPr="00B5277F">
          <w:rPr>
            <w:rStyle w:val="Hipercze"/>
            <w:rFonts w:ascii="Verdana" w:eastAsia="Verdana" w:hAnsi="Verdana"/>
            <w:b/>
            <w:bCs/>
          </w:rPr>
          <w:t>Haščák przeciwko Słowacji</w:t>
        </w:r>
      </w:hyperlink>
    </w:p>
    <w:p w14:paraId="04E6DC12" w14:textId="33CA1C7D" w:rsidR="00B5277F" w:rsidRPr="008B33E0" w:rsidRDefault="00B5277F" w:rsidP="00B5277F">
      <w:pPr>
        <w:spacing w:line="265"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23 czerwca 2022 r</w:t>
      </w:r>
      <w:r w:rsidR="008B33E0">
        <w:rPr>
          <w:rFonts w:ascii="Verdana" w:eastAsia="Verdana" w:hAnsi="Verdana"/>
          <w:color w:val="808080" w:themeColor="background1" w:themeShade="80"/>
          <w:sz w:val="16"/>
          <w:szCs w:val="16"/>
        </w:rPr>
        <w:t>oku</w:t>
      </w:r>
    </w:p>
    <w:p w14:paraId="2780A93B" w14:textId="55581C6A" w:rsidR="00B5277F" w:rsidRPr="00B5277F" w:rsidRDefault="00B5277F" w:rsidP="00CB2D15">
      <w:pPr>
        <w:spacing w:line="265" w:lineRule="auto"/>
        <w:ind w:left="740"/>
        <w:jc w:val="both"/>
        <w:rPr>
          <w:rFonts w:ascii="Verdana" w:eastAsia="Verdana" w:hAnsi="Verdana"/>
        </w:rPr>
      </w:pPr>
      <w:r w:rsidRPr="00B5277F">
        <w:rPr>
          <w:rFonts w:ascii="Verdana" w:eastAsia="Verdana" w:hAnsi="Verdana"/>
        </w:rPr>
        <w:t>Sprawa ta dotyczyła operacji inwigilacji („operacja Gorilla”) przeprowadzonej w latach 2005 i 2006 przez słowacką służbę wywiadowczą (SIS) oraz uzyskanych przez nią materiałów wywiadowczych. Skarżący - prominentny biznesmen powiązany z wpływową grupą finansową i partner biznesowy skarżącego w sprawie</w:t>
      </w:r>
      <w:r w:rsidR="00CB2D15">
        <w:rPr>
          <w:rFonts w:ascii="Verdana" w:eastAsia="Verdana" w:hAnsi="Verdana"/>
        </w:rPr>
        <w:t xml:space="preserve"> </w:t>
      </w:r>
      <w:r w:rsidRPr="00B5277F">
        <w:rPr>
          <w:rFonts w:ascii="Verdana" w:eastAsia="Verdana" w:hAnsi="Verdana"/>
        </w:rPr>
        <w:t>Zoltán Varga przeciwko Słowacji (wyrok z dnia 20 lipca 2021 r.) - zarzucił w szczególności brak skutecznego nadzoru i kontroli wykonania dwóch nakazów inwigilacji wydanych przez Sąd Okręgowy w Bratysławie w połowie 2000 r., że obowiązujące ramy nie zapewniały ochrony osobom przypadkowo dotkniętym środkami inwigilacji oraz że wewnętrzne zasady mające zastosowanie do przechowywania materiałów wywiadowczych były nieodpowiednie.</w:t>
      </w:r>
    </w:p>
    <w:p w14:paraId="57E6CE64" w14:textId="77777777" w:rsidR="00B5277F" w:rsidRDefault="00B5277F" w:rsidP="00B5277F">
      <w:pPr>
        <w:spacing w:line="265" w:lineRule="auto"/>
        <w:ind w:left="740"/>
        <w:jc w:val="both"/>
        <w:rPr>
          <w:rFonts w:ascii="Verdana" w:eastAsia="Verdana" w:hAnsi="Verdana"/>
          <w:color w:val="0072BC"/>
        </w:rPr>
      </w:pPr>
      <w:r w:rsidRPr="00B5277F">
        <w:rPr>
          <w:rFonts w:ascii="Verdana" w:eastAsia="Verdana" w:hAnsi="Verdana"/>
          <w:color w:val="0072BC"/>
        </w:rPr>
        <w:t xml:space="preserve">Trybunał orzekł, że </w:t>
      </w:r>
      <w:r w:rsidRPr="00B5277F">
        <w:rPr>
          <w:rFonts w:ascii="Verdana" w:eastAsia="Verdana" w:hAnsi="Verdana"/>
          <w:b/>
          <w:bCs/>
          <w:color w:val="0072BC"/>
        </w:rPr>
        <w:t>doszło do naruszenia Artykułu 8</w:t>
      </w:r>
      <w:r w:rsidRPr="00B5277F">
        <w:rPr>
          <w:rFonts w:ascii="Verdana" w:eastAsia="Verdana" w:hAnsi="Verdana"/>
          <w:color w:val="0072BC"/>
        </w:rPr>
        <w:t xml:space="preserve"> (prawo do poszanowania życia prywatnego) Konwencji w związku z wykonaniem dwóch nakazów i przechowywaniem materiałów analitycznych. Po pierwsze, Trybunał stwierdził, że w znacznym stopniu skargi skarżącego na podstawie art. 8 były identyczne i wynikały z identycznego stanu faktycznego i proceduralnego, jak w sprawie </w:t>
      </w:r>
      <w:hyperlink r:id="rId72" w:anchor="{%22itemid%22:[%22002-13362%22]}" w:history="1">
        <w:r w:rsidRPr="00B5277F">
          <w:rPr>
            <w:rStyle w:val="Hipercze"/>
            <w:rFonts w:ascii="Verdana" w:eastAsia="Verdana" w:hAnsi="Verdana"/>
          </w:rPr>
          <w:t>Zoltán Varga.</w:t>
        </w:r>
      </w:hyperlink>
      <w:r>
        <w:rPr>
          <w:rFonts w:ascii="Verdana" w:eastAsia="Verdana" w:hAnsi="Verdana"/>
          <w:color w:val="0072BC"/>
        </w:rPr>
        <w:t xml:space="preserve"> </w:t>
      </w:r>
      <w:r w:rsidRPr="00B5277F">
        <w:rPr>
          <w:rFonts w:ascii="Verdana" w:eastAsia="Verdana" w:hAnsi="Verdana"/>
          <w:color w:val="0072BC"/>
        </w:rPr>
        <w:t xml:space="preserve">Trybunał zastosował zatem to orzecznictwo do niniejszej sprawy. Chociaż istniała podstawa prawna, Trybunał zauważył w szczególności, że operacja miała liczne niedociągnięcia, z których część została uznana na szczeblu krajowym w odpowiedzi na skargi i działania pana </w:t>
      </w:r>
      <w:proofErr w:type="spellStart"/>
      <w:r w:rsidRPr="00B5277F">
        <w:rPr>
          <w:rFonts w:ascii="Verdana" w:eastAsia="Verdana" w:hAnsi="Verdana"/>
          <w:color w:val="0072BC"/>
        </w:rPr>
        <w:t>Vargi</w:t>
      </w:r>
      <w:proofErr w:type="spellEnd"/>
      <w:r w:rsidRPr="00B5277F">
        <w:rPr>
          <w:rFonts w:ascii="Verdana" w:eastAsia="Verdana" w:hAnsi="Verdana"/>
          <w:color w:val="0072BC"/>
        </w:rPr>
        <w:t>. Chociaż sądy krajowe nie dokonały takich ustaleń w indywidualnej sprawie skarżącego, były one istotne dla oceny jego sprawy. Trybunał powtórzył, że podobnie jak w sprawie Zoltán Varga, przy wdrażaniu nakazów inwigilacji SIS praktycznie korzystał z dyskrecji stanowiącej nieskrępowaną władzę, której nie towarzyszył środek ochrony przed arbitralną ingerencją, zgodnie z wymogami praworządności. Ponadto sytuację tę pogorszył bezsporny fakt, że skarżący sam nie był celem inwigilacji na podstawie pierwszego z dwóch nakazów, w świetle jego niepodważalnego argumentu, że prawo nie zapewnia ochrony osobom przypadkowo dotkniętym środkami inwigilacji, oraz fundamentalna niepewność co do praktycznego i proceduralnego statusu nagrania audio odzyskanego w 2018 r., prawdopodobnie pochodzącego od SIS. Trybunał zauważył wreszcie, że wcześniej orzekł w sprawie Zoltán Varga, że przechowywanie materiału analitycznego uzyskanego w ramach operacji nadzoru podlegało poufnym zasadom bez zewnętrznego nadzoru. Przechowywanie nie było zatem zgodne z prawem.</w:t>
      </w:r>
      <w:r>
        <w:rPr>
          <w:rFonts w:ascii="Verdana" w:eastAsia="Verdana" w:hAnsi="Verdana"/>
          <w:color w:val="0072BC"/>
        </w:rPr>
        <w:t xml:space="preserve"> </w:t>
      </w:r>
      <w:r w:rsidRPr="00B5277F">
        <w:rPr>
          <w:rFonts w:ascii="Verdana" w:eastAsia="Verdana" w:hAnsi="Verdana"/>
          <w:color w:val="0072BC"/>
        </w:rPr>
        <w:t>Trybunał orzekł, że miało to również zastosowanie w niniejszej sprawie.</w:t>
      </w:r>
    </w:p>
    <w:p w14:paraId="206C942A" w14:textId="77777777" w:rsidR="00B5277F" w:rsidRPr="00B5277F" w:rsidRDefault="00B5277F" w:rsidP="00B5277F">
      <w:pPr>
        <w:spacing w:line="265" w:lineRule="auto"/>
        <w:ind w:left="740"/>
        <w:jc w:val="both"/>
        <w:rPr>
          <w:rFonts w:ascii="Verdana" w:eastAsia="Verdana" w:hAnsi="Verdana"/>
          <w:color w:val="0072BC"/>
        </w:rPr>
      </w:pPr>
    </w:p>
    <w:p w14:paraId="4619D78D" w14:textId="4F6DF6F6" w:rsidR="00B5277F" w:rsidRDefault="00B5277F" w:rsidP="00B5277F">
      <w:pPr>
        <w:spacing w:line="265" w:lineRule="auto"/>
        <w:ind w:left="740"/>
        <w:jc w:val="both"/>
        <w:rPr>
          <w:rFonts w:ascii="Verdana" w:eastAsia="Verdana" w:hAnsi="Verdana"/>
          <w:color w:val="0072BC"/>
        </w:rPr>
      </w:pPr>
      <w:r w:rsidRPr="00B5277F">
        <w:rPr>
          <w:rFonts w:ascii="Verdana" w:eastAsia="Verdana" w:hAnsi="Verdana"/>
        </w:rPr>
        <w:t xml:space="preserve">Zobacz również: </w:t>
      </w:r>
      <w:hyperlink r:id="rId73" w:anchor="{%22itemid%22:[%22003-7785403-10791833%22]}" w:history="1">
        <w:r w:rsidRPr="00B5277F">
          <w:rPr>
            <w:rStyle w:val="Hipercze"/>
            <w:rFonts w:ascii="Verdana" w:eastAsia="Verdana" w:hAnsi="Verdana"/>
            <w:b/>
            <w:bCs/>
          </w:rPr>
          <w:t>Plechlo przeciwko Słowacji</w:t>
        </w:r>
      </w:hyperlink>
    </w:p>
    <w:p w14:paraId="4C88BC93" w14:textId="2AB931ED" w:rsidR="00B5277F" w:rsidRPr="008B33E0" w:rsidRDefault="00B5277F" w:rsidP="00B5277F">
      <w:pPr>
        <w:spacing w:line="265"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lastRenderedPageBreak/>
        <w:t>wyrok z dnia 26 października 2023 r</w:t>
      </w:r>
      <w:r w:rsidR="008B33E0">
        <w:rPr>
          <w:rFonts w:ascii="Verdana" w:eastAsia="Verdana" w:hAnsi="Verdana"/>
          <w:color w:val="808080" w:themeColor="background1" w:themeShade="80"/>
          <w:sz w:val="16"/>
          <w:szCs w:val="16"/>
        </w:rPr>
        <w:t>oku</w:t>
      </w:r>
    </w:p>
    <w:p w14:paraId="4F52A06E" w14:textId="77777777" w:rsidR="00B5277F" w:rsidRPr="00B5277F" w:rsidRDefault="00B5277F" w:rsidP="00B5277F">
      <w:pPr>
        <w:spacing w:line="265" w:lineRule="auto"/>
        <w:ind w:left="740"/>
        <w:jc w:val="both"/>
        <w:rPr>
          <w:rFonts w:ascii="Verdana" w:eastAsia="Verdana" w:hAnsi="Verdana"/>
          <w:color w:val="0072BC"/>
        </w:rPr>
      </w:pPr>
    </w:p>
    <w:p w14:paraId="34B742F9" w14:textId="269E2EA9" w:rsidR="00B5277F" w:rsidRPr="00B5277F" w:rsidRDefault="00B5277F" w:rsidP="00B5277F">
      <w:pPr>
        <w:spacing w:line="265" w:lineRule="auto"/>
        <w:ind w:left="740"/>
        <w:jc w:val="both"/>
        <w:rPr>
          <w:rFonts w:ascii="Verdana" w:eastAsia="Verdana" w:hAnsi="Verdana"/>
          <w:b/>
          <w:bCs/>
          <w:color w:val="0072BC"/>
        </w:rPr>
      </w:pPr>
      <w:hyperlink r:id="rId74" w:history="1">
        <w:r w:rsidRPr="00B5277F">
          <w:rPr>
            <w:rStyle w:val="Hipercze"/>
            <w:rFonts w:ascii="Verdana" w:eastAsia="Verdana" w:hAnsi="Verdana"/>
            <w:b/>
            <w:bCs/>
          </w:rPr>
          <w:t>Škoberne przeciwko Słowenii</w:t>
        </w:r>
      </w:hyperlink>
      <w:r w:rsidR="00171252">
        <w:rPr>
          <w:rStyle w:val="Odwoanieprzypisudolnego"/>
          <w:rFonts w:ascii="Verdana" w:eastAsia="Verdana" w:hAnsi="Verdana"/>
          <w:b/>
          <w:bCs/>
          <w:color w:val="0072BC"/>
        </w:rPr>
        <w:footnoteReference w:id="13"/>
      </w:r>
    </w:p>
    <w:p w14:paraId="75910FB0" w14:textId="1B8076CE" w:rsidR="00B5277F" w:rsidRPr="008B33E0" w:rsidRDefault="00B5277F" w:rsidP="00B5277F">
      <w:pPr>
        <w:spacing w:line="265" w:lineRule="auto"/>
        <w:ind w:left="74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15 lutego 2024 r</w:t>
      </w:r>
      <w:r w:rsidR="008B33E0">
        <w:rPr>
          <w:rFonts w:ascii="Verdana" w:eastAsia="Verdana" w:hAnsi="Verdana"/>
          <w:color w:val="808080" w:themeColor="background1" w:themeShade="80"/>
          <w:sz w:val="16"/>
          <w:szCs w:val="16"/>
        </w:rPr>
        <w:t>oku</w:t>
      </w:r>
    </w:p>
    <w:p w14:paraId="5913CCD8" w14:textId="77777777" w:rsidR="00B5277F" w:rsidRPr="00B5277F" w:rsidRDefault="00B5277F" w:rsidP="00B5277F">
      <w:pPr>
        <w:spacing w:line="265" w:lineRule="auto"/>
        <w:ind w:left="740"/>
        <w:jc w:val="both"/>
        <w:rPr>
          <w:rFonts w:ascii="Verdana" w:eastAsia="Verdana" w:hAnsi="Verdana"/>
        </w:rPr>
      </w:pPr>
      <w:r w:rsidRPr="00B5277F">
        <w:rPr>
          <w:rFonts w:ascii="Verdana" w:eastAsia="Verdana" w:hAnsi="Verdana"/>
        </w:rPr>
        <w:t>Sprawa ta dotyczyła postępowania przeciwko byłemu sędziemu i jego skazania w 2013 r. za przyjmowanie łapówek. Jego skazanie opierało się na zeznaniach dwóch współoskarżonych, którzy przyznali się do bycia pośrednikami oraz na danych o ruchu i lokalizacji uzyskanych w ramach systemu zatrzymywania danych obowiązującego w tym czasie w Słowenii.</w:t>
      </w:r>
    </w:p>
    <w:p w14:paraId="0DE8F3F5" w14:textId="67A668B0" w:rsidR="00B5277F" w:rsidRPr="00B5277F" w:rsidRDefault="00B5277F" w:rsidP="00B5277F">
      <w:pPr>
        <w:spacing w:line="265" w:lineRule="auto"/>
        <w:ind w:left="740"/>
        <w:jc w:val="both"/>
        <w:rPr>
          <w:rFonts w:ascii="Verdana" w:eastAsia="Verdana" w:hAnsi="Verdana"/>
          <w:color w:val="0072BC"/>
        </w:rPr>
      </w:pPr>
      <w:r w:rsidRPr="00B5277F">
        <w:rPr>
          <w:rFonts w:ascii="Verdana" w:eastAsia="Verdana" w:hAnsi="Verdana"/>
          <w:color w:val="0072BC"/>
        </w:rPr>
        <w:t xml:space="preserve">Trybunał uznał, że </w:t>
      </w:r>
      <w:r w:rsidRPr="00B5277F">
        <w:rPr>
          <w:rFonts w:ascii="Verdana" w:eastAsia="Verdana" w:hAnsi="Verdana"/>
          <w:b/>
          <w:bCs/>
          <w:color w:val="0072BC"/>
        </w:rPr>
        <w:t>doszło do naruszenia Artykułu 8</w:t>
      </w:r>
      <w:r w:rsidRPr="00B5277F">
        <w:rPr>
          <w:rFonts w:ascii="Verdana" w:eastAsia="Verdana" w:hAnsi="Verdana"/>
          <w:color w:val="0072BC"/>
        </w:rPr>
        <w:t xml:space="preserve"> (prawo do poszanowania życia prywatnego) Konwencji, stwierdzając, że zatrzymywanie, dostęp i przetwarzanie danych telekomunikacyjnych w czasie skazania skarżącego naruszyło jego prawo do prywatności. Trybunał zauważył w szczególności, że chociaż obecnie w Słowenii można zatrzymywać jedynie dane telekomunikacyjne potrzebne do celów rozliczeniowych i handlowych, w czasie skazania skarżącego dostawcy usług komunikacyjnych byli zobowiązani do systematycznego i masowego zatrzymywania takich danych przez okres 14 miesięcy. Trybunał uznał, że takie zatrzymywanie danych nie mieści się w granicach tego, co jest konieczne w demokratycznym społeczeństwie. W tej sprawie Trybunał uznał również, że doszło do naruszenia Artykułu 6 §§ 1 i 3 (d) (prawo do rzetelnego procesu sądowego i prawo do przesłuchania świadków) Konwencji.</w:t>
      </w:r>
    </w:p>
    <w:p w14:paraId="6E466906" w14:textId="77777777" w:rsidR="00097AAE" w:rsidRDefault="00097AAE" w:rsidP="00097AAE">
      <w:pPr>
        <w:spacing w:line="58" w:lineRule="exact"/>
        <w:rPr>
          <w:rFonts w:ascii="Verdana" w:eastAsia="Verdana" w:hAnsi="Verdana"/>
          <w:color w:val="0072BC"/>
        </w:rPr>
      </w:pPr>
    </w:p>
    <w:p w14:paraId="63312D5A" w14:textId="77777777" w:rsidR="00097AAE" w:rsidRDefault="00097AAE" w:rsidP="00097AAE">
      <w:pPr>
        <w:spacing w:line="58" w:lineRule="exact"/>
        <w:rPr>
          <w:rFonts w:ascii="Times New Roman" w:eastAsia="Times New Roman" w:hAnsi="Times New Roman"/>
        </w:rPr>
      </w:pPr>
    </w:p>
    <w:p w14:paraId="2C083F90" w14:textId="7C7CC383" w:rsidR="00F832FE" w:rsidRDefault="00116CAA" w:rsidP="00AB713F">
      <w:pPr>
        <w:spacing w:line="0" w:lineRule="atLeast"/>
        <w:ind w:left="740"/>
        <w:rPr>
          <w:rFonts w:ascii="Verdana" w:eastAsia="Verdana" w:hAnsi="Verdana"/>
          <w:color w:val="404040"/>
        </w:rPr>
      </w:pPr>
      <w:r>
        <w:rPr>
          <w:rFonts w:ascii="Verdana" w:eastAsia="Verdana" w:hAnsi="Verdana"/>
          <w:i/>
          <w:color w:val="404040"/>
        </w:rPr>
        <w:t>Zobacz również</w:t>
      </w:r>
      <w:r>
        <w:rPr>
          <w:rFonts w:ascii="Verdana" w:eastAsia="Verdana" w:hAnsi="Verdana"/>
          <w:color w:val="404040"/>
        </w:rPr>
        <w:t>, ostatni</w:t>
      </w:r>
      <w:r w:rsidR="00613E0D">
        <w:rPr>
          <w:rFonts w:ascii="Verdana" w:eastAsia="Verdana" w:hAnsi="Verdana"/>
          <w:color w:val="404040"/>
        </w:rPr>
        <w:t>o</w:t>
      </w:r>
      <w:r w:rsidR="00F832FE">
        <w:rPr>
          <w:rFonts w:ascii="Verdana" w:eastAsia="Verdana" w:hAnsi="Verdana"/>
          <w:color w:val="404040"/>
        </w:rPr>
        <w:t>:</w:t>
      </w:r>
    </w:p>
    <w:p w14:paraId="537B405E" w14:textId="77777777" w:rsidR="00F832FE" w:rsidRDefault="00F832FE" w:rsidP="00AB713F">
      <w:pPr>
        <w:spacing w:line="117" w:lineRule="exact"/>
        <w:ind w:left="740"/>
        <w:rPr>
          <w:rFonts w:ascii="Times New Roman" w:eastAsia="Times New Roman" w:hAnsi="Times New Roman"/>
        </w:rPr>
      </w:pPr>
    </w:p>
    <w:p w14:paraId="3A6133CF" w14:textId="190DB8B2" w:rsidR="00F832FE" w:rsidRPr="00A14197" w:rsidRDefault="00116CAA" w:rsidP="00AB713F">
      <w:pPr>
        <w:spacing w:before="120" w:line="0" w:lineRule="atLeast"/>
        <w:ind w:left="740"/>
        <w:rPr>
          <w:rFonts w:ascii="Verdana" w:eastAsia="Verdana" w:hAnsi="Verdana"/>
          <w:b/>
          <w:color w:val="0070C0"/>
          <w:u w:val="single"/>
        </w:rPr>
      </w:pPr>
      <w:hyperlink r:id="rId75" w:anchor="{%22itemid%22:[%22002-11944%22]}" w:history="1">
        <w:r w:rsidRPr="00F91F13">
          <w:rPr>
            <w:rStyle w:val="Hipercze"/>
            <w:rFonts w:ascii="Verdana" w:eastAsia="Verdana" w:hAnsi="Verdana"/>
            <w:b/>
          </w:rPr>
          <w:t>Caruana przeciwko Malcie</w:t>
        </w:r>
      </w:hyperlink>
    </w:p>
    <w:p w14:paraId="3E0D67FD" w14:textId="77777777" w:rsidR="00F832FE" w:rsidRDefault="00F832FE" w:rsidP="00AB713F">
      <w:pPr>
        <w:spacing w:line="64" w:lineRule="exact"/>
        <w:ind w:left="740"/>
        <w:rPr>
          <w:rFonts w:ascii="Times New Roman" w:eastAsia="Times New Roman" w:hAnsi="Times New Roman"/>
        </w:rPr>
      </w:pPr>
    </w:p>
    <w:p w14:paraId="235B1BF2" w14:textId="77777777" w:rsidR="00F832FE" w:rsidRDefault="00116CAA" w:rsidP="00AB713F">
      <w:pPr>
        <w:spacing w:line="0" w:lineRule="atLeast"/>
        <w:ind w:left="740"/>
        <w:rPr>
          <w:rFonts w:ascii="Verdana" w:eastAsia="Verdana" w:hAnsi="Verdana"/>
          <w:color w:val="808080"/>
          <w:sz w:val="18"/>
        </w:rPr>
      </w:pPr>
      <w:r>
        <w:rPr>
          <w:rFonts w:ascii="Verdana" w:eastAsia="Verdana" w:hAnsi="Verdana"/>
          <w:color w:val="808080"/>
          <w:sz w:val="18"/>
        </w:rPr>
        <w:t>15 maja</w:t>
      </w:r>
      <w:r w:rsidR="00F832FE">
        <w:rPr>
          <w:rFonts w:ascii="Verdana" w:eastAsia="Verdana" w:hAnsi="Verdana"/>
          <w:color w:val="808080"/>
          <w:sz w:val="18"/>
        </w:rPr>
        <w:t xml:space="preserve"> 201</w:t>
      </w:r>
      <w:r>
        <w:rPr>
          <w:rFonts w:ascii="Verdana" w:eastAsia="Verdana" w:hAnsi="Verdana"/>
          <w:color w:val="808080"/>
          <w:sz w:val="18"/>
        </w:rPr>
        <w:t>8</w:t>
      </w:r>
      <w:r w:rsidR="009A0167">
        <w:rPr>
          <w:rFonts w:ascii="Verdana" w:eastAsia="Verdana" w:hAnsi="Verdana"/>
          <w:color w:val="808080"/>
          <w:sz w:val="18"/>
        </w:rPr>
        <w:t xml:space="preserve"> roku (decyzja </w:t>
      </w:r>
      <w:r w:rsidR="00E53312">
        <w:rPr>
          <w:rFonts w:ascii="Verdana" w:eastAsia="Verdana" w:hAnsi="Verdana"/>
          <w:color w:val="808080"/>
          <w:sz w:val="18"/>
        </w:rPr>
        <w:t xml:space="preserve">o </w:t>
      </w:r>
      <w:r>
        <w:rPr>
          <w:rFonts w:ascii="Verdana" w:eastAsia="Verdana" w:hAnsi="Verdana"/>
          <w:color w:val="808080"/>
          <w:sz w:val="18"/>
        </w:rPr>
        <w:t>dopuszczalności</w:t>
      </w:r>
      <w:r w:rsidR="00F832FE">
        <w:rPr>
          <w:rFonts w:ascii="Verdana" w:eastAsia="Verdana" w:hAnsi="Verdana"/>
          <w:color w:val="808080"/>
          <w:sz w:val="18"/>
        </w:rPr>
        <w:t>)</w:t>
      </w:r>
    </w:p>
    <w:p w14:paraId="73E91C6C" w14:textId="77777777" w:rsidR="00B5277F" w:rsidRDefault="00B5277F" w:rsidP="00AB713F">
      <w:pPr>
        <w:spacing w:line="0" w:lineRule="atLeast"/>
        <w:ind w:left="740"/>
        <w:rPr>
          <w:rFonts w:ascii="Verdana" w:eastAsia="Verdana" w:hAnsi="Verdana"/>
          <w:color w:val="808080"/>
          <w:sz w:val="18"/>
        </w:rPr>
      </w:pPr>
    </w:p>
    <w:p w14:paraId="48003978" w14:textId="1E96D2B7" w:rsidR="00B5277F" w:rsidRPr="00B5277F" w:rsidRDefault="00B5277F" w:rsidP="00AB713F">
      <w:pPr>
        <w:spacing w:line="0" w:lineRule="atLeast"/>
        <w:ind w:left="740"/>
        <w:rPr>
          <w:rFonts w:ascii="Verdana" w:eastAsia="Verdana" w:hAnsi="Verdana"/>
          <w:b/>
          <w:bCs/>
          <w:color w:val="0077D0"/>
          <w:szCs w:val="22"/>
        </w:rPr>
      </w:pPr>
      <w:hyperlink r:id="rId76" w:anchor="{%22itemid%22:[%22002-12847%22]}" w:history="1">
        <w:r w:rsidRPr="00613E0D">
          <w:rPr>
            <w:rStyle w:val="Hipercze"/>
            <w:rFonts w:ascii="Verdana" w:eastAsia="Verdana" w:hAnsi="Verdana"/>
            <w:b/>
            <w:bCs/>
            <w:szCs w:val="22"/>
          </w:rPr>
          <w:t>P.N przeciwko Niemcom (74440/17)</w:t>
        </w:r>
      </w:hyperlink>
    </w:p>
    <w:p w14:paraId="64B72DA1" w14:textId="06CAAFAF" w:rsidR="00B5277F" w:rsidRDefault="00B5277F" w:rsidP="00AB713F">
      <w:pPr>
        <w:spacing w:line="0" w:lineRule="atLeast"/>
        <w:ind w:left="740"/>
        <w:rPr>
          <w:rFonts w:ascii="Verdana" w:eastAsia="Verdana" w:hAnsi="Verdana"/>
          <w:color w:val="808080"/>
          <w:sz w:val="18"/>
        </w:rPr>
      </w:pPr>
      <w:r>
        <w:rPr>
          <w:rFonts w:ascii="Verdana" w:eastAsia="Verdana" w:hAnsi="Verdana"/>
          <w:color w:val="808080"/>
          <w:sz w:val="18"/>
        </w:rPr>
        <w:t>11 czerwca 2020 r</w:t>
      </w:r>
      <w:r w:rsidR="008B33E0">
        <w:rPr>
          <w:rFonts w:ascii="Verdana" w:eastAsia="Verdana" w:hAnsi="Verdana"/>
          <w:color w:val="808080"/>
          <w:sz w:val="18"/>
        </w:rPr>
        <w:t>oku</w:t>
      </w:r>
    </w:p>
    <w:p w14:paraId="794BCDE1" w14:textId="77777777" w:rsidR="00E53312" w:rsidRDefault="00E53312" w:rsidP="00AB713F">
      <w:pPr>
        <w:spacing w:line="0" w:lineRule="atLeast"/>
        <w:ind w:left="740"/>
        <w:rPr>
          <w:rFonts w:ascii="Verdana" w:eastAsia="Verdana" w:hAnsi="Verdana"/>
          <w:color w:val="808080"/>
          <w:sz w:val="28"/>
        </w:rPr>
      </w:pPr>
    </w:p>
    <w:p w14:paraId="6C262F11" w14:textId="77777777" w:rsidR="00F832FE" w:rsidRDefault="00BD3647" w:rsidP="00AB713F">
      <w:pPr>
        <w:spacing w:line="0" w:lineRule="atLeast"/>
        <w:ind w:left="740"/>
        <w:rPr>
          <w:rFonts w:ascii="Verdana" w:eastAsia="Verdana" w:hAnsi="Verdana"/>
          <w:color w:val="808080"/>
          <w:sz w:val="28"/>
        </w:rPr>
      </w:pPr>
      <w:r>
        <w:rPr>
          <w:rFonts w:ascii="Verdana" w:eastAsia="Verdana" w:hAnsi="Verdana"/>
          <w:color w:val="808080"/>
          <w:sz w:val="28"/>
        </w:rPr>
        <w:t>W kontekście zdrowia</w:t>
      </w:r>
    </w:p>
    <w:p w14:paraId="0FE8829C" w14:textId="76ED0ED3" w:rsidR="00E53312" w:rsidRPr="00A14197" w:rsidRDefault="00E53312" w:rsidP="00AB713F">
      <w:pPr>
        <w:spacing w:before="120" w:line="0" w:lineRule="atLeast"/>
        <w:ind w:left="740"/>
        <w:rPr>
          <w:rFonts w:ascii="Verdana" w:eastAsia="Verdana" w:hAnsi="Verdana"/>
          <w:i/>
          <w:color w:val="0070C0"/>
        </w:rPr>
      </w:pPr>
      <w:hyperlink r:id="rId77" w:anchor="{%22itemid%22:[%22001-84765%22]}" w:history="1">
        <w:r w:rsidRPr="00F91F13">
          <w:rPr>
            <w:rStyle w:val="Hipercze"/>
            <w:rFonts w:ascii="Verdana" w:eastAsia="Verdana" w:hAnsi="Verdana"/>
            <w:b/>
          </w:rPr>
          <w:t>Chave nėe Julien przeciwko Francji</w:t>
        </w:r>
      </w:hyperlink>
    </w:p>
    <w:p w14:paraId="65E74FA5" w14:textId="37355742" w:rsidR="00E53312" w:rsidRDefault="00E53312" w:rsidP="00AB713F">
      <w:pPr>
        <w:spacing w:line="0" w:lineRule="atLeast"/>
        <w:ind w:left="740"/>
        <w:rPr>
          <w:rFonts w:ascii="Verdana" w:eastAsia="Verdana" w:hAnsi="Verdana"/>
          <w:color w:val="808080"/>
          <w:sz w:val="18"/>
        </w:rPr>
      </w:pPr>
      <w:r>
        <w:rPr>
          <w:rFonts w:ascii="Verdana" w:eastAsia="Verdana" w:hAnsi="Verdana"/>
          <w:color w:val="808080"/>
          <w:sz w:val="18"/>
        </w:rPr>
        <w:t>9 lipca 1991 roku (decyzja Europejskiej Komisji Praw Człowieka)</w:t>
      </w:r>
      <w:r w:rsidR="00171252">
        <w:rPr>
          <w:rStyle w:val="Odwoanieprzypisudolnego"/>
          <w:rFonts w:ascii="Verdana" w:eastAsia="Verdana" w:hAnsi="Verdana"/>
          <w:color w:val="808080"/>
          <w:sz w:val="18"/>
        </w:rPr>
        <w:footnoteReference w:id="14"/>
      </w:r>
    </w:p>
    <w:p w14:paraId="75E756E3" w14:textId="77777777" w:rsidR="00E53312" w:rsidRPr="00F8489F" w:rsidRDefault="00E53312" w:rsidP="00AB713F">
      <w:pPr>
        <w:spacing w:line="0" w:lineRule="atLeast"/>
        <w:ind w:left="740"/>
        <w:jc w:val="both"/>
        <w:rPr>
          <w:rFonts w:ascii="Verdana" w:eastAsia="Verdana" w:hAnsi="Verdana"/>
          <w:color w:val="000000"/>
        </w:rPr>
      </w:pPr>
      <w:r w:rsidRPr="00F8489F">
        <w:rPr>
          <w:rFonts w:ascii="Verdana" w:eastAsia="Verdana" w:hAnsi="Verdana"/>
          <w:color w:val="000000"/>
        </w:rPr>
        <w:t xml:space="preserve">Sprawa ta dotyczyła przechowywania w szpitalu psychiatrycznym informacji dotyczących </w:t>
      </w:r>
      <w:r w:rsidR="0051627B">
        <w:rPr>
          <w:rFonts w:ascii="Verdana" w:eastAsia="Verdana" w:hAnsi="Verdana"/>
          <w:color w:val="000000"/>
        </w:rPr>
        <w:t xml:space="preserve">przymusowej internacji </w:t>
      </w:r>
      <w:r w:rsidRPr="00F8489F">
        <w:rPr>
          <w:rFonts w:ascii="Verdana" w:eastAsia="Verdana" w:hAnsi="Verdana"/>
          <w:color w:val="000000"/>
        </w:rPr>
        <w:t>skarżące</w:t>
      </w:r>
      <w:r w:rsidR="006429FC">
        <w:rPr>
          <w:rFonts w:ascii="Verdana" w:eastAsia="Verdana" w:hAnsi="Verdana"/>
          <w:color w:val="000000"/>
        </w:rPr>
        <w:t>j</w:t>
      </w:r>
      <w:r w:rsidRPr="00F8489F">
        <w:rPr>
          <w:rFonts w:ascii="Verdana" w:eastAsia="Verdana" w:hAnsi="Verdana"/>
          <w:color w:val="000000"/>
        </w:rPr>
        <w:t xml:space="preserve">, </w:t>
      </w:r>
      <w:r w:rsidR="0051627B">
        <w:rPr>
          <w:rFonts w:ascii="Verdana" w:eastAsia="Verdana" w:hAnsi="Verdana"/>
          <w:color w:val="000000"/>
        </w:rPr>
        <w:t>którego</w:t>
      </w:r>
      <w:r w:rsidRPr="00F8489F">
        <w:rPr>
          <w:rFonts w:ascii="Verdana" w:eastAsia="Verdana" w:hAnsi="Verdana"/>
          <w:color w:val="000000"/>
        </w:rPr>
        <w:t xml:space="preserve"> niezgodność z prawem została uznana przez sądy francuskie. Skarżąca uznała w szczególności, że stała obecność </w:t>
      </w:r>
      <w:r w:rsidR="00B10E4A" w:rsidRPr="00522540">
        <w:rPr>
          <w:rFonts w:ascii="Verdana" w:eastAsia="Verdana" w:hAnsi="Verdana"/>
          <w:color w:val="000000"/>
        </w:rPr>
        <w:t xml:space="preserve">informacji </w:t>
      </w:r>
      <w:r w:rsidRPr="00F8489F">
        <w:rPr>
          <w:rFonts w:ascii="Verdana" w:eastAsia="Verdana" w:hAnsi="Verdana"/>
          <w:color w:val="000000"/>
        </w:rPr>
        <w:t>o jej zamknięciu w zakładzie psychiatrycznym</w:t>
      </w:r>
      <w:r w:rsidR="00B10E4A" w:rsidRPr="00522540">
        <w:rPr>
          <w:rFonts w:ascii="Verdana" w:eastAsia="Verdana" w:hAnsi="Verdana"/>
          <w:color w:val="000000"/>
        </w:rPr>
        <w:t xml:space="preserve"> </w:t>
      </w:r>
      <w:r w:rsidR="00B10E4A" w:rsidRPr="00B10E4A">
        <w:rPr>
          <w:rFonts w:ascii="Verdana" w:eastAsia="Verdana" w:hAnsi="Verdana"/>
          <w:color w:val="000000"/>
        </w:rPr>
        <w:t>w centralnym rejestrze informacji</w:t>
      </w:r>
      <w:r w:rsidRPr="00F8489F">
        <w:rPr>
          <w:rFonts w:ascii="Verdana" w:eastAsia="Verdana" w:hAnsi="Verdana"/>
          <w:color w:val="000000"/>
        </w:rPr>
        <w:t xml:space="preserve"> stanowi ingerencję w jej życie prywatne i chciała, aby takie informacje zostały usunięte z rejestrów tego typu.</w:t>
      </w:r>
    </w:p>
    <w:p w14:paraId="46FD3C86" w14:textId="77777777" w:rsidR="00E53312" w:rsidRPr="00F8489F" w:rsidRDefault="00E53312" w:rsidP="0097380D">
      <w:pPr>
        <w:ind w:left="740"/>
        <w:jc w:val="both"/>
        <w:rPr>
          <w:rFonts w:ascii="Verdana" w:eastAsia="Verdana" w:hAnsi="Verdana"/>
          <w:color w:val="0070C0"/>
        </w:rPr>
      </w:pPr>
      <w:r w:rsidRPr="00F8489F">
        <w:rPr>
          <w:rFonts w:ascii="Verdana" w:eastAsia="Verdana" w:hAnsi="Verdana"/>
          <w:color w:val="0070C0"/>
        </w:rPr>
        <w:t xml:space="preserve">Komisja uznała skargę za </w:t>
      </w:r>
      <w:r w:rsidRPr="00F8489F">
        <w:rPr>
          <w:rFonts w:ascii="Verdana" w:eastAsia="Verdana" w:hAnsi="Verdana"/>
          <w:b/>
          <w:color w:val="0070C0"/>
        </w:rPr>
        <w:t>niedopuszczalną</w:t>
      </w:r>
      <w:r w:rsidRPr="00F8489F">
        <w:rPr>
          <w:rFonts w:ascii="Verdana" w:eastAsia="Verdana" w:hAnsi="Verdana"/>
          <w:color w:val="0070C0"/>
        </w:rPr>
        <w:t xml:space="preserve"> jako oczywiście bezzasadną. Zauważyła ona w szczególności, że rejestrowanie informacji dotyczących pacjentów cierpiących na zaburzenia psychiczne służyło nie tylko uzasadnionemu interesowi zapewnienia skutecznego funkcjonowania publicznej służby szpitalnej, lecz również interesowi ochrony praw samych pacjentów, w szczególności w przypadku przymusow</w:t>
      </w:r>
      <w:r w:rsidR="006429FC">
        <w:rPr>
          <w:rFonts w:ascii="Verdana" w:eastAsia="Verdana" w:hAnsi="Verdana"/>
          <w:color w:val="0070C0"/>
        </w:rPr>
        <w:t>ej</w:t>
      </w:r>
      <w:r w:rsidRPr="00F8489F">
        <w:rPr>
          <w:rFonts w:ascii="Verdana" w:eastAsia="Verdana" w:hAnsi="Verdana"/>
          <w:color w:val="0070C0"/>
        </w:rPr>
        <w:t xml:space="preserve"> </w:t>
      </w:r>
      <w:r w:rsidR="006429FC">
        <w:rPr>
          <w:rFonts w:ascii="Verdana" w:eastAsia="Verdana" w:hAnsi="Verdana"/>
          <w:color w:val="0070C0"/>
        </w:rPr>
        <w:t>internacji</w:t>
      </w:r>
      <w:r w:rsidRPr="00F8489F">
        <w:rPr>
          <w:rFonts w:ascii="Verdana" w:eastAsia="Verdana" w:hAnsi="Verdana"/>
          <w:color w:val="0070C0"/>
        </w:rPr>
        <w:t xml:space="preserve">. W niniejszej sprawie Komisja zauważyła między innymi, że sporne informacje były chronione odpowiednimi zasadami zachowania poufności. Ponadto dokumenty te nie mogły być utożsamiane z rejestrami centralnymi i nie były w żaden sposób dostępne publicznie, lecz jedynie dla wyczerpująco wymienionych kategorii osób spoza instytucji. W związku z tym Komisja uznała, że ingerencja </w:t>
      </w:r>
      <w:r w:rsidR="006429FC">
        <w:rPr>
          <w:rFonts w:ascii="Verdana" w:eastAsia="Verdana" w:hAnsi="Verdana"/>
          <w:color w:val="0070C0"/>
        </w:rPr>
        <w:t>doświadczona</w:t>
      </w:r>
      <w:r w:rsidRPr="00F8489F">
        <w:rPr>
          <w:rFonts w:ascii="Verdana" w:eastAsia="Verdana" w:hAnsi="Verdana"/>
          <w:color w:val="0070C0"/>
        </w:rPr>
        <w:t xml:space="preserve"> przez skarżącą nie mogła zostać uznana za nieproporcjonalną w stosunku do słusznego celu, jakim jest ochrona zdrowia.</w:t>
      </w:r>
    </w:p>
    <w:p w14:paraId="7C07B678" w14:textId="77777777" w:rsidR="00EE3B57" w:rsidRPr="00A14197" w:rsidRDefault="006C222C" w:rsidP="00AB713F">
      <w:pPr>
        <w:spacing w:before="120" w:line="0" w:lineRule="atLeast"/>
        <w:ind w:left="740"/>
        <w:rPr>
          <w:rFonts w:ascii="Verdana" w:eastAsia="Verdana" w:hAnsi="Verdana"/>
          <w:i/>
          <w:color w:val="0070C0"/>
        </w:rPr>
      </w:pPr>
      <w:hyperlink r:id="rId78" w:history="1">
        <w:r w:rsidRPr="00A14197">
          <w:rPr>
            <w:rStyle w:val="Hipercze"/>
            <w:rFonts w:ascii="Verdana" w:eastAsia="Verdana" w:hAnsi="Verdana"/>
            <w:b/>
            <w:color w:val="0070C0"/>
          </w:rPr>
          <w:t>L.L.</w:t>
        </w:r>
        <w:r w:rsidR="00EE3B57" w:rsidRPr="00A14197">
          <w:rPr>
            <w:rStyle w:val="Hipercze"/>
            <w:rFonts w:ascii="Verdana" w:eastAsia="Verdana" w:hAnsi="Verdana"/>
            <w:b/>
            <w:color w:val="0070C0"/>
          </w:rPr>
          <w:t xml:space="preserve"> przeciwko Francji</w:t>
        </w:r>
        <w:r w:rsidRPr="00A14197">
          <w:rPr>
            <w:rStyle w:val="Hipercze"/>
            <w:rFonts w:ascii="Verdana" w:eastAsia="Verdana" w:hAnsi="Verdana"/>
            <w:b/>
            <w:color w:val="0070C0"/>
          </w:rPr>
          <w:t xml:space="preserve"> (nr 7508/02)</w:t>
        </w:r>
      </w:hyperlink>
    </w:p>
    <w:p w14:paraId="4EF018F9" w14:textId="77777777" w:rsidR="00EE3B57" w:rsidRDefault="006C222C" w:rsidP="00AB713F">
      <w:pPr>
        <w:spacing w:line="0" w:lineRule="atLeast"/>
        <w:ind w:left="740"/>
        <w:rPr>
          <w:rFonts w:ascii="Verdana" w:eastAsia="Verdana" w:hAnsi="Verdana"/>
          <w:color w:val="808080"/>
          <w:sz w:val="18"/>
        </w:rPr>
      </w:pPr>
      <w:r>
        <w:rPr>
          <w:rFonts w:ascii="Verdana" w:eastAsia="Verdana" w:hAnsi="Verdana"/>
          <w:color w:val="808080"/>
          <w:sz w:val="18"/>
        </w:rPr>
        <w:t>10 października 2006</w:t>
      </w:r>
      <w:r w:rsidR="006429FC">
        <w:rPr>
          <w:rFonts w:ascii="Verdana" w:eastAsia="Verdana" w:hAnsi="Verdana"/>
          <w:color w:val="808080"/>
          <w:sz w:val="18"/>
        </w:rPr>
        <w:t xml:space="preserve"> roku</w:t>
      </w:r>
    </w:p>
    <w:p w14:paraId="6BFADA34" w14:textId="77777777" w:rsidR="006C222C" w:rsidRPr="006C222C" w:rsidRDefault="006429FC" w:rsidP="00AB713F">
      <w:pPr>
        <w:spacing w:line="0" w:lineRule="atLeast"/>
        <w:ind w:left="740"/>
        <w:jc w:val="both"/>
        <w:rPr>
          <w:rFonts w:ascii="Verdana" w:eastAsia="Verdana" w:hAnsi="Verdana"/>
          <w:color w:val="000000"/>
        </w:rPr>
      </w:pPr>
      <w:r>
        <w:rPr>
          <w:rFonts w:ascii="Verdana" w:eastAsia="Verdana" w:hAnsi="Verdana"/>
          <w:color w:val="000000"/>
        </w:rPr>
        <w:lastRenderedPageBreak/>
        <w:t>Skarżący</w:t>
      </w:r>
      <w:r w:rsidR="006C222C" w:rsidRPr="006C222C">
        <w:rPr>
          <w:rFonts w:ascii="Verdana" w:eastAsia="Verdana" w:hAnsi="Verdana"/>
          <w:color w:val="000000"/>
        </w:rPr>
        <w:t xml:space="preserve"> skarżył się w szczególności na wykorzystanie przez sądy dokumentów z jego akt medycznych w ramach postępowania rozwodowego, bez jego zgody i bez powołania w tym celu </w:t>
      </w:r>
      <w:r w:rsidR="006C222C">
        <w:rPr>
          <w:rFonts w:ascii="Verdana" w:eastAsia="Verdana" w:hAnsi="Verdana"/>
          <w:color w:val="000000"/>
        </w:rPr>
        <w:t>biegłego medycyny sądowej.</w:t>
      </w:r>
    </w:p>
    <w:p w14:paraId="1191DD40" w14:textId="77777777" w:rsidR="006C222C" w:rsidRDefault="006C222C"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nastąpiło </w:t>
      </w:r>
      <w:r w:rsidRPr="00F8489F">
        <w:rPr>
          <w:rFonts w:ascii="Verdana" w:eastAsia="Verdana" w:hAnsi="Verdana"/>
          <w:b/>
          <w:color w:val="0070C0"/>
        </w:rPr>
        <w:t>naruszenie art. 8</w:t>
      </w:r>
      <w:r w:rsidRPr="00F8489F">
        <w:rPr>
          <w:rFonts w:ascii="Verdana" w:eastAsia="Verdana" w:hAnsi="Verdana"/>
          <w:color w:val="0070C0"/>
        </w:rPr>
        <w:t xml:space="preserve"> </w:t>
      </w:r>
      <w:r w:rsidR="006429FC">
        <w:rPr>
          <w:rFonts w:ascii="Verdana" w:eastAsia="Verdana" w:hAnsi="Verdana"/>
          <w:color w:val="0070C0"/>
        </w:rPr>
        <w:t>K</w:t>
      </w:r>
      <w:r w:rsidRPr="00F8489F">
        <w:rPr>
          <w:rFonts w:ascii="Verdana" w:eastAsia="Verdana" w:hAnsi="Verdana"/>
          <w:color w:val="0070C0"/>
        </w:rPr>
        <w:t xml:space="preserve">onwencji, stwierdzając, że ingerencja w życie prywatne skarżącego nie była uzasadniona ze względu na </w:t>
      </w:r>
      <w:r>
        <w:rPr>
          <w:rFonts w:ascii="Verdana" w:eastAsia="Verdana" w:hAnsi="Verdana"/>
          <w:color w:val="0070C0"/>
        </w:rPr>
        <w:t>ogromną wagę</w:t>
      </w:r>
      <w:r w:rsidRPr="00F8489F">
        <w:rPr>
          <w:rFonts w:ascii="Verdana" w:eastAsia="Verdana" w:hAnsi="Verdana"/>
          <w:color w:val="0070C0"/>
        </w:rPr>
        <w:t xml:space="preserve"> ochrony danych osobowych. Podkreślił w szczególności, że jedynie pomocniczo sądy francuskie powołały się na sporną </w:t>
      </w:r>
      <w:r w:rsidR="006429FC">
        <w:rPr>
          <w:rFonts w:ascii="Verdana" w:eastAsia="Verdana" w:hAnsi="Verdana"/>
          <w:color w:val="0070C0"/>
        </w:rPr>
        <w:t>opinię</w:t>
      </w:r>
      <w:r w:rsidRPr="00F8489F">
        <w:rPr>
          <w:rFonts w:ascii="Verdana" w:eastAsia="Verdana" w:hAnsi="Verdana"/>
          <w:color w:val="0070C0"/>
        </w:rPr>
        <w:t xml:space="preserve"> medyczną na poparcie swoich decyzji i w związku z tym wydaje się, że mogłyby dojść do takiego samego wniosku bez niej. Trybunał zauważył ponadto, że prawo krajowe nie przewiduje wystarczających gwarancji w odniesieniu do wykorzystywania w tego rodzaju postępowaniach danych dotyczących życia prywatnego stron, co </w:t>
      </w:r>
      <w:r w:rsidRPr="00F8489F">
        <w:rPr>
          <w:rFonts w:ascii="Verdana" w:eastAsia="Verdana" w:hAnsi="Verdana"/>
          <w:i/>
          <w:color w:val="0070C0"/>
        </w:rPr>
        <w:t>a fortiori</w:t>
      </w:r>
      <w:r w:rsidRPr="00F8489F">
        <w:rPr>
          <w:rFonts w:ascii="Verdana" w:eastAsia="Verdana" w:hAnsi="Verdana"/>
          <w:color w:val="0070C0"/>
        </w:rPr>
        <w:t xml:space="preserve"> uzasadnia potrzebę ścisłej kontroli takich środków.</w:t>
      </w:r>
    </w:p>
    <w:p w14:paraId="24A9D790" w14:textId="12C09DCA" w:rsidR="00613E0D" w:rsidRPr="00613E0D" w:rsidRDefault="00613E0D" w:rsidP="00AB713F">
      <w:pPr>
        <w:spacing w:line="0" w:lineRule="atLeast"/>
        <w:ind w:left="740"/>
        <w:jc w:val="both"/>
        <w:rPr>
          <w:rStyle w:val="Hipercze"/>
          <w:rFonts w:ascii="Verdana" w:eastAsia="Verdana" w:hAnsi="Verdana"/>
          <w:iCs/>
        </w:rPr>
      </w:pPr>
      <w:r>
        <w:rPr>
          <w:rFonts w:ascii="Verdana" w:eastAsia="Verdana" w:hAnsi="Verdana"/>
          <w:b/>
          <w:bCs/>
          <w:iCs/>
          <w:color w:val="0070C0"/>
        </w:rPr>
        <w:fldChar w:fldCharType="begin"/>
      </w:r>
      <w:r>
        <w:rPr>
          <w:rFonts w:ascii="Verdana" w:eastAsia="Verdana" w:hAnsi="Verdana"/>
          <w:b/>
          <w:bCs/>
          <w:iCs/>
          <w:color w:val="0070C0"/>
        </w:rPr>
        <w:instrText>HYPERLINK "https://hudoc.echr.coe.int/eng-press" \l "{%22itemid%22:[%22003-7424551-10163969%22]}"</w:instrText>
      </w:r>
      <w:r>
        <w:rPr>
          <w:rFonts w:ascii="Verdana" w:eastAsia="Verdana" w:hAnsi="Verdana"/>
          <w:b/>
          <w:bCs/>
          <w:iCs/>
          <w:color w:val="0070C0"/>
        </w:rPr>
      </w:r>
      <w:r>
        <w:rPr>
          <w:rFonts w:ascii="Verdana" w:eastAsia="Verdana" w:hAnsi="Verdana"/>
          <w:b/>
          <w:bCs/>
          <w:iCs/>
          <w:color w:val="0070C0"/>
        </w:rPr>
        <w:fldChar w:fldCharType="separate"/>
      </w:r>
    </w:p>
    <w:p w14:paraId="0E95A219" w14:textId="40E91667" w:rsidR="00613E0D" w:rsidRPr="00613E0D" w:rsidRDefault="00613E0D" w:rsidP="00613E0D">
      <w:pPr>
        <w:spacing w:line="0" w:lineRule="atLeast"/>
        <w:ind w:left="740"/>
        <w:jc w:val="both"/>
        <w:rPr>
          <w:rFonts w:ascii="Verdana" w:eastAsia="Verdana" w:hAnsi="Verdana"/>
          <w:b/>
          <w:bCs/>
          <w:iCs/>
          <w:color w:val="0070C0"/>
        </w:rPr>
      </w:pPr>
      <w:proofErr w:type="spellStart"/>
      <w:r w:rsidRPr="00613E0D">
        <w:rPr>
          <w:rStyle w:val="Hipercze"/>
          <w:rFonts w:ascii="Verdana" w:eastAsia="Verdana" w:hAnsi="Verdana"/>
          <w:b/>
          <w:bCs/>
          <w:iCs/>
        </w:rPr>
        <w:t>Drelon</w:t>
      </w:r>
      <w:proofErr w:type="spellEnd"/>
      <w:r w:rsidRPr="00613E0D">
        <w:rPr>
          <w:rStyle w:val="Hipercze"/>
          <w:rFonts w:ascii="Verdana" w:eastAsia="Verdana" w:hAnsi="Verdana"/>
          <w:b/>
          <w:bCs/>
          <w:iCs/>
        </w:rPr>
        <w:t xml:space="preserve"> przeciwko Francji</w:t>
      </w:r>
      <w:r>
        <w:rPr>
          <w:rFonts w:ascii="Verdana" w:eastAsia="Verdana" w:hAnsi="Verdana"/>
          <w:b/>
          <w:bCs/>
          <w:iCs/>
          <w:color w:val="0070C0"/>
        </w:rPr>
        <w:fldChar w:fldCharType="end"/>
      </w:r>
    </w:p>
    <w:p w14:paraId="1D78448B" w14:textId="4EE90E6F" w:rsidR="00613E0D" w:rsidRPr="00B5202A" w:rsidRDefault="00613E0D" w:rsidP="00613E0D">
      <w:pPr>
        <w:spacing w:line="0" w:lineRule="atLeast"/>
        <w:ind w:left="740"/>
        <w:jc w:val="both"/>
        <w:rPr>
          <w:rFonts w:ascii="Verdana" w:eastAsia="Verdana" w:hAnsi="Verdana"/>
          <w:iCs/>
          <w:color w:val="808080" w:themeColor="background1" w:themeShade="80"/>
          <w:sz w:val="16"/>
          <w:szCs w:val="16"/>
        </w:rPr>
      </w:pPr>
      <w:r w:rsidRPr="00B5202A">
        <w:rPr>
          <w:rFonts w:ascii="Verdana" w:eastAsia="Verdana" w:hAnsi="Verdana"/>
          <w:iCs/>
          <w:color w:val="808080" w:themeColor="background1" w:themeShade="80"/>
          <w:sz w:val="16"/>
          <w:szCs w:val="16"/>
        </w:rPr>
        <w:t>8 września 2022 r</w:t>
      </w:r>
      <w:r w:rsidR="00B5202A">
        <w:rPr>
          <w:rFonts w:ascii="Verdana" w:eastAsia="Verdana" w:hAnsi="Verdana"/>
          <w:iCs/>
          <w:color w:val="808080" w:themeColor="background1" w:themeShade="80"/>
          <w:sz w:val="16"/>
          <w:szCs w:val="16"/>
        </w:rPr>
        <w:t>oku</w:t>
      </w:r>
    </w:p>
    <w:p w14:paraId="29EA54F6" w14:textId="77777777" w:rsidR="00613E0D" w:rsidRPr="00613E0D" w:rsidRDefault="00613E0D" w:rsidP="00613E0D">
      <w:pPr>
        <w:spacing w:line="0" w:lineRule="atLeast"/>
        <w:ind w:left="740"/>
        <w:jc w:val="both"/>
        <w:rPr>
          <w:rFonts w:ascii="Verdana" w:eastAsia="Verdana" w:hAnsi="Verdana"/>
          <w:iCs/>
        </w:rPr>
      </w:pPr>
      <w:r w:rsidRPr="00613E0D">
        <w:rPr>
          <w:rFonts w:ascii="Verdana" w:eastAsia="Verdana" w:hAnsi="Verdana"/>
          <w:iCs/>
        </w:rPr>
        <w:t>Zob. powyżej, w sekcji „Gromadzenie danych osobowych”, „Dane odzwierciedlające orientację seksualną”.</w:t>
      </w:r>
    </w:p>
    <w:p w14:paraId="23E1AA82" w14:textId="77777777" w:rsidR="00E53312" w:rsidRDefault="00E53312" w:rsidP="00AB713F">
      <w:pPr>
        <w:spacing w:line="0" w:lineRule="atLeast"/>
        <w:ind w:left="740"/>
        <w:rPr>
          <w:rFonts w:ascii="Verdana" w:eastAsia="Verdana" w:hAnsi="Verdana"/>
          <w:i/>
          <w:color w:val="404040"/>
        </w:rPr>
      </w:pPr>
    </w:p>
    <w:p w14:paraId="2356F0EE" w14:textId="77777777" w:rsidR="00F832FE" w:rsidRDefault="00BD3647" w:rsidP="00AB713F">
      <w:pPr>
        <w:spacing w:line="0" w:lineRule="atLeast"/>
        <w:ind w:left="740"/>
        <w:rPr>
          <w:rFonts w:ascii="Verdana" w:eastAsia="Verdana" w:hAnsi="Verdana"/>
          <w:color w:val="404040"/>
        </w:rPr>
      </w:pPr>
      <w:r>
        <w:rPr>
          <w:rFonts w:ascii="Verdana" w:eastAsia="Verdana" w:hAnsi="Verdana"/>
          <w:i/>
          <w:color w:val="404040"/>
        </w:rPr>
        <w:t>Zobacz również</w:t>
      </w:r>
      <w:r w:rsidR="00F832FE">
        <w:rPr>
          <w:rFonts w:ascii="Verdana" w:eastAsia="Verdana" w:hAnsi="Verdana"/>
          <w:color w:val="404040"/>
        </w:rPr>
        <w:t xml:space="preserve">, </w:t>
      </w:r>
      <w:r>
        <w:rPr>
          <w:rFonts w:ascii="Verdana" w:eastAsia="Verdana" w:hAnsi="Verdana"/>
          <w:color w:val="404040"/>
        </w:rPr>
        <w:t>ostatnio</w:t>
      </w:r>
      <w:r w:rsidR="00F832FE">
        <w:rPr>
          <w:rFonts w:ascii="Verdana" w:eastAsia="Verdana" w:hAnsi="Verdana"/>
          <w:color w:val="404040"/>
        </w:rPr>
        <w:t>:</w:t>
      </w:r>
    </w:p>
    <w:p w14:paraId="59659AAC" w14:textId="77777777" w:rsidR="00F832FE" w:rsidRDefault="00F832FE" w:rsidP="00AB713F">
      <w:pPr>
        <w:spacing w:line="117" w:lineRule="exact"/>
        <w:ind w:left="740"/>
        <w:rPr>
          <w:rFonts w:ascii="Times New Roman" w:eastAsia="Times New Roman" w:hAnsi="Times New Roman"/>
        </w:rPr>
      </w:pPr>
    </w:p>
    <w:p w14:paraId="29EBABE0" w14:textId="455D8800" w:rsidR="00F832FE" w:rsidRPr="00A14197" w:rsidRDefault="00BD3647" w:rsidP="00AB713F">
      <w:pPr>
        <w:spacing w:before="120" w:line="0" w:lineRule="atLeast"/>
        <w:ind w:left="740"/>
        <w:rPr>
          <w:rFonts w:ascii="Verdana" w:eastAsia="Verdana" w:hAnsi="Verdana"/>
          <w:b/>
          <w:color w:val="0072BC"/>
          <w:u w:val="single"/>
        </w:rPr>
      </w:pPr>
      <w:hyperlink r:id="rId79" w:anchor="{%22itemid%22:[%22003-6018993-7720478%22]}" w:history="1">
        <w:r w:rsidRPr="00F91F13">
          <w:rPr>
            <w:rStyle w:val="Hipercze"/>
            <w:rFonts w:ascii="Verdana" w:eastAsia="Verdana" w:hAnsi="Verdana"/>
            <w:b/>
          </w:rPr>
          <w:t>Mockutė przeciwko Litwie</w:t>
        </w:r>
      </w:hyperlink>
    </w:p>
    <w:p w14:paraId="512D7FB9" w14:textId="77777777" w:rsidR="00F832FE" w:rsidRDefault="00F832FE" w:rsidP="00AB713F">
      <w:pPr>
        <w:spacing w:line="64" w:lineRule="exact"/>
        <w:ind w:left="740"/>
        <w:rPr>
          <w:rFonts w:ascii="Times New Roman" w:eastAsia="Times New Roman" w:hAnsi="Times New Roman"/>
        </w:rPr>
      </w:pPr>
    </w:p>
    <w:p w14:paraId="5989C3C2" w14:textId="77EE4AEA" w:rsidR="00F832FE" w:rsidRDefault="00BD3647" w:rsidP="00AB713F">
      <w:pPr>
        <w:spacing w:line="0" w:lineRule="atLeast"/>
        <w:ind w:left="740"/>
        <w:rPr>
          <w:rFonts w:ascii="Verdana" w:eastAsia="Verdana" w:hAnsi="Verdana"/>
          <w:color w:val="808080"/>
          <w:sz w:val="18"/>
        </w:rPr>
      </w:pPr>
      <w:r>
        <w:rPr>
          <w:rFonts w:ascii="Verdana" w:eastAsia="Verdana" w:hAnsi="Verdana"/>
          <w:color w:val="808080"/>
          <w:sz w:val="18"/>
        </w:rPr>
        <w:t>27 lut</w:t>
      </w:r>
      <w:r w:rsidR="00B5202A">
        <w:rPr>
          <w:rFonts w:ascii="Verdana" w:eastAsia="Verdana" w:hAnsi="Verdana"/>
          <w:color w:val="808080"/>
          <w:sz w:val="18"/>
        </w:rPr>
        <w:t>ego</w:t>
      </w:r>
      <w:r w:rsidR="00F832FE">
        <w:rPr>
          <w:rFonts w:ascii="Verdana" w:eastAsia="Verdana" w:hAnsi="Verdana"/>
          <w:color w:val="808080"/>
          <w:sz w:val="18"/>
        </w:rPr>
        <w:t xml:space="preserve"> 2018</w:t>
      </w:r>
      <w:r w:rsidR="00352EC8">
        <w:rPr>
          <w:rFonts w:ascii="Verdana" w:eastAsia="Verdana" w:hAnsi="Verdana"/>
          <w:color w:val="808080"/>
          <w:sz w:val="18"/>
        </w:rPr>
        <w:t xml:space="preserve"> r</w:t>
      </w:r>
      <w:r w:rsidR="00B5202A">
        <w:rPr>
          <w:rFonts w:ascii="Verdana" w:eastAsia="Verdana" w:hAnsi="Verdana"/>
          <w:color w:val="808080"/>
          <w:sz w:val="18"/>
        </w:rPr>
        <w:t>oku</w:t>
      </w:r>
    </w:p>
    <w:p w14:paraId="1527C45E" w14:textId="77777777" w:rsidR="00F832FE" w:rsidRDefault="00F832FE" w:rsidP="00AB713F">
      <w:pPr>
        <w:spacing w:line="230" w:lineRule="exact"/>
        <w:ind w:left="740"/>
        <w:rPr>
          <w:rFonts w:ascii="Times New Roman" w:eastAsia="Times New Roman" w:hAnsi="Times New Roman"/>
        </w:rPr>
      </w:pPr>
    </w:p>
    <w:p w14:paraId="31A50A4A" w14:textId="77777777" w:rsidR="00F832FE" w:rsidRDefault="00A478AA" w:rsidP="00AB713F">
      <w:pPr>
        <w:spacing w:line="0" w:lineRule="atLeast"/>
        <w:ind w:left="740"/>
        <w:rPr>
          <w:rFonts w:ascii="Verdana" w:eastAsia="Verdana" w:hAnsi="Verdana"/>
          <w:color w:val="808080"/>
          <w:sz w:val="28"/>
        </w:rPr>
      </w:pPr>
      <w:r>
        <w:rPr>
          <w:rFonts w:ascii="Verdana" w:eastAsia="Verdana" w:hAnsi="Verdana"/>
          <w:color w:val="808080"/>
          <w:sz w:val="28"/>
        </w:rPr>
        <w:t>Postępowania z zakresu ubezpieczeń społecznych</w:t>
      </w:r>
    </w:p>
    <w:p w14:paraId="23887EF1" w14:textId="77777777" w:rsidR="00F832FE" w:rsidRDefault="00F832FE" w:rsidP="00AB713F">
      <w:pPr>
        <w:spacing w:line="125" w:lineRule="exact"/>
        <w:ind w:left="740"/>
        <w:rPr>
          <w:rFonts w:ascii="Times New Roman" w:eastAsia="Times New Roman" w:hAnsi="Times New Roman"/>
        </w:rPr>
      </w:pPr>
    </w:p>
    <w:p w14:paraId="467AB705" w14:textId="6E8B5405" w:rsidR="00F832FE" w:rsidRDefault="00A478AA" w:rsidP="00AB713F">
      <w:pPr>
        <w:spacing w:line="0" w:lineRule="atLeast"/>
        <w:ind w:left="740"/>
        <w:rPr>
          <w:rFonts w:ascii="Verdana" w:eastAsia="Verdana" w:hAnsi="Verdana"/>
          <w:b/>
          <w:color w:val="0072BC"/>
          <w:u w:val="single"/>
        </w:rPr>
      </w:pPr>
      <w:hyperlink r:id="rId80" w:anchor="{%22itemid%22:[%22003-5522138-6947231%22]}" w:history="1">
        <w:r w:rsidRPr="00F91F13">
          <w:rPr>
            <w:rStyle w:val="Hipercze"/>
            <w:rFonts w:ascii="Verdana" w:eastAsia="Verdana" w:hAnsi="Verdana"/>
            <w:b/>
          </w:rPr>
          <w:t xml:space="preserve">Vukota-Bojic przeciwko </w:t>
        </w:r>
        <w:r w:rsidR="00352EC8" w:rsidRPr="00F91F13">
          <w:rPr>
            <w:rStyle w:val="Hipercze"/>
            <w:rFonts w:ascii="Verdana" w:eastAsia="Verdana" w:hAnsi="Verdana"/>
            <w:b/>
          </w:rPr>
          <w:t>Szwajcarii</w:t>
        </w:r>
      </w:hyperlink>
    </w:p>
    <w:p w14:paraId="6CCC21FE" w14:textId="77777777" w:rsidR="00F832FE" w:rsidRDefault="00F832FE" w:rsidP="00AB713F">
      <w:pPr>
        <w:spacing w:line="63" w:lineRule="exact"/>
        <w:ind w:left="740"/>
        <w:rPr>
          <w:rFonts w:ascii="Times New Roman" w:eastAsia="Times New Roman" w:hAnsi="Times New Roman"/>
        </w:rPr>
      </w:pPr>
    </w:p>
    <w:p w14:paraId="6E40EBAE" w14:textId="77777777" w:rsidR="00A478AA" w:rsidRDefault="00A478AA" w:rsidP="00AB713F">
      <w:pPr>
        <w:spacing w:line="0" w:lineRule="atLeast"/>
        <w:ind w:left="740"/>
        <w:rPr>
          <w:rFonts w:ascii="Verdana" w:eastAsia="Verdana" w:hAnsi="Verdana"/>
          <w:color w:val="808080"/>
          <w:sz w:val="18"/>
        </w:rPr>
      </w:pPr>
      <w:r>
        <w:rPr>
          <w:rFonts w:ascii="Verdana" w:eastAsia="Verdana" w:hAnsi="Verdana"/>
          <w:color w:val="808080"/>
          <w:sz w:val="18"/>
        </w:rPr>
        <w:t>18 października</w:t>
      </w:r>
      <w:r w:rsidR="00F832FE">
        <w:rPr>
          <w:rFonts w:ascii="Verdana" w:eastAsia="Verdana" w:hAnsi="Verdana"/>
          <w:color w:val="808080"/>
          <w:sz w:val="18"/>
        </w:rPr>
        <w:t xml:space="preserve"> 2016</w:t>
      </w:r>
      <w:r w:rsidR="00352EC8">
        <w:rPr>
          <w:rFonts w:ascii="Verdana" w:eastAsia="Verdana" w:hAnsi="Verdana"/>
          <w:color w:val="808080"/>
          <w:sz w:val="18"/>
        </w:rPr>
        <w:t xml:space="preserve"> roku</w:t>
      </w:r>
    </w:p>
    <w:p w14:paraId="4B9E6D51" w14:textId="77777777" w:rsidR="00A478AA" w:rsidRPr="00A478AA" w:rsidRDefault="00A478AA" w:rsidP="00AB713F">
      <w:pPr>
        <w:spacing w:line="239" w:lineRule="auto"/>
        <w:ind w:left="740"/>
        <w:jc w:val="both"/>
        <w:rPr>
          <w:rFonts w:ascii="Verdana" w:eastAsia="Verdana" w:hAnsi="Verdana"/>
        </w:rPr>
      </w:pPr>
      <w:r w:rsidRPr="00A478AA">
        <w:rPr>
          <w:rFonts w:ascii="Verdana" w:eastAsia="Verdana" w:hAnsi="Verdana"/>
        </w:rPr>
        <w:t>Skarżąc</w:t>
      </w:r>
      <w:r w:rsidR="00D229FB">
        <w:rPr>
          <w:rFonts w:ascii="Verdana" w:eastAsia="Verdana" w:hAnsi="Verdana"/>
        </w:rPr>
        <w:t>a</w:t>
      </w:r>
      <w:r w:rsidRPr="00A478AA">
        <w:rPr>
          <w:rFonts w:ascii="Verdana" w:eastAsia="Verdana" w:hAnsi="Verdana"/>
        </w:rPr>
        <w:t xml:space="preserve"> </w:t>
      </w:r>
      <w:r w:rsidR="00D229FB">
        <w:rPr>
          <w:rFonts w:ascii="Verdana" w:eastAsia="Verdana" w:hAnsi="Verdana"/>
        </w:rPr>
        <w:t>uległa</w:t>
      </w:r>
      <w:r w:rsidRPr="00A478AA">
        <w:rPr>
          <w:rFonts w:ascii="Verdana" w:eastAsia="Verdana" w:hAnsi="Verdana"/>
        </w:rPr>
        <w:t xml:space="preserve"> wypadk</w:t>
      </w:r>
      <w:r w:rsidR="00D229FB">
        <w:rPr>
          <w:rFonts w:ascii="Verdana" w:eastAsia="Verdana" w:hAnsi="Verdana"/>
        </w:rPr>
        <w:t>owi</w:t>
      </w:r>
      <w:r w:rsidRPr="00A478AA">
        <w:rPr>
          <w:rFonts w:ascii="Verdana" w:eastAsia="Verdana" w:hAnsi="Verdana"/>
        </w:rPr>
        <w:t xml:space="preserve"> drogow</w:t>
      </w:r>
      <w:r w:rsidR="00D229FB">
        <w:rPr>
          <w:rFonts w:ascii="Verdana" w:eastAsia="Verdana" w:hAnsi="Verdana"/>
        </w:rPr>
        <w:t>emu</w:t>
      </w:r>
      <w:r w:rsidRPr="00A478AA">
        <w:rPr>
          <w:rFonts w:ascii="Verdana" w:eastAsia="Verdana" w:hAnsi="Verdana"/>
        </w:rPr>
        <w:t>, a następni</w:t>
      </w:r>
      <w:r w:rsidR="003A7187">
        <w:rPr>
          <w:rFonts w:ascii="Verdana" w:eastAsia="Verdana" w:hAnsi="Verdana"/>
        </w:rPr>
        <w:t>e wystąpił</w:t>
      </w:r>
      <w:r w:rsidR="00D229FB">
        <w:rPr>
          <w:rFonts w:ascii="Verdana" w:eastAsia="Verdana" w:hAnsi="Verdana"/>
        </w:rPr>
        <w:t>a</w:t>
      </w:r>
      <w:r w:rsidR="003A7187">
        <w:rPr>
          <w:rFonts w:ascii="Verdana" w:eastAsia="Verdana" w:hAnsi="Verdana"/>
        </w:rPr>
        <w:t xml:space="preserve"> o rentę inwalidzką. </w:t>
      </w:r>
      <w:r w:rsidRPr="00A478AA">
        <w:rPr>
          <w:rFonts w:ascii="Verdana" w:eastAsia="Verdana" w:hAnsi="Verdana"/>
        </w:rPr>
        <w:t>Po sporze z ubezpieczycielem w sprawie wysokości renty inwalidzkiej i po latach</w:t>
      </w:r>
      <w:r w:rsidR="003A7187">
        <w:rPr>
          <w:rFonts w:ascii="Verdana" w:eastAsia="Verdana" w:hAnsi="Verdana"/>
        </w:rPr>
        <w:t xml:space="preserve"> trwającego</w:t>
      </w:r>
      <w:r w:rsidRPr="00A478AA">
        <w:rPr>
          <w:rFonts w:ascii="Verdana" w:eastAsia="Verdana" w:hAnsi="Verdana"/>
        </w:rPr>
        <w:t xml:space="preserve"> postępowania sądowego, ubezpieczyciel zwróc</w:t>
      </w:r>
      <w:r w:rsidR="003A7187">
        <w:rPr>
          <w:rFonts w:ascii="Verdana" w:eastAsia="Verdana" w:hAnsi="Verdana"/>
        </w:rPr>
        <w:t xml:space="preserve">ił się do </w:t>
      </w:r>
      <w:r w:rsidR="00D229FB">
        <w:rPr>
          <w:rFonts w:ascii="Verdana" w:eastAsia="Verdana" w:hAnsi="Verdana"/>
        </w:rPr>
        <w:t>niej</w:t>
      </w:r>
      <w:r w:rsidRPr="00A478AA">
        <w:rPr>
          <w:rFonts w:ascii="Verdana" w:eastAsia="Verdana" w:hAnsi="Verdana"/>
        </w:rPr>
        <w:t xml:space="preserve"> z prośbą o ponowne badanie lekarskie w celu ustalenia dodatkowych dowodów potwierdzających </w:t>
      </w:r>
      <w:r w:rsidR="003A7187">
        <w:rPr>
          <w:rFonts w:ascii="Verdana" w:eastAsia="Verdana" w:hAnsi="Verdana"/>
        </w:rPr>
        <w:t>stan zdrowia. Kiedy odmówił</w:t>
      </w:r>
      <w:r w:rsidR="00D229FB">
        <w:rPr>
          <w:rFonts w:ascii="Verdana" w:eastAsia="Verdana" w:hAnsi="Verdana"/>
        </w:rPr>
        <w:t>a</w:t>
      </w:r>
      <w:r w:rsidRPr="00A478AA">
        <w:rPr>
          <w:rFonts w:ascii="Verdana" w:eastAsia="Verdana" w:hAnsi="Verdana"/>
        </w:rPr>
        <w:t xml:space="preserve">, ubezpieczyciel </w:t>
      </w:r>
      <w:r w:rsidR="00D229FB">
        <w:rPr>
          <w:rFonts w:ascii="Verdana" w:eastAsia="Verdana" w:hAnsi="Verdana"/>
        </w:rPr>
        <w:t>wynajął</w:t>
      </w:r>
      <w:r w:rsidRPr="00A478AA">
        <w:rPr>
          <w:rFonts w:ascii="Verdana" w:eastAsia="Verdana" w:hAnsi="Verdana"/>
        </w:rPr>
        <w:t xml:space="preserve"> prywatnych detektywów w celu przeprowadzenia tajne</w:t>
      </w:r>
      <w:r w:rsidR="00D229FB">
        <w:rPr>
          <w:rFonts w:ascii="Verdana" w:eastAsia="Verdana" w:hAnsi="Verdana"/>
        </w:rPr>
        <w:t>j</w:t>
      </w:r>
      <w:r w:rsidRPr="00A478AA">
        <w:rPr>
          <w:rFonts w:ascii="Verdana" w:eastAsia="Verdana" w:hAnsi="Verdana"/>
        </w:rPr>
        <w:t xml:space="preserve"> </w:t>
      </w:r>
      <w:r w:rsidR="00D229FB">
        <w:rPr>
          <w:rFonts w:ascii="Verdana" w:eastAsia="Verdana" w:hAnsi="Verdana"/>
        </w:rPr>
        <w:t>obserwacji skarżącej</w:t>
      </w:r>
      <w:r w:rsidR="003A7187">
        <w:rPr>
          <w:rFonts w:ascii="Verdana" w:eastAsia="Verdana" w:hAnsi="Verdana"/>
        </w:rPr>
        <w:t xml:space="preserve">. </w:t>
      </w:r>
      <w:r w:rsidRPr="00A478AA">
        <w:rPr>
          <w:rFonts w:ascii="Verdana" w:eastAsia="Verdana" w:hAnsi="Verdana"/>
        </w:rPr>
        <w:t xml:space="preserve">Uzyskane dowody zostały wykorzystane w dalszym postępowaniu sądowym, co skutkowało zmniejszeniem </w:t>
      </w:r>
      <w:r w:rsidR="00F228D9">
        <w:rPr>
          <w:rFonts w:ascii="Verdana" w:eastAsia="Verdana" w:hAnsi="Verdana"/>
        </w:rPr>
        <w:t>renty</w:t>
      </w:r>
      <w:r w:rsidR="00F228D9" w:rsidRPr="00A478AA">
        <w:rPr>
          <w:rFonts w:ascii="Verdana" w:eastAsia="Verdana" w:hAnsi="Verdana"/>
        </w:rPr>
        <w:t xml:space="preserve"> </w:t>
      </w:r>
      <w:r w:rsidR="003A7187">
        <w:rPr>
          <w:rFonts w:ascii="Verdana" w:eastAsia="Verdana" w:hAnsi="Verdana"/>
        </w:rPr>
        <w:t>skarżące</w:t>
      </w:r>
      <w:r w:rsidR="00D229FB">
        <w:rPr>
          <w:rFonts w:ascii="Verdana" w:eastAsia="Verdana" w:hAnsi="Verdana"/>
        </w:rPr>
        <w:t>j</w:t>
      </w:r>
      <w:r w:rsidR="003A7187">
        <w:rPr>
          <w:rFonts w:ascii="Verdana" w:eastAsia="Verdana" w:hAnsi="Verdana"/>
        </w:rPr>
        <w:t>. Skarżąc</w:t>
      </w:r>
      <w:r w:rsidR="00D229FB">
        <w:rPr>
          <w:rFonts w:ascii="Verdana" w:eastAsia="Verdana" w:hAnsi="Verdana"/>
        </w:rPr>
        <w:t>a</w:t>
      </w:r>
      <w:r w:rsidR="003A7187">
        <w:rPr>
          <w:rFonts w:ascii="Verdana" w:eastAsia="Verdana" w:hAnsi="Verdana"/>
        </w:rPr>
        <w:t xml:space="preserve"> podnosił</w:t>
      </w:r>
      <w:r w:rsidR="00D229FB">
        <w:rPr>
          <w:rFonts w:ascii="Verdana" w:eastAsia="Verdana" w:hAnsi="Verdana"/>
        </w:rPr>
        <w:t>a</w:t>
      </w:r>
      <w:r w:rsidRPr="00A478AA">
        <w:rPr>
          <w:rFonts w:ascii="Verdana" w:eastAsia="Verdana" w:hAnsi="Verdana"/>
        </w:rPr>
        <w:t xml:space="preserve">, że </w:t>
      </w:r>
      <w:r w:rsidR="00D229FB">
        <w:rPr>
          <w:rFonts w:ascii="Verdana" w:eastAsia="Verdana" w:hAnsi="Verdana"/>
        </w:rPr>
        <w:t>obserwacja</w:t>
      </w:r>
      <w:r w:rsidRPr="00A478AA">
        <w:rPr>
          <w:rFonts w:ascii="Verdana" w:eastAsia="Verdana" w:hAnsi="Verdana"/>
        </w:rPr>
        <w:t xml:space="preserve"> naruszył</w:t>
      </w:r>
      <w:r w:rsidR="00D229FB">
        <w:rPr>
          <w:rFonts w:ascii="Verdana" w:eastAsia="Verdana" w:hAnsi="Verdana"/>
        </w:rPr>
        <w:t>a</w:t>
      </w:r>
      <w:r w:rsidR="003A7187">
        <w:rPr>
          <w:rFonts w:ascii="Verdana" w:eastAsia="Verdana" w:hAnsi="Verdana"/>
        </w:rPr>
        <w:t xml:space="preserve"> je</w:t>
      </w:r>
      <w:r w:rsidR="00D229FB">
        <w:rPr>
          <w:rFonts w:ascii="Verdana" w:eastAsia="Verdana" w:hAnsi="Verdana"/>
        </w:rPr>
        <w:t>j</w:t>
      </w:r>
      <w:r w:rsidRPr="00A478AA">
        <w:rPr>
          <w:rFonts w:ascii="Verdana" w:eastAsia="Verdana" w:hAnsi="Verdana"/>
        </w:rPr>
        <w:t xml:space="preserve"> prawo do poszanowania życia prywatnego i że nie należało dopu</w:t>
      </w:r>
      <w:r w:rsidR="00A40582">
        <w:rPr>
          <w:rFonts w:ascii="Verdana" w:eastAsia="Verdana" w:hAnsi="Verdana"/>
        </w:rPr>
        <w:t>szczać</w:t>
      </w:r>
      <w:r w:rsidRPr="00A478AA">
        <w:rPr>
          <w:rFonts w:ascii="Verdana" w:eastAsia="Verdana" w:hAnsi="Verdana"/>
        </w:rPr>
        <w:t xml:space="preserve"> </w:t>
      </w:r>
      <w:r w:rsidR="00F228D9">
        <w:rPr>
          <w:rFonts w:ascii="Verdana" w:eastAsia="Verdana" w:hAnsi="Verdana"/>
        </w:rPr>
        <w:t>tego</w:t>
      </w:r>
      <w:r w:rsidR="003A7187">
        <w:rPr>
          <w:rFonts w:ascii="Verdana" w:eastAsia="Verdana" w:hAnsi="Verdana"/>
        </w:rPr>
        <w:t xml:space="preserve"> dowodu</w:t>
      </w:r>
      <w:r w:rsidRPr="00A478AA">
        <w:rPr>
          <w:rFonts w:ascii="Verdana" w:eastAsia="Verdana" w:hAnsi="Verdana"/>
        </w:rPr>
        <w:t xml:space="preserve"> w postępowaniu.</w:t>
      </w:r>
    </w:p>
    <w:p w14:paraId="17D4A70D" w14:textId="77777777" w:rsidR="00A40582" w:rsidRDefault="00A478AA" w:rsidP="00AB713F">
      <w:pPr>
        <w:spacing w:line="239" w:lineRule="auto"/>
        <w:ind w:left="740"/>
        <w:jc w:val="both"/>
        <w:rPr>
          <w:rFonts w:ascii="Verdana" w:eastAsia="Verdana" w:hAnsi="Verdana"/>
          <w:color w:val="0070C0"/>
        </w:rPr>
      </w:pPr>
      <w:r w:rsidRPr="00A478AA">
        <w:rPr>
          <w:rFonts w:ascii="Verdana" w:eastAsia="Verdana" w:hAnsi="Verdana"/>
          <w:color w:val="0070C0"/>
        </w:rPr>
        <w:t xml:space="preserve">Trybunał orzekł, że </w:t>
      </w:r>
      <w:r w:rsidRPr="003A7187">
        <w:rPr>
          <w:rFonts w:ascii="Verdana" w:eastAsia="Verdana" w:hAnsi="Verdana"/>
          <w:b/>
          <w:color w:val="0070C0"/>
        </w:rPr>
        <w:t>doszło do naruszenia art. 8</w:t>
      </w:r>
      <w:r w:rsidR="003A7187">
        <w:rPr>
          <w:rFonts w:ascii="Verdana" w:eastAsia="Verdana" w:hAnsi="Verdana"/>
          <w:color w:val="0070C0"/>
        </w:rPr>
        <w:t xml:space="preserve"> Konwencji. </w:t>
      </w:r>
      <w:r w:rsidRPr="00A478AA">
        <w:rPr>
          <w:rFonts w:ascii="Verdana" w:eastAsia="Verdana" w:hAnsi="Verdana"/>
          <w:color w:val="0070C0"/>
        </w:rPr>
        <w:t xml:space="preserve">Stwierdzono w szczególności, że działania ubezpieczyciela wiązały się z odpowiedzialnością państwa na mocy </w:t>
      </w:r>
      <w:r w:rsidR="00D229FB">
        <w:rPr>
          <w:rFonts w:ascii="Verdana" w:eastAsia="Verdana" w:hAnsi="Verdana"/>
          <w:color w:val="0070C0"/>
        </w:rPr>
        <w:t>K</w:t>
      </w:r>
      <w:r w:rsidRPr="00A478AA">
        <w:rPr>
          <w:rFonts w:ascii="Verdana" w:eastAsia="Verdana" w:hAnsi="Verdana"/>
          <w:color w:val="0070C0"/>
        </w:rPr>
        <w:t xml:space="preserve">onwencji, ponieważ pozwany zakład ubezpieczeń był uznawany za organ </w:t>
      </w:r>
      <w:r w:rsidR="00D229FB">
        <w:rPr>
          <w:rFonts w:ascii="Verdana" w:eastAsia="Verdana" w:hAnsi="Verdana"/>
          <w:color w:val="0070C0"/>
        </w:rPr>
        <w:t>publiczny</w:t>
      </w:r>
      <w:r w:rsidRPr="00A478AA">
        <w:rPr>
          <w:rFonts w:ascii="Verdana" w:eastAsia="Verdana" w:hAnsi="Verdana"/>
          <w:color w:val="0070C0"/>
        </w:rPr>
        <w:t xml:space="preserve"> na mocy prawa </w:t>
      </w:r>
      <w:r w:rsidR="003A7187">
        <w:rPr>
          <w:rFonts w:ascii="Verdana" w:eastAsia="Verdana" w:hAnsi="Verdana"/>
          <w:color w:val="0070C0"/>
        </w:rPr>
        <w:t>szwajcarskiego.</w:t>
      </w:r>
      <w:r w:rsidRPr="00A478AA">
        <w:rPr>
          <w:rFonts w:ascii="Verdana" w:eastAsia="Verdana" w:hAnsi="Verdana"/>
          <w:color w:val="0070C0"/>
        </w:rPr>
        <w:t xml:space="preserve"> Stwierdził również, że </w:t>
      </w:r>
      <w:r w:rsidR="00D229FB">
        <w:rPr>
          <w:rFonts w:ascii="Verdana" w:eastAsia="Verdana" w:hAnsi="Verdana"/>
          <w:color w:val="0070C0"/>
        </w:rPr>
        <w:t>obserwacja</w:t>
      </w:r>
      <w:r w:rsidRPr="00A478AA">
        <w:rPr>
          <w:rFonts w:ascii="Verdana" w:eastAsia="Verdana" w:hAnsi="Verdana"/>
          <w:color w:val="0070C0"/>
        </w:rPr>
        <w:t xml:space="preserve"> zakłócił</w:t>
      </w:r>
      <w:r w:rsidR="00D229FB">
        <w:rPr>
          <w:rFonts w:ascii="Verdana" w:eastAsia="Verdana" w:hAnsi="Verdana"/>
          <w:color w:val="0070C0"/>
        </w:rPr>
        <w:t>a</w:t>
      </w:r>
      <w:r w:rsidRPr="00A478AA">
        <w:rPr>
          <w:rFonts w:ascii="Verdana" w:eastAsia="Verdana" w:hAnsi="Verdana"/>
          <w:color w:val="0070C0"/>
        </w:rPr>
        <w:t xml:space="preserve"> życie prywatne skarżące</w:t>
      </w:r>
      <w:r w:rsidR="00D229FB">
        <w:rPr>
          <w:rFonts w:ascii="Verdana" w:eastAsia="Verdana" w:hAnsi="Verdana"/>
          <w:color w:val="0070C0"/>
        </w:rPr>
        <w:t>j</w:t>
      </w:r>
      <w:r w:rsidRPr="00A478AA">
        <w:rPr>
          <w:rFonts w:ascii="Verdana" w:eastAsia="Verdana" w:hAnsi="Verdana"/>
          <w:color w:val="0070C0"/>
        </w:rPr>
        <w:t>, mimo że odbywał</w:t>
      </w:r>
      <w:r w:rsidR="00D229FB">
        <w:rPr>
          <w:rFonts w:ascii="Verdana" w:eastAsia="Verdana" w:hAnsi="Verdana"/>
          <w:color w:val="0070C0"/>
        </w:rPr>
        <w:t>a</w:t>
      </w:r>
      <w:r w:rsidRPr="00A478AA">
        <w:rPr>
          <w:rFonts w:ascii="Verdana" w:eastAsia="Verdana" w:hAnsi="Verdana"/>
          <w:color w:val="0070C0"/>
        </w:rPr>
        <w:t xml:space="preserve"> się w miejscach publicznych, ponieważ </w:t>
      </w:r>
      <w:r w:rsidR="003A7187">
        <w:rPr>
          <w:rFonts w:ascii="Verdana" w:eastAsia="Verdana" w:hAnsi="Verdana"/>
          <w:color w:val="0070C0"/>
        </w:rPr>
        <w:t>detektywi</w:t>
      </w:r>
      <w:r w:rsidRPr="00A478AA">
        <w:rPr>
          <w:rFonts w:ascii="Verdana" w:eastAsia="Verdana" w:hAnsi="Verdana"/>
          <w:color w:val="0070C0"/>
        </w:rPr>
        <w:t xml:space="preserve"> systematycznie gromadzili i przechowywali dane oraz wykorzystywali je do konkretnych cel</w:t>
      </w:r>
      <w:r w:rsidR="003A7187">
        <w:rPr>
          <w:rFonts w:ascii="Verdana" w:eastAsia="Verdana" w:hAnsi="Verdana"/>
          <w:color w:val="0070C0"/>
        </w:rPr>
        <w:t xml:space="preserve">ów. </w:t>
      </w:r>
      <w:r w:rsidRPr="00A478AA">
        <w:rPr>
          <w:rFonts w:ascii="Verdana" w:eastAsia="Verdana" w:hAnsi="Verdana"/>
          <w:color w:val="0070C0"/>
        </w:rPr>
        <w:t xml:space="preserve">Ponadto </w:t>
      </w:r>
      <w:r w:rsidR="00253097">
        <w:rPr>
          <w:rFonts w:ascii="Verdana" w:eastAsia="Verdana" w:hAnsi="Verdana"/>
          <w:color w:val="0070C0"/>
        </w:rPr>
        <w:t>obserwacja</w:t>
      </w:r>
      <w:r w:rsidRPr="00A478AA">
        <w:rPr>
          <w:rFonts w:ascii="Verdana" w:eastAsia="Verdana" w:hAnsi="Verdana"/>
          <w:color w:val="0070C0"/>
        </w:rPr>
        <w:t xml:space="preserve"> nie był</w:t>
      </w:r>
      <w:r w:rsidR="00253097">
        <w:rPr>
          <w:rFonts w:ascii="Verdana" w:eastAsia="Verdana" w:hAnsi="Verdana"/>
          <w:color w:val="0070C0"/>
        </w:rPr>
        <w:t>a</w:t>
      </w:r>
      <w:r w:rsidRPr="00A478AA">
        <w:rPr>
          <w:rFonts w:ascii="Verdana" w:eastAsia="Verdana" w:hAnsi="Verdana"/>
          <w:color w:val="0070C0"/>
        </w:rPr>
        <w:t xml:space="preserve"> przewidzian</w:t>
      </w:r>
      <w:r w:rsidR="00253097">
        <w:rPr>
          <w:rFonts w:ascii="Verdana" w:eastAsia="Verdana" w:hAnsi="Verdana"/>
          <w:color w:val="0070C0"/>
        </w:rPr>
        <w:t>a</w:t>
      </w:r>
      <w:r w:rsidRPr="00A478AA">
        <w:rPr>
          <w:rFonts w:ascii="Verdana" w:eastAsia="Verdana" w:hAnsi="Verdana"/>
          <w:color w:val="0070C0"/>
        </w:rPr>
        <w:t xml:space="preserve"> prawem, ponieważ przepisy prawa szwajcarskiego, na których się opierał</w:t>
      </w:r>
      <w:r w:rsidR="00253097">
        <w:rPr>
          <w:rFonts w:ascii="Verdana" w:eastAsia="Verdana" w:hAnsi="Verdana"/>
          <w:color w:val="0070C0"/>
        </w:rPr>
        <w:t>a</w:t>
      </w:r>
      <w:r w:rsidRPr="00A478AA">
        <w:rPr>
          <w:rFonts w:ascii="Verdana" w:eastAsia="Verdana" w:hAnsi="Verdana"/>
          <w:color w:val="0070C0"/>
        </w:rPr>
        <w:t xml:space="preserve">, nie </w:t>
      </w:r>
      <w:r w:rsidR="003A7187">
        <w:rPr>
          <w:rFonts w:ascii="Verdana" w:eastAsia="Verdana" w:hAnsi="Verdana"/>
          <w:color w:val="0070C0"/>
        </w:rPr>
        <w:t xml:space="preserve">były wystarczająco precyzyjne. </w:t>
      </w:r>
      <w:r w:rsidRPr="00A478AA">
        <w:rPr>
          <w:rFonts w:ascii="Verdana" w:eastAsia="Verdana" w:hAnsi="Verdana"/>
          <w:color w:val="0070C0"/>
        </w:rPr>
        <w:t xml:space="preserve">W szczególności nie uregulowały one jasno, kiedy i jak długo można prowadzić </w:t>
      </w:r>
      <w:r w:rsidR="00253097">
        <w:rPr>
          <w:rFonts w:ascii="Verdana" w:eastAsia="Verdana" w:hAnsi="Verdana"/>
          <w:color w:val="0070C0"/>
        </w:rPr>
        <w:t>obserwację</w:t>
      </w:r>
      <w:r w:rsidRPr="00A478AA">
        <w:rPr>
          <w:rFonts w:ascii="Verdana" w:eastAsia="Verdana" w:hAnsi="Verdana"/>
          <w:color w:val="0070C0"/>
        </w:rPr>
        <w:t xml:space="preserve"> oraz w jaki sposób należy przechowywać i udostępniać </w:t>
      </w:r>
      <w:r w:rsidR="00253097" w:rsidRPr="00A478AA">
        <w:rPr>
          <w:rFonts w:ascii="Verdana" w:eastAsia="Verdana" w:hAnsi="Verdana"/>
          <w:color w:val="0070C0"/>
        </w:rPr>
        <w:t xml:space="preserve">uzyskane </w:t>
      </w:r>
      <w:r w:rsidRPr="00A478AA">
        <w:rPr>
          <w:rFonts w:ascii="Verdana" w:eastAsia="Verdana" w:hAnsi="Verdana"/>
          <w:color w:val="0070C0"/>
        </w:rPr>
        <w:t>dane. Ponadto Trybunał stwierdził,</w:t>
      </w:r>
      <w:r w:rsidR="003A7187">
        <w:rPr>
          <w:rFonts w:ascii="Verdana" w:eastAsia="Verdana" w:hAnsi="Verdana"/>
          <w:color w:val="0070C0"/>
        </w:rPr>
        <w:t xml:space="preserve"> że wykorzystanie </w:t>
      </w:r>
      <w:r w:rsidRPr="00A478AA">
        <w:rPr>
          <w:rFonts w:ascii="Verdana" w:eastAsia="Verdana" w:hAnsi="Verdana"/>
          <w:color w:val="0070C0"/>
        </w:rPr>
        <w:t xml:space="preserve">dowodów </w:t>
      </w:r>
      <w:r w:rsidR="00253097">
        <w:rPr>
          <w:rFonts w:ascii="Verdana" w:eastAsia="Verdana" w:hAnsi="Verdana"/>
          <w:color w:val="0070C0"/>
        </w:rPr>
        <w:t>z obserwacji</w:t>
      </w:r>
      <w:r w:rsidRPr="00A478AA">
        <w:rPr>
          <w:rFonts w:ascii="Verdana" w:eastAsia="Verdana" w:hAnsi="Verdana"/>
          <w:color w:val="0070C0"/>
        </w:rPr>
        <w:t xml:space="preserve"> w sprawie </w:t>
      </w:r>
      <w:r w:rsidR="00253097">
        <w:rPr>
          <w:rFonts w:ascii="Verdana" w:eastAsia="Verdana" w:hAnsi="Verdana"/>
          <w:color w:val="0070C0"/>
        </w:rPr>
        <w:t xml:space="preserve">skarżącej </w:t>
      </w:r>
      <w:r w:rsidRPr="00A478AA">
        <w:rPr>
          <w:rFonts w:ascii="Verdana" w:eastAsia="Verdana" w:hAnsi="Verdana"/>
          <w:color w:val="0070C0"/>
        </w:rPr>
        <w:t xml:space="preserve">przeciwko jej ubezpieczycielowi nie </w:t>
      </w:r>
      <w:r w:rsidR="00A40582">
        <w:rPr>
          <w:rFonts w:ascii="Verdana" w:eastAsia="Verdana" w:hAnsi="Verdana"/>
          <w:color w:val="0070C0"/>
        </w:rPr>
        <w:t>uczyniło postępowania</w:t>
      </w:r>
      <w:r w:rsidR="00A40582" w:rsidRPr="00A478AA">
        <w:rPr>
          <w:rFonts w:ascii="Verdana" w:eastAsia="Verdana" w:hAnsi="Verdana"/>
          <w:color w:val="0070C0"/>
        </w:rPr>
        <w:t xml:space="preserve"> </w:t>
      </w:r>
      <w:r w:rsidRPr="00A478AA">
        <w:rPr>
          <w:rFonts w:ascii="Verdana" w:eastAsia="Verdana" w:hAnsi="Verdana"/>
          <w:color w:val="0070C0"/>
        </w:rPr>
        <w:t>niesprawiedliw</w:t>
      </w:r>
      <w:r w:rsidR="00A40582">
        <w:rPr>
          <w:rFonts w:ascii="Verdana" w:eastAsia="Verdana" w:hAnsi="Verdana"/>
          <w:color w:val="0070C0"/>
        </w:rPr>
        <w:t>ym</w:t>
      </w:r>
      <w:r w:rsidRPr="00A478AA">
        <w:rPr>
          <w:rFonts w:ascii="Verdana" w:eastAsia="Verdana" w:hAnsi="Verdana"/>
          <w:color w:val="0070C0"/>
        </w:rPr>
        <w:t xml:space="preserve"> i w związku z tym uznał, że </w:t>
      </w:r>
      <w:r w:rsidRPr="00F8489F">
        <w:rPr>
          <w:rFonts w:ascii="Verdana" w:eastAsia="Verdana" w:hAnsi="Verdana"/>
          <w:b/>
          <w:color w:val="0070C0"/>
        </w:rPr>
        <w:t>nie doszło do naruszenia art. 6</w:t>
      </w:r>
      <w:r w:rsidRPr="00A478AA">
        <w:rPr>
          <w:rFonts w:ascii="Verdana" w:eastAsia="Verdana" w:hAnsi="Verdana"/>
          <w:color w:val="0070C0"/>
        </w:rPr>
        <w:t xml:space="preserve"> (prawo d</w:t>
      </w:r>
      <w:r w:rsidR="003A7187">
        <w:rPr>
          <w:rFonts w:ascii="Verdana" w:eastAsia="Verdana" w:hAnsi="Verdana"/>
          <w:color w:val="0070C0"/>
        </w:rPr>
        <w:t xml:space="preserve">o rzetelnego procesu sądowego) Konwencji. </w:t>
      </w:r>
      <w:r w:rsidRPr="00A478AA">
        <w:rPr>
          <w:rFonts w:ascii="Verdana" w:eastAsia="Verdana" w:hAnsi="Verdana"/>
          <w:color w:val="0070C0"/>
        </w:rPr>
        <w:t xml:space="preserve">W tym względzie </w:t>
      </w:r>
      <w:r w:rsidR="003A7187">
        <w:rPr>
          <w:rFonts w:ascii="Verdana" w:eastAsia="Verdana" w:hAnsi="Verdana"/>
          <w:color w:val="0070C0"/>
        </w:rPr>
        <w:t>zauważył w szczególności, że skarżąc</w:t>
      </w:r>
      <w:r w:rsidR="00253097">
        <w:rPr>
          <w:rFonts w:ascii="Verdana" w:eastAsia="Verdana" w:hAnsi="Verdana"/>
          <w:color w:val="0070C0"/>
        </w:rPr>
        <w:t>a</w:t>
      </w:r>
      <w:r w:rsidRPr="00A478AA">
        <w:rPr>
          <w:rFonts w:ascii="Verdana" w:eastAsia="Verdana" w:hAnsi="Verdana"/>
          <w:color w:val="0070C0"/>
        </w:rPr>
        <w:t xml:space="preserve"> miał</w:t>
      </w:r>
      <w:r w:rsidR="00253097">
        <w:rPr>
          <w:rFonts w:ascii="Verdana" w:eastAsia="Verdana" w:hAnsi="Verdana"/>
          <w:color w:val="0070C0"/>
        </w:rPr>
        <w:t>a</w:t>
      </w:r>
      <w:r w:rsidRPr="00A478AA">
        <w:rPr>
          <w:rFonts w:ascii="Verdana" w:eastAsia="Verdana" w:hAnsi="Verdana"/>
          <w:color w:val="0070C0"/>
        </w:rPr>
        <w:t xml:space="preserve"> możliwość zakwestionowania dowodów uzyskanych w ramach </w:t>
      </w:r>
      <w:r w:rsidR="00253097">
        <w:rPr>
          <w:rFonts w:ascii="Verdana" w:eastAsia="Verdana" w:hAnsi="Verdana"/>
          <w:color w:val="0070C0"/>
        </w:rPr>
        <w:t>obserwacji,</w:t>
      </w:r>
      <w:r w:rsidRPr="00A478AA">
        <w:rPr>
          <w:rFonts w:ascii="Verdana" w:eastAsia="Verdana" w:hAnsi="Verdana"/>
          <w:color w:val="0070C0"/>
        </w:rPr>
        <w:t xml:space="preserve"> oraz że sąd szwajcarski wydał decyzję z uzasadnieniem, dlaczego </w:t>
      </w:r>
      <w:r w:rsidR="00253097">
        <w:rPr>
          <w:rFonts w:ascii="Verdana" w:eastAsia="Verdana" w:hAnsi="Verdana"/>
          <w:color w:val="0070C0"/>
        </w:rPr>
        <w:t xml:space="preserve">dowód </w:t>
      </w:r>
      <w:r w:rsidRPr="00A478AA">
        <w:rPr>
          <w:rFonts w:ascii="Verdana" w:eastAsia="Verdana" w:hAnsi="Verdana"/>
          <w:color w:val="0070C0"/>
        </w:rPr>
        <w:t>powinien zostać przyjęty.</w:t>
      </w:r>
    </w:p>
    <w:p w14:paraId="54196368" w14:textId="77777777" w:rsidR="00A40582" w:rsidRPr="0097380D" w:rsidRDefault="00A40582" w:rsidP="00AB713F">
      <w:pPr>
        <w:spacing w:before="120" w:line="239" w:lineRule="auto"/>
        <w:ind w:left="740"/>
        <w:jc w:val="both"/>
        <w:rPr>
          <w:rFonts w:ascii="Verdana" w:eastAsia="Verdana" w:hAnsi="Verdana"/>
          <w:b/>
          <w:color w:val="0072BC"/>
          <w:u w:val="single"/>
        </w:rPr>
      </w:pPr>
      <w:hyperlink r:id="rId81" w:history="1">
        <w:r w:rsidRPr="0097380D">
          <w:rPr>
            <w:rStyle w:val="Hipercze"/>
            <w:rFonts w:ascii="Verdana" w:eastAsia="Verdana" w:hAnsi="Verdana"/>
            <w:b/>
            <w:color w:val="0072BC"/>
          </w:rPr>
          <w:t>Mehmedovic przeciwko Szwajcarii</w:t>
        </w:r>
      </w:hyperlink>
    </w:p>
    <w:p w14:paraId="6D0763C5" w14:textId="77777777" w:rsidR="00A40582" w:rsidRPr="00522540" w:rsidRDefault="00A40582" w:rsidP="00AB713F">
      <w:pPr>
        <w:spacing w:line="239" w:lineRule="auto"/>
        <w:ind w:left="740"/>
        <w:jc w:val="both"/>
        <w:rPr>
          <w:rFonts w:ascii="Verdana" w:eastAsia="Verdana" w:hAnsi="Verdana"/>
          <w:color w:val="7F7F7F"/>
          <w:sz w:val="18"/>
        </w:rPr>
      </w:pPr>
      <w:r w:rsidRPr="00F8489F">
        <w:rPr>
          <w:rFonts w:ascii="Verdana" w:eastAsia="Verdana" w:hAnsi="Verdana"/>
          <w:color w:val="7F7F7F"/>
          <w:sz w:val="18"/>
        </w:rPr>
        <w:t>11 grudnia 2018</w:t>
      </w:r>
      <w:r w:rsidR="00CD5A42">
        <w:rPr>
          <w:rFonts w:ascii="Verdana" w:eastAsia="Verdana" w:hAnsi="Verdana"/>
          <w:color w:val="7F7F7F"/>
          <w:sz w:val="18"/>
        </w:rPr>
        <w:t xml:space="preserve"> roku</w:t>
      </w:r>
      <w:r w:rsidRPr="00F8489F">
        <w:rPr>
          <w:rFonts w:ascii="Verdana" w:eastAsia="Verdana" w:hAnsi="Verdana"/>
          <w:color w:val="7F7F7F"/>
          <w:sz w:val="18"/>
        </w:rPr>
        <w:t xml:space="preserve"> (decyzja o dopuszczalności)</w:t>
      </w:r>
    </w:p>
    <w:p w14:paraId="4F8B7859" w14:textId="77777777" w:rsidR="00A40582" w:rsidRPr="00F8489F" w:rsidRDefault="00A40582" w:rsidP="00AB713F">
      <w:pPr>
        <w:spacing w:line="239" w:lineRule="auto"/>
        <w:ind w:left="740"/>
        <w:jc w:val="both"/>
        <w:rPr>
          <w:rFonts w:ascii="Verdana" w:eastAsia="Verdana" w:hAnsi="Verdana"/>
        </w:rPr>
      </w:pPr>
      <w:r w:rsidRPr="00F8489F">
        <w:rPr>
          <w:rFonts w:ascii="Verdana" w:eastAsia="Verdana" w:hAnsi="Verdana"/>
        </w:rPr>
        <w:t xml:space="preserve">Sprawa ta dotyczyła </w:t>
      </w:r>
      <w:r w:rsidR="00CD5A42">
        <w:rPr>
          <w:rFonts w:ascii="Verdana" w:eastAsia="Verdana" w:hAnsi="Verdana"/>
        </w:rPr>
        <w:t>obserwacji</w:t>
      </w:r>
      <w:r w:rsidRPr="00F8489F">
        <w:rPr>
          <w:rFonts w:ascii="Verdana" w:eastAsia="Verdana" w:hAnsi="Verdana"/>
        </w:rPr>
        <w:t xml:space="preserve"> osob</w:t>
      </w:r>
      <w:r w:rsidR="00CD5A42">
        <w:rPr>
          <w:rFonts w:ascii="Verdana" w:eastAsia="Verdana" w:hAnsi="Verdana"/>
        </w:rPr>
        <w:t>y</w:t>
      </w:r>
      <w:r w:rsidRPr="00F8489F">
        <w:rPr>
          <w:rFonts w:ascii="Verdana" w:eastAsia="Verdana" w:hAnsi="Verdana"/>
        </w:rPr>
        <w:t xml:space="preserve"> ubezpieczon</w:t>
      </w:r>
      <w:r w:rsidR="00CD5A42">
        <w:rPr>
          <w:rFonts w:ascii="Verdana" w:eastAsia="Verdana" w:hAnsi="Verdana"/>
        </w:rPr>
        <w:t>ej</w:t>
      </w:r>
      <w:r w:rsidRPr="00F8489F">
        <w:rPr>
          <w:rFonts w:ascii="Verdana" w:eastAsia="Verdana" w:hAnsi="Verdana"/>
        </w:rPr>
        <w:t xml:space="preserve"> (pierwsz</w:t>
      </w:r>
      <w:r w:rsidR="00CD5A42">
        <w:rPr>
          <w:rFonts w:ascii="Verdana" w:eastAsia="Verdana" w:hAnsi="Verdana"/>
        </w:rPr>
        <w:t>ego</w:t>
      </w:r>
      <w:r w:rsidRPr="00F8489F">
        <w:rPr>
          <w:rFonts w:ascii="Verdana" w:eastAsia="Verdana" w:hAnsi="Verdana"/>
        </w:rPr>
        <w:t xml:space="preserve"> </w:t>
      </w:r>
      <w:r w:rsidR="00CD5A42">
        <w:rPr>
          <w:rFonts w:ascii="Verdana" w:eastAsia="Verdana" w:hAnsi="Verdana"/>
        </w:rPr>
        <w:t>skarżącego</w:t>
      </w:r>
      <w:r w:rsidRPr="00F8489F">
        <w:rPr>
          <w:rFonts w:ascii="Verdana" w:eastAsia="Verdana" w:hAnsi="Verdana"/>
        </w:rPr>
        <w:t>) i pośrednio jego żon</w:t>
      </w:r>
      <w:r w:rsidR="00CD5A42">
        <w:rPr>
          <w:rFonts w:ascii="Verdana" w:eastAsia="Verdana" w:hAnsi="Verdana"/>
        </w:rPr>
        <w:t>y</w:t>
      </w:r>
      <w:r w:rsidRPr="00F8489F">
        <w:rPr>
          <w:rFonts w:ascii="Verdana" w:eastAsia="Verdana" w:hAnsi="Verdana"/>
        </w:rPr>
        <w:t xml:space="preserve"> w miejscach publicznych przez inspektorów </w:t>
      </w:r>
      <w:r w:rsidR="00D84FC1">
        <w:rPr>
          <w:rFonts w:ascii="Verdana" w:eastAsia="Verdana" w:hAnsi="Verdana"/>
        </w:rPr>
        <w:t>towarzystwa</w:t>
      </w:r>
      <w:r w:rsidRPr="00F8489F">
        <w:rPr>
          <w:rFonts w:ascii="Verdana" w:eastAsia="Verdana" w:hAnsi="Verdana"/>
        </w:rPr>
        <w:t xml:space="preserve"> ubezpiecze</w:t>
      </w:r>
      <w:r w:rsidR="00D84FC1">
        <w:rPr>
          <w:rFonts w:ascii="Verdana" w:eastAsia="Verdana" w:hAnsi="Verdana"/>
        </w:rPr>
        <w:t>niowego</w:t>
      </w:r>
      <w:r w:rsidRPr="00F8489F">
        <w:rPr>
          <w:rFonts w:ascii="Verdana" w:eastAsia="Verdana" w:hAnsi="Verdana"/>
        </w:rPr>
        <w:t xml:space="preserve"> w celu ustalenia, czy jego roszczenie o odszkodowanie złożone w następstwie wypadku było uzasadnione.</w:t>
      </w:r>
    </w:p>
    <w:p w14:paraId="3494CADF" w14:textId="77777777" w:rsidR="00A40582" w:rsidRDefault="006612CF" w:rsidP="00AB713F">
      <w:pPr>
        <w:spacing w:line="239" w:lineRule="auto"/>
        <w:ind w:left="740"/>
        <w:jc w:val="both"/>
        <w:rPr>
          <w:rFonts w:ascii="Verdana" w:eastAsia="Verdana" w:hAnsi="Verdana"/>
          <w:color w:val="0070C0"/>
        </w:rPr>
      </w:pPr>
      <w:r>
        <w:rPr>
          <w:rFonts w:ascii="Verdana" w:eastAsia="Verdana" w:hAnsi="Verdana"/>
          <w:color w:val="0070C0"/>
        </w:rPr>
        <w:t>Trybunał</w:t>
      </w:r>
      <w:r w:rsidR="00A40582" w:rsidRPr="00F8489F">
        <w:rPr>
          <w:rFonts w:ascii="Verdana" w:eastAsia="Verdana" w:hAnsi="Verdana"/>
          <w:color w:val="0070C0"/>
        </w:rPr>
        <w:t xml:space="preserve"> uznał skargę za </w:t>
      </w:r>
      <w:r w:rsidR="00A40582" w:rsidRPr="00F8489F">
        <w:rPr>
          <w:rFonts w:ascii="Verdana" w:eastAsia="Verdana" w:hAnsi="Verdana"/>
          <w:b/>
          <w:color w:val="0070C0"/>
        </w:rPr>
        <w:t>niedopuszczalną</w:t>
      </w:r>
      <w:r w:rsidR="00A40582" w:rsidRPr="00F8489F">
        <w:rPr>
          <w:rFonts w:ascii="Verdana" w:eastAsia="Verdana" w:hAnsi="Verdana"/>
          <w:color w:val="0070C0"/>
        </w:rPr>
        <w:t xml:space="preserve"> jako oczywiście bezzasadną. Po pierwsze</w:t>
      </w:r>
      <w:r>
        <w:rPr>
          <w:rFonts w:ascii="Verdana" w:eastAsia="Verdana" w:hAnsi="Verdana"/>
          <w:color w:val="0070C0"/>
        </w:rPr>
        <w:t xml:space="preserve"> </w:t>
      </w:r>
      <w:r w:rsidR="00A40582" w:rsidRPr="00F8489F">
        <w:rPr>
          <w:rFonts w:ascii="Verdana" w:eastAsia="Verdana" w:hAnsi="Verdana"/>
          <w:color w:val="0070C0"/>
        </w:rPr>
        <w:t xml:space="preserve">zauważył, że </w:t>
      </w:r>
      <w:r w:rsidR="00D84FC1">
        <w:rPr>
          <w:rFonts w:ascii="Verdana" w:eastAsia="Verdana" w:hAnsi="Verdana"/>
          <w:color w:val="0070C0"/>
        </w:rPr>
        <w:t>czynności</w:t>
      </w:r>
      <w:r w:rsidR="00A40582" w:rsidRPr="00F8489F">
        <w:rPr>
          <w:rFonts w:ascii="Verdana" w:eastAsia="Verdana" w:hAnsi="Verdana"/>
          <w:color w:val="0070C0"/>
        </w:rPr>
        <w:t xml:space="preserve"> prowadzone przez towarzystwo ubezpieczeniowe, które </w:t>
      </w:r>
      <w:r w:rsidR="00D84FC1">
        <w:rPr>
          <w:rFonts w:ascii="Verdana" w:eastAsia="Verdana" w:hAnsi="Verdana"/>
          <w:color w:val="0070C0"/>
        </w:rPr>
        <w:t xml:space="preserve">odbywały </w:t>
      </w:r>
      <w:r w:rsidR="00D84FC1">
        <w:rPr>
          <w:rFonts w:ascii="Verdana" w:eastAsia="Verdana" w:hAnsi="Verdana"/>
          <w:color w:val="0070C0"/>
        </w:rPr>
        <w:lastRenderedPageBreak/>
        <w:t>się</w:t>
      </w:r>
      <w:r w:rsidR="00A40582" w:rsidRPr="00F8489F">
        <w:rPr>
          <w:rFonts w:ascii="Verdana" w:eastAsia="Verdana" w:hAnsi="Verdana"/>
          <w:color w:val="0070C0"/>
        </w:rPr>
        <w:t xml:space="preserve"> </w:t>
      </w:r>
      <w:r>
        <w:rPr>
          <w:rFonts w:ascii="Verdana" w:eastAsia="Verdana" w:hAnsi="Verdana"/>
          <w:color w:val="0070C0"/>
        </w:rPr>
        <w:t>w</w:t>
      </w:r>
      <w:r w:rsidR="00A40582" w:rsidRPr="00F8489F">
        <w:rPr>
          <w:rFonts w:ascii="Verdana" w:eastAsia="Verdana" w:hAnsi="Verdana"/>
          <w:color w:val="0070C0"/>
        </w:rPr>
        <w:t xml:space="preserve"> miejsc</w:t>
      </w:r>
      <w:r>
        <w:rPr>
          <w:rFonts w:ascii="Verdana" w:eastAsia="Verdana" w:hAnsi="Verdana"/>
          <w:color w:val="0070C0"/>
        </w:rPr>
        <w:t>ach</w:t>
      </w:r>
      <w:r w:rsidR="00A40582" w:rsidRPr="00F8489F">
        <w:rPr>
          <w:rFonts w:ascii="Verdana" w:eastAsia="Verdana" w:hAnsi="Verdana"/>
          <w:color w:val="0070C0"/>
        </w:rPr>
        <w:t xml:space="preserve"> </w:t>
      </w:r>
      <w:r>
        <w:rPr>
          <w:rFonts w:ascii="Verdana" w:eastAsia="Verdana" w:hAnsi="Verdana"/>
          <w:color w:val="0070C0"/>
        </w:rPr>
        <w:t>publicznych</w:t>
      </w:r>
      <w:r w:rsidR="00A40582" w:rsidRPr="00F8489F">
        <w:rPr>
          <w:rFonts w:ascii="Verdana" w:eastAsia="Verdana" w:hAnsi="Verdana"/>
          <w:color w:val="0070C0"/>
        </w:rPr>
        <w:t xml:space="preserve"> i ograniczały się do ustalenia mobilności pierwszego </w:t>
      </w:r>
      <w:r w:rsidR="00D84FC1">
        <w:rPr>
          <w:rFonts w:ascii="Verdana" w:eastAsia="Verdana" w:hAnsi="Verdana"/>
          <w:color w:val="0070C0"/>
        </w:rPr>
        <w:t>skarżącego</w:t>
      </w:r>
      <w:r w:rsidR="00A40582" w:rsidRPr="00F8489F">
        <w:rPr>
          <w:rFonts w:ascii="Verdana" w:eastAsia="Verdana" w:hAnsi="Verdana"/>
          <w:color w:val="0070C0"/>
        </w:rPr>
        <w:t xml:space="preserve">, miały na celu wyłącznie ochronę praw </w:t>
      </w:r>
      <w:r>
        <w:rPr>
          <w:rFonts w:ascii="Verdana" w:eastAsia="Verdana" w:hAnsi="Verdana"/>
          <w:color w:val="0070C0"/>
        </w:rPr>
        <w:t>majątkowych</w:t>
      </w:r>
      <w:r w:rsidR="00A40582" w:rsidRPr="00F8489F">
        <w:rPr>
          <w:rFonts w:ascii="Verdana" w:eastAsia="Verdana" w:hAnsi="Verdana"/>
          <w:color w:val="0070C0"/>
        </w:rPr>
        <w:t xml:space="preserve"> ubezpieczyciela. W tym względzie Trybunał orzekł, że sądy krajowe uznały, że ubezpieczyciel ma nadrzędny interes, który oznacza, że ingerencja w </w:t>
      </w:r>
      <w:r w:rsidR="00BE55CE">
        <w:rPr>
          <w:rFonts w:ascii="Verdana" w:eastAsia="Verdana" w:hAnsi="Verdana"/>
          <w:color w:val="0070C0"/>
        </w:rPr>
        <w:t>dobra osobiste</w:t>
      </w:r>
      <w:r w:rsidR="00A40582" w:rsidRPr="00F8489F">
        <w:rPr>
          <w:rFonts w:ascii="Verdana" w:eastAsia="Verdana" w:hAnsi="Verdana"/>
          <w:color w:val="0070C0"/>
        </w:rPr>
        <w:t xml:space="preserve"> </w:t>
      </w:r>
      <w:r w:rsidR="00BE55CE">
        <w:rPr>
          <w:rFonts w:ascii="Verdana" w:eastAsia="Verdana" w:hAnsi="Verdana"/>
          <w:color w:val="0070C0"/>
        </w:rPr>
        <w:t>skarżącego</w:t>
      </w:r>
      <w:r w:rsidR="00A40582" w:rsidRPr="00F8489F">
        <w:rPr>
          <w:rFonts w:ascii="Verdana" w:eastAsia="Verdana" w:hAnsi="Verdana"/>
          <w:color w:val="0070C0"/>
        </w:rPr>
        <w:t xml:space="preserve"> była zgodna z prawem. Po drugie, </w:t>
      </w:r>
      <w:r w:rsidR="00BE55CE">
        <w:rPr>
          <w:rFonts w:ascii="Verdana" w:eastAsia="Verdana" w:hAnsi="Verdana"/>
          <w:color w:val="0070C0"/>
        </w:rPr>
        <w:t>Trybunał</w:t>
      </w:r>
      <w:r w:rsidR="00A40582" w:rsidRPr="00F8489F">
        <w:rPr>
          <w:rFonts w:ascii="Verdana" w:eastAsia="Verdana" w:hAnsi="Verdana"/>
          <w:color w:val="0070C0"/>
        </w:rPr>
        <w:t xml:space="preserve"> zauważył, że skąpe informacje dotyczące drugie</w:t>
      </w:r>
      <w:r w:rsidR="00BE55CE">
        <w:rPr>
          <w:rFonts w:ascii="Verdana" w:eastAsia="Verdana" w:hAnsi="Verdana"/>
          <w:color w:val="0070C0"/>
        </w:rPr>
        <w:t>j</w:t>
      </w:r>
      <w:r w:rsidR="00A40582" w:rsidRPr="00F8489F">
        <w:rPr>
          <w:rFonts w:ascii="Verdana" w:eastAsia="Verdana" w:hAnsi="Verdana"/>
          <w:color w:val="0070C0"/>
        </w:rPr>
        <w:t xml:space="preserve"> ze skarżących, zebrane przypadkowo i niemające znaczenia dla dochodzenia, w żaden sposób nie stanowiły systematycznego lub stałego gromadzenia danych. Zdaniem </w:t>
      </w:r>
      <w:r w:rsidR="00BE55CE">
        <w:rPr>
          <w:rFonts w:ascii="Verdana" w:eastAsia="Verdana" w:hAnsi="Verdana"/>
          <w:color w:val="0070C0"/>
        </w:rPr>
        <w:t>Trybunału</w:t>
      </w:r>
      <w:r w:rsidR="00A40582" w:rsidRPr="00F8489F">
        <w:rPr>
          <w:rFonts w:ascii="Verdana" w:eastAsia="Verdana" w:hAnsi="Verdana"/>
          <w:color w:val="0070C0"/>
        </w:rPr>
        <w:t xml:space="preserve"> nie doszło zatem do ingerencji w życie prywatne skarżące</w:t>
      </w:r>
      <w:r w:rsidR="00D84FC1">
        <w:rPr>
          <w:rFonts w:ascii="Verdana" w:eastAsia="Verdana" w:hAnsi="Verdana"/>
          <w:color w:val="0070C0"/>
        </w:rPr>
        <w:t>j</w:t>
      </w:r>
      <w:r w:rsidR="00A40582" w:rsidRPr="00F8489F">
        <w:rPr>
          <w:rFonts w:ascii="Verdana" w:eastAsia="Verdana" w:hAnsi="Verdana"/>
          <w:color w:val="0070C0"/>
        </w:rPr>
        <w:t>.</w:t>
      </w:r>
    </w:p>
    <w:p w14:paraId="6A98C846" w14:textId="77777777" w:rsidR="00613E0D" w:rsidRDefault="00613E0D" w:rsidP="00AB713F">
      <w:pPr>
        <w:spacing w:line="239" w:lineRule="auto"/>
        <w:ind w:left="740"/>
        <w:jc w:val="both"/>
        <w:rPr>
          <w:rFonts w:ascii="Verdana" w:eastAsia="Verdana" w:hAnsi="Verdana"/>
          <w:color w:val="0070C0"/>
        </w:rPr>
      </w:pPr>
    </w:p>
    <w:p w14:paraId="6F7C9757" w14:textId="77777777" w:rsidR="00613E0D" w:rsidRPr="002D3C5B" w:rsidRDefault="00613E0D" w:rsidP="00613E0D">
      <w:pPr>
        <w:spacing w:line="239" w:lineRule="auto"/>
        <w:ind w:left="740"/>
        <w:jc w:val="both"/>
        <w:rPr>
          <w:rFonts w:ascii="Verdana" w:eastAsia="Verdana" w:hAnsi="Verdana"/>
          <w:b/>
          <w:bCs/>
          <w:szCs w:val="22"/>
          <w:highlight w:val="lightGray"/>
        </w:rPr>
      </w:pPr>
      <w:r w:rsidRPr="002D3C5B">
        <w:rPr>
          <w:rFonts w:ascii="Verdana" w:eastAsia="Verdana" w:hAnsi="Verdana"/>
          <w:b/>
          <w:bCs/>
          <w:szCs w:val="22"/>
          <w:highlight w:val="lightGray"/>
        </w:rPr>
        <w:t xml:space="preserve">Sprawa w toku </w:t>
      </w:r>
    </w:p>
    <w:p w14:paraId="1532297B" w14:textId="65E2A275" w:rsidR="00613E0D" w:rsidRPr="002D3C5B" w:rsidRDefault="00613E0D" w:rsidP="00613E0D">
      <w:pPr>
        <w:spacing w:line="239" w:lineRule="auto"/>
        <w:ind w:left="740"/>
        <w:jc w:val="both"/>
        <w:rPr>
          <w:rFonts w:ascii="Verdana" w:eastAsia="Verdana" w:hAnsi="Verdana"/>
          <w:b/>
          <w:bCs/>
          <w:color w:val="0070C0"/>
          <w:szCs w:val="22"/>
          <w:highlight w:val="lightGray"/>
        </w:rPr>
      </w:pPr>
      <w:hyperlink r:id="rId82" w:anchor="{%22itemid%22:[%22002-14051%22]}" w:history="1">
        <w:r w:rsidRPr="002D3C5B">
          <w:rPr>
            <w:rStyle w:val="Hipercze"/>
            <w:rFonts w:ascii="Verdana" w:eastAsia="Verdana" w:hAnsi="Verdana"/>
            <w:b/>
            <w:bCs/>
            <w:szCs w:val="22"/>
            <w:highlight w:val="lightGray"/>
          </w:rPr>
          <w:t>Le Marrec przeciwko Francji (nr 52319/22)</w:t>
        </w:r>
      </w:hyperlink>
    </w:p>
    <w:p w14:paraId="406E1133" w14:textId="77777777" w:rsidR="00613E0D" w:rsidRPr="002D3C5B" w:rsidRDefault="00613E0D" w:rsidP="00613E0D">
      <w:pPr>
        <w:spacing w:line="239" w:lineRule="auto"/>
        <w:ind w:left="740"/>
        <w:jc w:val="both"/>
        <w:rPr>
          <w:rFonts w:ascii="Verdana" w:eastAsia="Verdana" w:hAnsi="Verdana"/>
          <w:szCs w:val="22"/>
          <w:highlight w:val="lightGray"/>
        </w:rPr>
      </w:pPr>
      <w:r w:rsidRPr="002D3C5B">
        <w:rPr>
          <w:rFonts w:ascii="Verdana" w:eastAsia="Verdana" w:hAnsi="Verdana"/>
          <w:szCs w:val="22"/>
          <w:highlight w:val="lightGray"/>
        </w:rPr>
        <w:t>Skarga przekazana rządowi francuskiemu w dniu 7 marca 2023 r.</w:t>
      </w:r>
    </w:p>
    <w:p w14:paraId="5996B03C" w14:textId="7B0BE244" w:rsidR="00613E0D" w:rsidRPr="002D3C5B" w:rsidRDefault="00613E0D" w:rsidP="00613E0D">
      <w:pPr>
        <w:spacing w:line="239" w:lineRule="auto"/>
        <w:ind w:left="740"/>
        <w:jc w:val="both"/>
        <w:rPr>
          <w:rFonts w:ascii="Verdana" w:eastAsia="Verdana" w:hAnsi="Verdana"/>
          <w:szCs w:val="22"/>
          <w:highlight w:val="lightGray"/>
        </w:rPr>
      </w:pPr>
      <w:r w:rsidRPr="002D3C5B">
        <w:rPr>
          <w:rFonts w:ascii="Verdana" w:eastAsia="Verdana" w:hAnsi="Verdana"/>
          <w:szCs w:val="22"/>
          <w:highlight w:val="lightGray"/>
        </w:rPr>
        <w:t>Skarżący otrzymywał zasiłek socjalny w formie wsparcia dochodu. W trakcie przetwarzania jego danych logowania organizacja zarządzająca (Caisse d'allocations familiales - Biuro Zasiłków Rodzinnych) wykryła, że złożył on kwartalne oświadczenie o środkach z zagranicznego adresu IP. Następnie przeprowadzono przegląd jego sprawy. Po zakończeniu przeglądu jego uprawnienia do zasiłku zostały cofnięte z Przetwarzani</w:t>
      </w:r>
      <w:r w:rsidR="002D3C5B" w:rsidRPr="002D3C5B">
        <w:rPr>
          <w:rFonts w:ascii="Verdana" w:eastAsia="Verdana" w:hAnsi="Verdana"/>
          <w:szCs w:val="22"/>
          <w:highlight w:val="lightGray"/>
        </w:rPr>
        <w:t>a</w:t>
      </w:r>
      <w:r w:rsidRPr="002D3C5B">
        <w:rPr>
          <w:rFonts w:ascii="Verdana" w:eastAsia="Verdana" w:hAnsi="Verdana"/>
          <w:szCs w:val="22"/>
          <w:highlight w:val="lightGray"/>
        </w:rPr>
        <w:t xml:space="preserve"> danych logowania z mocą wsteczną. Skarga skarżącego dotyczy przetwarzania jego danych logowania (w szczególności geolokalizacji jego adresu IP), które jego zdaniem nie podlegało odpowiednim gwarancjom prawnym, oraz braku odniesienia się przez sądy krajowe do podniesionego przez niego zarzutu naruszenia prywatności.</w:t>
      </w:r>
    </w:p>
    <w:p w14:paraId="214F2944" w14:textId="04F3DE6B" w:rsidR="00613E0D" w:rsidRPr="00613E0D" w:rsidRDefault="00613E0D" w:rsidP="00613E0D">
      <w:pPr>
        <w:spacing w:line="239" w:lineRule="auto"/>
        <w:ind w:left="740"/>
        <w:jc w:val="both"/>
        <w:rPr>
          <w:rFonts w:ascii="Verdana" w:eastAsia="Verdana" w:hAnsi="Verdana"/>
          <w:color w:val="0070C0"/>
          <w:szCs w:val="22"/>
        </w:rPr>
      </w:pPr>
      <w:r w:rsidRPr="002D3C5B">
        <w:rPr>
          <w:rFonts w:ascii="Verdana" w:eastAsia="Verdana" w:hAnsi="Verdana"/>
          <w:color w:val="0070C0"/>
          <w:szCs w:val="22"/>
          <w:highlight w:val="lightGray"/>
        </w:rPr>
        <w:t>Trybunał powiadomił o skardze rząd francuski i zadał stronom pytania na podstawie art. 8 (prawo do poszanowania życia prywatnego) i art. 6 § 1 (prawo do rzetelnego procesu sądowego) Konwencji.</w:t>
      </w:r>
    </w:p>
    <w:p w14:paraId="4B378D00" w14:textId="77777777" w:rsidR="00F832FE" w:rsidRDefault="00F832FE" w:rsidP="00AB713F">
      <w:pPr>
        <w:spacing w:line="218" w:lineRule="exact"/>
        <w:ind w:left="740"/>
        <w:rPr>
          <w:rFonts w:ascii="Times New Roman" w:eastAsia="Times New Roman" w:hAnsi="Times New Roman"/>
        </w:rPr>
      </w:pPr>
    </w:p>
    <w:p w14:paraId="2D29177C" w14:textId="77777777" w:rsidR="00F832FE" w:rsidRDefault="00BD3647" w:rsidP="00AB713F">
      <w:pPr>
        <w:spacing w:line="0" w:lineRule="atLeast"/>
        <w:ind w:left="740"/>
        <w:rPr>
          <w:rFonts w:ascii="Verdana" w:eastAsia="Verdana" w:hAnsi="Verdana"/>
          <w:color w:val="808080"/>
          <w:sz w:val="28"/>
        </w:rPr>
      </w:pPr>
      <w:r>
        <w:rPr>
          <w:rFonts w:ascii="Verdana" w:eastAsia="Verdana" w:hAnsi="Verdana"/>
          <w:color w:val="808080"/>
          <w:sz w:val="28"/>
        </w:rPr>
        <w:t>Przechowywanie w tajnych rejestrach</w:t>
      </w:r>
    </w:p>
    <w:p w14:paraId="1C76CBC3" w14:textId="77777777" w:rsidR="00BE55CE" w:rsidRPr="00A14197" w:rsidRDefault="00BE55CE" w:rsidP="00AB713F">
      <w:pPr>
        <w:spacing w:before="120" w:line="0" w:lineRule="atLeast"/>
        <w:ind w:left="740"/>
        <w:rPr>
          <w:rStyle w:val="Hipercze"/>
          <w:color w:val="0072BC"/>
        </w:rPr>
      </w:pPr>
      <w:hyperlink r:id="rId83" w:history="1">
        <w:r w:rsidRPr="00A14197">
          <w:rPr>
            <w:rStyle w:val="Hipercze"/>
            <w:rFonts w:ascii="Verdana" w:eastAsia="Verdana" w:hAnsi="Verdana"/>
            <w:b/>
            <w:color w:val="0072BC"/>
          </w:rPr>
          <w:t>Leander przeciwko Szwecji</w:t>
        </w:r>
      </w:hyperlink>
    </w:p>
    <w:p w14:paraId="1473B7E8" w14:textId="77777777" w:rsidR="00BE55CE" w:rsidRDefault="00BE55CE" w:rsidP="00AB713F">
      <w:pPr>
        <w:spacing w:line="63" w:lineRule="exact"/>
        <w:ind w:left="740"/>
        <w:rPr>
          <w:rFonts w:ascii="Times New Roman" w:eastAsia="Times New Roman" w:hAnsi="Times New Roman"/>
        </w:rPr>
      </w:pPr>
    </w:p>
    <w:p w14:paraId="3662FE5F" w14:textId="77777777" w:rsidR="00B110F7" w:rsidRDefault="00BE55CE" w:rsidP="00AB713F">
      <w:pPr>
        <w:spacing w:line="0" w:lineRule="atLeast"/>
        <w:ind w:left="740"/>
        <w:rPr>
          <w:rFonts w:ascii="Verdana" w:eastAsia="Verdana" w:hAnsi="Verdana"/>
          <w:color w:val="808080"/>
          <w:sz w:val="18"/>
        </w:rPr>
      </w:pPr>
      <w:r>
        <w:rPr>
          <w:rFonts w:ascii="Verdana" w:eastAsia="Verdana" w:hAnsi="Verdana"/>
          <w:color w:val="808080"/>
          <w:sz w:val="18"/>
        </w:rPr>
        <w:t xml:space="preserve">23 marca </w:t>
      </w:r>
      <w:r w:rsidR="00B110F7">
        <w:rPr>
          <w:rFonts w:ascii="Verdana" w:eastAsia="Verdana" w:hAnsi="Verdana"/>
          <w:color w:val="808080"/>
          <w:sz w:val="18"/>
        </w:rPr>
        <w:t xml:space="preserve">1987 </w:t>
      </w:r>
      <w:r>
        <w:rPr>
          <w:rFonts w:ascii="Verdana" w:eastAsia="Verdana" w:hAnsi="Verdana"/>
          <w:color w:val="808080"/>
          <w:sz w:val="18"/>
        </w:rPr>
        <w:t xml:space="preserve">roku </w:t>
      </w:r>
    </w:p>
    <w:p w14:paraId="0EC55A1B" w14:textId="77777777" w:rsidR="001728F7" w:rsidRPr="001728F7" w:rsidRDefault="001728F7" w:rsidP="00AB713F">
      <w:pPr>
        <w:spacing w:line="0" w:lineRule="atLeast"/>
        <w:ind w:left="740"/>
        <w:jc w:val="both"/>
        <w:rPr>
          <w:rFonts w:ascii="Verdana" w:eastAsia="Verdana" w:hAnsi="Verdana"/>
        </w:rPr>
      </w:pPr>
      <w:r w:rsidRPr="001728F7">
        <w:rPr>
          <w:rFonts w:ascii="Verdana" w:eastAsia="Verdana" w:hAnsi="Verdana"/>
        </w:rPr>
        <w:t xml:space="preserve">Sprawa ta dotyczyła wykorzystania </w:t>
      </w:r>
      <w:r>
        <w:rPr>
          <w:rFonts w:ascii="Verdana" w:eastAsia="Verdana" w:hAnsi="Verdana"/>
        </w:rPr>
        <w:t xml:space="preserve">tajnych </w:t>
      </w:r>
      <w:r w:rsidRPr="001728F7">
        <w:rPr>
          <w:rFonts w:ascii="Verdana" w:eastAsia="Verdana" w:hAnsi="Verdana"/>
        </w:rPr>
        <w:t>akt policji przy rekrutacji stolarza. Skarżący, który pracował jako tymczasowy zastępca w Muzeum Marynarki Wojennej w Karlskronie, obok zamkniętej strefy wojskowe</w:t>
      </w:r>
      <w:r>
        <w:rPr>
          <w:rFonts w:ascii="Verdana" w:eastAsia="Verdana" w:hAnsi="Verdana"/>
        </w:rPr>
        <w:t>j</w:t>
      </w:r>
      <w:r w:rsidRPr="001728F7">
        <w:rPr>
          <w:rFonts w:ascii="Verdana" w:eastAsia="Verdana" w:hAnsi="Verdana"/>
        </w:rPr>
        <w:t>, skarżył się na przechowywanie danych</w:t>
      </w:r>
      <w:r>
        <w:rPr>
          <w:rFonts w:ascii="Verdana" w:eastAsia="Verdana" w:hAnsi="Verdana"/>
        </w:rPr>
        <w:t xml:space="preserve"> osobowych</w:t>
      </w:r>
      <w:r w:rsidRPr="001728F7">
        <w:rPr>
          <w:rFonts w:ascii="Verdana" w:eastAsia="Verdana" w:hAnsi="Verdana"/>
        </w:rPr>
        <w:t xml:space="preserve"> dotyczących jego </w:t>
      </w:r>
      <w:r w:rsidR="00131261">
        <w:rPr>
          <w:rFonts w:ascii="Verdana" w:eastAsia="Verdana" w:hAnsi="Verdana"/>
        </w:rPr>
        <w:t xml:space="preserve">dawnej </w:t>
      </w:r>
      <w:r w:rsidRPr="001728F7">
        <w:rPr>
          <w:rFonts w:ascii="Verdana" w:eastAsia="Verdana" w:hAnsi="Verdana"/>
        </w:rPr>
        <w:t>działalności związkowej i twierdził, że doprowadziło to do wykluczenia</w:t>
      </w:r>
      <w:r>
        <w:rPr>
          <w:rFonts w:ascii="Verdana" w:eastAsia="Verdana" w:hAnsi="Verdana"/>
        </w:rPr>
        <w:t xml:space="preserve"> </w:t>
      </w:r>
      <w:r w:rsidR="00131261">
        <w:rPr>
          <w:rFonts w:ascii="Verdana" w:eastAsia="Verdana" w:hAnsi="Verdana"/>
        </w:rPr>
        <w:t xml:space="preserve">jego osoby z przedmiotowego </w:t>
      </w:r>
      <w:r w:rsidRPr="001728F7">
        <w:rPr>
          <w:rFonts w:ascii="Verdana" w:eastAsia="Verdana" w:hAnsi="Verdana"/>
        </w:rPr>
        <w:t xml:space="preserve">zatrudnienia. Twierdził, że nic </w:t>
      </w:r>
      <w:r w:rsidR="00B35B27">
        <w:rPr>
          <w:rFonts w:ascii="Verdana" w:eastAsia="Verdana" w:hAnsi="Verdana"/>
        </w:rPr>
        <w:t>z</w:t>
      </w:r>
      <w:r w:rsidRPr="001728F7">
        <w:rPr>
          <w:rFonts w:ascii="Verdana" w:eastAsia="Verdana" w:hAnsi="Verdana"/>
        </w:rPr>
        <w:t xml:space="preserve"> jego </w:t>
      </w:r>
      <w:r w:rsidR="00B35B27">
        <w:rPr>
          <w:rFonts w:ascii="Verdana" w:eastAsia="Verdana" w:hAnsi="Verdana"/>
        </w:rPr>
        <w:t xml:space="preserve">życia </w:t>
      </w:r>
      <w:r w:rsidRPr="001728F7">
        <w:rPr>
          <w:rFonts w:ascii="Verdana" w:eastAsia="Verdana" w:hAnsi="Verdana"/>
        </w:rPr>
        <w:t>osobist</w:t>
      </w:r>
      <w:r w:rsidR="00B35B27">
        <w:rPr>
          <w:rFonts w:ascii="Verdana" w:eastAsia="Verdana" w:hAnsi="Verdana"/>
        </w:rPr>
        <w:t xml:space="preserve">ego ani dawnej działalności politycznej </w:t>
      </w:r>
      <w:r w:rsidRPr="001728F7">
        <w:rPr>
          <w:rFonts w:ascii="Verdana" w:eastAsia="Verdana" w:hAnsi="Verdana"/>
        </w:rPr>
        <w:t xml:space="preserve">nie może być uznane za </w:t>
      </w:r>
      <w:r w:rsidR="00131261">
        <w:rPr>
          <w:rFonts w:ascii="Verdana" w:eastAsia="Verdana" w:hAnsi="Verdana"/>
        </w:rPr>
        <w:t>posiadające charakter wymagający</w:t>
      </w:r>
      <w:r w:rsidRPr="001728F7">
        <w:rPr>
          <w:rFonts w:ascii="Verdana" w:eastAsia="Verdana" w:hAnsi="Verdana"/>
        </w:rPr>
        <w:t xml:space="preserve"> zarejestrowania go w rejestrze Departamentu Bezpieczeństwa i zaklasyfikowania </w:t>
      </w:r>
      <w:r w:rsidR="00131261">
        <w:rPr>
          <w:rFonts w:ascii="Verdana" w:eastAsia="Verdana" w:hAnsi="Verdana"/>
        </w:rPr>
        <w:t xml:space="preserve">go </w:t>
      </w:r>
      <w:r w:rsidRPr="001728F7">
        <w:rPr>
          <w:rFonts w:ascii="Verdana" w:eastAsia="Verdana" w:hAnsi="Verdana"/>
        </w:rPr>
        <w:t>jako "zagrożenie dla bezpieczeństwa".</w:t>
      </w:r>
    </w:p>
    <w:p w14:paraId="441E7E3F" w14:textId="77777777" w:rsidR="001728F7" w:rsidRPr="00F8489F" w:rsidRDefault="001728F7"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nie doszło do naruszenia art. 8</w:t>
      </w:r>
      <w:r w:rsidRPr="00F8489F">
        <w:rPr>
          <w:rFonts w:ascii="Verdana" w:eastAsia="Verdana" w:hAnsi="Verdana"/>
          <w:color w:val="0070C0"/>
        </w:rPr>
        <w:t xml:space="preserve"> Konwencji. Odnotowując w szczególności, że zarówno przechowywanie w tajnym rejestrze, jak i udostępnianie informacji o życiu prywatnym jednostki wchodzi w zakres art. 8 </w:t>
      </w:r>
      <w:r w:rsidR="00131261">
        <w:rPr>
          <w:rFonts w:ascii="Verdana" w:eastAsia="Verdana" w:hAnsi="Verdana"/>
          <w:color w:val="0070C0"/>
        </w:rPr>
        <w:t>K</w:t>
      </w:r>
      <w:r w:rsidRPr="00F8489F">
        <w:rPr>
          <w:rFonts w:ascii="Verdana" w:eastAsia="Verdana" w:hAnsi="Verdana"/>
          <w:color w:val="0070C0"/>
        </w:rPr>
        <w:t xml:space="preserve">onwencji, Trybunał przypomniał również, że w społeczeństwie demokratycznym istnienie służb wywiadowczych i przechowywanie danych </w:t>
      </w:r>
      <w:r w:rsidR="00131261">
        <w:rPr>
          <w:rFonts w:ascii="Verdana" w:eastAsia="Verdana" w:hAnsi="Verdana"/>
          <w:color w:val="0070C0"/>
        </w:rPr>
        <w:t>może</w:t>
      </w:r>
      <w:r w:rsidRPr="00F8489F">
        <w:rPr>
          <w:rFonts w:ascii="Verdana" w:eastAsia="Verdana" w:hAnsi="Verdana"/>
          <w:color w:val="0070C0"/>
        </w:rPr>
        <w:t xml:space="preserve"> być zgodne z prawem i mieć pierwszeństwo </w:t>
      </w:r>
      <w:r w:rsidR="00131261">
        <w:rPr>
          <w:rFonts w:ascii="Verdana" w:eastAsia="Verdana" w:hAnsi="Verdana"/>
          <w:color w:val="0070C0"/>
        </w:rPr>
        <w:t>nad</w:t>
      </w:r>
      <w:r w:rsidRPr="00F8489F">
        <w:rPr>
          <w:rFonts w:ascii="Verdana" w:eastAsia="Verdana" w:hAnsi="Verdana"/>
          <w:color w:val="0070C0"/>
        </w:rPr>
        <w:t xml:space="preserve"> interesem obywateli, pod warunkiem, że służyłoby to realizacji </w:t>
      </w:r>
      <w:r w:rsidR="00131261">
        <w:rPr>
          <w:rFonts w:ascii="Verdana" w:eastAsia="Verdana" w:hAnsi="Verdana"/>
          <w:color w:val="0070C0"/>
        </w:rPr>
        <w:t>uzasadnionych prawnie</w:t>
      </w:r>
      <w:r w:rsidRPr="00F8489F">
        <w:rPr>
          <w:rFonts w:ascii="Verdana" w:eastAsia="Verdana" w:hAnsi="Verdana"/>
          <w:color w:val="0070C0"/>
        </w:rPr>
        <w:t xml:space="preserve"> celów, a mianowicie zapobieganiu zakłóceniom porządku lub przestępczości lub ochronie bezpieczeństwa narodowego. W niniejszej sprawie Trybunał stwierdził, że gwarancje zawarte w szwedzkim systemie kontroli personelu spełniają wymogi art. 8 </w:t>
      </w:r>
      <w:r w:rsidR="00131261">
        <w:rPr>
          <w:rFonts w:ascii="Verdana" w:eastAsia="Verdana" w:hAnsi="Verdana"/>
          <w:color w:val="0070C0"/>
        </w:rPr>
        <w:t>K</w:t>
      </w:r>
      <w:r w:rsidRPr="00F8489F">
        <w:rPr>
          <w:rFonts w:ascii="Verdana" w:eastAsia="Verdana" w:hAnsi="Verdana"/>
          <w:color w:val="0070C0"/>
        </w:rPr>
        <w:t>onwencji i że rząd szwedzki miał prawo uznać, że interesy bezpieczeństwa narodowego mają pierwszeństwo przed indywidualnymi interesami skarżącego.</w:t>
      </w:r>
    </w:p>
    <w:p w14:paraId="60DE18D1" w14:textId="77777777" w:rsidR="00F832FE" w:rsidRPr="00A14197" w:rsidRDefault="00BD3647" w:rsidP="00AB713F">
      <w:pPr>
        <w:spacing w:before="120" w:line="0" w:lineRule="atLeast"/>
        <w:ind w:left="740"/>
        <w:rPr>
          <w:rStyle w:val="Hipercze"/>
          <w:color w:val="0072BC"/>
        </w:rPr>
      </w:pPr>
      <w:hyperlink r:id="rId84" w:history="1">
        <w:r w:rsidRPr="00A14197">
          <w:rPr>
            <w:rStyle w:val="Hipercze"/>
            <w:rFonts w:ascii="Verdana" w:eastAsia="Verdana" w:hAnsi="Verdana"/>
            <w:b/>
            <w:color w:val="0072BC"/>
          </w:rPr>
          <w:t>Rotaru przeciwko Rumunii</w:t>
        </w:r>
      </w:hyperlink>
    </w:p>
    <w:p w14:paraId="436AF346" w14:textId="77777777" w:rsidR="00F832FE" w:rsidRDefault="00F832FE" w:rsidP="00AB713F">
      <w:pPr>
        <w:spacing w:line="63" w:lineRule="exact"/>
        <w:ind w:left="740"/>
        <w:rPr>
          <w:rFonts w:ascii="Times New Roman" w:eastAsia="Times New Roman" w:hAnsi="Times New Roman"/>
        </w:rPr>
      </w:pPr>
    </w:p>
    <w:p w14:paraId="7903AD1A" w14:textId="77777777" w:rsidR="00F832FE" w:rsidRDefault="00BD3647" w:rsidP="00AB713F">
      <w:pPr>
        <w:spacing w:line="0" w:lineRule="atLeast"/>
        <w:ind w:left="740"/>
        <w:rPr>
          <w:rFonts w:ascii="Verdana" w:eastAsia="Verdana" w:hAnsi="Verdana"/>
          <w:color w:val="808080"/>
          <w:sz w:val="18"/>
        </w:rPr>
      </w:pPr>
      <w:r>
        <w:rPr>
          <w:rFonts w:ascii="Verdana" w:eastAsia="Verdana" w:hAnsi="Verdana"/>
          <w:color w:val="808080"/>
          <w:sz w:val="18"/>
        </w:rPr>
        <w:t>4 maja</w:t>
      </w:r>
      <w:r w:rsidR="00F832FE">
        <w:rPr>
          <w:rFonts w:ascii="Verdana" w:eastAsia="Verdana" w:hAnsi="Verdana"/>
          <w:color w:val="808080"/>
          <w:sz w:val="18"/>
        </w:rPr>
        <w:t xml:space="preserve"> 2000</w:t>
      </w:r>
      <w:r w:rsidR="00352EC8">
        <w:rPr>
          <w:rFonts w:ascii="Verdana" w:eastAsia="Verdana" w:hAnsi="Verdana"/>
          <w:color w:val="808080"/>
          <w:sz w:val="18"/>
        </w:rPr>
        <w:t xml:space="preserve"> roku</w:t>
      </w:r>
      <w:r w:rsidR="00F832FE">
        <w:rPr>
          <w:rFonts w:ascii="Verdana" w:eastAsia="Verdana" w:hAnsi="Verdana"/>
          <w:color w:val="808080"/>
          <w:sz w:val="18"/>
        </w:rPr>
        <w:t xml:space="preserve"> (</w:t>
      </w:r>
      <w:r>
        <w:rPr>
          <w:rFonts w:ascii="Verdana" w:eastAsia="Verdana" w:hAnsi="Verdana"/>
          <w:color w:val="808080"/>
          <w:sz w:val="18"/>
        </w:rPr>
        <w:t>Wielka Izb</w:t>
      </w:r>
      <w:r w:rsidR="00BE55CE">
        <w:rPr>
          <w:rFonts w:ascii="Verdana" w:eastAsia="Verdana" w:hAnsi="Verdana"/>
          <w:color w:val="808080"/>
          <w:sz w:val="18"/>
        </w:rPr>
        <w:t>a</w:t>
      </w:r>
      <w:r w:rsidR="00F832FE">
        <w:rPr>
          <w:rFonts w:ascii="Verdana" w:eastAsia="Verdana" w:hAnsi="Verdana"/>
          <w:color w:val="808080"/>
          <w:sz w:val="18"/>
        </w:rPr>
        <w:t>)</w:t>
      </w:r>
    </w:p>
    <w:p w14:paraId="1D14B522" w14:textId="77777777" w:rsidR="00F832FE" w:rsidRDefault="00BD3647" w:rsidP="00AB713F">
      <w:pPr>
        <w:spacing w:line="0" w:lineRule="atLeast"/>
        <w:ind w:left="740"/>
        <w:rPr>
          <w:rFonts w:ascii="Verdana" w:eastAsia="Verdana" w:hAnsi="Verdana"/>
        </w:rPr>
      </w:pPr>
      <w:r>
        <w:rPr>
          <w:rFonts w:ascii="Verdana" w:eastAsia="Verdana" w:hAnsi="Verdana"/>
        </w:rPr>
        <w:t>Zobacz poniżej pod „Usunięcie lub zniszczenie danych osobowych”.</w:t>
      </w:r>
    </w:p>
    <w:p w14:paraId="3E75A867" w14:textId="77777777" w:rsidR="00F832FE" w:rsidRPr="00A14197" w:rsidRDefault="00F832FE" w:rsidP="00AB713F">
      <w:pPr>
        <w:spacing w:before="120" w:line="0" w:lineRule="atLeast"/>
        <w:ind w:left="740"/>
        <w:rPr>
          <w:rStyle w:val="Hipercze"/>
          <w:rFonts w:ascii="Verdana" w:eastAsia="Verdana" w:hAnsi="Verdana"/>
          <w:b/>
          <w:color w:val="0072BC"/>
        </w:rPr>
      </w:pPr>
      <w:hyperlink r:id="rId85" w:history="1">
        <w:r w:rsidRPr="00A14197">
          <w:rPr>
            <w:rStyle w:val="Hipercze"/>
            <w:rFonts w:ascii="Verdana" w:eastAsia="Verdana" w:hAnsi="Verdana"/>
            <w:b/>
            <w:color w:val="0072BC"/>
          </w:rPr>
          <w:t xml:space="preserve">Turek </w:t>
        </w:r>
        <w:r w:rsidR="00BD3647" w:rsidRPr="00A14197">
          <w:rPr>
            <w:rStyle w:val="Hipercze"/>
            <w:rFonts w:ascii="Verdana" w:eastAsia="Verdana" w:hAnsi="Verdana"/>
            <w:b/>
            <w:color w:val="0072BC"/>
          </w:rPr>
          <w:t>przeciwko Słowacji</w:t>
        </w:r>
      </w:hyperlink>
    </w:p>
    <w:p w14:paraId="42CA4318" w14:textId="77777777" w:rsidR="00F832FE" w:rsidRDefault="00BD3647" w:rsidP="00AB713F">
      <w:pPr>
        <w:spacing w:line="0" w:lineRule="atLeast"/>
        <w:ind w:left="740"/>
        <w:rPr>
          <w:rFonts w:ascii="Verdana" w:eastAsia="Verdana" w:hAnsi="Verdana"/>
          <w:color w:val="808080"/>
          <w:sz w:val="18"/>
        </w:rPr>
      </w:pPr>
      <w:r>
        <w:rPr>
          <w:rFonts w:ascii="Verdana" w:eastAsia="Verdana" w:hAnsi="Verdana"/>
          <w:color w:val="808080"/>
          <w:sz w:val="18"/>
        </w:rPr>
        <w:t>14 lutego</w:t>
      </w:r>
      <w:r w:rsidR="00F832FE">
        <w:rPr>
          <w:rFonts w:ascii="Verdana" w:eastAsia="Verdana" w:hAnsi="Verdana"/>
          <w:color w:val="808080"/>
          <w:sz w:val="18"/>
        </w:rPr>
        <w:t xml:space="preserve"> 2006</w:t>
      </w:r>
      <w:r w:rsidR="00352EC8">
        <w:rPr>
          <w:rFonts w:ascii="Verdana" w:eastAsia="Verdana" w:hAnsi="Verdana"/>
          <w:color w:val="808080"/>
          <w:sz w:val="18"/>
        </w:rPr>
        <w:t xml:space="preserve"> roku</w:t>
      </w:r>
    </w:p>
    <w:p w14:paraId="1D303899" w14:textId="631F8AE3" w:rsidR="002D3C5B" w:rsidRDefault="00BD3647" w:rsidP="002D3C5B">
      <w:pPr>
        <w:spacing w:line="0" w:lineRule="atLeast"/>
        <w:ind w:left="740"/>
        <w:rPr>
          <w:rFonts w:ascii="Verdana" w:eastAsia="Verdana" w:hAnsi="Verdana"/>
        </w:rPr>
      </w:pPr>
      <w:r>
        <w:rPr>
          <w:rFonts w:ascii="Verdana" w:eastAsia="Verdana" w:hAnsi="Verdana"/>
        </w:rPr>
        <w:t>Zobacz poniżej pod „Dostęp do danych osobowych”</w:t>
      </w:r>
      <w:r w:rsidR="002D3C5B">
        <w:rPr>
          <w:rFonts w:ascii="Verdana" w:eastAsia="Verdana" w:hAnsi="Verdana"/>
        </w:rPr>
        <w:t>.</w:t>
      </w:r>
    </w:p>
    <w:p w14:paraId="04F76826" w14:textId="77777777" w:rsidR="002D3C5B" w:rsidRDefault="002D3C5B" w:rsidP="002D3C5B">
      <w:pPr>
        <w:spacing w:line="0" w:lineRule="atLeast"/>
        <w:ind w:left="740"/>
        <w:rPr>
          <w:rFonts w:ascii="Verdana" w:eastAsia="Verdana" w:hAnsi="Verdana"/>
        </w:rPr>
      </w:pPr>
    </w:p>
    <w:p w14:paraId="4EF2D5AD" w14:textId="5F3143C0" w:rsidR="002D3C5B" w:rsidRPr="002D3C5B" w:rsidRDefault="002D3C5B" w:rsidP="002D3C5B">
      <w:pPr>
        <w:spacing w:line="0" w:lineRule="atLeast"/>
        <w:ind w:left="740"/>
        <w:rPr>
          <w:rFonts w:ascii="Verdana" w:eastAsia="Verdana" w:hAnsi="Verdana"/>
          <w:color w:val="808080" w:themeColor="background1" w:themeShade="80"/>
          <w:sz w:val="32"/>
          <w:szCs w:val="32"/>
        </w:rPr>
      </w:pPr>
      <w:r w:rsidRPr="002D3C5B">
        <w:rPr>
          <w:rFonts w:ascii="Verdana" w:eastAsia="Verdana" w:hAnsi="Verdana"/>
          <w:color w:val="808080" w:themeColor="background1" w:themeShade="80"/>
          <w:sz w:val="28"/>
          <w:szCs w:val="28"/>
        </w:rPr>
        <w:t>Informacja podatkowa</w:t>
      </w:r>
    </w:p>
    <w:p w14:paraId="76BA7B4E" w14:textId="77777777" w:rsidR="002D3C5B" w:rsidRDefault="002D3C5B" w:rsidP="002D3C5B">
      <w:pPr>
        <w:spacing w:line="230" w:lineRule="exact"/>
        <w:ind w:left="740"/>
        <w:jc w:val="both"/>
        <w:rPr>
          <w:rFonts w:ascii="Verdana" w:eastAsia="Times New Roman" w:hAnsi="Verdana"/>
          <w:b/>
          <w:bCs/>
          <w:color w:val="0077D0"/>
        </w:rPr>
      </w:pPr>
    </w:p>
    <w:p w14:paraId="76AF941A" w14:textId="64AA5CE4" w:rsidR="002D3C5B" w:rsidRPr="002D3C5B" w:rsidRDefault="002D3C5B" w:rsidP="002D3C5B">
      <w:pPr>
        <w:spacing w:line="230" w:lineRule="exact"/>
        <w:ind w:left="740"/>
        <w:jc w:val="both"/>
        <w:rPr>
          <w:rFonts w:ascii="Verdana" w:eastAsia="Times New Roman" w:hAnsi="Verdana"/>
          <w:b/>
          <w:bCs/>
          <w:color w:val="0077D0"/>
        </w:rPr>
      </w:pPr>
      <w:hyperlink r:id="rId86" w:anchor="{%22itemid%22:[%22003-7588871-10436254%22]}" w:history="1">
        <w:r w:rsidRPr="002D3C5B">
          <w:rPr>
            <w:rStyle w:val="Hipercze"/>
            <w:rFonts w:ascii="Verdana" w:eastAsia="Times New Roman" w:hAnsi="Verdana"/>
            <w:b/>
            <w:bCs/>
          </w:rPr>
          <w:t>L.B. przeciwko Węgrom (nr 36345/16)</w:t>
        </w:r>
      </w:hyperlink>
    </w:p>
    <w:p w14:paraId="48D1A3F4" w14:textId="226057F8" w:rsidR="002D3C5B" w:rsidRPr="002D3C5B" w:rsidRDefault="002D3C5B" w:rsidP="002D3C5B">
      <w:pPr>
        <w:spacing w:line="230" w:lineRule="exact"/>
        <w:ind w:left="740"/>
        <w:jc w:val="both"/>
        <w:rPr>
          <w:rFonts w:ascii="Verdana" w:eastAsia="Times New Roman" w:hAnsi="Verdana"/>
          <w:color w:val="808080" w:themeColor="background1" w:themeShade="80"/>
        </w:rPr>
      </w:pPr>
      <w:r w:rsidRPr="002D3C5B">
        <w:rPr>
          <w:rFonts w:ascii="Verdana" w:eastAsia="Times New Roman" w:hAnsi="Verdana"/>
          <w:color w:val="808080" w:themeColor="background1" w:themeShade="80"/>
        </w:rPr>
        <w:lastRenderedPageBreak/>
        <w:t>9 marca 2023 r</w:t>
      </w:r>
      <w:r w:rsidR="008B33E0">
        <w:rPr>
          <w:rFonts w:ascii="Verdana" w:eastAsia="Times New Roman" w:hAnsi="Verdana"/>
          <w:color w:val="808080" w:themeColor="background1" w:themeShade="80"/>
        </w:rPr>
        <w:t>oku</w:t>
      </w:r>
      <w:r w:rsidRPr="002D3C5B">
        <w:rPr>
          <w:rFonts w:ascii="Verdana" w:eastAsia="Times New Roman" w:hAnsi="Verdana"/>
          <w:color w:val="808080" w:themeColor="background1" w:themeShade="80"/>
        </w:rPr>
        <w:t xml:space="preserve"> (Wielka Izba)</w:t>
      </w:r>
    </w:p>
    <w:p w14:paraId="2D8BA0E2" w14:textId="77777777" w:rsidR="002D3C5B" w:rsidRPr="002D3C5B" w:rsidRDefault="002D3C5B" w:rsidP="002D3C5B">
      <w:pPr>
        <w:spacing w:line="230" w:lineRule="exact"/>
        <w:ind w:left="740"/>
        <w:jc w:val="both"/>
        <w:rPr>
          <w:rFonts w:ascii="Verdana" w:eastAsia="Times New Roman" w:hAnsi="Verdana"/>
        </w:rPr>
      </w:pPr>
      <w:r w:rsidRPr="002D3C5B">
        <w:rPr>
          <w:rFonts w:ascii="Verdana" w:eastAsia="Times New Roman" w:hAnsi="Verdana"/>
        </w:rPr>
        <w:t>Sprawa dotyczyła węgierskiej polityki legislacyjnej w zakresie publikowania danych osobowych podatników, którzy byli zadłużeni. Skarżący zarzucił w szczególności, że jego imię i nazwisko oraz adres zamieszkania zostały opublikowane na liście „głównych dłużników podatkowych” na stronie internetowej organów podatkowych na mocy nowelizacji odpowiednich przepisów podatkowych z 2006 roku.</w:t>
      </w:r>
    </w:p>
    <w:p w14:paraId="74068B59" w14:textId="048EC5E3" w:rsidR="002D3C5B" w:rsidRDefault="002D3C5B" w:rsidP="002D3C5B">
      <w:pPr>
        <w:spacing w:line="230" w:lineRule="exact"/>
        <w:ind w:left="740"/>
        <w:jc w:val="both"/>
        <w:rPr>
          <w:rFonts w:ascii="Verdana" w:eastAsia="Times New Roman" w:hAnsi="Verdana"/>
          <w:color w:val="0077D0"/>
        </w:rPr>
      </w:pPr>
      <w:r w:rsidRPr="002D3C5B">
        <w:rPr>
          <w:rFonts w:ascii="Verdana" w:eastAsia="Times New Roman" w:hAnsi="Verdana"/>
          <w:color w:val="0077D0"/>
        </w:rPr>
        <w:t xml:space="preserve">Trybunał orzekł, że </w:t>
      </w:r>
      <w:r w:rsidRPr="002D3C5B">
        <w:rPr>
          <w:rFonts w:ascii="Verdana" w:eastAsia="Times New Roman" w:hAnsi="Verdana"/>
          <w:b/>
          <w:bCs/>
          <w:color w:val="0077D0"/>
        </w:rPr>
        <w:t>doszło do naruszenia Artykułu 8 Konwencji</w:t>
      </w:r>
      <w:r w:rsidRPr="002D3C5B">
        <w:rPr>
          <w:rFonts w:ascii="Verdana" w:eastAsia="Times New Roman" w:hAnsi="Verdana"/>
          <w:color w:val="0077D0"/>
        </w:rPr>
        <w:t>. Stwierdził w szczególności, że zmieniony system publikacji był systematyczny, bez wyważenia interesu publicznego w zapewnieniu dyscypliny podatkowej z prawem do prywatności jednostki. Ponadto Parlament nie ocenił poprzednich systemów publikacji i ich wpływu na podatników ani nie zastanowił się, jaka byłaby dodatkowa wartość zmienionego systemu z 2006 roku. Co więcej, w niewielkim stopniu lub wcale nie uwzględniono ochrony danych, ryzyka niewłaściwego wykorzystania przez ogół społeczeństwa adresu zamieszkania dłużnika podatkowego, lub</w:t>
      </w:r>
      <w:r>
        <w:rPr>
          <w:rFonts w:ascii="Verdana" w:eastAsia="Times New Roman" w:hAnsi="Verdana"/>
          <w:color w:val="0077D0"/>
        </w:rPr>
        <w:t xml:space="preserve"> </w:t>
      </w:r>
      <w:r w:rsidRPr="002D3C5B">
        <w:rPr>
          <w:rFonts w:ascii="Verdana" w:eastAsia="Times New Roman" w:hAnsi="Verdana"/>
          <w:color w:val="0077D0"/>
        </w:rPr>
        <w:t>ogólnoświatow</w:t>
      </w:r>
      <w:r>
        <w:rPr>
          <w:rFonts w:ascii="Verdana" w:eastAsia="Times New Roman" w:hAnsi="Verdana"/>
          <w:color w:val="0077D0"/>
        </w:rPr>
        <w:t>ego</w:t>
      </w:r>
      <w:r w:rsidRPr="002D3C5B">
        <w:rPr>
          <w:rFonts w:ascii="Verdana" w:eastAsia="Times New Roman" w:hAnsi="Verdana"/>
          <w:color w:val="0077D0"/>
        </w:rPr>
        <w:t xml:space="preserve"> zasięg</w:t>
      </w:r>
      <w:r>
        <w:rPr>
          <w:rFonts w:ascii="Verdana" w:eastAsia="Times New Roman" w:hAnsi="Verdana"/>
          <w:color w:val="0077D0"/>
        </w:rPr>
        <w:t>u</w:t>
      </w:r>
      <w:r w:rsidRPr="002D3C5B">
        <w:rPr>
          <w:rFonts w:ascii="Verdana" w:eastAsia="Times New Roman" w:hAnsi="Verdana"/>
          <w:color w:val="0077D0"/>
        </w:rPr>
        <w:t xml:space="preserve"> Internetu. Trybunał nie był zatem usatysfakcjonowany, pomimo szerokiej swobody pozwanego państwa w podejmowaniu decyzji w takich sprawach, że powody węgierskiego ustawodawcy do uchwalenia zmienionego systemu publikacji, choć istotne, były wystarczające, aby wykazać, że ingerencja w prawa skarżącego była „konieczna w demokratycznym społeczeństwie”.</w:t>
      </w:r>
    </w:p>
    <w:p w14:paraId="5F9B25B5" w14:textId="77777777" w:rsidR="002D3C5B" w:rsidRPr="002D3C5B" w:rsidRDefault="002D3C5B" w:rsidP="002D3C5B">
      <w:pPr>
        <w:spacing w:line="230" w:lineRule="exact"/>
        <w:ind w:left="740"/>
        <w:jc w:val="both"/>
        <w:rPr>
          <w:rFonts w:ascii="Verdana" w:eastAsia="Times New Roman" w:hAnsi="Verdana"/>
          <w:color w:val="0077D0"/>
        </w:rPr>
      </w:pPr>
    </w:p>
    <w:p w14:paraId="1DE29957" w14:textId="77777777" w:rsidR="002D3C5B" w:rsidRPr="002D3C5B" w:rsidRDefault="002D3C5B" w:rsidP="002D3C5B">
      <w:pPr>
        <w:spacing w:line="230" w:lineRule="exact"/>
        <w:ind w:left="740"/>
        <w:jc w:val="both"/>
        <w:rPr>
          <w:rFonts w:ascii="Verdana" w:eastAsia="Times New Roman" w:hAnsi="Verdana"/>
          <w:b/>
          <w:bCs/>
          <w:highlight w:val="lightGray"/>
        </w:rPr>
      </w:pPr>
      <w:r w:rsidRPr="002D3C5B">
        <w:rPr>
          <w:rFonts w:ascii="Verdana" w:eastAsia="Times New Roman" w:hAnsi="Verdana"/>
          <w:b/>
          <w:bCs/>
          <w:highlight w:val="lightGray"/>
        </w:rPr>
        <w:t xml:space="preserve">Skarga w toku </w:t>
      </w:r>
    </w:p>
    <w:p w14:paraId="3A1CC1E7" w14:textId="136D3D05" w:rsidR="002D3C5B" w:rsidRPr="002D3C5B" w:rsidRDefault="002D3C5B" w:rsidP="002D3C5B">
      <w:pPr>
        <w:spacing w:line="230" w:lineRule="exact"/>
        <w:ind w:left="740"/>
        <w:jc w:val="both"/>
        <w:rPr>
          <w:rFonts w:ascii="Verdana" w:eastAsia="Times New Roman" w:hAnsi="Verdana"/>
          <w:b/>
          <w:bCs/>
          <w:color w:val="0077D0"/>
          <w:highlight w:val="lightGray"/>
        </w:rPr>
      </w:pPr>
      <w:hyperlink r:id="rId87" w:anchor="{%22itemid%22:[%22001-208497%22]}" w:history="1">
        <w:r w:rsidRPr="002D3C5B">
          <w:rPr>
            <w:rStyle w:val="Hipercze"/>
            <w:rFonts w:ascii="Verdana" w:eastAsia="Times New Roman" w:hAnsi="Verdana"/>
            <w:b/>
            <w:bCs/>
            <w:highlight w:val="lightGray"/>
          </w:rPr>
          <w:t>Casarini przeciwko Włochom (nr 25578/11)</w:t>
        </w:r>
      </w:hyperlink>
    </w:p>
    <w:p w14:paraId="7C479C65" w14:textId="77777777" w:rsidR="002D3C5B" w:rsidRPr="002D3C5B" w:rsidRDefault="002D3C5B" w:rsidP="002D3C5B">
      <w:pPr>
        <w:spacing w:line="230" w:lineRule="exact"/>
        <w:ind w:left="740"/>
        <w:jc w:val="both"/>
        <w:rPr>
          <w:rFonts w:ascii="Verdana" w:eastAsia="Times New Roman" w:hAnsi="Verdana"/>
          <w:color w:val="808080" w:themeColor="background1" w:themeShade="80"/>
          <w:highlight w:val="lightGray"/>
        </w:rPr>
      </w:pPr>
      <w:r w:rsidRPr="002D3C5B">
        <w:rPr>
          <w:rFonts w:ascii="Verdana" w:eastAsia="Times New Roman" w:hAnsi="Verdana"/>
          <w:color w:val="808080" w:themeColor="background1" w:themeShade="80"/>
          <w:highlight w:val="lightGray"/>
        </w:rPr>
        <w:t>Skarga przekazana rządowi włoskiemu w dniu 8 lutego 2021 r.</w:t>
      </w:r>
    </w:p>
    <w:p w14:paraId="6247DAF5" w14:textId="77777777" w:rsidR="002D3C5B" w:rsidRPr="002D3C5B" w:rsidRDefault="002D3C5B" w:rsidP="002D3C5B">
      <w:pPr>
        <w:spacing w:line="230" w:lineRule="exact"/>
        <w:ind w:left="740"/>
        <w:jc w:val="both"/>
        <w:rPr>
          <w:rFonts w:ascii="Verdana" w:eastAsia="Times New Roman" w:hAnsi="Verdana"/>
          <w:color w:val="0077D0"/>
          <w:highlight w:val="lightGray"/>
        </w:rPr>
      </w:pPr>
      <w:r w:rsidRPr="002D3C5B">
        <w:rPr>
          <w:rFonts w:ascii="Verdana" w:eastAsia="Times New Roman" w:hAnsi="Verdana"/>
          <w:color w:val="0077D0"/>
          <w:highlight w:val="lightGray"/>
        </w:rPr>
        <w:t>Sprawa dotyczy domniemanego braku wystarczających zabezpieczeń przed nadużyciami w dostępie do danych osobowych przechowywanych w bazie danych Służby Informacji dla Podatników (Servizio per le informazioni sul contribuente - Ser.P.I.Co.).</w:t>
      </w:r>
    </w:p>
    <w:p w14:paraId="615835B8" w14:textId="79A7C40A" w:rsidR="002D3C5B" w:rsidRPr="002D3C5B" w:rsidRDefault="002D3C5B" w:rsidP="002D3C5B">
      <w:pPr>
        <w:spacing w:line="230" w:lineRule="exact"/>
        <w:ind w:left="740"/>
        <w:jc w:val="both"/>
        <w:rPr>
          <w:rFonts w:ascii="Verdana" w:eastAsia="Times New Roman" w:hAnsi="Verdana"/>
          <w:color w:val="0077D0"/>
        </w:rPr>
      </w:pPr>
      <w:r w:rsidRPr="002D3C5B">
        <w:rPr>
          <w:rFonts w:ascii="Verdana" w:eastAsia="Times New Roman" w:hAnsi="Verdana"/>
          <w:color w:val="0077D0"/>
          <w:highlight w:val="lightGray"/>
        </w:rPr>
        <w:t>Trybunał powiadomił o skardze rząd włoski i zadał stronom pytania na podstawie art. 8 i art. 35 (kryteria dopuszczalności) Konwencji.</w:t>
      </w:r>
    </w:p>
    <w:p w14:paraId="7EFF82F2" w14:textId="77777777" w:rsidR="002D3C5B" w:rsidRDefault="002D3C5B" w:rsidP="002D3C5B">
      <w:pPr>
        <w:spacing w:line="230" w:lineRule="exact"/>
        <w:rPr>
          <w:rFonts w:ascii="Times New Roman" w:eastAsia="Times New Roman" w:hAnsi="Times New Roman"/>
        </w:rPr>
      </w:pPr>
    </w:p>
    <w:p w14:paraId="55AB2B91" w14:textId="77777777" w:rsidR="00F832FE" w:rsidRDefault="009E5122" w:rsidP="00AB713F">
      <w:pPr>
        <w:spacing w:line="0" w:lineRule="atLeast"/>
        <w:ind w:left="740"/>
        <w:rPr>
          <w:rFonts w:ascii="Verdana" w:eastAsia="Verdana" w:hAnsi="Verdana"/>
          <w:color w:val="808080"/>
          <w:sz w:val="28"/>
        </w:rPr>
      </w:pPr>
      <w:r>
        <w:rPr>
          <w:rFonts w:ascii="Verdana" w:eastAsia="Verdana" w:hAnsi="Verdana"/>
          <w:color w:val="808080"/>
          <w:sz w:val="28"/>
        </w:rPr>
        <w:t xml:space="preserve">Dane gromadzone przez dostawców usług </w:t>
      </w:r>
      <w:r w:rsidR="00352EC8">
        <w:rPr>
          <w:rFonts w:ascii="Verdana" w:eastAsia="Verdana" w:hAnsi="Verdana"/>
          <w:color w:val="808080"/>
          <w:sz w:val="28"/>
        </w:rPr>
        <w:t>telekomunikacyjnych</w:t>
      </w:r>
      <w:r>
        <w:rPr>
          <w:rFonts w:ascii="Verdana" w:eastAsia="Verdana" w:hAnsi="Verdana"/>
          <w:color w:val="808080"/>
          <w:sz w:val="28"/>
        </w:rPr>
        <w:t xml:space="preserve"> </w:t>
      </w:r>
    </w:p>
    <w:p w14:paraId="22B332D8" w14:textId="77777777" w:rsidR="00F832FE" w:rsidRDefault="00BD3647" w:rsidP="00AB713F">
      <w:pPr>
        <w:spacing w:before="120" w:line="0" w:lineRule="atLeast"/>
        <w:ind w:left="740"/>
        <w:rPr>
          <w:rFonts w:ascii="Times New Roman" w:eastAsia="Times New Roman" w:hAnsi="Times New Roman"/>
        </w:rPr>
      </w:pPr>
      <w:hyperlink r:id="rId88" w:history="1">
        <w:r>
          <w:rPr>
            <w:rFonts w:ascii="Verdana" w:eastAsia="Verdana" w:hAnsi="Verdana"/>
            <w:b/>
            <w:color w:val="0072BC"/>
            <w:u w:val="single"/>
          </w:rPr>
          <w:t>Breyer przeciwko Niemcom</w:t>
        </w:r>
        <w:r w:rsidR="00F832FE">
          <w:rPr>
            <w:rFonts w:ascii="Verdana" w:eastAsia="Verdana" w:hAnsi="Verdana"/>
            <w:b/>
            <w:color w:val="0072BC"/>
            <w:u w:val="single"/>
          </w:rPr>
          <w:t xml:space="preserve"> (n</w:t>
        </w:r>
        <w:r w:rsidR="00EA6461">
          <w:rPr>
            <w:rFonts w:ascii="Verdana" w:eastAsia="Verdana" w:hAnsi="Verdana"/>
            <w:b/>
            <w:color w:val="0072BC"/>
            <w:u w:val="single"/>
          </w:rPr>
          <w:t>r</w:t>
        </w:r>
        <w:r w:rsidR="00F832FE">
          <w:rPr>
            <w:rFonts w:ascii="Verdana" w:eastAsia="Verdana" w:hAnsi="Verdana"/>
            <w:b/>
            <w:color w:val="0072BC"/>
            <w:u w:val="single"/>
          </w:rPr>
          <w:t xml:space="preserve"> 50001/12)</w:t>
        </w:r>
      </w:hyperlink>
    </w:p>
    <w:p w14:paraId="4FB241CA" w14:textId="77777777" w:rsidR="00F832FE" w:rsidRDefault="006B6EC5" w:rsidP="00AB713F">
      <w:pPr>
        <w:spacing w:line="0" w:lineRule="atLeast"/>
        <w:ind w:left="740"/>
        <w:rPr>
          <w:rFonts w:ascii="Verdana" w:eastAsia="Verdana" w:hAnsi="Verdana"/>
          <w:color w:val="808080"/>
          <w:sz w:val="18"/>
        </w:rPr>
      </w:pPr>
      <w:r w:rsidRPr="006B6EC5">
        <w:rPr>
          <w:rFonts w:ascii="Verdana" w:eastAsia="Verdana" w:hAnsi="Verdana"/>
          <w:color w:val="808080"/>
          <w:sz w:val="18"/>
        </w:rPr>
        <w:t xml:space="preserve">30 </w:t>
      </w:r>
      <w:r>
        <w:rPr>
          <w:rFonts w:ascii="Verdana" w:eastAsia="Verdana" w:hAnsi="Verdana"/>
          <w:color w:val="808080"/>
          <w:sz w:val="18"/>
        </w:rPr>
        <w:t>stycznia</w:t>
      </w:r>
      <w:r w:rsidRPr="006B6EC5">
        <w:rPr>
          <w:rFonts w:ascii="Verdana" w:eastAsia="Verdana" w:hAnsi="Verdana"/>
          <w:color w:val="808080"/>
          <w:sz w:val="18"/>
        </w:rPr>
        <w:t xml:space="preserve"> 2020</w:t>
      </w:r>
      <w:r>
        <w:rPr>
          <w:rFonts w:ascii="Verdana" w:eastAsia="Verdana" w:hAnsi="Verdana"/>
          <w:color w:val="808080"/>
          <w:sz w:val="18"/>
        </w:rPr>
        <w:t xml:space="preserve"> roku</w:t>
      </w:r>
    </w:p>
    <w:p w14:paraId="0492BA81" w14:textId="77777777" w:rsidR="00F832FE" w:rsidRDefault="00F832FE" w:rsidP="00AB713F">
      <w:pPr>
        <w:spacing w:line="1" w:lineRule="exact"/>
        <w:ind w:left="740"/>
        <w:rPr>
          <w:rFonts w:ascii="Times New Roman" w:eastAsia="Times New Roman" w:hAnsi="Times New Roman"/>
        </w:rPr>
      </w:pPr>
    </w:p>
    <w:p w14:paraId="0C098B5B" w14:textId="77777777" w:rsidR="00F832FE" w:rsidRDefault="006B6EC5" w:rsidP="00AB713F">
      <w:pPr>
        <w:spacing w:line="239" w:lineRule="auto"/>
        <w:ind w:left="740" w:right="6"/>
        <w:jc w:val="both"/>
        <w:rPr>
          <w:rFonts w:ascii="Verdana" w:eastAsia="Verdana" w:hAnsi="Verdana"/>
        </w:rPr>
      </w:pPr>
      <w:r w:rsidRPr="006B6EC5">
        <w:rPr>
          <w:rFonts w:ascii="Verdana" w:eastAsia="Verdana" w:hAnsi="Verdana"/>
        </w:rPr>
        <w:t>Zgodnie z nowelizacją niemieckiej ustawy telekomunikacyjnej z 2004 r</w:t>
      </w:r>
      <w:r>
        <w:rPr>
          <w:rFonts w:ascii="Verdana" w:eastAsia="Verdana" w:hAnsi="Verdana"/>
        </w:rPr>
        <w:t>oku</w:t>
      </w:r>
      <w:r w:rsidRPr="006B6EC5">
        <w:rPr>
          <w:rFonts w:ascii="Verdana" w:eastAsia="Verdana" w:hAnsi="Verdana"/>
        </w:rPr>
        <w:t xml:space="preserve"> </w:t>
      </w:r>
      <w:r>
        <w:rPr>
          <w:rFonts w:ascii="Verdana" w:eastAsia="Verdana" w:hAnsi="Verdana"/>
        </w:rPr>
        <w:t>f</w:t>
      </w:r>
      <w:r w:rsidRPr="006B6EC5">
        <w:rPr>
          <w:rFonts w:ascii="Verdana" w:eastAsia="Verdana" w:hAnsi="Verdana"/>
        </w:rPr>
        <w:t xml:space="preserve">irmy musiały gromadzić i przechowywać dane osobowe wszystkich swoich klientów, w tym użytkowników kart SIM </w:t>
      </w:r>
      <w:r>
        <w:rPr>
          <w:rFonts w:ascii="Verdana" w:eastAsia="Verdana" w:hAnsi="Verdana"/>
        </w:rPr>
        <w:t>w systemie pre-paid</w:t>
      </w:r>
      <w:r w:rsidRPr="006B6EC5">
        <w:rPr>
          <w:rFonts w:ascii="Verdana" w:eastAsia="Verdana" w:hAnsi="Verdana"/>
        </w:rPr>
        <w:t xml:space="preserve">, </w:t>
      </w:r>
      <w:r>
        <w:rPr>
          <w:rFonts w:ascii="Verdana" w:eastAsia="Verdana" w:hAnsi="Verdana"/>
        </w:rPr>
        <w:t>co</w:t>
      </w:r>
      <w:r w:rsidRPr="006B6EC5">
        <w:rPr>
          <w:rFonts w:ascii="Verdana" w:eastAsia="Verdana" w:hAnsi="Verdana"/>
        </w:rPr>
        <w:t xml:space="preserve"> wcześniej nie był</w:t>
      </w:r>
      <w:r>
        <w:rPr>
          <w:rFonts w:ascii="Verdana" w:eastAsia="Verdana" w:hAnsi="Verdana"/>
        </w:rPr>
        <w:t>o</w:t>
      </w:r>
      <w:r w:rsidRPr="006B6EC5">
        <w:rPr>
          <w:rFonts w:ascii="Verdana" w:eastAsia="Verdana" w:hAnsi="Verdana"/>
        </w:rPr>
        <w:t xml:space="preserve"> wymagane. Skarżący, </w:t>
      </w:r>
      <w:r w:rsidR="00104353">
        <w:rPr>
          <w:rFonts w:ascii="Verdana" w:eastAsia="Verdana" w:hAnsi="Verdana"/>
        </w:rPr>
        <w:t>aktywiści</w:t>
      </w:r>
      <w:r w:rsidRPr="006B6EC5">
        <w:rPr>
          <w:rFonts w:ascii="Verdana" w:eastAsia="Verdana" w:hAnsi="Verdana"/>
        </w:rPr>
        <w:t xml:space="preserve"> na rzecz wolności obywatelskich i krytycy nadzoru państwowego</w:t>
      </w:r>
      <w:r>
        <w:rPr>
          <w:rFonts w:ascii="Verdana" w:eastAsia="Verdana" w:hAnsi="Verdana"/>
        </w:rPr>
        <w:t>,</w:t>
      </w:r>
      <w:r w:rsidRPr="006B6EC5">
        <w:rPr>
          <w:rFonts w:ascii="Verdana" w:eastAsia="Verdana" w:hAnsi="Verdana"/>
        </w:rPr>
        <w:t xml:space="preserve"> byli użytkownikami takich kart i dlatego musieli rejestrować swoje dane osobowe, takie jak numery telefonów, datę urodzenia oraz nazwisko i adres, u usługodawców. Skarżyli się na przechowywanie </w:t>
      </w:r>
      <w:r>
        <w:rPr>
          <w:rFonts w:ascii="Verdana" w:eastAsia="Verdana" w:hAnsi="Verdana"/>
        </w:rPr>
        <w:t xml:space="preserve">ich </w:t>
      </w:r>
      <w:r w:rsidRPr="006B6EC5">
        <w:rPr>
          <w:rFonts w:ascii="Verdana" w:eastAsia="Verdana" w:hAnsi="Verdana"/>
        </w:rPr>
        <w:t>danych osobowych jako użytkowni</w:t>
      </w:r>
      <w:r>
        <w:rPr>
          <w:rFonts w:ascii="Verdana" w:eastAsia="Verdana" w:hAnsi="Verdana"/>
        </w:rPr>
        <w:t>ków</w:t>
      </w:r>
      <w:r w:rsidRPr="006B6EC5">
        <w:rPr>
          <w:rFonts w:ascii="Verdana" w:eastAsia="Verdana" w:hAnsi="Verdana"/>
        </w:rPr>
        <w:t xml:space="preserve"> kart SIM</w:t>
      </w:r>
      <w:r w:rsidR="00872F20">
        <w:rPr>
          <w:rFonts w:ascii="Verdana" w:eastAsia="Verdana" w:hAnsi="Verdana"/>
        </w:rPr>
        <w:t xml:space="preserve"> w systemie pre-paid</w:t>
      </w:r>
      <w:r w:rsidRPr="006B6EC5">
        <w:rPr>
          <w:rFonts w:ascii="Verdana" w:eastAsia="Verdana" w:hAnsi="Verdana"/>
        </w:rPr>
        <w:t>.</w:t>
      </w:r>
      <w:r w:rsidR="00BD3647">
        <w:rPr>
          <w:rFonts w:ascii="Verdana" w:eastAsia="Verdana" w:hAnsi="Verdana"/>
        </w:rPr>
        <w:t xml:space="preserve"> </w:t>
      </w:r>
    </w:p>
    <w:p w14:paraId="6533E724" w14:textId="77777777" w:rsidR="00F832FE" w:rsidRDefault="00F832FE" w:rsidP="00AB713F">
      <w:pPr>
        <w:spacing w:line="1" w:lineRule="exact"/>
        <w:ind w:left="740"/>
        <w:rPr>
          <w:rFonts w:ascii="Times New Roman" w:eastAsia="Times New Roman" w:hAnsi="Times New Roman"/>
        </w:rPr>
      </w:pPr>
    </w:p>
    <w:p w14:paraId="13373C0E" w14:textId="77777777" w:rsidR="00F832FE" w:rsidRDefault="006B6EC5" w:rsidP="00AB713F">
      <w:pPr>
        <w:spacing w:line="253" w:lineRule="auto"/>
        <w:ind w:left="740" w:right="6"/>
        <w:jc w:val="both"/>
        <w:rPr>
          <w:rFonts w:ascii="Verdana" w:eastAsia="Verdana" w:hAnsi="Verdana"/>
          <w:color w:val="0072BC"/>
        </w:rPr>
      </w:pPr>
      <w:r w:rsidRPr="006B6EC5">
        <w:rPr>
          <w:rFonts w:ascii="Verdana" w:eastAsia="Verdana" w:hAnsi="Verdana"/>
          <w:color w:val="0072BC"/>
        </w:rPr>
        <w:t xml:space="preserve">Trybunał orzekł, że </w:t>
      </w:r>
      <w:r w:rsidRPr="00872F20">
        <w:rPr>
          <w:rFonts w:ascii="Verdana" w:eastAsia="Verdana" w:hAnsi="Verdana"/>
          <w:b/>
          <w:bCs/>
          <w:color w:val="0072BC"/>
        </w:rPr>
        <w:t>nie doszło do naruszenia art. 8</w:t>
      </w:r>
      <w:r w:rsidRPr="006B6EC5">
        <w:rPr>
          <w:rFonts w:ascii="Verdana" w:eastAsia="Verdana" w:hAnsi="Verdana"/>
          <w:color w:val="0072BC"/>
        </w:rPr>
        <w:t xml:space="preserve"> Konwencji, uznając, że ogólnie</w:t>
      </w:r>
      <w:r w:rsidR="00872F20">
        <w:rPr>
          <w:rFonts w:ascii="Verdana" w:eastAsia="Verdana" w:hAnsi="Verdana"/>
          <w:color w:val="0072BC"/>
        </w:rPr>
        <w:t xml:space="preserve"> rzecz biorąc</w:t>
      </w:r>
      <w:r w:rsidRPr="006B6EC5">
        <w:rPr>
          <w:rFonts w:ascii="Verdana" w:eastAsia="Verdana" w:hAnsi="Verdana"/>
          <w:color w:val="0072BC"/>
        </w:rPr>
        <w:t xml:space="preserve"> Niemcy nie przekroczyły granic swoich uprawnień dyskrecjonalnych („margines uznania”) stos</w:t>
      </w:r>
      <w:r w:rsidR="00872F20">
        <w:rPr>
          <w:rFonts w:ascii="Verdana" w:eastAsia="Verdana" w:hAnsi="Verdana"/>
          <w:color w:val="0072BC"/>
        </w:rPr>
        <w:t>ując</w:t>
      </w:r>
      <w:r w:rsidRPr="006B6EC5">
        <w:rPr>
          <w:rFonts w:ascii="Verdana" w:eastAsia="Verdana" w:hAnsi="Verdana"/>
          <w:color w:val="0072BC"/>
        </w:rPr>
        <w:t xml:space="preserve"> </w:t>
      </w:r>
      <w:r w:rsidR="00872F20">
        <w:rPr>
          <w:rFonts w:ascii="Verdana" w:eastAsia="Verdana" w:hAnsi="Verdana"/>
          <w:color w:val="0072BC"/>
        </w:rPr>
        <w:t>przedmiotowe</w:t>
      </w:r>
      <w:r w:rsidRPr="006B6EC5">
        <w:rPr>
          <w:rFonts w:ascii="Verdana" w:eastAsia="Verdana" w:hAnsi="Verdana"/>
          <w:color w:val="0072BC"/>
        </w:rPr>
        <w:t xml:space="preserve"> praw</w:t>
      </w:r>
      <w:r w:rsidR="00872F20">
        <w:rPr>
          <w:rFonts w:ascii="Verdana" w:eastAsia="Verdana" w:hAnsi="Verdana"/>
          <w:color w:val="0072BC"/>
        </w:rPr>
        <w:t>o</w:t>
      </w:r>
      <w:r w:rsidRPr="006B6EC5">
        <w:rPr>
          <w:rFonts w:ascii="Verdana" w:eastAsia="Verdana" w:hAnsi="Verdana"/>
          <w:color w:val="0072BC"/>
        </w:rPr>
        <w:t xml:space="preserve"> przy wyborze środków do osiągn</w:t>
      </w:r>
      <w:r w:rsidR="00872F20">
        <w:rPr>
          <w:rFonts w:ascii="Verdana" w:eastAsia="Verdana" w:hAnsi="Verdana"/>
          <w:color w:val="0072BC"/>
        </w:rPr>
        <w:t>ięcia</w:t>
      </w:r>
      <w:r w:rsidRPr="006B6EC5">
        <w:rPr>
          <w:rFonts w:ascii="Verdana" w:eastAsia="Verdana" w:hAnsi="Verdana"/>
          <w:color w:val="0072BC"/>
        </w:rPr>
        <w:t xml:space="preserve"> uzasadnion</w:t>
      </w:r>
      <w:r w:rsidR="00872F20">
        <w:rPr>
          <w:rFonts w:ascii="Verdana" w:eastAsia="Verdana" w:hAnsi="Verdana"/>
          <w:color w:val="0072BC"/>
        </w:rPr>
        <w:t>ych</w:t>
      </w:r>
      <w:r w:rsidRPr="006B6EC5">
        <w:rPr>
          <w:rFonts w:ascii="Verdana" w:eastAsia="Verdana" w:hAnsi="Verdana"/>
          <w:color w:val="0072BC"/>
        </w:rPr>
        <w:t xml:space="preserve"> cel</w:t>
      </w:r>
      <w:r w:rsidR="00872F20">
        <w:rPr>
          <w:rFonts w:ascii="Verdana" w:eastAsia="Verdana" w:hAnsi="Verdana"/>
          <w:color w:val="0072BC"/>
        </w:rPr>
        <w:t>ów</w:t>
      </w:r>
      <w:r w:rsidRPr="006B6EC5">
        <w:rPr>
          <w:rFonts w:ascii="Verdana" w:eastAsia="Verdana" w:hAnsi="Verdana"/>
          <w:color w:val="0072BC"/>
        </w:rPr>
        <w:t xml:space="preserve"> ochrony bezpieczeństwa narodowego i walki z przestępczością, a także, że przechowywanie danych osobowych skarżących było proporcjonalne i „niezbędne w społeczeństwie demokratycznym”.</w:t>
      </w:r>
      <w:r w:rsidR="00872F20">
        <w:rPr>
          <w:rFonts w:ascii="Verdana" w:eastAsia="Verdana" w:hAnsi="Verdana"/>
          <w:color w:val="0072BC"/>
        </w:rPr>
        <w:t xml:space="preserve"> </w:t>
      </w:r>
      <w:r w:rsidRPr="006B6EC5">
        <w:rPr>
          <w:rFonts w:ascii="Verdana" w:eastAsia="Verdana" w:hAnsi="Verdana"/>
          <w:color w:val="0072BC"/>
        </w:rPr>
        <w:t xml:space="preserve">Nie doszło zatem do naruszenia Konwencji. Trybunał uznał w szczególności, że gromadzenie nazwisk i adresów skarżących jako użytkowników kart SIM </w:t>
      </w:r>
      <w:r w:rsidR="00872F20">
        <w:rPr>
          <w:rFonts w:ascii="Verdana" w:eastAsia="Verdana" w:hAnsi="Verdana"/>
          <w:color w:val="0072BC"/>
        </w:rPr>
        <w:t xml:space="preserve">w systemie pre-paid </w:t>
      </w:r>
      <w:r w:rsidRPr="006B6EC5">
        <w:rPr>
          <w:rFonts w:ascii="Verdana" w:eastAsia="Verdana" w:hAnsi="Verdana"/>
          <w:color w:val="0072BC"/>
        </w:rPr>
        <w:t xml:space="preserve">stanowiło ograniczoną ingerencję w ich prawa. Zauważył jednak, że dane prawo </w:t>
      </w:r>
      <w:r w:rsidR="00872F20">
        <w:rPr>
          <w:rFonts w:ascii="Verdana" w:eastAsia="Verdana" w:hAnsi="Verdana"/>
          <w:color w:val="0072BC"/>
        </w:rPr>
        <w:t>posiada</w:t>
      </w:r>
      <w:r w:rsidRPr="006B6EC5">
        <w:rPr>
          <w:rFonts w:ascii="Verdana" w:eastAsia="Verdana" w:hAnsi="Verdana"/>
          <w:color w:val="0072BC"/>
        </w:rPr>
        <w:t xml:space="preserve"> dodatkowe zabezpieczenia, </w:t>
      </w:r>
      <w:r w:rsidR="00872F20">
        <w:rPr>
          <w:rFonts w:ascii="Verdana" w:eastAsia="Verdana" w:hAnsi="Verdana"/>
          <w:color w:val="0072BC"/>
        </w:rPr>
        <w:t>a</w:t>
      </w:r>
      <w:r w:rsidRPr="006B6EC5">
        <w:rPr>
          <w:rFonts w:ascii="Verdana" w:eastAsia="Verdana" w:hAnsi="Verdana"/>
          <w:color w:val="0072BC"/>
        </w:rPr>
        <w:t xml:space="preserve"> </w:t>
      </w:r>
      <w:r w:rsidR="00872F20">
        <w:rPr>
          <w:rFonts w:ascii="Verdana" w:eastAsia="Verdana" w:hAnsi="Verdana"/>
          <w:color w:val="0072BC"/>
        </w:rPr>
        <w:t>osoby</w:t>
      </w:r>
      <w:r w:rsidRPr="006B6EC5">
        <w:rPr>
          <w:rFonts w:ascii="Verdana" w:eastAsia="Verdana" w:hAnsi="Verdana"/>
          <w:color w:val="0072BC"/>
        </w:rPr>
        <w:t xml:space="preserve"> mogą również zwracać się do niezależnych organów nadzoru danych w celu </w:t>
      </w:r>
      <w:r w:rsidR="0086067F">
        <w:rPr>
          <w:rFonts w:ascii="Verdana" w:eastAsia="Verdana" w:hAnsi="Verdana"/>
          <w:color w:val="0072BC"/>
        </w:rPr>
        <w:t>skontrolowania</w:t>
      </w:r>
      <w:r w:rsidRPr="006B6EC5">
        <w:rPr>
          <w:rFonts w:ascii="Verdana" w:eastAsia="Verdana" w:hAnsi="Verdana"/>
          <w:color w:val="0072BC"/>
        </w:rPr>
        <w:t xml:space="preserve"> wniosków władz o </w:t>
      </w:r>
      <w:r w:rsidR="0086067F">
        <w:rPr>
          <w:rFonts w:ascii="Verdana" w:eastAsia="Verdana" w:hAnsi="Verdana"/>
          <w:color w:val="0072BC"/>
        </w:rPr>
        <w:t xml:space="preserve">udostępnienie </w:t>
      </w:r>
      <w:r w:rsidRPr="006B6EC5">
        <w:rPr>
          <w:rFonts w:ascii="Verdana" w:eastAsia="Verdana" w:hAnsi="Verdana"/>
          <w:color w:val="0072BC"/>
        </w:rPr>
        <w:t>dan</w:t>
      </w:r>
      <w:r w:rsidR="0086067F">
        <w:rPr>
          <w:rFonts w:ascii="Verdana" w:eastAsia="Verdana" w:hAnsi="Verdana"/>
          <w:color w:val="0072BC"/>
        </w:rPr>
        <w:t>ych</w:t>
      </w:r>
      <w:r w:rsidRPr="006B6EC5">
        <w:rPr>
          <w:rFonts w:ascii="Verdana" w:eastAsia="Verdana" w:hAnsi="Verdana"/>
          <w:color w:val="0072BC"/>
        </w:rPr>
        <w:t xml:space="preserve"> i w razie potrzeby dochodz</w:t>
      </w:r>
      <w:r w:rsidR="0086067F">
        <w:rPr>
          <w:rFonts w:ascii="Verdana" w:eastAsia="Verdana" w:hAnsi="Verdana"/>
          <w:color w:val="0072BC"/>
        </w:rPr>
        <w:t>ić swoich</w:t>
      </w:r>
      <w:r w:rsidRPr="006B6EC5">
        <w:rPr>
          <w:rFonts w:ascii="Verdana" w:eastAsia="Verdana" w:hAnsi="Verdana"/>
          <w:color w:val="0072BC"/>
        </w:rPr>
        <w:t xml:space="preserve"> roszczeń.</w:t>
      </w:r>
    </w:p>
    <w:p w14:paraId="49078EBF" w14:textId="77777777" w:rsidR="00F832FE" w:rsidRDefault="00F832FE" w:rsidP="00AB713F">
      <w:pPr>
        <w:spacing w:line="194" w:lineRule="exact"/>
        <w:ind w:left="740"/>
        <w:rPr>
          <w:rFonts w:ascii="Times New Roman" w:eastAsia="Times New Roman" w:hAnsi="Times New Roman"/>
        </w:rPr>
      </w:pPr>
    </w:p>
    <w:p w14:paraId="41FC0EED" w14:textId="77777777" w:rsidR="0097380D" w:rsidRDefault="0097380D" w:rsidP="00AB713F">
      <w:pPr>
        <w:spacing w:line="0" w:lineRule="atLeast"/>
        <w:ind w:left="740"/>
        <w:rPr>
          <w:rFonts w:ascii="Verdana" w:eastAsia="Verdana" w:hAnsi="Verdana"/>
          <w:color w:val="0072BC"/>
          <w:sz w:val="28"/>
        </w:rPr>
      </w:pPr>
    </w:p>
    <w:p w14:paraId="7DD57642" w14:textId="77777777" w:rsidR="00F832FE" w:rsidRDefault="00BD3647" w:rsidP="00AB713F">
      <w:pPr>
        <w:spacing w:line="0" w:lineRule="atLeast"/>
        <w:ind w:left="740"/>
        <w:rPr>
          <w:rFonts w:ascii="Verdana" w:eastAsia="Verdana" w:hAnsi="Verdana"/>
          <w:color w:val="0072BC"/>
          <w:sz w:val="28"/>
        </w:rPr>
      </w:pPr>
      <w:r>
        <w:rPr>
          <w:rFonts w:ascii="Verdana" w:eastAsia="Verdana" w:hAnsi="Verdana"/>
          <w:color w:val="0072BC"/>
          <w:sz w:val="28"/>
        </w:rPr>
        <w:t>Ujawnienie danych osobowych</w:t>
      </w:r>
    </w:p>
    <w:p w14:paraId="0126ABDB" w14:textId="39E19947"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6704" behindDoc="1" locked="0" layoutInCell="1" allowOverlap="1" wp14:anchorId="490508C7" wp14:editId="17F8ABC0">
                <wp:simplePos x="0" y="0"/>
                <wp:positionH relativeFrom="column">
                  <wp:posOffset>451485</wp:posOffset>
                </wp:positionH>
                <wp:positionV relativeFrom="paragraph">
                  <wp:posOffset>69850</wp:posOffset>
                </wp:positionV>
                <wp:extent cx="5768340" cy="0"/>
                <wp:effectExtent l="10160" t="10160" r="12700" b="18415"/>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EDD8F" id="Line 6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" strokecolor="#999" strokeweight="1.44pt"/>
            </w:pict>
          </mc:Fallback>
        </mc:AlternateContent>
      </w:r>
    </w:p>
    <w:p w14:paraId="439B96FF" w14:textId="77777777" w:rsidR="00206D69" w:rsidRDefault="00206D69" w:rsidP="00AB713F">
      <w:pPr>
        <w:spacing w:line="0" w:lineRule="atLeast"/>
        <w:ind w:left="740"/>
        <w:rPr>
          <w:rFonts w:ascii="Verdana" w:eastAsia="Verdana" w:hAnsi="Verdana"/>
          <w:i/>
          <w:color w:val="404040"/>
        </w:rPr>
      </w:pPr>
    </w:p>
    <w:p w14:paraId="42FC9572" w14:textId="3F88114D" w:rsidR="00206D69" w:rsidRPr="00A14197" w:rsidRDefault="00206D69" w:rsidP="00AB713F">
      <w:pPr>
        <w:spacing w:before="120" w:line="0" w:lineRule="atLeast"/>
        <w:ind w:left="740"/>
        <w:rPr>
          <w:rFonts w:ascii="Verdana" w:eastAsia="Verdana" w:hAnsi="Verdana"/>
          <w:b/>
          <w:color w:val="0072BC"/>
          <w:u w:val="single"/>
        </w:rPr>
      </w:pPr>
      <w:hyperlink r:id="rId89" w:anchor="{&quot;itemid&quot;:[&quot;002-9432&quot;]}" w:history="1">
        <w:r w:rsidRPr="00A14197">
          <w:rPr>
            <w:rStyle w:val="Hipercze"/>
            <w:rFonts w:ascii="Verdana" w:eastAsia="Verdana" w:hAnsi="Verdana"/>
            <w:b/>
            <w:color w:val="0072BC"/>
          </w:rPr>
          <w:t>Z.</w:t>
        </w:r>
        <w:r w:rsidR="002D3C5B">
          <w:rPr>
            <w:rStyle w:val="Hipercze"/>
            <w:rFonts w:ascii="Verdana" w:eastAsia="Verdana" w:hAnsi="Verdana"/>
            <w:b/>
            <w:color w:val="0072BC"/>
          </w:rPr>
          <w:t>v.</w:t>
        </w:r>
        <w:r w:rsidRPr="00A14197">
          <w:rPr>
            <w:rStyle w:val="Hipercze"/>
            <w:rFonts w:ascii="Verdana" w:eastAsia="Verdana" w:hAnsi="Verdana"/>
            <w:b/>
            <w:color w:val="0072BC"/>
          </w:rPr>
          <w:t xml:space="preserve"> </w:t>
        </w:r>
        <w:r w:rsidR="00EA6461" w:rsidRPr="00A14197">
          <w:rPr>
            <w:rStyle w:val="Hipercze"/>
            <w:rFonts w:ascii="Verdana" w:eastAsia="Verdana" w:hAnsi="Verdana"/>
            <w:b/>
            <w:color w:val="0072BC"/>
          </w:rPr>
          <w:t>przeciwko</w:t>
        </w:r>
        <w:r w:rsidRPr="00A14197">
          <w:rPr>
            <w:rStyle w:val="Hipercze"/>
            <w:rFonts w:ascii="Verdana" w:eastAsia="Verdana" w:hAnsi="Verdana"/>
            <w:b/>
            <w:color w:val="0072BC"/>
          </w:rPr>
          <w:t xml:space="preserve"> Finlandi</w:t>
        </w:r>
        <w:r w:rsidR="00EA6461" w:rsidRPr="00A14197">
          <w:rPr>
            <w:rStyle w:val="Hipercze"/>
            <w:rFonts w:ascii="Verdana" w:eastAsia="Verdana" w:hAnsi="Verdana"/>
            <w:b/>
            <w:color w:val="0072BC"/>
          </w:rPr>
          <w:t>i</w:t>
        </w:r>
        <w:r w:rsidRPr="00A14197">
          <w:rPr>
            <w:rStyle w:val="Hipercze"/>
            <w:rFonts w:ascii="Verdana" w:eastAsia="Verdana" w:hAnsi="Verdana"/>
            <w:b/>
            <w:color w:val="0072BC"/>
          </w:rPr>
          <w:t xml:space="preserve"> (nr 22009/93)</w:t>
        </w:r>
      </w:hyperlink>
    </w:p>
    <w:p w14:paraId="6EFE0F6D" w14:textId="77777777" w:rsidR="00206D69" w:rsidRPr="00F8489F" w:rsidRDefault="00206D69" w:rsidP="00AB713F">
      <w:pPr>
        <w:spacing w:line="0" w:lineRule="atLeast"/>
        <w:ind w:left="740"/>
        <w:rPr>
          <w:rFonts w:ascii="Verdana" w:eastAsia="Verdana" w:hAnsi="Verdana"/>
          <w:color w:val="595959"/>
          <w:sz w:val="18"/>
        </w:rPr>
      </w:pPr>
      <w:r w:rsidRPr="00F8489F">
        <w:rPr>
          <w:rFonts w:ascii="Verdana" w:eastAsia="Verdana" w:hAnsi="Verdana"/>
          <w:color w:val="595959"/>
          <w:sz w:val="18"/>
        </w:rPr>
        <w:t>25 lutego 1997 r</w:t>
      </w:r>
      <w:r w:rsidR="00EA6461" w:rsidRPr="00522540">
        <w:rPr>
          <w:rFonts w:ascii="Verdana" w:eastAsia="Verdana" w:hAnsi="Verdana"/>
          <w:color w:val="595959"/>
          <w:sz w:val="18"/>
        </w:rPr>
        <w:t>oku</w:t>
      </w:r>
    </w:p>
    <w:p w14:paraId="23A2C0B6" w14:textId="77777777" w:rsidR="00206D69" w:rsidRPr="00F8489F" w:rsidRDefault="00206D69" w:rsidP="00AB713F">
      <w:pPr>
        <w:spacing w:line="0" w:lineRule="atLeast"/>
        <w:ind w:left="740"/>
        <w:jc w:val="both"/>
        <w:rPr>
          <w:rFonts w:ascii="Verdana" w:eastAsia="Verdana" w:hAnsi="Verdana"/>
        </w:rPr>
      </w:pPr>
      <w:r w:rsidRPr="00F8489F">
        <w:rPr>
          <w:rFonts w:ascii="Verdana" w:eastAsia="Verdana" w:hAnsi="Verdana"/>
        </w:rPr>
        <w:t xml:space="preserve">Sprawa dotyczyła ujawnienia stanu </w:t>
      </w:r>
      <w:r w:rsidR="006A7259">
        <w:rPr>
          <w:rFonts w:ascii="Verdana" w:eastAsia="Verdana" w:hAnsi="Verdana"/>
        </w:rPr>
        <w:t xml:space="preserve">zdrowia </w:t>
      </w:r>
      <w:r w:rsidRPr="00F8489F">
        <w:rPr>
          <w:rFonts w:ascii="Verdana" w:eastAsia="Verdana" w:hAnsi="Verdana"/>
        </w:rPr>
        <w:t>skarżącej</w:t>
      </w:r>
      <w:r w:rsidR="00180751">
        <w:rPr>
          <w:rFonts w:ascii="Verdana" w:eastAsia="Verdana" w:hAnsi="Verdana"/>
        </w:rPr>
        <w:t xml:space="preserve"> (skarżąca była zarażona wirusem HIV)</w:t>
      </w:r>
      <w:r w:rsidRPr="00F8489F">
        <w:rPr>
          <w:rFonts w:ascii="Verdana" w:eastAsia="Verdana" w:hAnsi="Verdana"/>
        </w:rPr>
        <w:t xml:space="preserve"> w postępowaniu karnym przeciwko jej mężowi.</w:t>
      </w:r>
    </w:p>
    <w:p w14:paraId="35C7C030" w14:textId="77777777" w:rsidR="00206D69" w:rsidRPr="00F8489F" w:rsidRDefault="00180751" w:rsidP="00AB713F">
      <w:pPr>
        <w:spacing w:line="0" w:lineRule="atLeast"/>
        <w:ind w:left="740"/>
        <w:jc w:val="both"/>
        <w:rPr>
          <w:rFonts w:ascii="Verdana" w:eastAsia="Verdana" w:hAnsi="Verdana"/>
          <w:color w:val="0070C0"/>
        </w:rPr>
      </w:pPr>
      <w:r>
        <w:rPr>
          <w:rFonts w:ascii="Verdana" w:eastAsia="Verdana" w:hAnsi="Verdana"/>
          <w:color w:val="0070C0"/>
        </w:rPr>
        <w:lastRenderedPageBreak/>
        <w:t>Trybunał</w:t>
      </w:r>
      <w:r w:rsidR="00206D69" w:rsidRPr="00F8489F">
        <w:rPr>
          <w:rFonts w:ascii="Verdana" w:eastAsia="Verdana" w:hAnsi="Verdana"/>
          <w:color w:val="0070C0"/>
        </w:rPr>
        <w:t xml:space="preserve"> orzekł, że nastąpiło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Konwencji, stwierdzając, że ujawnienie tożsamości skarżącej i </w:t>
      </w:r>
      <w:r>
        <w:rPr>
          <w:rFonts w:ascii="Verdana" w:eastAsia="Verdana" w:hAnsi="Verdana"/>
          <w:color w:val="0070C0"/>
        </w:rPr>
        <w:t xml:space="preserve">informacji o stanie zdrowia </w:t>
      </w:r>
      <w:r w:rsidR="00206D69" w:rsidRPr="00F8489F">
        <w:rPr>
          <w:rFonts w:ascii="Verdana" w:eastAsia="Verdana" w:hAnsi="Verdana"/>
          <w:color w:val="0070C0"/>
        </w:rPr>
        <w:t xml:space="preserve">w </w:t>
      </w:r>
      <w:r w:rsidR="006A7259">
        <w:rPr>
          <w:rFonts w:ascii="Verdana" w:eastAsia="Verdana" w:hAnsi="Verdana"/>
          <w:color w:val="0070C0"/>
        </w:rPr>
        <w:t>treści</w:t>
      </w:r>
      <w:r w:rsidR="00206D69" w:rsidRPr="00F8489F">
        <w:rPr>
          <w:rFonts w:ascii="Verdana" w:eastAsia="Verdana" w:hAnsi="Verdana"/>
          <w:color w:val="0070C0"/>
        </w:rPr>
        <w:t xml:space="preserve"> wyroku </w:t>
      </w:r>
      <w:r w:rsidR="006A7259">
        <w:rPr>
          <w:rFonts w:ascii="Verdana" w:eastAsia="Verdana" w:hAnsi="Verdana"/>
          <w:color w:val="0070C0"/>
        </w:rPr>
        <w:t>s</w:t>
      </w:r>
      <w:r w:rsidR="00206D69" w:rsidRPr="00F8489F">
        <w:rPr>
          <w:rFonts w:ascii="Verdana" w:eastAsia="Verdana" w:hAnsi="Verdana"/>
          <w:color w:val="0070C0"/>
        </w:rPr>
        <w:t xml:space="preserve">ądu </w:t>
      </w:r>
      <w:r w:rsidR="006A7259">
        <w:rPr>
          <w:rFonts w:ascii="Verdana" w:eastAsia="Verdana" w:hAnsi="Verdana"/>
          <w:color w:val="0070C0"/>
        </w:rPr>
        <w:t>a</w:t>
      </w:r>
      <w:r w:rsidR="00206D69" w:rsidRPr="00F8489F">
        <w:rPr>
          <w:rFonts w:ascii="Verdana" w:eastAsia="Verdana" w:hAnsi="Verdana"/>
          <w:color w:val="0070C0"/>
        </w:rPr>
        <w:t xml:space="preserve">pelacyjnego udostępnionego prasie nie zostało poparte żadnymi przekonującymi powodami i że opublikowanie tych informacji doprowadziło do naruszenia prawa skarżącej do poszanowania jej życia prywatnego i rodzinnego. Trybunał zauważył w szczególności, że poszanowanie poufności danych dotyczących </w:t>
      </w:r>
      <w:r>
        <w:rPr>
          <w:rFonts w:ascii="Verdana" w:eastAsia="Verdana" w:hAnsi="Verdana"/>
          <w:color w:val="0070C0"/>
        </w:rPr>
        <w:t xml:space="preserve">stanu </w:t>
      </w:r>
      <w:r w:rsidR="00206D69" w:rsidRPr="00F8489F">
        <w:rPr>
          <w:rFonts w:ascii="Verdana" w:eastAsia="Verdana" w:hAnsi="Verdana"/>
          <w:color w:val="0070C0"/>
        </w:rPr>
        <w:t xml:space="preserve">zdrowia jest podstawową zasadą w systemach prawnych wszystkich </w:t>
      </w:r>
      <w:r>
        <w:rPr>
          <w:rFonts w:ascii="Verdana" w:eastAsia="Verdana" w:hAnsi="Verdana"/>
          <w:color w:val="0070C0"/>
        </w:rPr>
        <w:t>U</w:t>
      </w:r>
      <w:r w:rsidR="00206D69" w:rsidRPr="00F8489F">
        <w:rPr>
          <w:rFonts w:ascii="Verdana" w:eastAsia="Verdana" w:hAnsi="Verdana"/>
          <w:color w:val="0070C0"/>
        </w:rPr>
        <w:t xml:space="preserve">mawiających się </w:t>
      </w:r>
      <w:r>
        <w:rPr>
          <w:rFonts w:ascii="Verdana" w:eastAsia="Verdana" w:hAnsi="Verdana"/>
          <w:color w:val="0070C0"/>
        </w:rPr>
        <w:t>S</w:t>
      </w:r>
      <w:r w:rsidR="00206D69" w:rsidRPr="00F8489F">
        <w:rPr>
          <w:rFonts w:ascii="Verdana" w:eastAsia="Verdana" w:hAnsi="Verdana"/>
          <w:color w:val="0070C0"/>
        </w:rPr>
        <w:t xml:space="preserve">tron </w:t>
      </w:r>
      <w:r>
        <w:rPr>
          <w:rFonts w:ascii="Verdana" w:eastAsia="Verdana" w:hAnsi="Verdana"/>
          <w:color w:val="0070C0"/>
        </w:rPr>
        <w:t>K</w:t>
      </w:r>
      <w:r w:rsidR="00206D69" w:rsidRPr="00F8489F">
        <w:rPr>
          <w:rFonts w:ascii="Verdana" w:eastAsia="Verdana" w:hAnsi="Verdana"/>
          <w:color w:val="0070C0"/>
        </w:rPr>
        <w:t xml:space="preserve">onwencji i ma zasadnicze znaczenie nie tylko dla poszanowania poczucia prywatności pacjenta, ale również dla zachowania jego zaufania do </w:t>
      </w:r>
      <w:r w:rsidR="006A7259">
        <w:rPr>
          <w:rFonts w:ascii="Verdana" w:eastAsia="Verdana" w:hAnsi="Verdana"/>
          <w:color w:val="0070C0"/>
        </w:rPr>
        <w:t>zawodów medycznych</w:t>
      </w:r>
      <w:r w:rsidR="00206D69" w:rsidRPr="00F8489F">
        <w:rPr>
          <w:rFonts w:ascii="Verdana" w:eastAsia="Verdana" w:hAnsi="Verdana"/>
          <w:color w:val="0070C0"/>
        </w:rPr>
        <w:t xml:space="preserve"> i ogólnie do </w:t>
      </w:r>
      <w:r w:rsidR="006A7259">
        <w:rPr>
          <w:rFonts w:ascii="Verdana" w:eastAsia="Verdana" w:hAnsi="Verdana"/>
          <w:color w:val="0070C0"/>
        </w:rPr>
        <w:t>służby zdrowia</w:t>
      </w:r>
      <w:r w:rsidR="00206D69" w:rsidRPr="00F8489F">
        <w:rPr>
          <w:rFonts w:ascii="Verdana" w:eastAsia="Verdana" w:hAnsi="Verdana"/>
          <w:color w:val="0070C0"/>
        </w:rPr>
        <w:t xml:space="preserve">. Prawo krajowe musi zatem zapewniać odpowiednie </w:t>
      </w:r>
      <w:r>
        <w:rPr>
          <w:rFonts w:ascii="Verdana" w:eastAsia="Verdana" w:hAnsi="Verdana"/>
          <w:color w:val="0070C0"/>
        </w:rPr>
        <w:t>środki zabezpieczające</w:t>
      </w:r>
      <w:r w:rsidR="00206D69" w:rsidRPr="00F8489F">
        <w:rPr>
          <w:rFonts w:ascii="Verdana" w:eastAsia="Verdana" w:hAnsi="Verdana"/>
          <w:color w:val="0070C0"/>
        </w:rPr>
        <w:t>, aby zapobiec takiemu ujawnianiu danych osobowych dotyczących zdrowia</w:t>
      </w:r>
      <w:r w:rsidR="00797860">
        <w:rPr>
          <w:rFonts w:ascii="Verdana" w:eastAsia="Verdana" w:hAnsi="Verdana"/>
          <w:color w:val="0070C0"/>
        </w:rPr>
        <w:t xml:space="preserve">, </w:t>
      </w:r>
      <w:r w:rsidR="00797860" w:rsidRPr="00797860">
        <w:rPr>
          <w:rFonts w:ascii="Verdana" w:eastAsia="Verdana" w:hAnsi="Verdana"/>
          <w:color w:val="0070C0"/>
        </w:rPr>
        <w:t>które mogą być niezgodne z gwarancjami zawartymi w art. 8 Konwencji.</w:t>
      </w:r>
    </w:p>
    <w:p w14:paraId="4B24C282" w14:textId="77777777" w:rsidR="00206D69" w:rsidRPr="00A14197" w:rsidRDefault="00206D69" w:rsidP="00AB713F">
      <w:pPr>
        <w:spacing w:before="120" w:line="0" w:lineRule="atLeast"/>
        <w:ind w:left="740"/>
        <w:rPr>
          <w:rFonts w:ascii="Verdana" w:eastAsia="Verdana" w:hAnsi="Verdana"/>
          <w:b/>
          <w:color w:val="0072BC"/>
          <w:u w:val="single"/>
        </w:rPr>
      </w:pPr>
      <w:hyperlink r:id="rId90" w:history="1">
        <w:r w:rsidRPr="00A14197">
          <w:rPr>
            <w:rStyle w:val="Hipercze"/>
            <w:rFonts w:ascii="Verdana" w:eastAsia="Verdana" w:hAnsi="Verdana"/>
            <w:b/>
            <w:color w:val="0072BC"/>
          </w:rPr>
          <w:t>M.S. przeciwko Szwecji (nr 20837/92)</w:t>
        </w:r>
      </w:hyperlink>
    </w:p>
    <w:p w14:paraId="5C46E398"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27 sierpnia 1997</w:t>
      </w:r>
      <w:r w:rsidR="00180751" w:rsidRPr="00522540">
        <w:rPr>
          <w:rFonts w:ascii="Verdana" w:eastAsia="Verdana" w:hAnsi="Verdana"/>
          <w:color w:val="7F7F7F"/>
          <w:sz w:val="18"/>
        </w:rPr>
        <w:t xml:space="preserve"> roku</w:t>
      </w:r>
    </w:p>
    <w:p w14:paraId="26962D6A" w14:textId="77777777" w:rsidR="00206D69" w:rsidRPr="00F8489F" w:rsidRDefault="00206D69" w:rsidP="00AB713F">
      <w:pPr>
        <w:spacing w:line="0" w:lineRule="atLeast"/>
        <w:ind w:left="740"/>
        <w:jc w:val="both"/>
        <w:rPr>
          <w:rFonts w:ascii="Verdana" w:eastAsia="Verdana" w:hAnsi="Verdana"/>
          <w:color w:val="000000"/>
        </w:rPr>
      </w:pPr>
      <w:r w:rsidRPr="00F8489F">
        <w:rPr>
          <w:rFonts w:ascii="Verdana" w:eastAsia="Verdana" w:hAnsi="Verdana"/>
          <w:color w:val="000000"/>
        </w:rPr>
        <w:t xml:space="preserve">Sprawa dotyczyła przekazania przez klinikę </w:t>
      </w:r>
      <w:r w:rsidR="002218A6" w:rsidRPr="00522540">
        <w:rPr>
          <w:rFonts w:ascii="Verdana" w:eastAsia="Verdana" w:hAnsi="Verdana"/>
          <w:color w:val="000000"/>
        </w:rPr>
        <w:t xml:space="preserve">aborcyjną </w:t>
      </w:r>
      <w:r w:rsidRPr="00F8489F">
        <w:rPr>
          <w:rFonts w:ascii="Verdana" w:eastAsia="Verdana" w:hAnsi="Verdana"/>
          <w:color w:val="000000"/>
        </w:rPr>
        <w:t xml:space="preserve">organowi </w:t>
      </w:r>
      <w:r w:rsidR="002218A6" w:rsidRPr="00522540">
        <w:rPr>
          <w:rFonts w:ascii="Verdana" w:eastAsia="Verdana" w:hAnsi="Verdana"/>
          <w:color w:val="000000"/>
        </w:rPr>
        <w:t>ubezpiecze</w:t>
      </w:r>
      <w:r w:rsidR="001E7A83">
        <w:rPr>
          <w:rFonts w:ascii="Verdana" w:eastAsia="Verdana" w:hAnsi="Verdana"/>
          <w:color w:val="000000"/>
        </w:rPr>
        <w:t>ń</w:t>
      </w:r>
      <w:r w:rsidRPr="00F8489F">
        <w:rPr>
          <w:rFonts w:ascii="Verdana" w:eastAsia="Verdana" w:hAnsi="Verdana"/>
          <w:color w:val="000000"/>
        </w:rPr>
        <w:t xml:space="preserve"> społeczn</w:t>
      </w:r>
      <w:r w:rsidR="001E7A83">
        <w:rPr>
          <w:rFonts w:ascii="Verdana" w:eastAsia="Verdana" w:hAnsi="Verdana"/>
          <w:color w:val="000000"/>
        </w:rPr>
        <w:t>ych</w:t>
      </w:r>
      <w:r w:rsidRPr="00F8489F">
        <w:rPr>
          <w:rFonts w:ascii="Verdana" w:eastAsia="Verdana" w:hAnsi="Verdana"/>
          <w:color w:val="000000"/>
        </w:rPr>
        <w:t xml:space="preserve"> dokumentacji medycznej zawierającej informacj</w:t>
      </w:r>
      <w:r w:rsidR="002218A6" w:rsidRPr="00522540">
        <w:rPr>
          <w:rFonts w:ascii="Verdana" w:eastAsia="Verdana" w:hAnsi="Verdana"/>
          <w:color w:val="000000"/>
        </w:rPr>
        <w:t>ę</w:t>
      </w:r>
      <w:r w:rsidRPr="00F8489F">
        <w:rPr>
          <w:rFonts w:ascii="Verdana" w:eastAsia="Verdana" w:hAnsi="Verdana"/>
          <w:color w:val="000000"/>
        </w:rPr>
        <w:t xml:space="preserve"> o aborcji przeprowadzonej </w:t>
      </w:r>
      <w:r w:rsidR="001E7A83">
        <w:rPr>
          <w:rFonts w:ascii="Verdana" w:eastAsia="Verdana" w:hAnsi="Verdana"/>
          <w:color w:val="000000"/>
        </w:rPr>
        <w:t>u</w:t>
      </w:r>
      <w:r w:rsidRPr="00F8489F">
        <w:rPr>
          <w:rFonts w:ascii="Verdana" w:eastAsia="Verdana" w:hAnsi="Verdana"/>
          <w:color w:val="000000"/>
        </w:rPr>
        <w:t xml:space="preserve"> </w:t>
      </w:r>
      <w:r w:rsidR="00797860" w:rsidRPr="00522540">
        <w:rPr>
          <w:rFonts w:ascii="Verdana" w:eastAsia="Verdana" w:hAnsi="Verdana"/>
          <w:color w:val="000000"/>
        </w:rPr>
        <w:t>skarżącej</w:t>
      </w:r>
      <w:r w:rsidRPr="00F8489F">
        <w:rPr>
          <w:rFonts w:ascii="Verdana" w:eastAsia="Verdana" w:hAnsi="Verdana"/>
          <w:color w:val="000000"/>
        </w:rPr>
        <w:t>.</w:t>
      </w:r>
    </w:p>
    <w:p w14:paraId="6A590443" w14:textId="77777777" w:rsidR="002218A6" w:rsidRPr="00F8489F" w:rsidRDefault="00206D69" w:rsidP="00AB713F">
      <w:pPr>
        <w:spacing w:line="0" w:lineRule="atLeast"/>
        <w:ind w:left="740"/>
        <w:jc w:val="both"/>
        <w:rPr>
          <w:rFonts w:ascii="Verdana" w:eastAsia="Verdana" w:hAnsi="Verdana"/>
          <w:color w:val="0070C0"/>
        </w:rPr>
      </w:pPr>
      <w:r w:rsidRPr="00F8489F">
        <w:rPr>
          <w:rFonts w:ascii="Verdana" w:eastAsia="Verdana" w:hAnsi="Verdana"/>
          <w:color w:val="0070C0"/>
        </w:rPr>
        <w:t xml:space="preserve">Trybunał orzekł, że </w:t>
      </w:r>
      <w:r w:rsidRPr="00F8489F">
        <w:rPr>
          <w:rFonts w:ascii="Verdana" w:eastAsia="Verdana" w:hAnsi="Verdana"/>
          <w:b/>
          <w:color w:val="0070C0"/>
        </w:rPr>
        <w:t>nie doszło do naruszenia art. 8</w:t>
      </w:r>
      <w:r w:rsidRPr="00F8489F">
        <w:rPr>
          <w:rFonts w:ascii="Verdana" w:eastAsia="Verdana" w:hAnsi="Verdana"/>
          <w:color w:val="0070C0"/>
        </w:rPr>
        <w:t xml:space="preserve"> </w:t>
      </w:r>
      <w:r w:rsidR="002218A6">
        <w:rPr>
          <w:rFonts w:ascii="Verdana" w:eastAsia="Verdana" w:hAnsi="Verdana"/>
          <w:color w:val="0070C0"/>
        </w:rPr>
        <w:t>K</w:t>
      </w:r>
      <w:r w:rsidRPr="00F8489F">
        <w:rPr>
          <w:rFonts w:ascii="Verdana" w:eastAsia="Verdana" w:hAnsi="Verdana"/>
          <w:color w:val="0070C0"/>
        </w:rPr>
        <w:t xml:space="preserve">onwencji, stwierdzając, że istnieją istotne i wystarczające powody przekazania dokumentacji medycznej skarżącej przez klinikę organowi </w:t>
      </w:r>
      <w:r w:rsidR="002218A6">
        <w:rPr>
          <w:rFonts w:ascii="Verdana" w:eastAsia="Verdana" w:hAnsi="Verdana"/>
          <w:color w:val="0070C0"/>
        </w:rPr>
        <w:t>ubezpiecze</w:t>
      </w:r>
      <w:r w:rsidR="001E7A83">
        <w:rPr>
          <w:rFonts w:ascii="Verdana" w:eastAsia="Verdana" w:hAnsi="Verdana"/>
          <w:color w:val="0070C0"/>
        </w:rPr>
        <w:t>ń</w:t>
      </w:r>
      <w:r w:rsidRPr="00F8489F">
        <w:rPr>
          <w:rFonts w:ascii="Verdana" w:eastAsia="Verdana" w:hAnsi="Verdana"/>
          <w:color w:val="0070C0"/>
        </w:rPr>
        <w:t xml:space="preserve"> społeczn</w:t>
      </w:r>
      <w:r w:rsidR="001E7A83">
        <w:rPr>
          <w:rFonts w:ascii="Verdana" w:eastAsia="Verdana" w:hAnsi="Verdana"/>
          <w:color w:val="0070C0"/>
        </w:rPr>
        <w:t>ych</w:t>
      </w:r>
      <w:r w:rsidRPr="00F8489F">
        <w:rPr>
          <w:rFonts w:ascii="Verdana" w:eastAsia="Verdana" w:hAnsi="Verdana"/>
          <w:color w:val="0070C0"/>
        </w:rPr>
        <w:t xml:space="preserve"> oraz że środek nie był nieproporcjonalny w stosunku do </w:t>
      </w:r>
      <w:r w:rsidR="001E7A83">
        <w:rPr>
          <w:rFonts w:ascii="Verdana" w:eastAsia="Verdana" w:hAnsi="Verdana"/>
          <w:color w:val="0070C0"/>
        </w:rPr>
        <w:t>uzasadnionego</w:t>
      </w:r>
      <w:r w:rsidRPr="00F8489F">
        <w:rPr>
          <w:rFonts w:ascii="Verdana" w:eastAsia="Verdana" w:hAnsi="Verdana"/>
          <w:color w:val="0070C0"/>
        </w:rPr>
        <w:t xml:space="preserve"> celu, do którego zmierza</w:t>
      </w:r>
      <w:r w:rsidR="001E7A83">
        <w:rPr>
          <w:rFonts w:ascii="Verdana" w:eastAsia="Verdana" w:hAnsi="Verdana"/>
          <w:color w:val="0070C0"/>
        </w:rPr>
        <w:t>ł</w:t>
      </w:r>
      <w:r w:rsidRPr="00F8489F">
        <w:rPr>
          <w:rFonts w:ascii="Verdana" w:eastAsia="Verdana" w:hAnsi="Verdana"/>
          <w:color w:val="0070C0"/>
        </w:rPr>
        <w:t>, to znaczy, umożliwi</w:t>
      </w:r>
      <w:r w:rsidR="002218A6">
        <w:rPr>
          <w:rFonts w:ascii="Verdana" w:eastAsia="Verdana" w:hAnsi="Verdana"/>
          <w:color w:val="0070C0"/>
        </w:rPr>
        <w:t>eni</w:t>
      </w:r>
      <w:r w:rsidR="001E7A83">
        <w:rPr>
          <w:rFonts w:ascii="Verdana" w:eastAsia="Verdana" w:hAnsi="Verdana"/>
          <w:color w:val="0070C0"/>
        </w:rPr>
        <w:t>a</w:t>
      </w:r>
      <w:r w:rsidR="002218A6">
        <w:rPr>
          <w:rFonts w:ascii="Verdana" w:eastAsia="Verdana" w:hAnsi="Verdana"/>
          <w:color w:val="0070C0"/>
        </w:rPr>
        <w:t xml:space="preserve"> </w:t>
      </w:r>
      <w:r w:rsidRPr="00F8489F">
        <w:rPr>
          <w:rFonts w:ascii="Verdana" w:eastAsia="Verdana" w:hAnsi="Verdana"/>
          <w:color w:val="0070C0"/>
        </w:rPr>
        <w:t xml:space="preserve">organowi </w:t>
      </w:r>
      <w:r w:rsidR="002218A6">
        <w:rPr>
          <w:rFonts w:ascii="Verdana" w:eastAsia="Verdana" w:hAnsi="Verdana"/>
          <w:color w:val="0070C0"/>
        </w:rPr>
        <w:t>ubezpiecze</w:t>
      </w:r>
      <w:r w:rsidR="001E7A83">
        <w:rPr>
          <w:rFonts w:ascii="Verdana" w:eastAsia="Verdana" w:hAnsi="Verdana"/>
          <w:color w:val="0070C0"/>
        </w:rPr>
        <w:t>ń</w:t>
      </w:r>
      <w:r w:rsidRPr="00F8489F">
        <w:rPr>
          <w:rFonts w:ascii="Verdana" w:eastAsia="Verdana" w:hAnsi="Verdana"/>
          <w:color w:val="0070C0"/>
        </w:rPr>
        <w:t xml:space="preserve"> społeczn</w:t>
      </w:r>
      <w:r w:rsidR="001E7A83">
        <w:rPr>
          <w:rFonts w:ascii="Verdana" w:eastAsia="Verdana" w:hAnsi="Verdana"/>
          <w:color w:val="0070C0"/>
        </w:rPr>
        <w:t>ych</w:t>
      </w:r>
      <w:r w:rsidRPr="00F8489F">
        <w:rPr>
          <w:rFonts w:ascii="Verdana" w:eastAsia="Verdana" w:hAnsi="Verdana"/>
          <w:color w:val="0070C0"/>
        </w:rPr>
        <w:t xml:space="preserve"> ustaleni</w:t>
      </w:r>
      <w:r w:rsidR="002218A6">
        <w:rPr>
          <w:rFonts w:ascii="Verdana" w:eastAsia="Verdana" w:hAnsi="Verdana"/>
          <w:color w:val="0070C0"/>
        </w:rPr>
        <w:t>a</w:t>
      </w:r>
      <w:r w:rsidRPr="00F8489F">
        <w:rPr>
          <w:rFonts w:ascii="Verdana" w:eastAsia="Verdana" w:hAnsi="Verdana"/>
          <w:color w:val="0070C0"/>
        </w:rPr>
        <w:t xml:space="preserve">, czy warunki przyznania skarżącej </w:t>
      </w:r>
      <w:r w:rsidR="002218A6">
        <w:rPr>
          <w:rFonts w:ascii="Verdana" w:eastAsia="Verdana" w:hAnsi="Verdana"/>
          <w:color w:val="0070C0"/>
        </w:rPr>
        <w:t xml:space="preserve">świadczenia </w:t>
      </w:r>
      <w:r w:rsidR="0027116C">
        <w:rPr>
          <w:rFonts w:ascii="Verdana" w:eastAsia="Verdana" w:hAnsi="Verdana"/>
          <w:color w:val="0070C0"/>
        </w:rPr>
        <w:t>powypadkowego</w:t>
      </w:r>
      <w:r w:rsidR="002218A6">
        <w:rPr>
          <w:rFonts w:ascii="Verdana" w:eastAsia="Verdana" w:hAnsi="Verdana"/>
          <w:color w:val="0070C0"/>
        </w:rPr>
        <w:t xml:space="preserve"> zostały spełnione</w:t>
      </w:r>
      <w:r w:rsidR="0027116C">
        <w:rPr>
          <w:rFonts w:ascii="Verdana" w:eastAsia="Verdana" w:hAnsi="Verdana"/>
          <w:color w:val="0070C0"/>
        </w:rPr>
        <w:t>, w</w:t>
      </w:r>
      <w:r w:rsidRPr="00F8489F">
        <w:rPr>
          <w:rFonts w:ascii="Verdana" w:eastAsia="Verdana" w:hAnsi="Verdana"/>
          <w:color w:val="0070C0"/>
        </w:rPr>
        <w:t xml:space="preserve"> celu ochrony dobrobytu gospodarczego kraju. Ponadto kwestionowany środek podlegał istotnym ograniczeniom i towarzyszyły mu skuteczne i odpowiednie </w:t>
      </w:r>
      <w:r w:rsidR="0027116C">
        <w:rPr>
          <w:rFonts w:ascii="Verdana" w:eastAsia="Verdana" w:hAnsi="Verdana"/>
          <w:color w:val="0070C0"/>
        </w:rPr>
        <w:t>środki zabezpieczające</w:t>
      </w:r>
      <w:r w:rsidRPr="00F8489F">
        <w:rPr>
          <w:rFonts w:ascii="Verdana" w:eastAsia="Verdana" w:hAnsi="Verdana"/>
          <w:color w:val="0070C0"/>
        </w:rPr>
        <w:t xml:space="preserve"> przed nadużyciami</w:t>
      </w:r>
      <w:r w:rsidRPr="00F8489F">
        <w:rPr>
          <w:rFonts w:ascii="Verdana" w:eastAsia="Verdana" w:hAnsi="Verdana"/>
          <w:color w:val="000000"/>
        </w:rPr>
        <w:t>.</w:t>
      </w:r>
      <w:r w:rsidR="002218A6">
        <w:rPr>
          <w:rFonts w:ascii="Verdana" w:eastAsia="Verdana" w:hAnsi="Verdana"/>
          <w:i/>
          <w:color w:val="404040"/>
        </w:rPr>
        <w:t xml:space="preserve"> </w:t>
      </w:r>
    </w:p>
    <w:p w14:paraId="7405667D" w14:textId="77777777" w:rsidR="00206D69" w:rsidRPr="00A14197" w:rsidRDefault="00206D69" w:rsidP="00AB713F">
      <w:pPr>
        <w:spacing w:before="120" w:line="0" w:lineRule="atLeast"/>
        <w:ind w:left="740"/>
        <w:rPr>
          <w:rFonts w:ascii="Verdana" w:eastAsia="Verdana" w:hAnsi="Verdana"/>
          <w:b/>
          <w:color w:val="0072BC"/>
          <w:u w:val="single"/>
        </w:rPr>
      </w:pPr>
      <w:hyperlink r:id="rId91" w:history="1">
        <w:r w:rsidRPr="00A14197">
          <w:rPr>
            <w:rStyle w:val="Hipercze"/>
            <w:rFonts w:ascii="Verdana" w:eastAsia="Verdana" w:hAnsi="Verdana"/>
            <w:b/>
            <w:color w:val="0072BC"/>
          </w:rPr>
          <w:t>Peck przeciwko Zjednoczonemu Królestwu</w:t>
        </w:r>
      </w:hyperlink>
    </w:p>
    <w:p w14:paraId="0E39B5AF"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28 stycznia 2003</w:t>
      </w:r>
      <w:r w:rsidR="00F86785">
        <w:rPr>
          <w:rFonts w:ascii="Verdana" w:eastAsia="Verdana" w:hAnsi="Verdana"/>
          <w:color w:val="7F7F7F"/>
          <w:sz w:val="18"/>
        </w:rPr>
        <w:t xml:space="preserve"> roku</w:t>
      </w:r>
    </w:p>
    <w:p w14:paraId="56FBC02E" w14:textId="77777777" w:rsidR="00206D69" w:rsidRPr="00F8489F" w:rsidRDefault="00206D69" w:rsidP="00AB713F">
      <w:pPr>
        <w:spacing w:line="0" w:lineRule="atLeast"/>
        <w:ind w:left="740"/>
        <w:jc w:val="both"/>
        <w:rPr>
          <w:rFonts w:ascii="Verdana" w:eastAsia="Verdana" w:hAnsi="Verdana"/>
          <w:color w:val="000000"/>
        </w:rPr>
      </w:pPr>
      <w:r w:rsidRPr="00F8489F">
        <w:rPr>
          <w:rFonts w:ascii="Verdana" w:eastAsia="Verdana" w:hAnsi="Verdana"/>
          <w:color w:val="000000"/>
        </w:rPr>
        <w:t xml:space="preserve">Sprawa dotyczyła ujawnienia mediom materiału filmowego nakręconego na ulicy przez kamerę CCTV zainstalowaną przez radę gminy, pokazującą </w:t>
      </w:r>
      <w:r w:rsidR="0027116C" w:rsidRPr="00522540">
        <w:rPr>
          <w:rFonts w:ascii="Verdana" w:eastAsia="Verdana" w:hAnsi="Verdana"/>
          <w:color w:val="000000"/>
        </w:rPr>
        <w:t>skarżąc</w:t>
      </w:r>
      <w:r w:rsidR="00F86785">
        <w:rPr>
          <w:rFonts w:ascii="Verdana" w:eastAsia="Verdana" w:hAnsi="Verdana"/>
          <w:color w:val="000000"/>
        </w:rPr>
        <w:t>ego</w:t>
      </w:r>
      <w:r w:rsidRPr="00F8489F">
        <w:rPr>
          <w:rFonts w:ascii="Verdana" w:eastAsia="Verdana" w:hAnsi="Verdana"/>
          <w:color w:val="000000"/>
        </w:rPr>
        <w:t xml:space="preserve"> </w:t>
      </w:r>
      <w:r w:rsidR="0027116C" w:rsidRPr="00522540">
        <w:rPr>
          <w:rFonts w:ascii="Verdana" w:eastAsia="Verdana" w:hAnsi="Verdana"/>
          <w:color w:val="000000"/>
        </w:rPr>
        <w:t>przecina</w:t>
      </w:r>
      <w:r w:rsidR="00F86785">
        <w:rPr>
          <w:rFonts w:ascii="Verdana" w:eastAsia="Verdana" w:hAnsi="Verdana"/>
          <w:color w:val="000000"/>
        </w:rPr>
        <w:t>jącego</w:t>
      </w:r>
      <w:r w:rsidRPr="00F8489F">
        <w:rPr>
          <w:rFonts w:ascii="Verdana" w:eastAsia="Verdana" w:hAnsi="Verdana"/>
          <w:color w:val="000000"/>
        </w:rPr>
        <w:t xml:space="preserve"> sobie nadgarstki.</w:t>
      </w:r>
    </w:p>
    <w:p w14:paraId="13089B1A" w14:textId="77777777" w:rsidR="003B1758" w:rsidRDefault="0027116C" w:rsidP="00AB713F">
      <w:pPr>
        <w:spacing w:line="0" w:lineRule="atLeast"/>
        <w:ind w:left="740"/>
        <w:jc w:val="both"/>
        <w:rPr>
          <w:rFonts w:ascii="Verdana" w:eastAsia="Verdana" w:hAnsi="Verdana"/>
          <w:color w:val="0070C0"/>
        </w:rPr>
      </w:pPr>
      <w:r>
        <w:rPr>
          <w:rFonts w:ascii="Verdana" w:eastAsia="Verdana" w:hAnsi="Verdana"/>
          <w:color w:val="0070C0"/>
        </w:rPr>
        <w:t>Trybunał</w:t>
      </w:r>
      <w:r w:rsidR="00206D69" w:rsidRPr="00F8489F">
        <w:rPr>
          <w:rFonts w:ascii="Verdana" w:eastAsia="Verdana" w:hAnsi="Verdana"/>
          <w:color w:val="0070C0"/>
        </w:rPr>
        <w:t xml:space="preserve"> stwierdził, że ujawnieniu materiału filmowego przez radę gminy nie towarzyszyły wystarczające </w:t>
      </w:r>
      <w:r>
        <w:rPr>
          <w:rFonts w:ascii="Verdana" w:eastAsia="Verdana" w:hAnsi="Verdana"/>
          <w:color w:val="0070C0"/>
        </w:rPr>
        <w:t>środki zabezpieczające</w:t>
      </w:r>
      <w:r w:rsidR="00206D69" w:rsidRPr="00F8489F">
        <w:rPr>
          <w:rFonts w:ascii="Verdana" w:eastAsia="Verdana" w:hAnsi="Verdana"/>
          <w:color w:val="0070C0"/>
        </w:rPr>
        <w:t xml:space="preserve"> i stanowiło ono nieproporcjonalną i nieuzasadnioną ingerencję w życie prywatne skarżącego, co stanowi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w:t>
      </w:r>
      <w:r w:rsidR="003B1758">
        <w:rPr>
          <w:rFonts w:ascii="Verdana" w:eastAsia="Verdana" w:hAnsi="Verdana"/>
          <w:color w:val="0070C0"/>
        </w:rPr>
        <w:t>K</w:t>
      </w:r>
      <w:r w:rsidR="00206D69" w:rsidRPr="00F8489F">
        <w:rPr>
          <w:rFonts w:ascii="Verdana" w:eastAsia="Verdana" w:hAnsi="Verdana"/>
          <w:color w:val="0070C0"/>
        </w:rPr>
        <w:t xml:space="preserve">onwencji. W szczególności nie stwierdził, że w okolicznościach niniejszej sprawy istniały istotne lub wystarczające powody, które uzasadniałyby bezpośrednie </w:t>
      </w:r>
      <w:r w:rsidR="00F86785">
        <w:rPr>
          <w:rFonts w:ascii="Verdana" w:eastAsia="Verdana" w:hAnsi="Verdana"/>
          <w:color w:val="0070C0"/>
        </w:rPr>
        <w:t>podanie</w:t>
      </w:r>
      <w:r w:rsidR="00206D69" w:rsidRPr="00F8489F">
        <w:rPr>
          <w:rFonts w:ascii="Verdana" w:eastAsia="Verdana" w:hAnsi="Verdana"/>
          <w:color w:val="0070C0"/>
        </w:rPr>
        <w:t xml:space="preserve"> przez </w:t>
      </w:r>
      <w:r w:rsidR="003B1758">
        <w:rPr>
          <w:rFonts w:ascii="Verdana" w:eastAsia="Verdana" w:hAnsi="Verdana"/>
          <w:color w:val="0070C0"/>
        </w:rPr>
        <w:t>r</w:t>
      </w:r>
      <w:r w:rsidR="00206D69" w:rsidRPr="00F8489F">
        <w:rPr>
          <w:rFonts w:ascii="Verdana" w:eastAsia="Verdana" w:hAnsi="Verdana"/>
          <w:color w:val="0070C0"/>
        </w:rPr>
        <w:t xml:space="preserve">adę do wiadomości publicznej zdjęć z materiału filmowego bez uzyskania zgody skarżącego lub zamaskowania jego tożsamości, lub które uzasadniałyby ujawnienie ich mediom bez podjęcia przez </w:t>
      </w:r>
      <w:r w:rsidR="003B1758">
        <w:rPr>
          <w:rFonts w:ascii="Verdana" w:eastAsia="Verdana" w:hAnsi="Verdana"/>
          <w:color w:val="0070C0"/>
        </w:rPr>
        <w:t>r</w:t>
      </w:r>
      <w:r w:rsidR="00206D69" w:rsidRPr="00F8489F">
        <w:rPr>
          <w:rFonts w:ascii="Verdana" w:eastAsia="Verdana" w:hAnsi="Verdana"/>
          <w:color w:val="0070C0"/>
        </w:rPr>
        <w:t>adę kroków mających na celu zapewnienie, w miarę możliwości, aby takie maskowanie zostało dokonane przez media. Cel zapobiegania przestępstwom oraz kontekst ujawni</w:t>
      </w:r>
      <w:r w:rsidR="00F86785">
        <w:rPr>
          <w:rFonts w:ascii="Verdana" w:eastAsia="Verdana" w:hAnsi="Verdana"/>
          <w:color w:val="0070C0"/>
        </w:rPr>
        <w:t>e</w:t>
      </w:r>
      <w:r w:rsidR="00206D69" w:rsidRPr="00F8489F">
        <w:rPr>
          <w:rFonts w:ascii="Verdana" w:eastAsia="Verdana" w:hAnsi="Verdana"/>
          <w:color w:val="0070C0"/>
        </w:rPr>
        <w:t xml:space="preserve">nia informacji wymagały szczególnej kontroli i staranności w tym zakresie w niniejszej sprawie. Trybunał orzekł również, że nastąpiło </w:t>
      </w:r>
      <w:r w:rsidR="00206D69" w:rsidRPr="00F8489F">
        <w:rPr>
          <w:rFonts w:ascii="Verdana" w:eastAsia="Verdana" w:hAnsi="Verdana"/>
          <w:b/>
          <w:color w:val="0070C0"/>
        </w:rPr>
        <w:t>naruszenie art. 13</w:t>
      </w:r>
      <w:r w:rsidR="00206D69" w:rsidRPr="00F8489F">
        <w:rPr>
          <w:rFonts w:ascii="Verdana" w:eastAsia="Verdana" w:hAnsi="Verdana"/>
          <w:color w:val="0070C0"/>
        </w:rPr>
        <w:t xml:space="preserve"> (prawo do skutecznego środka odwoławczego) </w:t>
      </w:r>
      <w:r w:rsidR="003B1758">
        <w:rPr>
          <w:rFonts w:ascii="Verdana" w:eastAsia="Verdana" w:hAnsi="Verdana"/>
          <w:color w:val="0070C0"/>
        </w:rPr>
        <w:t>K</w:t>
      </w:r>
      <w:r w:rsidR="00206D69" w:rsidRPr="00F8489F">
        <w:rPr>
          <w:rFonts w:ascii="Verdana" w:eastAsia="Verdana" w:hAnsi="Verdana"/>
          <w:color w:val="0070C0"/>
        </w:rPr>
        <w:t xml:space="preserve">onwencji </w:t>
      </w:r>
      <w:r w:rsidR="00206D69" w:rsidRPr="00F8489F">
        <w:rPr>
          <w:rFonts w:ascii="Verdana" w:eastAsia="Verdana" w:hAnsi="Verdana"/>
          <w:b/>
          <w:color w:val="0070C0"/>
        </w:rPr>
        <w:t>w związku z art. 8</w:t>
      </w:r>
      <w:r w:rsidR="00206D69" w:rsidRPr="00F8489F">
        <w:rPr>
          <w:rFonts w:ascii="Verdana" w:eastAsia="Verdana" w:hAnsi="Verdana"/>
          <w:color w:val="0070C0"/>
        </w:rPr>
        <w:t>, stwierdzając, że skarżący</w:t>
      </w:r>
      <w:r w:rsidR="003B1758">
        <w:rPr>
          <w:rFonts w:ascii="Verdana" w:eastAsia="Verdana" w:hAnsi="Verdana"/>
          <w:color w:val="0070C0"/>
        </w:rPr>
        <w:t xml:space="preserve"> </w:t>
      </w:r>
      <w:r w:rsidR="003B1758" w:rsidRPr="003B1758">
        <w:rPr>
          <w:rFonts w:ascii="Verdana" w:eastAsia="Verdana" w:hAnsi="Verdana"/>
          <w:color w:val="0070C0"/>
        </w:rPr>
        <w:t>nie miał żadnego skutecznego środka prawnego w związku z naruszeniem jego prawa do poszanowania życia prywatnego.</w:t>
      </w:r>
    </w:p>
    <w:p w14:paraId="4C32E79F" w14:textId="77777777" w:rsidR="00206D69" w:rsidRPr="00A14197" w:rsidRDefault="00206D69" w:rsidP="00AB713F">
      <w:pPr>
        <w:spacing w:before="120" w:line="0" w:lineRule="atLeast"/>
        <w:ind w:left="740"/>
        <w:rPr>
          <w:rStyle w:val="Hipercze"/>
          <w:color w:val="0072BC"/>
        </w:rPr>
      </w:pPr>
      <w:hyperlink r:id="rId92" w:history="1">
        <w:r w:rsidRPr="00A14197">
          <w:rPr>
            <w:rStyle w:val="Hipercze"/>
            <w:rFonts w:ascii="Verdana" w:eastAsia="Verdana" w:hAnsi="Verdana"/>
            <w:b/>
            <w:color w:val="0072BC"/>
          </w:rPr>
          <w:t>Panteleyenko przeciwko Ukrainie</w:t>
        </w:r>
      </w:hyperlink>
    </w:p>
    <w:p w14:paraId="57EC9AEC"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29 czerwca 2006</w:t>
      </w:r>
      <w:r w:rsidR="00F86785">
        <w:rPr>
          <w:rFonts w:ascii="Verdana" w:eastAsia="Verdana" w:hAnsi="Verdana"/>
          <w:color w:val="7F7F7F"/>
          <w:sz w:val="18"/>
        </w:rPr>
        <w:t xml:space="preserve"> roku</w:t>
      </w:r>
    </w:p>
    <w:p w14:paraId="2B00399C" w14:textId="77777777" w:rsidR="00206D69" w:rsidRPr="00F8489F" w:rsidRDefault="00206D69" w:rsidP="00AB713F">
      <w:pPr>
        <w:spacing w:line="0" w:lineRule="atLeast"/>
        <w:ind w:left="740"/>
        <w:jc w:val="both"/>
        <w:rPr>
          <w:rFonts w:ascii="Verdana" w:eastAsia="Verdana" w:hAnsi="Verdana"/>
        </w:rPr>
      </w:pPr>
      <w:r w:rsidRPr="00F8489F">
        <w:rPr>
          <w:rFonts w:ascii="Verdana" w:eastAsia="Verdana" w:hAnsi="Verdana"/>
        </w:rPr>
        <w:t>Skarżący skarżył się w szczególności na ujawnienie na rozprawie sądowej poufnych informacji dotyczących jego stanu psychicznego i leczenia psychiatrycznego.</w:t>
      </w:r>
    </w:p>
    <w:p w14:paraId="42AEE266" w14:textId="77777777" w:rsidR="00206D69" w:rsidRPr="00F8489F" w:rsidRDefault="003B1758" w:rsidP="00AB713F">
      <w:pPr>
        <w:spacing w:line="0" w:lineRule="atLeast"/>
        <w:ind w:left="740"/>
        <w:jc w:val="both"/>
        <w:rPr>
          <w:rFonts w:ascii="Verdana" w:eastAsia="Verdana" w:hAnsi="Verdana"/>
          <w:color w:val="0070C0"/>
        </w:rPr>
      </w:pPr>
      <w:r>
        <w:rPr>
          <w:rFonts w:ascii="Verdana" w:eastAsia="Verdana" w:hAnsi="Verdana"/>
          <w:color w:val="0070C0"/>
        </w:rPr>
        <w:t>Trybunał</w:t>
      </w:r>
      <w:r w:rsidR="00206D69" w:rsidRPr="00F8489F">
        <w:rPr>
          <w:rFonts w:ascii="Verdana" w:eastAsia="Verdana" w:hAnsi="Verdana"/>
          <w:color w:val="0070C0"/>
        </w:rPr>
        <w:t xml:space="preserve"> uznał, że </w:t>
      </w:r>
      <w:r w:rsidR="00840C2D">
        <w:rPr>
          <w:rFonts w:ascii="Verdana" w:eastAsia="Verdana" w:hAnsi="Verdana"/>
          <w:color w:val="0070C0"/>
        </w:rPr>
        <w:t>po</w:t>
      </w:r>
      <w:r w:rsidR="00206D69" w:rsidRPr="00F8489F">
        <w:rPr>
          <w:rFonts w:ascii="Verdana" w:eastAsia="Verdana" w:hAnsi="Verdana"/>
          <w:color w:val="0070C0"/>
        </w:rPr>
        <w:t xml:space="preserve">zyskanie ze szpitala psychiatrycznego poufnych informacji dotyczących stanu psychicznego i odpowiedniego leczenia oraz ujawnienie ich na rozprawie publicznej stanowiło ingerencję w prawo skarżącego do poszanowania jego życia prywatnego. Orzekł, że doszło do </w:t>
      </w:r>
      <w:r w:rsidR="00206D69" w:rsidRPr="00F8489F">
        <w:rPr>
          <w:rFonts w:ascii="Verdana" w:eastAsia="Verdana" w:hAnsi="Verdana"/>
          <w:b/>
          <w:color w:val="0070C0"/>
        </w:rPr>
        <w:t>naruszenia art. 8</w:t>
      </w:r>
      <w:r w:rsidR="00206D69" w:rsidRPr="00F8489F">
        <w:rPr>
          <w:rFonts w:ascii="Verdana" w:eastAsia="Verdana" w:hAnsi="Verdana"/>
          <w:color w:val="0070C0"/>
        </w:rPr>
        <w:t xml:space="preserve"> Konwencji, zauważając w szczególności, że przedmiotowe dane nie mogły wpłynąć na wynik postępowania sądowego, że wniosek sądu pierwszej instancji o udzielenie informacji był zbędny, ponieważ informacje te nie były "istotne dla </w:t>
      </w:r>
      <w:r w:rsidR="00840C2D">
        <w:rPr>
          <w:rFonts w:ascii="Verdana" w:eastAsia="Verdana" w:hAnsi="Verdana"/>
          <w:color w:val="0070C0"/>
        </w:rPr>
        <w:t>postępowania wyjaśniającego</w:t>
      </w:r>
      <w:r w:rsidR="00206D69" w:rsidRPr="00F8489F">
        <w:rPr>
          <w:rFonts w:ascii="Verdana" w:eastAsia="Verdana" w:hAnsi="Verdana"/>
          <w:color w:val="0070C0"/>
        </w:rPr>
        <w:t xml:space="preserve">, dochodzenia lub rozprawy sądowej", a zatem były niezgodne z prawem dla celów </w:t>
      </w:r>
      <w:r>
        <w:rPr>
          <w:rFonts w:ascii="Verdana" w:eastAsia="Verdana" w:hAnsi="Verdana"/>
          <w:color w:val="0070C0"/>
        </w:rPr>
        <w:t>zawartych w ustawie z 2000 roku o</w:t>
      </w:r>
      <w:r w:rsidR="00206D69" w:rsidRPr="00F8489F">
        <w:rPr>
          <w:rFonts w:ascii="Verdana" w:eastAsia="Verdana" w:hAnsi="Verdana"/>
          <w:color w:val="0070C0"/>
        </w:rPr>
        <w:t xml:space="preserve"> pomocy </w:t>
      </w:r>
      <w:r>
        <w:rPr>
          <w:rFonts w:ascii="Verdana" w:eastAsia="Verdana" w:hAnsi="Verdana"/>
          <w:color w:val="0070C0"/>
        </w:rPr>
        <w:t>psychiatrycznej.</w:t>
      </w:r>
    </w:p>
    <w:p w14:paraId="4A303CE5" w14:textId="3453EAD9" w:rsidR="00206D69" w:rsidRPr="00A14197" w:rsidRDefault="00206D69" w:rsidP="00AB713F">
      <w:pPr>
        <w:spacing w:before="120" w:line="0" w:lineRule="atLeast"/>
        <w:ind w:left="740"/>
        <w:rPr>
          <w:rStyle w:val="Hipercze"/>
          <w:color w:val="0072BC"/>
        </w:rPr>
      </w:pPr>
      <w:hyperlink r:id="rId93" w:history="1">
        <w:r w:rsidRPr="00171252">
          <w:rPr>
            <w:rStyle w:val="Hipercze"/>
            <w:rFonts w:ascii="Verdana" w:eastAsia="Verdana" w:hAnsi="Verdana"/>
            <w:b/>
            <w:bCs/>
            <w:color w:val="0072BC"/>
          </w:rPr>
          <w:t>Armonas przeciwko Litwie</w:t>
        </w:r>
      </w:hyperlink>
      <w:r w:rsidRPr="00171252">
        <w:rPr>
          <w:rStyle w:val="Hipercze"/>
          <w:b/>
          <w:bCs/>
          <w:color w:val="0072BC"/>
        </w:rPr>
        <w:t xml:space="preserve"> i</w:t>
      </w:r>
      <w:r w:rsidRPr="00A14197">
        <w:rPr>
          <w:rStyle w:val="Hipercze"/>
          <w:color w:val="0072BC"/>
        </w:rPr>
        <w:t xml:space="preserve"> </w:t>
      </w:r>
      <w:hyperlink r:id="rId94" w:history="1">
        <w:r w:rsidRPr="00A14197">
          <w:rPr>
            <w:rStyle w:val="Hipercze"/>
            <w:rFonts w:ascii="Verdana" w:eastAsia="Verdana" w:hAnsi="Verdana"/>
            <w:b/>
            <w:color w:val="0072BC"/>
          </w:rPr>
          <w:t>Biriuk przeciwko Litwie</w:t>
        </w:r>
      </w:hyperlink>
    </w:p>
    <w:p w14:paraId="379CEEDD"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lastRenderedPageBreak/>
        <w:t>25 listopada 2008 r</w:t>
      </w:r>
      <w:r w:rsidR="00757EF7">
        <w:rPr>
          <w:rFonts w:ascii="Verdana" w:eastAsia="Verdana" w:hAnsi="Verdana"/>
          <w:color w:val="7F7F7F"/>
          <w:sz w:val="18"/>
        </w:rPr>
        <w:t>oku</w:t>
      </w:r>
    </w:p>
    <w:p w14:paraId="1A846DAD" w14:textId="77777777" w:rsidR="00206D69" w:rsidRPr="00F8489F" w:rsidRDefault="00206D69" w:rsidP="00AB713F">
      <w:pPr>
        <w:spacing w:line="0" w:lineRule="atLeast"/>
        <w:ind w:left="740"/>
        <w:jc w:val="both"/>
        <w:rPr>
          <w:rFonts w:ascii="Verdana" w:eastAsia="Verdana" w:hAnsi="Verdana"/>
          <w:color w:val="404040"/>
        </w:rPr>
      </w:pPr>
      <w:r w:rsidRPr="00F8489F">
        <w:rPr>
          <w:rFonts w:ascii="Verdana" w:eastAsia="Verdana" w:hAnsi="Verdana"/>
          <w:color w:val="404040"/>
        </w:rPr>
        <w:t>W 2001 r</w:t>
      </w:r>
      <w:r w:rsidR="00757EF7">
        <w:rPr>
          <w:rFonts w:ascii="Verdana" w:eastAsia="Verdana" w:hAnsi="Verdana"/>
          <w:color w:val="404040"/>
        </w:rPr>
        <w:t>oku</w:t>
      </w:r>
      <w:r w:rsidRPr="00F8489F">
        <w:rPr>
          <w:rFonts w:ascii="Verdana" w:eastAsia="Verdana" w:hAnsi="Verdana"/>
          <w:color w:val="404040"/>
        </w:rPr>
        <w:t xml:space="preserve"> największ</w:t>
      </w:r>
      <w:r w:rsidR="00757EF7">
        <w:rPr>
          <w:rFonts w:ascii="Verdana" w:eastAsia="Verdana" w:hAnsi="Verdana"/>
          <w:color w:val="404040"/>
        </w:rPr>
        <w:t>y dziennik</w:t>
      </w:r>
      <w:r w:rsidRPr="00F8489F">
        <w:rPr>
          <w:rFonts w:ascii="Verdana" w:eastAsia="Verdana" w:hAnsi="Verdana"/>
          <w:color w:val="404040"/>
        </w:rPr>
        <w:t xml:space="preserve"> litewsk</w:t>
      </w:r>
      <w:r w:rsidR="00757EF7">
        <w:rPr>
          <w:rFonts w:ascii="Verdana" w:eastAsia="Verdana" w:hAnsi="Verdana"/>
          <w:color w:val="404040"/>
        </w:rPr>
        <w:t>i</w:t>
      </w:r>
      <w:r w:rsidRPr="00F8489F">
        <w:rPr>
          <w:rFonts w:ascii="Verdana" w:eastAsia="Verdana" w:hAnsi="Verdana"/>
          <w:color w:val="404040"/>
        </w:rPr>
        <w:t xml:space="preserve"> opublikował na pierwszej stronie artykuł na temat zagrożenia AIDS w odległej części Litwy.</w:t>
      </w:r>
      <w:r w:rsidR="00757EF7">
        <w:rPr>
          <w:rFonts w:ascii="Verdana" w:eastAsia="Verdana" w:hAnsi="Verdana"/>
          <w:color w:val="404040"/>
        </w:rPr>
        <w:t xml:space="preserve"> </w:t>
      </w:r>
      <w:r w:rsidRPr="00F8489F">
        <w:rPr>
          <w:rFonts w:ascii="Verdana" w:eastAsia="Verdana" w:hAnsi="Verdana"/>
          <w:color w:val="404040"/>
        </w:rPr>
        <w:t>W szczególności</w:t>
      </w:r>
      <w:r w:rsidR="00694546">
        <w:rPr>
          <w:rFonts w:ascii="Verdana" w:eastAsia="Verdana" w:hAnsi="Verdana"/>
          <w:color w:val="404040"/>
        </w:rPr>
        <w:t xml:space="preserve"> </w:t>
      </w:r>
      <w:r w:rsidR="00757EF7">
        <w:rPr>
          <w:rFonts w:ascii="Verdana" w:eastAsia="Verdana" w:hAnsi="Verdana"/>
          <w:color w:val="404040"/>
        </w:rPr>
        <w:t>według zacytowanych wypowiedzi</w:t>
      </w:r>
      <w:r w:rsidR="00694546">
        <w:rPr>
          <w:rFonts w:ascii="Verdana" w:eastAsia="Verdana" w:hAnsi="Verdana"/>
          <w:color w:val="404040"/>
        </w:rPr>
        <w:t xml:space="preserve"> </w:t>
      </w:r>
      <w:r w:rsidRPr="00F8489F">
        <w:rPr>
          <w:rFonts w:ascii="Verdana" w:eastAsia="Verdana" w:hAnsi="Verdana"/>
          <w:color w:val="404040"/>
        </w:rPr>
        <w:t>personel</w:t>
      </w:r>
      <w:r w:rsidR="00694546">
        <w:rPr>
          <w:rFonts w:ascii="Verdana" w:eastAsia="Verdana" w:hAnsi="Verdana"/>
          <w:color w:val="404040"/>
        </w:rPr>
        <w:t>u</w:t>
      </w:r>
      <w:r w:rsidRPr="00F8489F">
        <w:rPr>
          <w:rFonts w:ascii="Verdana" w:eastAsia="Verdana" w:hAnsi="Verdana"/>
          <w:color w:val="404040"/>
        </w:rPr>
        <w:t xml:space="preserve"> medyczn</w:t>
      </w:r>
      <w:r w:rsidR="00694546">
        <w:rPr>
          <w:rFonts w:ascii="Verdana" w:eastAsia="Verdana" w:hAnsi="Verdana"/>
          <w:color w:val="404040"/>
        </w:rPr>
        <w:t>ego</w:t>
      </w:r>
      <w:r w:rsidRPr="00F8489F">
        <w:rPr>
          <w:rFonts w:ascii="Verdana" w:eastAsia="Verdana" w:hAnsi="Verdana"/>
          <w:color w:val="404040"/>
        </w:rPr>
        <w:t xml:space="preserve"> z ośrodka </w:t>
      </w:r>
      <w:r w:rsidR="00694546">
        <w:rPr>
          <w:rFonts w:ascii="Verdana" w:eastAsia="Verdana" w:hAnsi="Verdana"/>
          <w:color w:val="404040"/>
        </w:rPr>
        <w:t xml:space="preserve">zajmującego się leczeniem </w:t>
      </w:r>
      <w:r w:rsidRPr="00F8489F">
        <w:rPr>
          <w:rFonts w:ascii="Verdana" w:eastAsia="Verdana" w:hAnsi="Verdana"/>
          <w:color w:val="404040"/>
        </w:rPr>
        <w:t xml:space="preserve">AIDS </w:t>
      </w:r>
      <w:r w:rsidR="00694546">
        <w:rPr>
          <w:rFonts w:ascii="Verdana" w:eastAsia="Verdana" w:hAnsi="Verdana"/>
          <w:color w:val="404040"/>
        </w:rPr>
        <w:t>oraz</w:t>
      </w:r>
      <w:r w:rsidRPr="00F8489F">
        <w:rPr>
          <w:rFonts w:ascii="Verdana" w:eastAsia="Verdana" w:hAnsi="Verdana"/>
          <w:color w:val="404040"/>
        </w:rPr>
        <w:t xml:space="preserve"> szpital</w:t>
      </w:r>
      <w:r w:rsidR="003413E5">
        <w:rPr>
          <w:rFonts w:ascii="Verdana" w:eastAsia="Verdana" w:hAnsi="Verdana"/>
          <w:color w:val="404040"/>
        </w:rPr>
        <w:t>a</w:t>
      </w:r>
      <w:r w:rsidRPr="00F8489F">
        <w:rPr>
          <w:rFonts w:ascii="Verdana" w:eastAsia="Verdana" w:hAnsi="Verdana"/>
          <w:color w:val="404040"/>
        </w:rPr>
        <w:t xml:space="preserve">, </w:t>
      </w:r>
      <w:r w:rsidR="00757EF7">
        <w:rPr>
          <w:rFonts w:ascii="Verdana" w:eastAsia="Verdana" w:hAnsi="Verdana"/>
          <w:color w:val="404040"/>
        </w:rPr>
        <w:t xml:space="preserve">potwierdzono, że </w:t>
      </w:r>
      <w:r w:rsidR="00694546">
        <w:rPr>
          <w:rFonts w:ascii="Verdana" w:eastAsia="Verdana" w:hAnsi="Verdana"/>
          <w:color w:val="404040"/>
        </w:rPr>
        <w:t>skarżący</w:t>
      </w:r>
      <w:r w:rsidRPr="00F8489F">
        <w:rPr>
          <w:rFonts w:ascii="Verdana" w:eastAsia="Verdana" w:hAnsi="Verdana"/>
          <w:color w:val="404040"/>
        </w:rPr>
        <w:t xml:space="preserve"> są nosicielami wirusa HIV. Drug</w:t>
      </w:r>
      <w:r w:rsidR="001944C3">
        <w:rPr>
          <w:rFonts w:ascii="Verdana" w:eastAsia="Verdana" w:hAnsi="Verdana"/>
          <w:color w:val="404040"/>
        </w:rPr>
        <w:t>a</w:t>
      </w:r>
      <w:r w:rsidRPr="00F8489F">
        <w:rPr>
          <w:rFonts w:ascii="Verdana" w:eastAsia="Verdana" w:hAnsi="Verdana"/>
          <w:color w:val="404040"/>
        </w:rPr>
        <w:t xml:space="preserve"> </w:t>
      </w:r>
      <w:r w:rsidR="00757EF7">
        <w:rPr>
          <w:rFonts w:ascii="Verdana" w:eastAsia="Verdana" w:hAnsi="Verdana"/>
          <w:color w:val="404040"/>
        </w:rPr>
        <w:t>skarżąc</w:t>
      </w:r>
      <w:r w:rsidR="001944C3">
        <w:rPr>
          <w:rFonts w:ascii="Verdana" w:eastAsia="Verdana" w:hAnsi="Verdana"/>
          <w:color w:val="404040"/>
        </w:rPr>
        <w:t>a</w:t>
      </w:r>
      <w:r w:rsidRPr="00F8489F">
        <w:rPr>
          <w:rFonts w:ascii="Verdana" w:eastAsia="Verdana" w:hAnsi="Verdana"/>
          <w:color w:val="404040"/>
        </w:rPr>
        <w:t>, określ</w:t>
      </w:r>
      <w:r w:rsidR="00757EF7">
        <w:rPr>
          <w:rFonts w:ascii="Verdana" w:eastAsia="Verdana" w:hAnsi="Verdana"/>
          <w:color w:val="404040"/>
        </w:rPr>
        <w:t>o</w:t>
      </w:r>
      <w:r w:rsidRPr="00F8489F">
        <w:rPr>
          <w:rFonts w:ascii="Verdana" w:eastAsia="Verdana" w:hAnsi="Verdana"/>
          <w:color w:val="404040"/>
        </w:rPr>
        <w:t>n</w:t>
      </w:r>
      <w:r w:rsidR="001944C3">
        <w:rPr>
          <w:rFonts w:ascii="Verdana" w:eastAsia="Verdana" w:hAnsi="Verdana"/>
          <w:color w:val="404040"/>
        </w:rPr>
        <w:t>a</w:t>
      </w:r>
      <w:r w:rsidRPr="00F8489F">
        <w:rPr>
          <w:rFonts w:ascii="Verdana" w:eastAsia="Verdana" w:hAnsi="Verdana"/>
          <w:color w:val="404040"/>
        </w:rPr>
        <w:t xml:space="preserve"> jako "</w:t>
      </w:r>
      <w:r w:rsidR="003413E5">
        <w:rPr>
          <w:rFonts w:ascii="Verdana" w:eastAsia="Verdana" w:hAnsi="Verdana"/>
          <w:color w:val="404040"/>
        </w:rPr>
        <w:t>szczególnie rozwiązł</w:t>
      </w:r>
      <w:r w:rsidR="001944C3">
        <w:rPr>
          <w:rFonts w:ascii="Verdana" w:eastAsia="Verdana" w:hAnsi="Verdana"/>
          <w:color w:val="404040"/>
        </w:rPr>
        <w:t>a</w:t>
      </w:r>
      <w:r w:rsidRPr="00F8489F">
        <w:rPr>
          <w:rFonts w:ascii="Verdana" w:eastAsia="Verdana" w:hAnsi="Verdana"/>
          <w:color w:val="404040"/>
        </w:rPr>
        <w:t xml:space="preserve">", </w:t>
      </w:r>
      <w:r w:rsidR="003413E5">
        <w:rPr>
          <w:rFonts w:ascii="Verdana" w:eastAsia="Verdana" w:hAnsi="Verdana"/>
          <w:color w:val="404040"/>
        </w:rPr>
        <w:t xml:space="preserve">wedle informacji </w:t>
      </w:r>
      <w:r w:rsidRPr="00F8489F">
        <w:rPr>
          <w:rFonts w:ascii="Verdana" w:eastAsia="Verdana" w:hAnsi="Verdana"/>
          <w:color w:val="404040"/>
        </w:rPr>
        <w:t>miał</w:t>
      </w:r>
      <w:r w:rsidR="001944C3">
        <w:rPr>
          <w:rFonts w:ascii="Verdana" w:eastAsia="Verdana" w:hAnsi="Verdana"/>
          <w:color w:val="404040"/>
        </w:rPr>
        <w:t>a</w:t>
      </w:r>
      <w:r w:rsidRPr="00F8489F">
        <w:rPr>
          <w:rFonts w:ascii="Verdana" w:eastAsia="Verdana" w:hAnsi="Verdana"/>
          <w:color w:val="404040"/>
        </w:rPr>
        <w:t xml:space="preserve"> </w:t>
      </w:r>
      <w:r w:rsidR="003413E5">
        <w:rPr>
          <w:rFonts w:ascii="Verdana" w:eastAsia="Verdana" w:hAnsi="Verdana"/>
          <w:color w:val="404040"/>
        </w:rPr>
        <w:t xml:space="preserve">mieć </w:t>
      </w:r>
      <w:r w:rsidRPr="00F8489F">
        <w:rPr>
          <w:rFonts w:ascii="Verdana" w:eastAsia="Verdana" w:hAnsi="Verdana"/>
          <w:color w:val="404040"/>
        </w:rPr>
        <w:t xml:space="preserve">dwoje </w:t>
      </w:r>
      <w:r w:rsidR="001944C3">
        <w:rPr>
          <w:rFonts w:ascii="Verdana" w:eastAsia="Verdana" w:hAnsi="Verdana"/>
          <w:color w:val="404040"/>
        </w:rPr>
        <w:t>pozamałżeńskich</w:t>
      </w:r>
      <w:r w:rsidRPr="00F8489F">
        <w:rPr>
          <w:rFonts w:ascii="Verdana" w:eastAsia="Verdana" w:hAnsi="Verdana"/>
          <w:color w:val="404040"/>
        </w:rPr>
        <w:t xml:space="preserve"> dzieci z pierwszym </w:t>
      </w:r>
      <w:r w:rsidR="001944C3">
        <w:rPr>
          <w:rFonts w:ascii="Verdana" w:eastAsia="Verdana" w:hAnsi="Verdana"/>
          <w:color w:val="404040"/>
        </w:rPr>
        <w:t>skarżącym</w:t>
      </w:r>
      <w:r w:rsidRPr="00F8489F">
        <w:rPr>
          <w:rFonts w:ascii="Verdana" w:eastAsia="Verdana" w:hAnsi="Verdana"/>
          <w:color w:val="404040"/>
        </w:rPr>
        <w:t>.</w:t>
      </w:r>
    </w:p>
    <w:p w14:paraId="65705412" w14:textId="77777777" w:rsidR="00206D69" w:rsidRPr="00F8489F" w:rsidRDefault="00694546" w:rsidP="00AB713F">
      <w:pPr>
        <w:spacing w:line="0" w:lineRule="atLeast"/>
        <w:ind w:left="740"/>
        <w:jc w:val="both"/>
        <w:rPr>
          <w:rFonts w:ascii="Verdana" w:eastAsia="Verdana" w:hAnsi="Verdana"/>
          <w:i/>
          <w:color w:val="0070C0"/>
        </w:rPr>
      </w:pPr>
      <w:r>
        <w:rPr>
          <w:rFonts w:ascii="Verdana" w:eastAsia="Verdana" w:hAnsi="Verdana"/>
          <w:color w:val="0070C0"/>
        </w:rPr>
        <w:t>Trybunał</w:t>
      </w:r>
      <w:r w:rsidR="00206D69" w:rsidRPr="00F8489F">
        <w:rPr>
          <w:rFonts w:ascii="Verdana" w:eastAsia="Verdana" w:hAnsi="Verdana"/>
          <w:color w:val="0070C0"/>
        </w:rPr>
        <w:t xml:space="preserve"> orzekł, że nastąpiło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Konwencji ze względu na</w:t>
      </w:r>
      <w:r w:rsidR="001944C3">
        <w:rPr>
          <w:rFonts w:ascii="Verdana" w:eastAsia="Verdana" w:hAnsi="Verdana"/>
          <w:color w:val="0070C0"/>
        </w:rPr>
        <w:t xml:space="preserve"> niski pułap </w:t>
      </w:r>
      <w:r w:rsidR="00206D69" w:rsidRPr="00F8489F">
        <w:rPr>
          <w:rFonts w:ascii="Verdana" w:eastAsia="Verdana" w:hAnsi="Verdana"/>
          <w:color w:val="0070C0"/>
        </w:rPr>
        <w:t xml:space="preserve">odszkodowania przyznanego skarżącym. Szczególnie zaniepokojony faktem, że według gazety informacje o chorobie skarżących zostały potwierdzone przez personel medyczny, zauważył, że istotne jest, aby prawo krajowe chroniło poufność informacji o pacjentach i zniechęcało do ujawniania danych osobowych, w szczególności mając na uwadze negatywny wpływ takich ujawnień na gotowość innych osób do dobrowolnego poddania się testom na obecność wirusa HIV i </w:t>
      </w:r>
      <w:r w:rsidR="001944C3">
        <w:rPr>
          <w:rFonts w:ascii="Verdana" w:eastAsia="Verdana" w:hAnsi="Verdana"/>
          <w:color w:val="0070C0"/>
        </w:rPr>
        <w:t>starania</w:t>
      </w:r>
      <w:r w:rsidR="00206D69" w:rsidRPr="00F8489F">
        <w:rPr>
          <w:rFonts w:ascii="Verdana" w:eastAsia="Verdana" w:hAnsi="Verdana"/>
          <w:color w:val="0070C0"/>
        </w:rPr>
        <w:t xml:space="preserve"> się o odpowiednie leczenie.</w:t>
      </w:r>
    </w:p>
    <w:p w14:paraId="215628A8" w14:textId="52B92068" w:rsidR="00206D69" w:rsidRPr="00A14197" w:rsidRDefault="00206D69" w:rsidP="00AB713F">
      <w:pPr>
        <w:spacing w:before="120" w:line="0" w:lineRule="atLeast"/>
        <w:ind w:left="740"/>
        <w:rPr>
          <w:rStyle w:val="Hipercze"/>
          <w:color w:val="0072BC"/>
        </w:rPr>
      </w:pPr>
      <w:hyperlink r:id="rId95" w:history="1">
        <w:r w:rsidRPr="00A14197">
          <w:rPr>
            <w:rStyle w:val="Hipercze"/>
            <w:rFonts w:ascii="Verdana" w:eastAsia="Verdana" w:hAnsi="Verdana"/>
            <w:b/>
            <w:color w:val="0072BC"/>
          </w:rPr>
          <w:t>Avilkina i inni przeciwko Rosji</w:t>
        </w:r>
      </w:hyperlink>
      <w:r w:rsidR="00171252">
        <w:rPr>
          <w:rStyle w:val="Odwoanieprzypisudolnego"/>
          <w:rFonts w:ascii="Verdana" w:eastAsia="Verdana" w:hAnsi="Verdana"/>
          <w:b/>
          <w:color w:val="0072BC"/>
          <w:u w:val="single"/>
        </w:rPr>
        <w:footnoteReference w:id="15"/>
      </w:r>
    </w:p>
    <w:p w14:paraId="01628103" w14:textId="77777777" w:rsidR="00206D69" w:rsidRPr="00F8489F" w:rsidRDefault="00206D69" w:rsidP="00AB713F">
      <w:pPr>
        <w:spacing w:line="0" w:lineRule="atLeast"/>
        <w:ind w:left="740"/>
        <w:rPr>
          <w:rFonts w:ascii="Verdana" w:eastAsia="Verdana" w:hAnsi="Verdana"/>
          <w:color w:val="7F7F7F"/>
          <w:sz w:val="18"/>
        </w:rPr>
      </w:pPr>
      <w:r w:rsidRPr="00F8489F">
        <w:rPr>
          <w:rFonts w:ascii="Verdana" w:eastAsia="Verdana" w:hAnsi="Verdana"/>
          <w:color w:val="7F7F7F"/>
          <w:sz w:val="18"/>
        </w:rPr>
        <w:t>6 czerwca 2013</w:t>
      </w:r>
      <w:r w:rsidR="00466B34">
        <w:rPr>
          <w:rFonts w:ascii="Verdana" w:eastAsia="Verdana" w:hAnsi="Verdana"/>
          <w:color w:val="7F7F7F"/>
          <w:sz w:val="18"/>
        </w:rPr>
        <w:t xml:space="preserve"> roku</w:t>
      </w:r>
    </w:p>
    <w:p w14:paraId="3AFC0A9C" w14:textId="77777777" w:rsidR="00206D69" w:rsidRPr="00F8489F" w:rsidRDefault="003413E5" w:rsidP="00AB713F">
      <w:pPr>
        <w:spacing w:line="0" w:lineRule="atLeast"/>
        <w:ind w:left="740"/>
        <w:jc w:val="both"/>
        <w:rPr>
          <w:rFonts w:ascii="Verdana" w:eastAsia="Verdana" w:hAnsi="Verdana"/>
          <w:color w:val="404040"/>
        </w:rPr>
      </w:pPr>
      <w:r>
        <w:rPr>
          <w:rFonts w:ascii="Verdana" w:eastAsia="Verdana" w:hAnsi="Verdana"/>
          <w:color w:val="404040"/>
        </w:rPr>
        <w:t>Skarżący</w:t>
      </w:r>
      <w:r w:rsidR="00206D69" w:rsidRPr="00F8489F">
        <w:rPr>
          <w:rFonts w:ascii="Verdana" w:eastAsia="Verdana" w:hAnsi="Verdana"/>
          <w:color w:val="404040"/>
        </w:rPr>
        <w:t xml:space="preserve"> </w:t>
      </w:r>
      <w:r w:rsidR="00466B34">
        <w:rPr>
          <w:rFonts w:ascii="Verdana" w:eastAsia="Verdana" w:hAnsi="Verdana"/>
          <w:color w:val="404040"/>
        </w:rPr>
        <w:t>to</w:t>
      </w:r>
      <w:r w:rsidR="00206D69" w:rsidRPr="00F8489F">
        <w:rPr>
          <w:rFonts w:ascii="Verdana" w:eastAsia="Verdana" w:hAnsi="Verdana"/>
          <w:color w:val="404040"/>
        </w:rPr>
        <w:t xml:space="preserve"> organizacj</w:t>
      </w:r>
      <w:r w:rsidR="00466B34">
        <w:rPr>
          <w:rFonts w:ascii="Verdana" w:eastAsia="Verdana" w:hAnsi="Verdana"/>
          <w:color w:val="404040"/>
        </w:rPr>
        <w:t>a</w:t>
      </w:r>
      <w:r w:rsidR="00206D69" w:rsidRPr="00F8489F">
        <w:rPr>
          <w:rFonts w:ascii="Verdana" w:eastAsia="Verdana" w:hAnsi="Verdana"/>
          <w:color w:val="404040"/>
        </w:rPr>
        <w:t xml:space="preserve"> religijn</w:t>
      </w:r>
      <w:r w:rsidR="00466B34">
        <w:rPr>
          <w:rFonts w:ascii="Verdana" w:eastAsia="Verdana" w:hAnsi="Verdana"/>
          <w:color w:val="404040"/>
        </w:rPr>
        <w:t>a</w:t>
      </w:r>
      <w:r w:rsidR="00206D69" w:rsidRPr="00F8489F">
        <w:rPr>
          <w:rFonts w:ascii="Verdana" w:eastAsia="Verdana" w:hAnsi="Verdana"/>
          <w:color w:val="404040"/>
        </w:rPr>
        <w:t>, Centrum Administracyjnym Świadków Jehowy w Rosji oraz trze</w:t>
      </w:r>
      <w:r w:rsidR="00466B34">
        <w:rPr>
          <w:rFonts w:ascii="Verdana" w:eastAsia="Verdana" w:hAnsi="Verdana"/>
          <w:color w:val="404040"/>
        </w:rPr>
        <w:t>ch</w:t>
      </w:r>
      <w:r w:rsidR="00206D69" w:rsidRPr="00F8489F">
        <w:rPr>
          <w:rFonts w:ascii="Verdana" w:eastAsia="Verdana" w:hAnsi="Verdana"/>
          <w:color w:val="404040"/>
        </w:rPr>
        <w:t xml:space="preserve"> Świadk</w:t>
      </w:r>
      <w:r w:rsidR="00466B34">
        <w:rPr>
          <w:rFonts w:ascii="Verdana" w:eastAsia="Verdana" w:hAnsi="Verdana"/>
          <w:color w:val="404040"/>
        </w:rPr>
        <w:t>ów</w:t>
      </w:r>
      <w:r w:rsidR="00206D69" w:rsidRPr="00F8489F">
        <w:rPr>
          <w:rFonts w:ascii="Verdana" w:eastAsia="Verdana" w:hAnsi="Verdana"/>
          <w:color w:val="404040"/>
        </w:rPr>
        <w:t xml:space="preserve"> Jehowy. Skarżyli się oni w szczególności na ujawnienie ich akt medycznych rosyjskim organom ścigania po tym, jak 20 lat temu</w:t>
      </w:r>
      <w:r w:rsidR="00694546">
        <w:rPr>
          <w:rFonts w:ascii="Verdana" w:eastAsia="Verdana" w:hAnsi="Verdana"/>
          <w:color w:val="404040"/>
        </w:rPr>
        <w:t xml:space="preserve"> </w:t>
      </w:r>
      <w:r w:rsidR="00206D69" w:rsidRPr="00F8489F">
        <w:rPr>
          <w:rFonts w:ascii="Verdana" w:eastAsia="Verdana" w:hAnsi="Verdana"/>
          <w:color w:val="404040"/>
        </w:rPr>
        <w:t>odm</w:t>
      </w:r>
      <w:r>
        <w:rPr>
          <w:rFonts w:ascii="Verdana" w:eastAsia="Verdana" w:hAnsi="Verdana"/>
          <w:color w:val="404040"/>
        </w:rPr>
        <w:t>ówili</w:t>
      </w:r>
      <w:r w:rsidR="00206D69" w:rsidRPr="00F8489F">
        <w:rPr>
          <w:rFonts w:ascii="Verdana" w:eastAsia="Verdana" w:hAnsi="Verdana"/>
          <w:color w:val="404040"/>
        </w:rPr>
        <w:t xml:space="preserve"> </w:t>
      </w:r>
      <w:r w:rsidR="00730C0B">
        <w:rPr>
          <w:rFonts w:ascii="Verdana" w:eastAsia="Verdana" w:hAnsi="Verdana"/>
          <w:color w:val="404040"/>
        </w:rPr>
        <w:t>poddania się</w:t>
      </w:r>
      <w:r w:rsidR="00206D69" w:rsidRPr="00F8489F">
        <w:rPr>
          <w:rFonts w:ascii="Verdana" w:eastAsia="Verdana" w:hAnsi="Verdana"/>
          <w:color w:val="404040"/>
        </w:rPr>
        <w:t xml:space="preserve"> transfuzji krwi podczas pobytu w szpitalach publicznych. W związku z dochodzeniem w sprawie legalności działalności organizacji składającej </w:t>
      </w:r>
      <w:r>
        <w:rPr>
          <w:rFonts w:ascii="Verdana" w:eastAsia="Verdana" w:hAnsi="Verdana"/>
          <w:color w:val="404040"/>
        </w:rPr>
        <w:t>skargę</w:t>
      </w:r>
      <w:r w:rsidR="00206D69" w:rsidRPr="00F8489F">
        <w:rPr>
          <w:rFonts w:ascii="Verdana" w:eastAsia="Verdana" w:hAnsi="Verdana"/>
          <w:color w:val="404040"/>
        </w:rPr>
        <w:t>, prokuratura poleciła wszystkim szpitalom w Petersburgu zgłoszenie odmowy transfuzji krwi przez Świadków Jehowy.</w:t>
      </w:r>
    </w:p>
    <w:p w14:paraId="722FD730" w14:textId="77777777" w:rsidR="00206D69" w:rsidRPr="00F8489F" w:rsidRDefault="003413E5" w:rsidP="00AB713F">
      <w:pPr>
        <w:spacing w:line="0" w:lineRule="atLeast"/>
        <w:ind w:left="740"/>
        <w:jc w:val="both"/>
        <w:rPr>
          <w:rFonts w:ascii="Verdana" w:eastAsia="Verdana" w:hAnsi="Verdana"/>
          <w:i/>
          <w:color w:val="0070C0"/>
        </w:rPr>
      </w:pPr>
      <w:r>
        <w:rPr>
          <w:rFonts w:ascii="Verdana" w:eastAsia="Verdana" w:hAnsi="Verdana"/>
          <w:color w:val="0070C0"/>
        </w:rPr>
        <w:t>Trybunał</w:t>
      </w:r>
      <w:r w:rsidR="00206D69" w:rsidRPr="00F8489F">
        <w:rPr>
          <w:rFonts w:ascii="Verdana" w:eastAsia="Verdana" w:hAnsi="Verdana"/>
          <w:color w:val="0070C0"/>
        </w:rPr>
        <w:t xml:space="preserve"> uznał skargę za </w:t>
      </w:r>
      <w:r w:rsidR="00206D69" w:rsidRPr="00F8489F">
        <w:rPr>
          <w:rFonts w:ascii="Verdana" w:eastAsia="Verdana" w:hAnsi="Verdana"/>
          <w:b/>
          <w:color w:val="0070C0"/>
        </w:rPr>
        <w:t>niedopuszczalną</w:t>
      </w:r>
      <w:r w:rsidR="00206D69" w:rsidRPr="00F8489F">
        <w:rPr>
          <w:rFonts w:ascii="Verdana" w:eastAsia="Verdana" w:hAnsi="Verdana"/>
          <w:color w:val="0070C0"/>
        </w:rPr>
        <w:t xml:space="preserve"> (</w:t>
      </w:r>
      <w:r>
        <w:rPr>
          <w:rFonts w:ascii="Verdana" w:eastAsia="Verdana" w:hAnsi="Verdana"/>
          <w:color w:val="0070C0"/>
        </w:rPr>
        <w:t>niezgodną</w:t>
      </w:r>
      <w:r w:rsidR="00206D69" w:rsidRPr="00F8489F">
        <w:rPr>
          <w:rFonts w:ascii="Verdana" w:eastAsia="Verdana" w:hAnsi="Verdana"/>
          <w:color w:val="0070C0"/>
        </w:rPr>
        <w:t xml:space="preserve"> </w:t>
      </w:r>
      <w:proofErr w:type="spellStart"/>
      <w:r w:rsidR="00206D69" w:rsidRPr="00466B34">
        <w:rPr>
          <w:rFonts w:ascii="Verdana" w:eastAsia="Verdana" w:hAnsi="Verdana"/>
          <w:i/>
          <w:iCs/>
          <w:color w:val="0070C0"/>
        </w:rPr>
        <w:t>ratione</w:t>
      </w:r>
      <w:proofErr w:type="spellEnd"/>
      <w:r w:rsidR="00206D69" w:rsidRPr="00466B34">
        <w:rPr>
          <w:rFonts w:ascii="Verdana" w:eastAsia="Verdana" w:hAnsi="Verdana"/>
          <w:i/>
          <w:iCs/>
          <w:color w:val="0070C0"/>
        </w:rPr>
        <w:t xml:space="preserve"> </w:t>
      </w:r>
      <w:proofErr w:type="spellStart"/>
      <w:r w:rsidR="00206D69" w:rsidRPr="00466B34">
        <w:rPr>
          <w:rFonts w:ascii="Verdana" w:eastAsia="Verdana" w:hAnsi="Verdana"/>
          <w:i/>
          <w:iCs/>
          <w:color w:val="0070C0"/>
        </w:rPr>
        <w:t>personae</w:t>
      </w:r>
      <w:proofErr w:type="spellEnd"/>
      <w:r w:rsidR="00206D69" w:rsidRPr="00F8489F">
        <w:rPr>
          <w:rFonts w:ascii="Verdana" w:eastAsia="Verdana" w:hAnsi="Verdana"/>
          <w:color w:val="0070C0"/>
        </w:rPr>
        <w:t xml:space="preserve">) w odniesieniu do </w:t>
      </w:r>
      <w:r w:rsidR="008024A3">
        <w:rPr>
          <w:rFonts w:ascii="Verdana" w:eastAsia="Verdana" w:hAnsi="Verdana"/>
          <w:color w:val="0070C0"/>
        </w:rPr>
        <w:t xml:space="preserve">skarżącej </w:t>
      </w:r>
      <w:r w:rsidR="00206D69" w:rsidRPr="00F8489F">
        <w:rPr>
          <w:rFonts w:ascii="Verdana" w:eastAsia="Verdana" w:hAnsi="Verdana"/>
          <w:color w:val="0070C0"/>
        </w:rPr>
        <w:t xml:space="preserve">organizacji religijnej oraz w odniesieniu do jednej z trzech pozostałych skarżących, ponieważ w rzeczywistości nie doszło do ujawnienia jej akt medycznych, co nie było przedmiotem sporu między stronami. </w:t>
      </w:r>
      <w:r w:rsidR="008024A3">
        <w:rPr>
          <w:rFonts w:ascii="Verdana" w:eastAsia="Verdana" w:hAnsi="Verdana"/>
          <w:color w:val="0070C0"/>
        </w:rPr>
        <w:t>Trybunał</w:t>
      </w:r>
      <w:r w:rsidR="00206D69" w:rsidRPr="00F8489F">
        <w:rPr>
          <w:rFonts w:ascii="Verdana" w:eastAsia="Verdana" w:hAnsi="Verdana"/>
          <w:color w:val="0070C0"/>
        </w:rPr>
        <w:t xml:space="preserve"> orzekł ponadto, że nastąpiło </w:t>
      </w:r>
      <w:r w:rsidR="00206D69" w:rsidRPr="00F8489F">
        <w:rPr>
          <w:rFonts w:ascii="Verdana" w:eastAsia="Verdana" w:hAnsi="Verdana"/>
          <w:b/>
          <w:color w:val="0070C0"/>
        </w:rPr>
        <w:t>naruszenie art. 8</w:t>
      </w:r>
      <w:r w:rsidR="00206D69" w:rsidRPr="00F8489F">
        <w:rPr>
          <w:rFonts w:ascii="Verdana" w:eastAsia="Verdana" w:hAnsi="Verdana"/>
          <w:color w:val="0070C0"/>
        </w:rPr>
        <w:t xml:space="preserve"> </w:t>
      </w:r>
      <w:r w:rsidR="008024A3">
        <w:rPr>
          <w:rFonts w:ascii="Verdana" w:eastAsia="Verdana" w:hAnsi="Verdana"/>
          <w:color w:val="0070C0"/>
        </w:rPr>
        <w:t>K</w:t>
      </w:r>
      <w:r w:rsidR="00206D69" w:rsidRPr="00F8489F">
        <w:rPr>
          <w:rFonts w:ascii="Verdana" w:eastAsia="Verdana" w:hAnsi="Verdana"/>
          <w:color w:val="0070C0"/>
        </w:rPr>
        <w:t xml:space="preserve">onwencji w odniesieniu do dwóch pozostałych skarżących. </w:t>
      </w:r>
      <w:r w:rsidR="008024A3">
        <w:rPr>
          <w:rFonts w:ascii="Verdana" w:eastAsia="Verdana" w:hAnsi="Verdana"/>
          <w:color w:val="0070C0"/>
        </w:rPr>
        <w:t>Trybunał</w:t>
      </w:r>
      <w:r w:rsidR="00206D69" w:rsidRPr="00F8489F">
        <w:rPr>
          <w:rFonts w:ascii="Verdana" w:eastAsia="Verdana" w:hAnsi="Verdana"/>
          <w:color w:val="0070C0"/>
        </w:rPr>
        <w:t xml:space="preserve"> stwierdził w szczególności, że nie istniała pilna potrzeba społeczna ujawnienia poufnych informacji medycznych na ich temat. Ponadto środki zastosowane przez prokuratora do przeprowadzenia dochodzenia, polegające na ujawnieniu informacji poufnych bez uprzedniego ostrzeżenia lub możliwości zgłoszenia sprzeciwu, nie mus</w:t>
      </w:r>
      <w:r w:rsidR="00730C0B">
        <w:rPr>
          <w:rFonts w:ascii="Verdana" w:eastAsia="Verdana" w:hAnsi="Verdana"/>
          <w:color w:val="0070C0"/>
        </w:rPr>
        <w:t>iały</w:t>
      </w:r>
      <w:r w:rsidR="00206D69" w:rsidRPr="00F8489F">
        <w:rPr>
          <w:rFonts w:ascii="Verdana" w:eastAsia="Verdana" w:hAnsi="Verdana"/>
          <w:color w:val="0070C0"/>
        </w:rPr>
        <w:t xml:space="preserve"> być tak uciążliwe dla skarżących. W związku z tym władze nie podjęły żadnego wysiłku w celu znalezienia właściwej równowagi pomiędzy, z jednej strony, prawem skarżących do poszanowania ich życia prywatnego, a z drugiej strony, celem prokuratora, jakim jest ochrona zdrowia publicznego.</w:t>
      </w:r>
    </w:p>
    <w:p w14:paraId="305F53E9" w14:textId="6503DCFD" w:rsidR="00F832FE" w:rsidRDefault="009E5122" w:rsidP="00AB713F">
      <w:pPr>
        <w:spacing w:before="120" w:line="0" w:lineRule="atLeast"/>
        <w:ind w:left="740"/>
        <w:rPr>
          <w:rFonts w:ascii="Verdana" w:eastAsia="Verdana" w:hAnsi="Verdana"/>
          <w:color w:val="404040"/>
        </w:rPr>
      </w:pPr>
      <w:r>
        <w:rPr>
          <w:rFonts w:ascii="Verdana" w:eastAsia="Verdana" w:hAnsi="Verdana"/>
          <w:i/>
          <w:color w:val="404040"/>
        </w:rPr>
        <w:t>Zobacz również</w:t>
      </w:r>
      <w:r w:rsidR="00F832FE">
        <w:rPr>
          <w:rFonts w:ascii="Verdana" w:eastAsia="Verdana" w:hAnsi="Verdana"/>
          <w:color w:val="404040"/>
        </w:rPr>
        <w:t>:</w:t>
      </w:r>
      <w:r w:rsidR="00F832FE">
        <w:rPr>
          <w:rFonts w:ascii="Verdana" w:eastAsia="Verdana" w:hAnsi="Verdana"/>
          <w:i/>
          <w:color w:val="404040"/>
        </w:rPr>
        <w:t xml:space="preserve"> </w:t>
      </w:r>
      <w:hyperlink r:id="rId96" w:history="1">
        <w:r>
          <w:rPr>
            <w:rFonts w:ascii="Verdana" w:eastAsia="Verdana" w:hAnsi="Verdana"/>
            <w:b/>
            <w:color w:val="0072BC"/>
            <w:u w:val="single"/>
          </w:rPr>
          <w:t>Y.Y. przeciwko Rosji</w:t>
        </w:r>
        <w:r w:rsidR="00F832FE">
          <w:rPr>
            <w:rFonts w:ascii="Verdana" w:eastAsia="Verdana" w:hAnsi="Verdana"/>
            <w:b/>
            <w:color w:val="0072BC"/>
            <w:u w:val="single"/>
          </w:rPr>
          <w:t xml:space="preserve"> </w:t>
        </w:r>
        <w:r>
          <w:rPr>
            <w:rFonts w:ascii="Verdana" w:eastAsia="Verdana" w:hAnsi="Verdana"/>
            <w:b/>
            <w:color w:val="0072BC"/>
            <w:u w:val="single"/>
          </w:rPr>
          <w:t>(nr</w:t>
        </w:r>
        <w:r w:rsidR="00F832FE">
          <w:rPr>
            <w:rFonts w:ascii="Verdana" w:eastAsia="Verdana" w:hAnsi="Verdana"/>
            <w:b/>
            <w:color w:val="0072BC"/>
            <w:u w:val="single"/>
          </w:rPr>
          <w:t xml:space="preserve"> 40378/06)</w:t>
        </w:r>
        <w:r w:rsidR="00171252">
          <w:rPr>
            <w:rStyle w:val="Odwoanieprzypisudolnego"/>
            <w:rFonts w:ascii="Verdana" w:eastAsia="Verdana" w:hAnsi="Verdana"/>
            <w:b/>
            <w:color w:val="0072BC"/>
            <w:u w:val="single"/>
          </w:rPr>
          <w:footnoteReference w:id="16"/>
        </w:r>
        <w:r w:rsidR="00F832FE">
          <w:rPr>
            <w:rFonts w:ascii="Verdana" w:eastAsia="Verdana" w:hAnsi="Verdana"/>
            <w:color w:val="404040"/>
            <w:u w:val="single"/>
          </w:rPr>
          <w:t xml:space="preserve">, </w:t>
        </w:r>
      </w:hyperlink>
      <w:r>
        <w:rPr>
          <w:rFonts w:ascii="Verdana" w:eastAsia="Verdana" w:hAnsi="Verdana"/>
          <w:i/>
          <w:color w:val="404040"/>
        </w:rPr>
        <w:t>wyrok</w:t>
      </w:r>
      <w:r w:rsidR="00F832FE">
        <w:rPr>
          <w:rFonts w:ascii="Verdana" w:eastAsia="Verdana" w:hAnsi="Verdana"/>
          <w:i/>
          <w:color w:val="404040"/>
        </w:rPr>
        <w:t xml:space="preserve"> </w:t>
      </w:r>
      <w:r>
        <w:rPr>
          <w:rFonts w:ascii="Verdana" w:eastAsia="Verdana" w:hAnsi="Verdana"/>
          <w:color w:val="404040"/>
        </w:rPr>
        <w:t>z dnia 23 lutego</w:t>
      </w:r>
      <w:r w:rsidR="00F832FE">
        <w:rPr>
          <w:rFonts w:ascii="Verdana" w:eastAsia="Verdana" w:hAnsi="Verdana"/>
          <w:color w:val="404040"/>
        </w:rPr>
        <w:t xml:space="preserve"> 2016</w:t>
      </w:r>
      <w:r>
        <w:rPr>
          <w:rFonts w:ascii="Verdana" w:eastAsia="Verdana" w:hAnsi="Verdana"/>
          <w:color w:val="404040"/>
        </w:rPr>
        <w:t xml:space="preserve"> r</w:t>
      </w:r>
      <w:r w:rsidR="00730C0B">
        <w:rPr>
          <w:rFonts w:ascii="Verdana" w:eastAsia="Verdana" w:hAnsi="Verdana"/>
          <w:color w:val="404040"/>
        </w:rPr>
        <w:t>oku</w:t>
      </w:r>
      <w:r w:rsidR="00F832FE">
        <w:rPr>
          <w:rFonts w:ascii="Verdana" w:eastAsia="Verdana" w:hAnsi="Verdana"/>
          <w:color w:val="404040"/>
        </w:rPr>
        <w:t>.</w:t>
      </w:r>
    </w:p>
    <w:p w14:paraId="5422D4B4" w14:textId="124E4C93" w:rsidR="00F832FE" w:rsidRPr="00A14197" w:rsidRDefault="009E5122" w:rsidP="00AB713F">
      <w:pPr>
        <w:spacing w:before="120" w:line="0" w:lineRule="atLeast"/>
        <w:ind w:left="740"/>
        <w:rPr>
          <w:rStyle w:val="Hipercze"/>
          <w:rFonts w:ascii="Verdana" w:hAnsi="Verdana"/>
          <w:b/>
          <w:color w:val="0072BC"/>
        </w:rPr>
      </w:pPr>
      <w:hyperlink r:id="rId97" w:anchor="{%22itemid%22:[%22001-142398%22]}" w:history="1">
        <w:r w:rsidRPr="00BF1406">
          <w:rPr>
            <w:rStyle w:val="Hipercze"/>
            <w:rFonts w:ascii="Verdana" w:hAnsi="Verdana"/>
            <w:b/>
          </w:rPr>
          <w:t>Radu przeciwko Republice Mołdawii</w:t>
        </w:r>
      </w:hyperlink>
    </w:p>
    <w:p w14:paraId="5746ED08" w14:textId="77777777" w:rsidR="00F832FE" w:rsidRDefault="00F832FE" w:rsidP="00AB713F">
      <w:pPr>
        <w:spacing w:line="63" w:lineRule="exact"/>
        <w:ind w:left="740"/>
        <w:rPr>
          <w:rFonts w:ascii="Times New Roman" w:eastAsia="Times New Roman" w:hAnsi="Times New Roman"/>
        </w:rPr>
      </w:pPr>
    </w:p>
    <w:p w14:paraId="57003E78" w14:textId="77777777" w:rsidR="00F832FE" w:rsidRDefault="009E5122" w:rsidP="00AB713F">
      <w:pPr>
        <w:spacing w:line="0" w:lineRule="atLeast"/>
        <w:ind w:left="740"/>
        <w:rPr>
          <w:rFonts w:ascii="Verdana" w:eastAsia="Verdana" w:hAnsi="Verdana"/>
          <w:color w:val="808080"/>
          <w:sz w:val="18"/>
        </w:rPr>
      </w:pPr>
      <w:r>
        <w:rPr>
          <w:rFonts w:ascii="Verdana" w:eastAsia="Verdana" w:hAnsi="Verdana"/>
          <w:color w:val="808080"/>
          <w:sz w:val="18"/>
        </w:rPr>
        <w:t xml:space="preserve">15 kwietnia </w:t>
      </w:r>
      <w:r w:rsidR="00F832FE">
        <w:rPr>
          <w:rFonts w:ascii="Verdana" w:eastAsia="Verdana" w:hAnsi="Verdana"/>
          <w:color w:val="808080"/>
          <w:sz w:val="18"/>
        </w:rPr>
        <w:t>2014</w:t>
      </w:r>
      <w:r w:rsidR="00352EC8">
        <w:rPr>
          <w:rFonts w:ascii="Verdana" w:eastAsia="Verdana" w:hAnsi="Verdana"/>
          <w:color w:val="808080"/>
          <w:sz w:val="18"/>
        </w:rPr>
        <w:t xml:space="preserve"> roku</w:t>
      </w:r>
    </w:p>
    <w:p w14:paraId="3F697762" w14:textId="77777777" w:rsidR="00407B53" w:rsidRDefault="00730C0B" w:rsidP="00AB713F">
      <w:pPr>
        <w:spacing w:line="239" w:lineRule="auto"/>
        <w:ind w:left="740" w:right="20"/>
        <w:jc w:val="both"/>
      </w:pPr>
      <w:r>
        <w:rPr>
          <w:rFonts w:ascii="Verdana" w:eastAsia="Verdana" w:hAnsi="Verdana"/>
        </w:rPr>
        <w:t>Skarżąca</w:t>
      </w:r>
      <w:r w:rsidR="00F67C5F">
        <w:rPr>
          <w:rFonts w:ascii="Verdana" w:eastAsia="Verdana" w:hAnsi="Verdana"/>
        </w:rPr>
        <w:t>, wykładowc</w:t>
      </w:r>
      <w:r>
        <w:rPr>
          <w:rFonts w:ascii="Verdana" w:eastAsia="Verdana" w:hAnsi="Verdana"/>
        </w:rPr>
        <w:t>zyni</w:t>
      </w:r>
      <w:r w:rsidR="00F67C5F">
        <w:rPr>
          <w:rFonts w:ascii="Verdana" w:eastAsia="Verdana" w:hAnsi="Verdana"/>
        </w:rPr>
        <w:t xml:space="preserve"> akademii policyjnej, skarżyła ujawnienie </w:t>
      </w:r>
      <w:r>
        <w:rPr>
          <w:rFonts w:ascii="Verdana" w:eastAsia="Verdana" w:hAnsi="Verdana"/>
        </w:rPr>
        <w:t xml:space="preserve">pracodawcy </w:t>
      </w:r>
      <w:r w:rsidR="00F67C5F">
        <w:rPr>
          <w:rFonts w:ascii="Verdana" w:eastAsia="Verdana" w:hAnsi="Verdana"/>
        </w:rPr>
        <w:t xml:space="preserve">przez szpital państwowy </w:t>
      </w:r>
      <w:r w:rsidR="008024A3">
        <w:rPr>
          <w:rFonts w:ascii="Verdana" w:eastAsia="Verdana" w:hAnsi="Verdana"/>
        </w:rPr>
        <w:t xml:space="preserve">jej </w:t>
      </w:r>
      <w:r w:rsidR="00F67C5F">
        <w:rPr>
          <w:rFonts w:ascii="Verdana" w:eastAsia="Verdana" w:hAnsi="Verdana"/>
        </w:rPr>
        <w:t xml:space="preserve">informacji medycznych. Informacje te </w:t>
      </w:r>
      <w:r>
        <w:rPr>
          <w:rFonts w:ascii="Verdana" w:eastAsia="Verdana" w:hAnsi="Verdana"/>
        </w:rPr>
        <w:t>były szeroko rozprowadzone</w:t>
      </w:r>
      <w:r w:rsidR="00F67C5F">
        <w:rPr>
          <w:rFonts w:ascii="Verdana" w:eastAsia="Verdana" w:hAnsi="Verdana"/>
        </w:rPr>
        <w:t xml:space="preserve"> po jej miejscu pracy, a krótko po tym </w:t>
      </w:r>
      <w:r w:rsidR="00E47A33">
        <w:rPr>
          <w:rFonts w:ascii="Verdana" w:eastAsia="Verdana" w:hAnsi="Verdana"/>
        </w:rPr>
        <w:t xml:space="preserve">skarżąca </w:t>
      </w:r>
      <w:r w:rsidR="00F67C5F">
        <w:rPr>
          <w:rFonts w:ascii="Verdana" w:eastAsia="Verdana" w:hAnsi="Verdana"/>
        </w:rPr>
        <w:t>poroniła ze względu</w:t>
      </w:r>
      <w:r w:rsidR="00666FA6">
        <w:rPr>
          <w:rFonts w:ascii="Verdana" w:eastAsia="Verdana" w:hAnsi="Verdana"/>
        </w:rPr>
        <w:t xml:space="preserve"> na</w:t>
      </w:r>
      <w:r w:rsidR="00F67C5F">
        <w:rPr>
          <w:rFonts w:ascii="Verdana" w:eastAsia="Verdana" w:hAnsi="Verdana"/>
        </w:rPr>
        <w:t xml:space="preserve"> stres. Wniosła następnie, nieskutecznie, </w:t>
      </w:r>
      <w:r w:rsidR="008024A3">
        <w:rPr>
          <w:rFonts w:ascii="Verdana" w:eastAsia="Verdana" w:hAnsi="Verdana"/>
        </w:rPr>
        <w:t xml:space="preserve">skargę </w:t>
      </w:r>
      <w:r w:rsidR="00F67C5F">
        <w:rPr>
          <w:rFonts w:ascii="Verdana" w:eastAsia="Verdana" w:hAnsi="Verdana"/>
        </w:rPr>
        <w:t>przeciwko szpitalowi oraz akademii policyjnej.</w:t>
      </w:r>
      <w:r w:rsidR="00407B53" w:rsidRPr="00407B53">
        <w:t xml:space="preserve"> </w:t>
      </w:r>
      <w:r>
        <w:t xml:space="preserve"> </w:t>
      </w:r>
    </w:p>
    <w:p w14:paraId="4C15B2C2" w14:textId="77777777" w:rsidR="00F832FE" w:rsidRDefault="00407B53" w:rsidP="00AB713F">
      <w:pPr>
        <w:spacing w:line="239" w:lineRule="auto"/>
        <w:ind w:left="740" w:right="20"/>
        <w:jc w:val="both"/>
        <w:rPr>
          <w:rFonts w:ascii="Verdana" w:eastAsia="Verdana" w:hAnsi="Verdana"/>
          <w:color w:val="0070C0"/>
        </w:rPr>
      </w:pPr>
      <w:r w:rsidRPr="00407B53">
        <w:rPr>
          <w:rFonts w:ascii="Verdana" w:eastAsia="Verdana" w:hAnsi="Verdana"/>
          <w:color w:val="0070C0"/>
        </w:rPr>
        <w:t xml:space="preserve">Trybunał orzekł, że </w:t>
      </w:r>
      <w:r w:rsidRPr="00407B53">
        <w:rPr>
          <w:rFonts w:ascii="Verdana" w:eastAsia="Verdana" w:hAnsi="Verdana"/>
          <w:b/>
          <w:color w:val="0070C0"/>
        </w:rPr>
        <w:t xml:space="preserve">nastąpiło naruszenie </w:t>
      </w:r>
      <w:r w:rsidR="00E47A33">
        <w:rPr>
          <w:rFonts w:ascii="Verdana" w:eastAsia="Verdana" w:hAnsi="Verdana"/>
          <w:b/>
          <w:color w:val="0070C0"/>
        </w:rPr>
        <w:t>art.</w:t>
      </w:r>
      <w:r w:rsidRPr="00407B53">
        <w:rPr>
          <w:rFonts w:ascii="Verdana" w:eastAsia="Verdana" w:hAnsi="Verdana"/>
          <w:b/>
          <w:color w:val="0070C0"/>
        </w:rPr>
        <w:t xml:space="preserve"> 8</w:t>
      </w:r>
      <w:r w:rsidRPr="00407B53">
        <w:rPr>
          <w:rFonts w:ascii="Verdana" w:eastAsia="Verdana" w:hAnsi="Verdana"/>
          <w:color w:val="0070C0"/>
        </w:rPr>
        <w:t xml:space="preserve"> Konwencji, uznając, że ingerencja w wykonywanie prawa do p</w:t>
      </w:r>
      <w:r>
        <w:rPr>
          <w:rFonts w:ascii="Verdana" w:eastAsia="Verdana" w:hAnsi="Verdana"/>
          <w:color w:val="0070C0"/>
        </w:rPr>
        <w:t>oszanowania życia prywatnego,</w:t>
      </w:r>
      <w:r w:rsidRPr="00407B53">
        <w:rPr>
          <w:rFonts w:ascii="Verdana" w:eastAsia="Verdana" w:hAnsi="Verdana"/>
          <w:color w:val="0070C0"/>
        </w:rPr>
        <w:t xml:space="preserve"> które </w:t>
      </w:r>
      <w:r>
        <w:rPr>
          <w:rFonts w:ascii="Verdana" w:eastAsia="Verdana" w:hAnsi="Verdana"/>
          <w:color w:val="0070C0"/>
        </w:rPr>
        <w:t>podnosiła skarżąca, nie była „</w:t>
      </w:r>
      <w:r w:rsidRPr="00407B53">
        <w:rPr>
          <w:rFonts w:ascii="Verdana" w:eastAsia="Verdana" w:hAnsi="Verdana"/>
          <w:color w:val="0070C0"/>
        </w:rPr>
        <w:t>zg</w:t>
      </w:r>
      <w:r>
        <w:rPr>
          <w:rFonts w:ascii="Verdana" w:eastAsia="Verdana" w:hAnsi="Verdana"/>
          <w:color w:val="0070C0"/>
        </w:rPr>
        <w:t xml:space="preserve">odna z prawem” w rozumieniu </w:t>
      </w:r>
      <w:r w:rsidR="00E47A33">
        <w:rPr>
          <w:rFonts w:ascii="Verdana" w:eastAsia="Verdana" w:hAnsi="Verdana"/>
          <w:color w:val="0070C0"/>
        </w:rPr>
        <w:t>art.</w:t>
      </w:r>
      <w:r w:rsidRPr="00407B53">
        <w:rPr>
          <w:rFonts w:ascii="Verdana" w:eastAsia="Verdana" w:hAnsi="Verdana"/>
          <w:color w:val="0070C0"/>
        </w:rPr>
        <w:t xml:space="preserve"> 8.</w:t>
      </w:r>
    </w:p>
    <w:p w14:paraId="7777933E" w14:textId="0631951E" w:rsidR="00EA6461" w:rsidRPr="00A14197" w:rsidRDefault="00EA6461" w:rsidP="00AB713F">
      <w:pPr>
        <w:spacing w:before="120" w:line="0" w:lineRule="atLeast"/>
        <w:ind w:left="740"/>
        <w:rPr>
          <w:rStyle w:val="Hipercze"/>
          <w:rFonts w:ascii="Verdana" w:hAnsi="Verdana"/>
          <w:b/>
          <w:color w:val="0072BC"/>
        </w:rPr>
      </w:pPr>
      <w:hyperlink r:id="rId98" w:anchor="{%22itemid%22:[%22003-5160406-6379504%22]}" w:history="1">
        <w:proofErr w:type="spellStart"/>
        <w:r w:rsidRPr="00BF1406">
          <w:rPr>
            <w:rStyle w:val="Hipercze"/>
            <w:rFonts w:ascii="Verdana" w:hAnsi="Verdana"/>
            <w:b/>
          </w:rPr>
          <w:t>Sõro</w:t>
        </w:r>
        <w:proofErr w:type="spellEnd"/>
        <w:r w:rsidRPr="00BF1406">
          <w:rPr>
            <w:rStyle w:val="Hipercze"/>
            <w:rFonts w:ascii="Verdana" w:hAnsi="Verdana"/>
            <w:b/>
          </w:rPr>
          <w:t xml:space="preserve"> </w:t>
        </w:r>
        <w:r w:rsidR="00B24D57" w:rsidRPr="00BF1406">
          <w:rPr>
            <w:rStyle w:val="Hipercze"/>
            <w:rFonts w:ascii="Verdana" w:hAnsi="Verdana"/>
            <w:b/>
          </w:rPr>
          <w:t>przeciwko</w:t>
        </w:r>
        <w:r w:rsidRPr="00BF1406">
          <w:rPr>
            <w:rStyle w:val="Hipercze"/>
            <w:rFonts w:ascii="Verdana" w:hAnsi="Verdana"/>
            <w:b/>
          </w:rPr>
          <w:t xml:space="preserve"> Estoni</w:t>
        </w:r>
        <w:r w:rsidR="00B24D57" w:rsidRPr="00BF1406">
          <w:rPr>
            <w:rStyle w:val="Hipercze"/>
            <w:rFonts w:ascii="Verdana" w:hAnsi="Verdana"/>
            <w:b/>
          </w:rPr>
          <w:t>i</w:t>
        </w:r>
      </w:hyperlink>
    </w:p>
    <w:p w14:paraId="41589866" w14:textId="77777777" w:rsidR="00EA6461" w:rsidRPr="00F8489F" w:rsidRDefault="00EA6461" w:rsidP="00AB713F">
      <w:pPr>
        <w:spacing w:line="239" w:lineRule="auto"/>
        <w:ind w:left="740" w:right="20"/>
        <w:jc w:val="both"/>
        <w:rPr>
          <w:rFonts w:ascii="Verdana" w:eastAsia="Verdana" w:hAnsi="Verdana"/>
          <w:color w:val="7F7F7F"/>
          <w:sz w:val="18"/>
        </w:rPr>
      </w:pPr>
      <w:r w:rsidRPr="00F8489F">
        <w:rPr>
          <w:rFonts w:ascii="Verdana" w:eastAsia="Verdana" w:hAnsi="Verdana"/>
          <w:color w:val="7F7F7F"/>
          <w:sz w:val="18"/>
        </w:rPr>
        <w:t>3 września 2015 r</w:t>
      </w:r>
      <w:r w:rsidR="00E47A33">
        <w:rPr>
          <w:rFonts w:ascii="Verdana" w:eastAsia="Verdana" w:hAnsi="Verdana"/>
          <w:color w:val="7F7F7F"/>
          <w:sz w:val="18"/>
        </w:rPr>
        <w:t>oku</w:t>
      </w:r>
    </w:p>
    <w:p w14:paraId="7EDB6A07" w14:textId="77777777" w:rsidR="00EA6461" w:rsidRPr="00F8489F" w:rsidRDefault="00EA6461" w:rsidP="00AB713F">
      <w:pPr>
        <w:spacing w:line="239" w:lineRule="auto"/>
        <w:ind w:left="740" w:right="20"/>
        <w:jc w:val="both"/>
        <w:rPr>
          <w:rFonts w:ascii="Verdana" w:eastAsia="Verdana" w:hAnsi="Verdana"/>
        </w:rPr>
      </w:pPr>
      <w:r w:rsidRPr="00F8489F">
        <w:rPr>
          <w:rFonts w:ascii="Verdana" w:eastAsia="Verdana" w:hAnsi="Verdana"/>
        </w:rPr>
        <w:t xml:space="preserve">Niniejsza sprawa dotyczyła skargi złożonej przez skarżącego w związku z faktem </w:t>
      </w:r>
      <w:r w:rsidR="00B24D57">
        <w:rPr>
          <w:rFonts w:ascii="Verdana" w:eastAsia="Verdana" w:hAnsi="Verdana"/>
        </w:rPr>
        <w:t>opublikowania</w:t>
      </w:r>
      <w:r w:rsidRPr="00F8489F">
        <w:rPr>
          <w:rFonts w:ascii="Verdana" w:eastAsia="Verdana" w:hAnsi="Verdana"/>
        </w:rPr>
        <w:t xml:space="preserve"> informacj</w:t>
      </w:r>
      <w:r w:rsidR="00B24D57">
        <w:rPr>
          <w:rFonts w:ascii="Verdana" w:eastAsia="Verdana" w:hAnsi="Verdana"/>
        </w:rPr>
        <w:t>i</w:t>
      </w:r>
      <w:r w:rsidRPr="00F8489F">
        <w:rPr>
          <w:rFonts w:ascii="Verdana" w:eastAsia="Verdana" w:hAnsi="Verdana"/>
        </w:rPr>
        <w:t xml:space="preserve"> o jego zatrudnieniu w </w:t>
      </w:r>
      <w:r w:rsidR="008024A3">
        <w:rPr>
          <w:rFonts w:ascii="Verdana" w:eastAsia="Verdana" w:hAnsi="Verdana"/>
        </w:rPr>
        <w:t>okresie</w:t>
      </w:r>
      <w:r w:rsidRPr="00F8489F">
        <w:rPr>
          <w:rFonts w:ascii="Verdana" w:eastAsia="Verdana" w:hAnsi="Verdana"/>
        </w:rPr>
        <w:t xml:space="preserve"> Związku Radzieckiego jako kierowcy Komitetu Bezpieczeństwa </w:t>
      </w:r>
      <w:r w:rsidR="008024A3">
        <w:rPr>
          <w:rFonts w:ascii="Verdana" w:eastAsia="Verdana" w:hAnsi="Verdana"/>
        </w:rPr>
        <w:t>Publicznego</w:t>
      </w:r>
      <w:r w:rsidRPr="00F8489F">
        <w:rPr>
          <w:rFonts w:ascii="Verdana" w:eastAsia="Verdana" w:hAnsi="Verdana"/>
        </w:rPr>
        <w:t xml:space="preserve"> ZSRR (KGB) w estońskim dzienniku urzędowym w 2004 roku.</w:t>
      </w:r>
    </w:p>
    <w:p w14:paraId="427F7ABD" w14:textId="77777777" w:rsidR="00F832FE" w:rsidRPr="00A14197" w:rsidRDefault="008024A3" w:rsidP="00AB713F">
      <w:pPr>
        <w:spacing w:line="239" w:lineRule="auto"/>
        <w:ind w:left="740" w:right="20"/>
        <w:jc w:val="both"/>
        <w:rPr>
          <w:rStyle w:val="Hipercze"/>
          <w:rFonts w:ascii="Verdana" w:hAnsi="Verdana"/>
          <w:b/>
          <w:color w:val="0072BC"/>
        </w:rPr>
      </w:pPr>
      <w:r>
        <w:rPr>
          <w:rFonts w:ascii="Verdana" w:eastAsia="Verdana" w:hAnsi="Verdana"/>
          <w:color w:val="0070C0"/>
        </w:rPr>
        <w:lastRenderedPageBreak/>
        <w:t>Trybunał</w:t>
      </w:r>
      <w:r w:rsidR="00EA6461" w:rsidRPr="00EA6461">
        <w:rPr>
          <w:rFonts w:ascii="Verdana" w:eastAsia="Verdana" w:hAnsi="Verdana"/>
          <w:color w:val="0070C0"/>
        </w:rPr>
        <w:t xml:space="preserve"> orzekł, że nastąpiło </w:t>
      </w:r>
      <w:r w:rsidR="00EA6461" w:rsidRPr="00F8489F">
        <w:rPr>
          <w:rFonts w:ascii="Verdana" w:eastAsia="Verdana" w:hAnsi="Verdana"/>
          <w:b/>
          <w:color w:val="0070C0"/>
        </w:rPr>
        <w:t>naruszenie art. 8</w:t>
      </w:r>
      <w:r w:rsidR="00EA6461" w:rsidRPr="00EA6461">
        <w:rPr>
          <w:rFonts w:ascii="Verdana" w:eastAsia="Verdana" w:hAnsi="Verdana"/>
          <w:color w:val="0070C0"/>
        </w:rPr>
        <w:t xml:space="preserve"> </w:t>
      </w:r>
      <w:r>
        <w:rPr>
          <w:rFonts w:ascii="Verdana" w:eastAsia="Verdana" w:hAnsi="Verdana"/>
          <w:color w:val="0070C0"/>
        </w:rPr>
        <w:t>K</w:t>
      </w:r>
      <w:r w:rsidR="00EA6461" w:rsidRPr="00EA6461">
        <w:rPr>
          <w:rFonts w:ascii="Verdana" w:eastAsia="Verdana" w:hAnsi="Verdana"/>
          <w:color w:val="0070C0"/>
        </w:rPr>
        <w:t xml:space="preserve">onwencji, stwierdzając, że w przypadku skarżącego środek ten był nieproporcjonalny do zamierzonych celów. </w:t>
      </w:r>
      <w:r>
        <w:rPr>
          <w:rFonts w:ascii="Verdana" w:eastAsia="Verdana" w:hAnsi="Verdana"/>
          <w:color w:val="0070C0"/>
        </w:rPr>
        <w:t>Trybunał</w:t>
      </w:r>
      <w:r w:rsidR="00EA6461" w:rsidRPr="00EA6461">
        <w:rPr>
          <w:rFonts w:ascii="Verdana" w:eastAsia="Verdana" w:hAnsi="Verdana"/>
          <w:color w:val="0070C0"/>
        </w:rPr>
        <w:t xml:space="preserve"> zauważył w szczególności, że zgodnie z odpowiednimi przepisami krajowymi informacje o wszystkich pracownikach byłych służb </w:t>
      </w:r>
      <w:r w:rsidR="00B24D57">
        <w:rPr>
          <w:rFonts w:ascii="Verdana" w:eastAsia="Verdana" w:hAnsi="Verdana"/>
          <w:color w:val="0070C0"/>
        </w:rPr>
        <w:t>bezpieczeństwa</w:t>
      </w:r>
      <w:r w:rsidR="00EA6461" w:rsidRPr="00EA6461">
        <w:rPr>
          <w:rFonts w:ascii="Verdana" w:eastAsia="Verdana" w:hAnsi="Verdana"/>
          <w:color w:val="0070C0"/>
        </w:rPr>
        <w:t xml:space="preserve"> - w tym o kierowcach, jak w przypadku skarżącego - zostały opublikowane, niezależnie od tego, jaką funkcję pełnili. Ponadto, podczas gdy ustawa o ujawnianiu informacji weszła w życie trzy i pół roku po ogłoszeniu przez Estonię niepodległości, publikacja informacji o byłych pracownikach służb </w:t>
      </w:r>
      <w:r w:rsidR="00B24D57">
        <w:rPr>
          <w:rFonts w:ascii="Verdana" w:eastAsia="Verdana" w:hAnsi="Verdana"/>
          <w:color w:val="0070C0"/>
        </w:rPr>
        <w:t>bezpieczeństwa</w:t>
      </w:r>
      <w:r w:rsidR="00EA6461" w:rsidRPr="00EA6461">
        <w:rPr>
          <w:rFonts w:ascii="Verdana" w:eastAsia="Verdana" w:hAnsi="Verdana"/>
          <w:color w:val="0070C0"/>
        </w:rPr>
        <w:t xml:space="preserve"> rozciągała się na kilka lat. W przypadku skarżące</w:t>
      </w:r>
      <w:r w:rsidR="00DB724E">
        <w:rPr>
          <w:rFonts w:ascii="Verdana" w:eastAsia="Verdana" w:hAnsi="Verdana"/>
          <w:color w:val="0070C0"/>
        </w:rPr>
        <w:t>go</w:t>
      </w:r>
      <w:r w:rsidR="00EA6461" w:rsidRPr="00EA6461">
        <w:rPr>
          <w:rFonts w:ascii="Verdana" w:eastAsia="Verdana" w:hAnsi="Verdana"/>
          <w:color w:val="0070C0"/>
        </w:rPr>
        <w:t xml:space="preserve"> informacje, o których mowa, zostały opublikowane dopiero w 2004 r</w:t>
      </w:r>
      <w:r w:rsidR="00B24D57">
        <w:rPr>
          <w:rFonts w:ascii="Verdana" w:eastAsia="Verdana" w:hAnsi="Verdana"/>
          <w:color w:val="0070C0"/>
        </w:rPr>
        <w:t>oku</w:t>
      </w:r>
      <w:r w:rsidR="00EA6461" w:rsidRPr="00EA6461">
        <w:rPr>
          <w:rFonts w:ascii="Verdana" w:eastAsia="Verdana" w:hAnsi="Verdana"/>
          <w:color w:val="0070C0"/>
        </w:rPr>
        <w:t>, prawie 13 lat po ogłoszeniu przez Estonię niepodległości i nie dokonano oceny ewentualnego zagrożenia, jakie stanowił skarżąc</w:t>
      </w:r>
      <w:r w:rsidR="00DB724E">
        <w:rPr>
          <w:rFonts w:ascii="Verdana" w:eastAsia="Verdana" w:hAnsi="Verdana"/>
          <w:color w:val="0070C0"/>
        </w:rPr>
        <w:t>y</w:t>
      </w:r>
      <w:r w:rsidR="00EA6461" w:rsidRPr="00EA6461">
        <w:rPr>
          <w:rFonts w:ascii="Verdana" w:eastAsia="Verdana" w:hAnsi="Verdana"/>
          <w:color w:val="0070C0"/>
        </w:rPr>
        <w:t xml:space="preserve"> w chwili publikacji ogłoszenia. Wreszcie, mimo że sama ustawa o ujawnianiu informacji nie nakładała żadnych ograniczeń na zatrudnienie skarżącego, to zgodnie z jego twierdzeniami był on wyśmiewany przez swoich kolegów i zmuszony do odejścia z pracy. </w:t>
      </w:r>
      <w:r w:rsidR="00DB724E">
        <w:rPr>
          <w:rFonts w:ascii="Verdana" w:eastAsia="Verdana" w:hAnsi="Verdana"/>
          <w:color w:val="0070C0"/>
        </w:rPr>
        <w:t>Trybunał</w:t>
      </w:r>
      <w:r w:rsidR="00EA6461" w:rsidRPr="00EA6461">
        <w:rPr>
          <w:rFonts w:ascii="Verdana" w:eastAsia="Verdana" w:hAnsi="Verdana"/>
          <w:color w:val="0070C0"/>
        </w:rPr>
        <w:t xml:space="preserve"> uznał, że nawet </w:t>
      </w:r>
      <w:r w:rsidR="00AB0CA0">
        <w:rPr>
          <w:rFonts w:ascii="Verdana" w:eastAsia="Verdana" w:hAnsi="Verdana"/>
          <w:color w:val="0070C0"/>
        </w:rPr>
        <w:t>jeśli</w:t>
      </w:r>
      <w:r w:rsidR="00EA6461" w:rsidRPr="00EA6461">
        <w:rPr>
          <w:rFonts w:ascii="Verdana" w:eastAsia="Verdana" w:hAnsi="Verdana"/>
          <w:color w:val="0070C0"/>
        </w:rPr>
        <w:t xml:space="preserve"> taki rezultat nie był </w:t>
      </w:r>
      <w:r w:rsidR="00AB0CA0">
        <w:rPr>
          <w:rFonts w:ascii="Verdana" w:eastAsia="Verdana" w:hAnsi="Verdana"/>
          <w:color w:val="0070C0"/>
        </w:rPr>
        <w:t>zamiarem</w:t>
      </w:r>
      <w:r w:rsidR="00EA6461" w:rsidRPr="00EA6461">
        <w:rPr>
          <w:rFonts w:ascii="Verdana" w:eastAsia="Verdana" w:hAnsi="Verdana"/>
          <w:color w:val="0070C0"/>
        </w:rPr>
        <w:t xml:space="preserve"> ustaw</w:t>
      </w:r>
      <w:r w:rsidR="00AB0CA0">
        <w:rPr>
          <w:rFonts w:ascii="Verdana" w:eastAsia="Verdana" w:hAnsi="Verdana"/>
          <w:color w:val="0070C0"/>
        </w:rPr>
        <w:t>y</w:t>
      </w:r>
      <w:r w:rsidR="00EA6461" w:rsidRPr="00EA6461">
        <w:rPr>
          <w:rFonts w:ascii="Verdana" w:eastAsia="Verdana" w:hAnsi="Verdana"/>
          <w:color w:val="0070C0"/>
        </w:rPr>
        <w:t>, to i tak świadczyłby on o tym, jak poważna była ingerencja w prawo skarżącego do poszanowania jego życia prywatnego.</w:t>
      </w:r>
      <w:r w:rsidR="00DB724E" w:rsidRPr="00A14197">
        <w:rPr>
          <w:rStyle w:val="Hipercze"/>
          <w:color w:val="0072BC"/>
        </w:rPr>
        <w:fldChar w:fldCharType="begin"/>
      </w:r>
      <w:r w:rsidR="00DB724E" w:rsidRPr="00A14197">
        <w:rPr>
          <w:rStyle w:val="Hipercze"/>
          <w:color w:val="0072BC"/>
        </w:rPr>
        <w:instrText xml:space="preserve"> HYPERLINK "https://hudoc.echr.coe.int/eng-press?i=003-5767838-7331982" </w:instrText>
      </w:r>
      <w:r w:rsidR="00DB724E" w:rsidRPr="00A14197">
        <w:rPr>
          <w:rStyle w:val="Hipercze"/>
          <w:color w:val="0072BC"/>
        </w:rPr>
      </w:r>
      <w:r w:rsidR="00DB724E" w:rsidRPr="00A14197">
        <w:rPr>
          <w:rStyle w:val="Hipercze"/>
          <w:color w:val="0072BC"/>
        </w:rPr>
        <w:fldChar w:fldCharType="separate"/>
      </w:r>
    </w:p>
    <w:p w14:paraId="2F948997" w14:textId="77777777" w:rsidR="00F832FE" w:rsidRPr="00A14197" w:rsidRDefault="00F832FE" w:rsidP="00AB713F">
      <w:pPr>
        <w:spacing w:before="120" w:line="0" w:lineRule="atLeast"/>
        <w:ind w:left="740"/>
        <w:rPr>
          <w:rStyle w:val="Hipercze"/>
          <w:color w:val="0072BC"/>
        </w:rPr>
      </w:pPr>
      <w:proofErr w:type="spellStart"/>
      <w:r w:rsidRPr="00A14197">
        <w:rPr>
          <w:rStyle w:val="Hipercze"/>
          <w:rFonts w:ascii="Verdana" w:hAnsi="Verdana"/>
          <w:b/>
          <w:color w:val="0072BC"/>
        </w:rPr>
        <w:t>Satakunnan</w:t>
      </w:r>
      <w:proofErr w:type="spellEnd"/>
      <w:r w:rsidRPr="00A14197">
        <w:rPr>
          <w:rStyle w:val="Hipercze"/>
          <w:rFonts w:ascii="Verdana" w:hAnsi="Verdana"/>
          <w:b/>
          <w:color w:val="0072BC"/>
        </w:rPr>
        <w:t xml:space="preserve"> </w:t>
      </w:r>
      <w:proofErr w:type="spellStart"/>
      <w:r w:rsidRPr="00A14197">
        <w:rPr>
          <w:rStyle w:val="Hipercze"/>
          <w:rFonts w:ascii="Verdana" w:hAnsi="Verdana"/>
          <w:b/>
          <w:color w:val="0072BC"/>
        </w:rPr>
        <w:t>Markkinap</w:t>
      </w:r>
      <w:r w:rsidR="00407B53" w:rsidRPr="00A14197">
        <w:rPr>
          <w:rStyle w:val="Hipercze"/>
          <w:rFonts w:ascii="Verdana" w:hAnsi="Verdana"/>
          <w:b/>
          <w:color w:val="0072BC"/>
        </w:rPr>
        <w:t>örssi</w:t>
      </w:r>
      <w:proofErr w:type="spellEnd"/>
      <w:r w:rsidR="00407B53" w:rsidRPr="00A14197">
        <w:rPr>
          <w:rStyle w:val="Hipercze"/>
          <w:rFonts w:ascii="Verdana" w:hAnsi="Verdana"/>
          <w:b/>
          <w:color w:val="0072BC"/>
        </w:rPr>
        <w:t xml:space="preserve"> </w:t>
      </w:r>
      <w:proofErr w:type="spellStart"/>
      <w:r w:rsidR="00407B53" w:rsidRPr="00A14197">
        <w:rPr>
          <w:rStyle w:val="Hipercze"/>
          <w:rFonts w:ascii="Verdana" w:hAnsi="Verdana"/>
          <w:b/>
          <w:color w:val="0072BC"/>
        </w:rPr>
        <w:t>Oy</w:t>
      </w:r>
      <w:proofErr w:type="spellEnd"/>
      <w:r w:rsidR="00407B53" w:rsidRPr="00A14197">
        <w:rPr>
          <w:rStyle w:val="Hipercze"/>
          <w:rFonts w:ascii="Verdana" w:hAnsi="Verdana"/>
          <w:b/>
          <w:color w:val="0072BC"/>
        </w:rPr>
        <w:t xml:space="preserve"> i </w:t>
      </w:r>
      <w:proofErr w:type="spellStart"/>
      <w:r w:rsidR="00407B53" w:rsidRPr="00A14197">
        <w:rPr>
          <w:rStyle w:val="Hipercze"/>
          <w:rFonts w:ascii="Verdana" w:hAnsi="Verdana"/>
          <w:b/>
          <w:color w:val="0072BC"/>
        </w:rPr>
        <w:t>Satamedia</w:t>
      </w:r>
      <w:proofErr w:type="spellEnd"/>
      <w:r w:rsidR="00407B53" w:rsidRPr="00A14197">
        <w:rPr>
          <w:rStyle w:val="Hipercze"/>
          <w:rFonts w:ascii="Verdana" w:hAnsi="Verdana"/>
          <w:b/>
          <w:color w:val="0072BC"/>
        </w:rPr>
        <w:t xml:space="preserve"> </w:t>
      </w:r>
      <w:proofErr w:type="spellStart"/>
      <w:r w:rsidR="00407B53" w:rsidRPr="00A14197">
        <w:rPr>
          <w:rStyle w:val="Hipercze"/>
          <w:rFonts w:ascii="Verdana" w:hAnsi="Verdana"/>
          <w:b/>
          <w:color w:val="0072BC"/>
        </w:rPr>
        <w:t>Oy</w:t>
      </w:r>
      <w:proofErr w:type="spellEnd"/>
      <w:r w:rsidR="00407B53" w:rsidRPr="00A14197">
        <w:rPr>
          <w:rStyle w:val="Hipercze"/>
          <w:rFonts w:ascii="Verdana" w:hAnsi="Verdana"/>
          <w:b/>
          <w:color w:val="0072BC"/>
        </w:rPr>
        <w:t xml:space="preserve"> przeciwko</w:t>
      </w:r>
      <w:r w:rsidRPr="00A14197">
        <w:rPr>
          <w:rStyle w:val="Hipercze"/>
          <w:rFonts w:ascii="Verdana" w:hAnsi="Verdana"/>
          <w:b/>
          <w:color w:val="0072BC"/>
        </w:rPr>
        <w:t xml:space="preserve"> Finland</w:t>
      </w:r>
      <w:r w:rsidR="00407B53" w:rsidRPr="00A14197">
        <w:rPr>
          <w:rStyle w:val="Hipercze"/>
          <w:rFonts w:ascii="Verdana" w:hAnsi="Verdana"/>
          <w:b/>
          <w:color w:val="0072BC"/>
        </w:rPr>
        <w:t>ii</w:t>
      </w:r>
      <w:r w:rsidR="00DB724E" w:rsidRPr="00A14197">
        <w:rPr>
          <w:rStyle w:val="Hipercze"/>
          <w:color w:val="0072BC"/>
        </w:rPr>
        <w:fldChar w:fldCharType="end"/>
      </w:r>
    </w:p>
    <w:p w14:paraId="706F3307" w14:textId="77777777" w:rsidR="00F832FE" w:rsidRDefault="00F832FE" w:rsidP="00AB713F">
      <w:pPr>
        <w:spacing w:line="63" w:lineRule="exact"/>
        <w:ind w:left="740"/>
        <w:rPr>
          <w:rFonts w:ascii="Times New Roman" w:eastAsia="Times New Roman" w:hAnsi="Times New Roman"/>
        </w:rPr>
      </w:pPr>
    </w:p>
    <w:p w14:paraId="75059730" w14:textId="77777777" w:rsidR="00F832FE" w:rsidRPr="008B33E0" w:rsidRDefault="00407B53" w:rsidP="00AB713F">
      <w:pPr>
        <w:spacing w:line="0" w:lineRule="atLeast"/>
        <w:ind w:left="740"/>
        <w:rPr>
          <w:rFonts w:ascii="Verdana" w:eastAsia="Verdana" w:hAnsi="Verdana"/>
          <w:color w:val="808080"/>
          <w:sz w:val="16"/>
          <w:szCs w:val="16"/>
        </w:rPr>
      </w:pPr>
      <w:r w:rsidRPr="008B33E0">
        <w:rPr>
          <w:rFonts w:ascii="Verdana" w:eastAsia="Verdana" w:hAnsi="Verdana"/>
          <w:color w:val="808080"/>
          <w:sz w:val="16"/>
          <w:szCs w:val="16"/>
        </w:rPr>
        <w:t>27 czerwca 2017</w:t>
      </w:r>
      <w:r w:rsidR="00352EC8" w:rsidRPr="008B33E0">
        <w:rPr>
          <w:rFonts w:ascii="Verdana" w:eastAsia="Verdana" w:hAnsi="Verdana"/>
          <w:color w:val="808080"/>
          <w:sz w:val="16"/>
          <w:szCs w:val="16"/>
        </w:rPr>
        <w:t xml:space="preserve"> roku</w:t>
      </w:r>
      <w:r w:rsidRPr="008B33E0">
        <w:rPr>
          <w:rFonts w:ascii="Verdana" w:eastAsia="Verdana" w:hAnsi="Verdana"/>
          <w:color w:val="808080"/>
          <w:sz w:val="16"/>
          <w:szCs w:val="16"/>
        </w:rPr>
        <w:t xml:space="preserve"> (Wielka Izba</w:t>
      </w:r>
      <w:r w:rsidR="00F832FE" w:rsidRPr="008B33E0">
        <w:rPr>
          <w:rFonts w:ascii="Verdana" w:eastAsia="Verdana" w:hAnsi="Verdana"/>
          <w:color w:val="808080"/>
          <w:sz w:val="16"/>
          <w:szCs w:val="16"/>
        </w:rPr>
        <w:t>)</w:t>
      </w:r>
    </w:p>
    <w:p w14:paraId="7286122F" w14:textId="77777777" w:rsidR="00F832FE" w:rsidRDefault="00407B53" w:rsidP="00AB713F">
      <w:pPr>
        <w:spacing w:line="0" w:lineRule="atLeast"/>
        <w:ind w:left="740" w:right="20"/>
        <w:jc w:val="both"/>
        <w:rPr>
          <w:rFonts w:ascii="Verdana" w:eastAsia="Verdana" w:hAnsi="Verdana"/>
        </w:rPr>
      </w:pPr>
      <w:r>
        <w:rPr>
          <w:rFonts w:ascii="Verdana" w:eastAsia="Verdana" w:hAnsi="Verdana"/>
        </w:rPr>
        <w:t xml:space="preserve">Po tym jak </w:t>
      </w:r>
      <w:r w:rsidR="00352EC8">
        <w:rPr>
          <w:rFonts w:ascii="Verdana" w:eastAsia="Verdana" w:hAnsi="Verdana"/>
        </w:rPr>
        <w:t>dwa</w:t>
      </w:r>
      <w:r>
        <w:rPr>
          <w:rFonts w:ascii="Verdana" w:eastAsia="Verdana" w:hAnsi="Verdana"/>
        </w:rPr>
        <w:t xml:space="preserve"> przedsiębiorstwa opublikował</w:t>
      </w:r>
      <w:r w:rsidR="003A7187">
        <w:rPr>
          <w:rFonts w:ascii="Verdana" w:eastAsia="Verdana" w:hAnsi="Verdana"/>
        </w:rPr>
        <w:t>y informacje dotyczące podatk</w:t>
      </w:r>
      <w:r w:rsidR="00A27E13">
        <w:rPr>
          <w:rFonts w:ascii="Verdana" w:eastAsia="Verdana" w:hAnsi="Verdana"/>
        </w:rPr>
        <w:t>ów</w:t>
      </w:r>
      <w:r w:rsidR="003A7187">
        <w:rPr>
          <w:rFonts w:ascii="Verdana" w:eastAsia="Verdana" w:hAnsi="Verdana"/>
        </w:rPr>
        <w:t xml:space="preserve"> 1.2 milion</w:t>
      </w:r>
      <w:r w:rsidR="00DB724E">
        <w:rPr>
          <w:rFonts w:ascii="Verdana" w:eastAsia="Verdana" w:hAnsi="Verdana"/>
        </w:rPr>
        <w:t>a</w:t>
      </w:r>
      <w:r>
        <w:rPr>
          <w:rFonts w:ascii="Verdana" w:eastAsia="Verdana" w:hAnsi="Verdana"/>
        </w:rPr>
        <w:t xml:space="preserve"> osób fizycznych</w:t>
      </w:r>
      <w:r w:rsidR="00F832FE">
        <w:rPr>
          <w:rFonts w:ascii="Verdana" w:eastAsia="Verdana" w:hAnsi="Verdana"/>
        </w:rPr>
        <w:t>,</w:t>
      </w:r>
      <w:r>
        <w:rPr>
          <w:rFonts w:ascii="Verdana" w:eastAsia="Verdana" w:hAnsi="Verdana"/>
        </w:rPr>
        <w:t xml:space="preserve"> sądy krajowe orzekły, </w:t>
      </w:r>
      <w:r w:rsidRPr="00407B53">
        <w:rPr>
          <w:rFonts w:ascii="Verdana" w:eastAsia="Verdana" w:hAnsi="Verdana"/>
        </w:rPr>
        <w:t xml:space="preserve">że taka </w:t>
      </w:r>
      <w:r w:rsidR="00A27E13">
        <w:rPr>
          <w:rFonts w:ascii="Verdana" w:eastAsia="Verdana" w:hAnsi="Verdana"/>
        </w:rPr>
        <w:t>masowa</w:t>
      </w:r>
      <w:r w:rsidRPr="00407B53">
        <w:rPr>
          <w:rFonts w:ascii="Verdana" w:eastAsia="Verdana" w:hAnsi="Verdana"/>
        </w:rPr>
        <w:t xml:space="preserve"> publikacja danych osobowych była niezgodna z prawem w świetle przepisów o ochronie danych i zakazały taki</w:t>
      </w:r>
      <w:r w:rsidR="00A27E13">
        <w:rPr>
          <w:rFonts w:ascii="Verdana" w:eastAsia="Verdana" w:hAnsi="Verdana"/>
        </w:rPr>
        <w:t>ch</w:t>
      </w:r>
      <w:r w:rsidRPr="00407B53">
        <w:rPr>
          <w:rFonts w:ascii="Verdana" w:eastAsia="Verdana" w:hAnsi="Verdana"/>
        </w:rPr>
        <w:t xml:space="preserve"> publikacji w przyszłości. Przedsiębiorstwa skarżyły się, że zakaz ten naruszył ich prawo do wolności </w:t>
      </w:r>
      <w:r w:rsidR="00DB724E">
        <w:rPr>
          <w:rFonts w:ascii="Verdana" w:eastAsia="Verdana" w:hAnsi="Verdana"/>
        </w:rPr>
        <w:t>wyrażania opinii</w:t>
      </w:r>
      <w:r w:rsidRPr="00407B53">
        <w:rPr>
          <w:rFonts w:ascii="Verdana" w:eastAsia="Verdana" w:hAnsi="Verdana"/>
        </w:rPr>
        <w:t>.</w:t>
      </w:r>
      <w:r>
        <w:rPr>
          <w:rFonts w:ascii="Verdana" w:eastAsia="Verdana" w:hAnsi="Verdana"/>
        </w:rPr>
        <w:t xml:space="preserve"> </w:t>
      </w:r>
    </w:p>
    <w:p w14:paraId="1C7477C2" w14:textId="77777777" w:rsidR="00407B53" w:rsidRDefault="00407B53" w:rsidP="00AB713F">
      <w:pPr>
        <w:spacing w:line="0" w:lineRule="atLeast"/>
        <w:ind w:left="740" w:right="20"/>
        <w:jc w:val="both"/>
        <w:rPr>
          <w:rFonts w:ascii="Verdana" w:eastAsia="Verdana" w:hAnsi="Verdana"/>
          <w:color w:val="0070C0"/>
        </w:rPr>
      </w:pPr>
      <w:r w:rsidRPr="00407B53">
        <w:rPr>
          <w:rFonts w:ascii="Verdana" w:eastAsia="Verdana" w:hAnsi="Verdana"/>
          <w:color w:val="0070C0"/>
        </w:rPr>
        <w:t xml:space="preserve">Wielka Izba piętnastoma głosami do dwóch stwierdziła, że </w:t>
      </w:r>
      <w:r w:rsidRPr="00407B53">
        <w:rPr>
          <w:rFonts w:ascii="Verdana" w:eastAsia="Verdana" w:hAnsi="Verdana"/>
          <w:b/>
          <w:color w:val="0070C0"/>
        </w:rPr>
        <w:t xml:space="preserve">nie doszło do naruszenia </w:t>
      </w:r>
      <w:r w:rsidR="00A27E13">
        <w:rPr>
          <w:rFonts w:ascii="Verdana" w:eastAsia="Verdana" w:hAnsi="Verdana"/>
          <w:b/>
          <w:color w:val="0070C0"/>
        </w:rPr>
        <w:t>art.</w:t>
      </w:r>
      <w:r>
        <w:rPr>
          <w:rFonts w:ascii="Verdana" w:eastAsia="Verdana" w:hAnsi="Verdana"/>
          <w:b/>
          <w:color w:val="0070C0"/>
        </w:rPr>
        <w:t xml:space="preserve"> </w:t>
      </w:r>
      <w:r w:rsidRPr="00F8489F">
        <w:rPr>
          <w:rFonts w:ascii="Verdana" w:eastAsia="Verdana" w:hAnsi="Verdana"/>
          <w:b/>
          <w:color w:val="0070C0"/>
        </w:rPr>
        <w:t>10</w:t>
      </w:r>
      <w:r w:rsidRPr="00407B53">
        <w:rPr>
          <w:rFonts w:ascii="Verdana" w:eastAsia="Verdana" w:hAnsi="Verdana"/>
          <w:color w:val="0070C0"/>
        </w:rPr>
        <w:t xml:space="preserve"> (wolność </w:t>
      </w:r>
      <w:r w:rsidR="00DB724E">
        <w:rPr>
          <w:rFonts w:ascii="Verdana" w:eastAsia="Verdana" w:hAnsi="Verdana"/>
          <w:color w:val="0070C0"/>
        </w:rPr>
        <w:t>wyrażania opinii</w:t>
      </w:r>
      <w:r w:rsidRPr="00407B53">
        <w:rPr>
          <w:rFonts w:ascii="Verdana" w:eastAsia="Verdana" w:hAnsi="Verdana"/>
          <w:color w:val="0070C0"/>
        </w:rPr>
        <w:t xml:space="preserve">) Konwencji. Zauważyła w szczególności, że zakaz ten </w:t>
      </w:r>
      <w:r w:rsidR="00A27E13">
        <w:rPr>
          <w:rFonts w:ascii="Verdana" w:eastAsia="Verdana" w:hAnsi="Verdana"/>
          <w:color w:val="0070C0"/>
        </w:rPr>
        <w:t>ingerował w</w:t>
      </w:r>
      <w:r w:rsidRPr="00407B53">
        <w:rPr>
          <w:rFonts w:ascii="Verdana" w:eastAsia="Verdana" w:hAnsi="Verdana"/>
          <w:color w:val="0070C0"/>
        </w:rPr>
        <w:t xml:space="preserve"> wolność wypowiedzi przedsiębiors</w:t>
      </w:r>
      <w:r w:rsidR="00964A72">
        <w:rPr>
          <w:rFonts w:ascii="Verdana" w:eastAsia="Verdana" w:hAnsi="Verdana"/>
          <w:color w:val="0070C0"/>
        </w:rPr>
        <w:t xml:space="preserve">tw. Nie naruszył on jednak </w:t>
      </w:r>
      <w:r w:rsidR="00A27E13">
        <w:rPr>
          <w:rFonts w:ascii="Verdana" w:eastAsia="Verdana" w:hAnsi="Verdana"/>
          <w:color w:val="0070C0"/>
        </w:rPr>
        <w:t>art.</w:t>
      </w:r>
      <w:r w:rsidRPr="00407B53">
        <w:rPr>
          <w:rFonts w:ascii="Verdana" w:eastAsia="Verdana" w:hAnsi="Verdana"/>
          <w:color w:val="0070C0"/>
        </w:rPr>
        <w:t xml:space="preserve"> 10, ponieważ był zgodny z prawem, dążył do realizacji słusznego celu ochrony prywatności osób fizycznych i </w:t>
      </w:r>
      <w:r w:rsidR="00A27E13">
        <w:rPr>
          <w:rFonts w:ascii="Verdana" w:eastAsia="Verdana" w:hAnsi="Verdana"/>
          <w:color w:val="0070C0"/>
        </w:rPr>
        <w:t>zachowywał równowagę</w:t>
      </w:r>
      <w:r w:rsidRPr="00407B53">
        <w:rPr>
          <w:rFonts w:ascii="Verdana" w:eastAsia="Verdana" w:hAnsi="Verdana"/>
          <w:color w:val="0070C0"/>
        </w:rPr>
        <w:t xml:space="preserve"> między prawem do prywatności a prawem do wolności wyp</w:t>
      </w:r>
      <w:r w:rsidR="00964A72">
        <w:rPr>
          <w:rFonts w:ascii="Verdana" w:eastAsia="Verdana" w:hAnsi="Verdana"/>
          <w:color w:val="0070C0"/>
        </w:rPr>
        <w:t>owiedzi. W niniejszej sprawie Wielka I</w:t>
      </w:r>
      <w:r w:rsidRPr="00407B53">
        <w:rPr>
          <w:rFonts w:ascii="Verdana" w:eastAsia="Verdana" w:hAnsi="Verdana"/>
          <w:color w:val="0070C0"/>
        </w:rPr>
        <w:t xml:space="preserve">zba </w:t>
      </w:r>
      <w:r w:rsidR="00964A72">
        <w:rPr>
          <w:rFonts w:ascii="Verdana" w:eastAsia="Verdana" w:hAnsi="Verdana"/>
          <w:color w:val="0070C0"/>
        </w:rPr>
        <w:t>przychyliła się do poglądu wyrażonego przez sądy krajowe</w:t>
      </w:r>
      <w:r w:rsidRPr="00407B53">
        <w:rPr>
          <w:rFonts w:ascii="Verdana" w:eastAsia="Verdana" w:hAnsi="Verdana"/>
          <w:color w:val="0070C0"/>
        </w:rPr>
        <w:t>, że masowe gromadzenie i rozpowszechnianie danych podatkowych nie przyczyniło się do debaty w interesie publicznym i nie miało wyłącznie dziennikarskiego</w:t>
      </w:r>
      <w:r w:rsidR="00964A72">
        <w:rPr>
          <w:rFonts w:ascii="Verdana" w:eastAsia="Verdana" w:hAnsi="Verdana"/>
          <w:color w:val="0070C0"/>
        </w:rPr>
        <w:t xml:space="preserve"> celu</w:t>
      </w:r>
      <w:r w:rsidRPr="00407B53">
        <w:rPr>
          <w:rFonts w:ascii="Verdana" w:eastAsia="Verdana" w:hAnsi="Verdana"/>
          <w:color w:val="0070C0"/>
        </w:rPr>
        <w:t>.</w:t>
      </w:r>
    </w:p>
    <w:p w14:paraId="1C606C5E" w14:textId="77777777" w:rsidR="007E30E2" w:rsidRDefault="007E30E2" w:rsidP="00AB713F">
      <w:pPr>
        <w:spacing w:line="0" w:lineRule="atLeast"/>
        <w:ind w:left="740" w:right="20"/>
        <w:jc w:val="both"/>
        <w:rPr>
          <w:rFonts w:ascii="Verdana" w:eastAsia="Verdana" w:hAnsi="Verdana"/>
          <w:color w:val="0070C0"/>
        </w:rPr>
      </w:pPr>
    </w:p>
    <w:p w14:paraId="63F1472C" w14:textId="4754F331" w:rsidR="00196CFB" w:rsidRDefault="00196CFB" w:rsidP="00AB713F">
      <w:pPr>
        <w:spacing w:line="0" w:lineRule="atLeast"/>
        <w:ind w:left="740" w:right="20"/>
        <w:jc w:val="both"/>
        <w:rPr>
          <w:rFonts w:ascii="Verdana" w:eastAsia="Verdana" w:hAnsi="Verdana"/>
          <w:color w:val="0070C0"/>
        </w:rPr>
      </w:pPr>
      <w:r w:rsidRPr="00196CFB">
        <w:rPr>
          <w:rFonts w:ascii="Verdana" w:eastAsia="Verdana" w:hAnsi="Verdana"/>
          <w:i/>
          <w:iCs/>
        </w:rPr>
        <w:t>Zobacz także:</w:t>
      </w:r>
      <w:r w:rsidRPr="00196CFB">
        <w:rPr>
          <w:rFonts w:ascii="Verdana" w:eastAsia="Verdana" w:hAnsi="Verdana"/>
        </w:rPr>
        <w:t xml:space="preserve"> </w:t>
      </w:r>
      <w:hyperlink r:id="rId99" w:anchor="{%22itemid%22:[%22002-13523%22]}" w:history="1">
        <w:r w:rsidRPr="00196CFB">
          <w:rPr>
            <w:rStyle w:val="Hipercze"/>
            <w:rFonts w:ascii="Verdana" w:eastAsia="Verdana" w:hAnsi="Verdana"/>
            <w:b/>
            <w:bCs/>
          </w:rPr>
          <w:t>Samoylova przeciwko Rosji</w:t>
        </w:r>
      </w:hyperlink>
      <w:r>
        <w:rPr>
          <w:rStyle w:val="Odwoanieprzypisudolnego"/>
          <w:rFonts w:ascii="Verdana" w:eastAsia="Verdana" w:hAnsi="Verdana"/>
          <w:b/>
          <w:bCs/>
          <w:color w:val="0070C0"/>
        </w:rPr>
        <w:footnoteReference w:id="17"/>
      </w:r>
      <w:r w:rsidRPr="00196CFB">
        <w:rPr>
          <w:rFonts w:ascii="Verdana" w:eastAsia="Verdana" w:hAnsi="Verdana"/>
          <w:color w:val="0070C0"/>
        </w:rPr>
        <w:t xml:space="preserve">, </w:t>
      </w:r>
      <w:r w:rsidRPr="00196CFB">
        <w:rPr>
          <w:rFonts w:ascii="Verdana" w:eastAsia="Verdana" w:hAnsi="Verdana"/>
        </w:rPr>
        <w:t>wyrok z 17 grudnia 2021</w:t>
      </w:r>
    </w:p>
    <w:p w14:paraId="673D180E" w14:textId="77777777" w:rsidR="00196CFB" w:rsidRDefault="00196CFB" w:rsidP="00AB713F">
      <w:pPr>
        <w:spacing w:line="0" w:lineRule="atLeast"/>
        <w:ind w:left="740" w:right="20"/>
        <w:jc w:val="both"/>
        <w:rPr>
          <w:rFonts w:ascii="Verdana" w:eastAsia="Verdana" w:hAnsi="Verdana"/>
          <w:color w:val="0070C0"/>
        </w:rPr>
      </w:pPr>
    </w:p>
    <w:p w14:paraId="39A7624A" w14:textId="5FF20006" w:rsidR="007E30E2" w:rsidRPr="007E30E2" w:rsidRDefault="007E30E2" w:rsidP="007E30E2">
      <w:pPr>
        <w:spacing w:line="0" w:lineRule="atLeast"/>
        <w:ind w:left="740" w:right="20"/>
        <w:jc w:val="both"/>
        <w:rPr>
          <w:rFonts w:ascii="Verdana" w:eastAsia="Verdana" w:hAnsi="Verdana"/>
          <w:b/>
          <w:bCs/>
          <w:color w:val="0070C0"/>
        </w:rPr>
      </w:pPr>
      <w:hyperlink r:id="rId100" w:anchor="{%22itemid%22:[%22003-7203382-9786026%22]}" w:history="1">
        <w:r w:rsidRPr="007E30E2">
          <w:rPr>
            <w:rStyle w:val="Hipercze"/>
            <w:rFonts w:ascii="Verdana" w:eastAsia="Verdana" w:hAnsi="Verdana"/>
            <w:b/>
            <w:bCs/>
          </w:rPr>
          <w:t>Standard Verlagsgesellschaft mbH przeciwko Austrii (nr 3)</w:t>
        </w:r>
      </w:hyperlink>
    </w:p>
    <w:p w14:paraId="6572894C" w14:textId="66240D1D" w:rsidR="007E30E2" w:rsidRPr="008B33E0" w:rsidRDefault="007E30E2" w:rsidP="007E30E2">
      <w:pPr>
        <w:spacing w:line="0" w:lineRule="atLeast"/>
        <w:ind w:left="740" w:right="2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7 grudnia 2021 r</w:t>
      </w:r>
      <w:r w:rsidR="008B33E0" w:rsidRPr="008B33E0">
        <w:rPr>
          <w:rFonts w:ascii="Verdana" w:eastAsia="Verdana" w:hAnsi="Verdana"/>
          <w:color w:val="808080" w:themeColor="background1" w:themeShade="80"/>
          <w:sz w:val="16"/>
          <w:szCs w:val="16"/>
        </w:rPr>
        <w:t>oku</w:t>
      </w:r>
    </w:p>
    <w:p w14:paraId="760A0F55" w14:textId="77777777" w:rsidR="007E30E2" w:rsidRPr="007E30E2" w:rsidRDefault="007E30E2" w:rsidP="007E30E2">
      <w:pPr>
        <w:spacing w:line="0" w:lineRule="atLeast"/>
        <w:ind w:left="740" w:right="20"/>
        <w:jc w:val="both"/>
        <w:rPr>
          <w:rFonts w:ascii="Verdana" w:eastAsia="Verdana" w:hAnsi="Verdana"/>
        </w:rPr>
      </w:pPr>
      <w:r w:rsidRPr="007E30E2">
        <w:rPr>
          <w:rFonts w:ascii="Verdana" w:eastAsia="Verdana" w:hAnsi="Verdana"/>
        </w:rPr>
        <w:t>Sprawa ta dotyczyła nakazu sądowego, aby skarżąca spółka medialna ujawniła informacje dotyczące rejestracji zarejestrowanych użytkowników, którzy zamieścili komentarze na jej stronie internetowej derStandard.at, stronie internetowej gazety Der Standard. Nastąpiło to po komentarzach rzekomo łączących polityków m.in. z korupcją lub neonazistami, które skarżąca spółka usunęła, odmawiając jednak ujawnienia informacji o komentujących.</w:t>
      </w:r>
    </w:p>
    <w:p w14:paraId="7B99409A" w14:textId="7AFB3134" w:rsidR="007E30E2" w:rsidRDefault="007E30E2" w:rsidP="007E30E2">
      <w:pPr>
        <w:spacing w:line="0" w:lineRule="atLeast"/>
        <w:ind w:left="740" w:right="20"/>
        <w:jc w:val="both"/>
        <w:rPr>
          <w:rFonts w:ascii="Verdana" w:eastAsia="Verdana" w:hAnsi="Verdana"/>
          <w:color w:val="0070C0"/>
        </w:rPr>
      </w:pPr>
      <w:r w:rsidRPr="007E30E2">
        <w:rPr>
          <w:rFonts w:ascii="Verdana" w:eastAsia="Verdana" w:hAnsi="Verdana"/>
          <w:color w:val="0070C0"/>
        </w:rPr>
        <w:t xml:space="preserve">Trybunał orzekł, że w niniejszej sprawie </w:t>
      </w:r>
      <w:r w:rsidRPr="007E30E2">
        <w:rPr>
          <w:rFonts w:ascii="Verdana" w:eastAsia="Verdana" w:hAnsi="Verdana"/>
          <w:b/>
          <w:bCs/>
          <w:color w:val="0070C0"/>
        </w:rPr>
        <w:t>doszło do naruszenia Artykułu 10</w:t>
      </w:r>
      <w:r w:rsidRPr="007E30E2">
        <w:rPr>
          <w:rFonts w:ascii="Verdana" w:eastAsia="Verdana" w:hAnsi="Verdana"/>
          <w:color w:val="0070C0"/>
        </w:rPr>
        <w:t xml:space="preserve"> (wolność słowa) Konwencji, stwierdzając, że przedmiotowe nakazy sądowe nie były konieczne w demokratycznym społeczeństwie. Trybunał stwierdził w szczególności, że dane użytkowników nie korzystały z ochrony „źródeł dziennikarskich” i nie istniało bezwzględne prawo do anonimowości w Internecie. Jednakże sądy krajowe nawet nie zrównoważyły interesów skarżących z interesami skarżącej spółki w utrzymaniu anonimowości użytkowników, aby pomóc w promowaniu swobodnej wymiany myśli i informacji, zgodnie z art. 10 Konwencji.</w:t>
      </w:r>
    </w:p>
    <w:p w14:paraId="06423347" w14:textId="77777777" w:rsidR="008B33E0" w:rsidRDefault="008B33E0" w:rsidP="007E30E2">
      <w:pPr>
        <w:spacing w:line="0" w:lineRule="atLeast"/>
        <w:ind w:left="740" w:right="20"/>
        <w:jc w:val="both"/>
        <w:rPr>
          <w:rFonts w:ascii="Verdana" w:eastAsia="Verdana" w:hAnsi="Verdana"/>
          <w:color w:val="0070C0"/>
        </w:rPr>
      </w:pPr>
    </w:p>
    <w:p w14:paraId="3755823A" w14:textId="5822DE3E" w:rsidR="007E30E2" w:rsidRPr="007E30E2" w:rsidRDefault="007E30E2" w:rsidP="007E30E2">
      <w:pPr>
        <w:spacing w:line="0" w:lineRule="atLeast"/>
        <w:ind w:left="740" w:right="20"/>
        <w:jc w:val="both"/>
        <w:rPr>
          <w:rFonts w:ascii="Verdana" w:eastAsia="Verdana" w:hAnsi="Verdana"/>
          <w:b/>
          <w:bCs/>
          <w:color w:val="0070C0"/>
        </w:rPr>
      </w:pPr>
      <w:hyperlink r:id="rId101" w:anchor="{%22itemid%22:[%22002-13761%22]}" w:history="1">
        <w:r w:rsidRPr="007E30E2">
          <w:rPr>
            <w:rStyle w:val="Hipercze"/>
            <w:rFonts w:ascii="Verdana" w:eastAsia="Verdana" w:hAnsi="Verdana"/>
            <w:b/>
            <w:bCs/>
          </w:rPr>
          <w:t>Y.G. przeciwko Rosji (nr 8647/12)</w:t>
        </w:r>
      </w:hyperlink>
      <w:r w:rsidR="00171252">
        <w:rPr>
          <w:rStyle w:val="Odwoanieprzypisudolnego"/>
          <w:rFonts w:ascii="Verdana" w:eastAsia="Verdana" w:hAnsi="Verdana"/>
          <w:b/>
          <w:bCs/>
          <w:color w:val="0070C0"/>
        </w:rPr>
        <w:footnoteReference w:id="18"/>
      </w:r>
    </w:p>
    <w:p w14:paraId="6671C941" w14:textId="6BC4344E" w:rsidR="007E30E2" w:rsidRPr="008B33E0" w:rsidRDefault="007E30E2" w:rsidP="007E30E2">
      <w:pPr>
        <w:spacing w:line="0" w:lineRule="atLeast"/>
        <w:ind w:left="740" w:right="20"/>
        <w:jc w:val="both"/>
        <w:rPr>
          <w:rFonts w:ascii="Verdana" w:eastAsia="Verdana" w:hAnsi="Verdana"/>
          <w:color w:val="808080" w:themeColor="background1" w:themeShade="80"/>
          <w:sz w:val="16"/>
          <w:szCs w:val="16"/>
        </w:rPr>
      </w:pPr>
      <w:r w:rsidRPr="008B33E0">
        <w:rPr>
          <w:rFonts w:ascii="Verdana" w:eastAsia="Verdana" w:hAnsi="Verdana"/>
          <w:color w:val="808080" w:themeColor="background1" w:themeShade="80"/>
          <w:sz w:val="16"/>
          <w:szCs w:val="16"/>
        </w:rPr>
        <w:t>30 sierpnia 2022 r</w:t>
      </w:r>
      <w:r w:rsidR="0037627F">
        <w:rPr>
          <w:rFonts w:ascii="Verdana" w:eastAsia="Verdana" w:hAnsi="Verdana"/>
          <w:color w:val="808080" w:themeColor="background1" w:themeShade="80"/>
          <w:sz w:val="16"/>
          <w:szCs w:val="16"/>
        </w:rPr>
        <w:t>oku</w:t>
      </w:r>
    </w:p>
    <w:p w14:paraId="5E707415" w14:textId="3642A8D1" w:rsidR="007E30E2" w:rsidRPr="007E30E2" w:rsidRDefault="007E30E2" w:rsidP="007E30E2">
      <w:pPr>
        <w:spacing w:line="0" w:lineRule="atLeast"/>
        <w:ind w:left="740" w:right="20"/>
        <w:jc w:val="both"/>
        <w:rPr>
          <w:rFonts w:ascii="Verdana" w:eastAsia="Verdana" w:hAnsi="Verdana"/>
        </w:rPr>
      </w:pPr>
      <w:r w:rsidRPr="007E30E2">
        <w:rPr>
          <w:rFonts w:ascii="Verdana" w:eastAsia="Verdana" w:hAnsi="Verdana"/>
        </w:rPr>
        <w:t xml:space="preserve">Sprawa ta dotyczyła gromadzenia danych zdrowotnych, w tym danych skarżącego, który był nosicielem wirusa HIV i cierpiał na zapalenie wątroby, w bazie danych udostępnionej do sprzedaży na targu. Skarżący twierdził, że organy ścigania bezprawnie gromadziły, </w:t>
      </w:r>
      <w:r w:rsidRPr="007E30E2">
        <w:rPr>
          <w:rFonts w:ascii="Verdana" w:eastAsia="Verdana" w:hAnsi="Verdana"/>
        </w:rPr>
        <w:lastRenderedPageBreak/>
        <w:t>przechowywały i wprowadzały jego dane zdrowotne do bazy danych oraz że nie zapewniły poufności jego danych i nie przeprowadziły skutecznego dochodzenia w sprawie ich ujawnienia.</w:t>
      </w:r>
    </w:p>
    <w:p w14:paraId="3B23097F" w14:textId="000A9086" w:rsidR="00F832FE" w:rsidRDefault="007E30E2" w:rsidP="008B33E0">
      <w:pPr>
        <w:ind w:left="740"/>
        <w:jc w:val="both"/>
        <w:rPr>
          <w:rFonts w:ascii="Verdana" w:eastAsia="Times New Roman" w:hAnsi="Verdana"/>
          <w:color w:val="0077D0"/>
        </w:rPr>
      </w:pPr>
      <w:r w:rsidRPr="007E30E2">
        <w:rPr>
          <w:rFonts w:ascii="Verdana" w:eastAsia="Times New Roman" w:hAnsi="Verdana"/>
          <w:color w:val="0077D0"/>
        </w:rPr>
        <w:t xml:space="preserve">Trybunał uznał, że </w:t>
      </w:r>
      <w:r w:rsidRPr="007E30E2">
        <w:rPr>
          <w:rFonts w:ascii="Verdana" w:eastAsia="Times New Roman" w:hAnsi="Verdana"/>
          <w:b/>
          <w:bCs/>
          <w:color w:val="0077D0"/>
        </w:rPr>
        <w:t>doszło do naruszenia art. 8 Konwencji</w:t>
      </w:r>
      <w:r w:rsidRPr="007E30E2">
        <w:rPr>
          <w:rFonts w:ascii="Verdana" w:eastAsia="Times New Roman" w:hAnsi="Verdana"/>
          <w:color w:val="0077D0"/>
        </w:rPr>
        <w:t>, stwierdzając, że władze rosyjskie nie wywiązały się ze swojego pozytywnego obowiązku zapewnienia odpowiedniej ochrony prawa skarżącego do poszanowania jego życia prywatnego. Zauważył w szczególności, że bezsporne było, że tylko władze miały dostęp do większości danych w bazie danych, takich jak rejestry karne i zastosowane środki zapobiegawcze, oraz że w przeszłości, w kontekście postępowania karnego przeciwko skarżącemu, śledczy prowadzący dochodzenie zwrócił się do Szpitala Chorób Zakaźnych o informacje na temat stanu zdrowia skarżącego. Chociaż sporne było, czy Ministerstwo Spraw Wewnętrznych opracowało bazę danych, w kontekście sprawy nie było innego wyjaśnienia niż to, że władze państwowe, które miały dostęp do przedmiotowych danych, nie zapobiegły naruszeniu poufności. W rezultacie dane te stały się publicznie dostępne, co pociągnęło za sobą odpowiedzialność pozwanego państwa. Okoliczności tego poważnego naruszenia prywatności nigdy nie zostały wyjaśnione. Trybunał przypomniał w tym względzie, że wielokrotnie podkreślał znaczenie odpowiednich zabezpieczeń zapobiegających przekazywaniu i ujawnianiu danych dotyczących zdrowia.</w:t>
      </w:r>
    </w:p>
    <w:p w14:paraId="1ADB5B33" w14:textId="77777777" w:rsidR="00AD03F0" w:rsidRDefault="00AD03F0" w:rsidP="007E30E2">
      <w:pPr>
        <w:spacing w:line="209" w:lineRule="exact"/>
        <w:ind w:left="740"/>
        <w:jc w:val="both"/>
        <w:rPr>
          <w:rFonts w:ascii="Verdana" w:eastAsia="Times New Roman" w:hAnsi="Verdana"/>
          <w:color w:val="0077D0"/>
        </w:rPr>
      </w:pPr>
    </w:p>
    <w:p w14:paraId="67377D03" w14:textId="77777777" w:rsidR="00AD03F0" w:rsidRDefault="00AD03F0" w:rsidP="007E30E2">
      <w:pPr>
        <w:spacing w:line="209" w:lineRule="exact"/>
        <w:ind w:left="740"/>
        <w:jc w:val="both"/>
        <w:rPr>
          <w:rFonts w:ascii="Verdana" w:eastAsia="Times New Roman" w:hAnsi="Verdana"/>
          <w:color w:val="0077D0"/>
        </w:rPr>
      </w:pPr>
    </w:p>
    <w:p w14:paraId="6FDF17AA" w14:textId="315C9451" w:rsidR="00AD03F0" w:rsidRPr="00AD03F0" w:rsidRDefault="00AD03F0" w:rsidP="00AD03F0">
      <w:pPr>
        <w:spacing w:line="209" w:lineRule="exact"/>
        <w:ind w:left="740"/>
        <w:jc w:val="both"/>
        <w:rPr>
          <w:rFonts w:ascii="Verdana" w:eastAsia="Times New Roman" w:hAnsi="Verdana"/>
          <w:b/>
          <w:bCs/>
          <w:color w:val="0077D0"/>
        </w:rPr>
      </w:pPr>
      <w:hyperlink r:id="rId102" w:anchor="{%22itemid%22:[%22003-7857128-10914452%22]}" w:history="1">
        <w:r w:rsidRPr="00AD03F0">
          <w:rPr>
            <w:rStyle w:val="Hipercze"/>
            <w:rFonts w:ascii="Verdana" w:eastAsia="Times New Roman" w:hAnsi="Verdana"/>
            <w:b/>
            <w:bCs/>
          </w:rPr>
          <w:t>O.G. i inni przeciwko Grecji (nr 71555/12 i 48256/13)</w:t>
        </w:r>
      </w:hyperlink>
      <w:r w:rsidR="00196CFB">
        <w:rPr>
          <w:rStyle w:val="Odwoanieprzypisudolnego"/>
          <w:rFonts w:ascii="Verdana" w:eastAsia="Times New Roman" w:hAnsi="Verdana"/>
          <w:b/>
          <w:bCs/>
          <w:color w:val="0077D0"/>
        </w:rPr>
        <w:footnoteReference w:id="19"/>
      </w:r>
    </w:p>
    <w:p w14:paraId="5C9BCAC5" w14:textId="2A36305A" w:rsidR="00AD03F0" w:rsidRPr="0037627F" w:rsidRDefault="00AD03F0" w:rsidP="00AD03F0">
      <w:pPr>
        <w:spacing w:line="209" w:lineRule="exact"/>
        <w:ind w:left="740"/>
        <w:jc w:val="both"/>
        <w:rPr>
          <w:rFonts w:ascii="Verdana" w:eastAsia="Times New Roman" w:hAnsi="Verdana"/>
          <w:color w:val="808080" w:themeColor="background1" w:themeShade="80"/>
          <w:sz w:val="16"/>
          <w:szCs w:val="16"/>
        </w:rPr>
      </w:pPr>
      <w:r w:rsidRPr="0037627F">
        <w:rPr>
          <w:rFonts w:ascii="Verdana" w:eastAsia="Times New Roman" w:hAnsi="Verdana"/>
          <w:color w:val="808080" w:themeColor="background1" w:themeShade="80"/>
          <w:sz w:val="16"/>
          <w:szCs w:val="16"/>
        </w:rPr>
        <w:t>23 stycznia 2024 r</w:t>
      </w:r>
      <w:r w:rsidR="0037627F">
        <w:rPr>
          <w:rFonts w:ascii="Verdana" w:eastAsia="Times New Roman" w:hAnsi="Verdana"/>
          <w:color w:val="808080" w:themeColor="background1" w:themeShade="80"/>
          <w:sz w:val="16"/>
          <w:szCs w:val="16"/>
        </w:rPr>
        <w:t>oku</w:t>
      </w:r>
    </w:p>
    <w:p w14:paraId="5FBEC4B3" w14:textId="77777777" w:rsidR="00AD03F0" w:rsidRPr="00AD03F0" w:rsidRDefault="00AD03F0" w:rsidP="00AD03F0">
      <w:pPr>
        <w:spacing w:line="209" w:lineRule="exact"/>
        <w:ind w:left="740"/>
        <w:jc w:val="both"/>
        <w:rPr>
          <w:rFonts w:ascii="Verdana" w:eastAsia="Times New Roman" w:hAnsi="Verdana"/>
        </w:rPr>
      </w:pPr>
      <w:r w:rsidRPr="00AD03F0">
        <w:rPr>
          <w:rFonts w:ascii="Verdana" w:eastAsia="Times New Roman" w:hAnsi="Verdana"/>
        </w:rPr>
        <w:t>Sprawa ta dotyczyła publikacji, na mocy decyzji władz krajowych, danych medycznych dotyczących prostytutek, u których zdiagnozowano obecność wirusa HIV, oraz relacji medialnych na ich temat. Sprawa dotyczyła również okoliczności, w których wymagano od nich poddania się badaniu krwi.</w:t>
      </w:r>
    </w:p>
    <w:p w14:paraId="2F7D223C" w14:textId="6949698F" w:rsidR="00AD03F0" w:rsidRPr="007E30E2" w:rsidRDefault="00AD03F0" w:rsidP="00AD03F0">
      <w:pPr>
        <w:spacing w:line="209" w:lineRule="exact"/>
        <w:ind w:left="740"/>
        <w:jc w:val="both"/>
        <w:rPr>
          <w:rFonts w:ascii="Verdana" w:eastAsia="Times New Roman" w:hAnsi="Verdana"/>
          <w:color w:val="0077D0"/>
        </w:rPr>
      </w:pPr>
      <w:r w:rsidRPr="00AD03F0">
        <w:rPr>
          <w:rFonts w:ascii="Verdana" w:eastAsia="Times New Roman" w:hAnsi="Verdana"/>
          <w:color w:val="0077D0"/>
        </w:rPr>
        <w:t xml:space="preserve">Trybunał orzekł, że </w:t>
      </w:r>
      <w:r w:rsidRPr="00AD03F0">
        <w:rPr>
          <w:rFonts w:ascii="Verdana" w:eastAsia="Times New Roman" w:hAnsi="Verdana"/>
          <w:b/>
          <w:bCs/>
          <w:color w:val="0077D0"/>
        </w:rPr>
        <w:t>doszło do naruszenia art. 8 Konwencji</w:t>
      </w:r>
      <w:r w:rsidRPr="00AD03F0">
        <w:rPr>
          <w:rFonts w:ascii="Verdana" w:eastAsia="Times New Roman" w:hAnsi="Verdana"/>
          <w:color w:val="0077D0"/>
        </w:rPr>
        <w:t xml:space="preserve"> w odniesieniu do dwóch skarżących z powodu badań krwi, którym musieli się poddać. W tym względzie Trybunał uznał, że pobranie od nich próbek krwi stanowiło ingerencję w ich życie prywatne i zauważył, że nie było to zgodne z prawem w rozumieniu art. 8 Konwencji, biorąc pod uwagę, że przedmiotowe przepisy prawa krajowego powinny były być przewidywalne w odniesieniu do ich skutków dla skarżących. W szczególności Trybunał zauważył, że żaden z przepisów cytowanych przez rząd grecki nie był w stanie uzasadnić interwencji medycznej, przeprowadzonej przez funkcjonariuszy policji lub lekarzy, takiej jak ta nałożona na skarżących. Trybunał uznał również, że doszło do naruszenia art. 8 Konwencji w odniesieniu do czterech skarżących, ze względu na publikację dotyczących ich danych.</w:t>
      </w:r>
      <w:r>
        <w:rPr>
          <w:rFonts w:ascii="Verdana" w:eastAsia="Times New Roman" w:hAnsi="Verdana"/>
          <w:color w:val="0077D0"/>
        </w:rPr>
        <w:t xml:space="preserve"> </w:t>
      </w:r>
      <w:r w:rsidRPr="00AD03F0">
        <w:rPr>
          <w:rFonts w:ascii="Verdana" w:eastAsia="Times New Roman" w:hAnsi="Verdana"/>
          <w:color w:val="0077D0"/>
        </w:rPr>
        <w:t>Uznał, że publikacja danych czterech skarżących stanowiła nieproporcjonalną ingerencję w ich prawo do poszanowania życia prywatnego. Nazwiska i zdjęcia skarżących oraz informacja, że byli nosicielami wirusa HIV, zostały pobrane na stronę internetową policji i rozpowszechnione w mediach, a prokurator nie próbował ustalić, czy w ich sprawach można było podjąć inne środki, które mogłyby zapewnić mniejszą ekspozycję medialną skarżących. Wreszcie, Trybunał zdecydował o skreśleniu części skarg z listy, ponieważ dotyczyły one pięciu skarżących, z których czterech zmarło. Trybunał odrzucił również skargi niektórych skarżących z powodu przekroczenia terminu lub niewyczerpania krajowych środków odwoławczych.</w:t>
      </w:r>
    </w:p>
    <w:p w14:paraId="7905BE6F" w14:textId="77777777" w:rsidR="00AD03F0" w:rsidRDefault="00AD03F0" w:rsidP="007E30E2">
      <w:pPr>
        <w:spacing w:line="209" w:lineRule="exact"/>
        <w:rPr>
          <w:rFonts w:ascii="Times New Roman" w:eastAsia="Times New Roman" w:hAnsi="Times New Roman"/>
        </w:rPr>
      </w:pPr>
    </w:p>
    <w:p w14:paraId="5F5A3921" w14:textId="77777777" w:rsidR="00AD03F0" w:rsidRDefault="00AD03F0" w:rsidP="007E30E2">
      <w:pPr>
        <w:spacing w:line="209" w:lineRule="exact"/>
        <w:rPr>
          <w:rFonts w:ascii="Times New Roman" w:eastAsia="Times New Roman" w:hAnsi="Times New Roman"/>
        </w:rPr>
      </w:pPr>
    </w:p>
    <w:p w14:paraId="4A301392" w14:textId="77777777" w:rsidR="00F832FE" w:rsidRDefault="00407B53" w:rsidP="00AB713F">
      <w:pPr>
        <w:spacing w:line="0" w:lineRule="atLeast"/>
        <w:ind w:left="740"/>
        <w:rPr>
          <w:rFonts w:ascii="Verdana" w:eastAsia="Verdana" w:hAnsi="Verdana"/>
          <w:color w:val="0072BC"/>
          <w:sz w:val="28"/>
        </w:rPr>
      </w:pPr>
      <w:r>
        <w:rPr>
          <w:rFonts w:ascii="Verdana" w:eastAsia="Verdana" w:hAnsi="Verdana"/>
          <w:color w:val="0072BC"/>
          <w:sz w:val="28"/>
        </w:rPr>
        <w:t>Dostęp do danych osobowych</w:t>
      </w:r>
    </w:p>
    <w:p w14:paraId="316B97FD" w14:textId="62EF655A"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7728" behindDoc="1" locked="0" layoutInCell="1" allowOverlap="1" wp14:anchorId="612E9A20" wp14:editId="48182FD2">
                <wp:simplePos x="0" y="0"/>
                <wp:positionH relativeFrom="column">
                  <wp:posOffset>451485</wp:posOffset>
                </wp:positionH>
                <wp:positionV relativeFrom="paragraph">
                  <wp:posOffset>69850</wp:posOffset>
                </wp:positionV>
                <wp:extent cx="5768340" cy="0"/>
                <wp:effectExtent l="10160" t="10160" r="12700" b="18415"/>
                <wp:wrapNone/>
                <wp:docPr id="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57C8E" id="Line 7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" strokecolor="#999" strokeweight="1.44pt"/>
            </w:pict>
          </mc:Fallback>
        </mc:AlternateContent>
      </w:r>
    </w:p>
    <w:p w14:paraId="07B2977C" w14:textId="77777777" w:rsidR="00F832FE" w:rsidRDefault="00F832FE" w:rsidP="00AB713F">
      <w:pPr>
        <w:spacing w:line="213" w:lineRule="exact"/>
        <w:ind w:left="740"/>
        <w:rPr>
          <w:rFonts w:ascii="Times New Roman" w:eastAsia="Times New Roman" w:hAnsi="Times New Roman"/>
        </w:rPr>
      </w:pPr>
    </w:p>
    <w:p w14:paraId="696A29F7" w14:textId="6173A6BF" w:rsidR="00927B62" w:rsidRPr="00927B62" w:rsidRDefault="00927B62" w:rsidP="00AB713F">
      <w:pPr>
        <w:spacing w:before="120" w:line="0" w:lineRule="atLeast"/>
        <w:ind w:left="740"/>
        <w:rPr>
          <w:rFonts w:ascii="Verdana" w:eastAsia="Verdana" w:hAnsi="Verdana"/>
          <w:b/>
          <w:color w:val="0072BC"/>
          <w:u w:val="single"/>
        </w:rPr>
      </w:pPr>
      <w:hyperlink r:id="rId103" w:anchor="{%22itemid%22:[%22001-57491%22]}" w:history="1">
        <w:r w:rsidRPr="00BF1406">
          <w:rPr>
            <w:rStyle w:val="Hipercze"/>
            <w:rFonts w:ascii="Verdana" w:eastAsia="Verdana" w:hAnsi="Verdana"/>
            <w:b/>
          </w:rPr>
          <w:t>Gaskin przeciwko Zjednoczonemu Królestwu</w:t>
        </w:r>
      </w:hyperlink>
      <w:r w:rsidRPr="00927B62">
        <w:rPr>
          <w:rFonts w:ascii="Verdana" w:eastAsia="Verdana" w:hAnsi="Verdana"/>
          <w:b/>
          <w:color w:val="0072BC"/>
          <w:u w:val="single"/>
        </w:rPr>
        <w:t xml:space="preserve"> </w:t>
      </w:r>
    </w:p>
    <w:p w14:paraId="28D8D23B" w14:textId="77777777" w:rsidR="00927B62" w:rsidRPr="00927B62" w:rsidRDefault="00927B62" w:rsidP="00AB713F">
      <w:pPr>
        <w:spacing w:line="0" w:lineRule="atLeast"/>
        <w:ind w:left="740"/>
        <w:rPr>
          <w:rFonts w:ascii="Verdana" w:eastAsia="Verdana" w:hAnsi="Verdana"/>
          <w:color w:val="808080"/>
          <w:sz w:val="18"/>
        </w:rPr>
      </w:pPr>
      <w:r w:rsidRPr="00927B62">
        <w:rPr>
          <w:rFonts w:ascii="Verdana" w:eastAsia="Verdana" w:hAnsi="Verdana"/>
          <w:color w:val="808080"/>
          <w:sz w:val="18"/>
        </w:rPr>
        <w:t xml:space="preserve">7 </w:t>
      </w:r>
      <w:r>
        <w:rPr>
          <w:rFonts w:ascii="Verdana" w:eastAsia="Verdana" w:hAnsi="Verdana"/>
          <w:color w:val="808080"/>
          <w:sz w:val="18"/>
        </w:rPr>
        <w:t>lipca</w:t>
      </w:r>
      <w:r w:rsidRPr="00927B62">
        <w:rPr>
          <w:rFonts w:ascii="Verdana" w:eastAsia="Verdana" w:hAnsi="Verdana"/>
          <w:color w:val="808080"/>
          <w:sz w:val="18"/>
        </w:rPr>
        <w:t xml:space="preserve"> 1989 </w:t>
      </w:r>
      <w:r>
        <w:rPr>
          <w:rFonts w:ascii="Verdana" w:eastAsia="Verdana" w:hAnsi="Verdana"/>
          <w:color w:val="808080"/>
          <w:sz w:val="18"/>
        </w:rPr>
        <w:t>roku</w:t>
      </w:r>
    </w:p>
    <w:p w14:paraId="2105F1AF" w14:textId="77777777" w:rsidR="00927B62" w:rsidRPr="00927B62" w:rsidRDefault="00927B62" w:rsidP="00AB713F">
      <w:pPr>
        <w:spacing w:line="239" w:lineRule="auto"/>
        <w:ind w:left="740" w:right="20"/>
        <w:jc w:val="both"/>
        <w:rPr>
          <w:rFonts w:ascii="Verdana" w:eastAsia="Verdana" w:hAnsi="Verdana"/>
        </w:rPr>
      </w:pPr>
      <w:r w:rsidRPr="00927B62">
        <w:rPr>
          <w:rFonts w:ascii="Verdana" w:eastAsia="Verdana" w:hAnsi="Verdana"/>
        </w:rPr>
        <w:t>Po osiągnięciu pełnoletności skarżący, który jako dziecko</w:t>
      </w:r>
      <w:r w:rsidR="00853A17">
        <w:rPr>
          <w:rFonts w:ascii="Verdana" w:eastAsia="Verdana" w:hAnsi="Verdana"/>
        </w:rPr>
        <w:t xml:space="preserve"> został umieszczony pod opieką lokalnych władz</w:t>
      </w:r>
      <w:r w:rsidRPr="00927B62">
        <w:rPr>
          <w:rFonts w:ascii="Verdana" w:eastAsia="Verdana" w:hAnsi="Verdana"/>
        </w:rPr>
        <w:t xml:space="preserve">, chciał dowiedzieć się o swojej przeszłości, aby przezwyciężyć osobiste problemy. Odmówiono mu dostępu do jego akt, ponieważ zawierały one poufne informacje. </w:t>
      </w:r>
    </w:p>
    <w:p w14:paraId="7C158EA7" w14:textId="77777777" w:rsidR="00001F48" w:rsidRDefault="00927B62" w:rsidP="00AB713F">
      <w:pPr>
        <w:spacing w:line="0" w:lineRule="atLeast"/>
        <w:ind w:left="740"/>
        <w:jc w:val="both"/>
        <w:rPr>
          <w:rFonts w:ascii="Verdana" w:hAnsi="Verdana" w:cs="Verdana"/>
          <w:color w:val="000000"/>
        </w:rPr>
      </w:pPr>
      <w:r w:rsidRPr="00927B62">
        <w:rPr>
          <w:rFonts w:ascii="Verdana" w:eastAsia="Verdana" w:hAnsi="Verdana"/>
          <w:color w:val="0070C0"/>
        </w:rPr>
        <w:t xml:space="preserve">Trybunał uznał, że doszło do </w:t>
      </w:r>
      <w:r w:rsidRPr="00853A17">
        <w:rPr>
          <w:rFonts w:ascii="Verdana" w:eastAsia="Verdana" w:hAnsi="Verdana"/>
          <w:b/>
          <w:bCs/>
          <w:color w:val="0070C0"/>
        </w:rPr>
        <w:t>naruszenia art. 8</w:t>
      </w:r>
      <w:r w:rsidRPr="00927B62">
        <w:rPr>
          <w:rFonts w:ascii="Verdana" w:eastAsia="Verdana" w:hAnsi="Verdana"/>
          <w:color w:val="0070C0"/>
        </w:rPr>
        <w:t xml:space="preserve"> Konwencji, uznając, że zastosowane procedury nie zapewniły poszanowania życia prywatnego i rodzinnego skarżącego, zgodnie z wymogami tego artykułu. Zauważył w szczególności, że osoby znajdujące się w sytuacji skarżącego miały żywotny interes, chroniony przez Konwencję, w otrzymywaniu informacji niezbędnych do poznania i zrozumienia ich dzieciństwa i wczesnego rozwoju. Z drugiej </w:t>
      </w:r>
      <w:r w:rsidRPr="00927B62">
        <w:rPr>
          <w:rFonts w:ascii="Verdana" w:eastAsia="Verdana" w:hAnsi="Verdana"/>
          <w:color w:val="0070C0"/>
        </w:rPr>
        <w:lastRenderedPageBreak/>
        <w:t>strony należy pamiętać, że poufność rejestrów publicznych ma znaczenie dla uzyskania obiektywnych i wiarygodnych informacji</w:t>
      </w:r>
      <w:r w:rsidR="00853A17">
        <w:rPr>
          <w:rFonts w:ascii="Verdana" w:eastAsia="Verdana" w:hAnsi="Verdana"/>
          <w:color w:val="0070C0"/>
        </w:rPr>
        <w:t>,</w:t>
      </w:r>
      <w:r w:rsidRPr="00927B62">
        <w:rPr>
          <w:rFonts w:ascii="Verdana" w:eastAsia="Verdana" w:hAnsi="Verdana"/>
          <w:color w:val="0070C0"/>
        </w:rPr>
        <w:t xml:space="preserve"> oraz że taka poufność może być również konieczna do ochrony osób trzecich. W tym drugim aspekcie system taki jak brytyjski, który uzależniał dostęp do rejestrów od zgody podmiotu przekazującego dane, można zasadniczo uznać za zgodny z obowiązkami wynikającymi z art. 8, biorąc pod uwagę margines uznania państwa. Trybunał uznał jednak, że w takim systemie interesy osoby ubiegającej się o dostęp do akt związanych z jego życiem prywatnym i rodzinnym muszą być zabezpieczone, gdy osoba </w:t>
      </w:r>
      <w:r w:rsidR="00853A17">
        <w:rPr>
          <w:rFonts w:ascii="Verdana" w:eastAsia="Verdana" w:hAnsi="Verdana"/>
          <w:color w:val="0070C0"/>
        </w:rPr>
        <w:t xml:space="preserve">włączona </w:t>
      </w:r>
      <w:r w:rsidRPr="00927B62">
        <w:rPr>
          <w:rFonts w:ascii="Verdana" w:eastAsia="Verdana" w:hAnsi="Verdana"/>
          <w:color w:val="0070C0"/>
        </w:rPr>
        <w:t xml:space="preserve">do akt albo nie jest dostępna, albo niewłaściwie odmawia zgody. Taki system jest zgodny z zasadą proporcjonalności tylko wtedy, gdy przewiduje, że niezależny organ ostatecznie decyduje, czy należy przyznać dostęp w przypadkach, gdy </w:t>
      </w:r>
      <w:r w:rsidR="00C75066">
        <w:rPr>
          <w:rFonts w:ascii="Verdana" w:eastAsia="Verdana" w:hAnsi="Verdana"/>
          <w:color w:val="0070C0"/>
        </w:rPr>
        <w:t>osoba</w:t>
      </w:r>
      <w:r w:rsidRPr="00927B62">
        <w:rPr>
          <w:rFonts w:ascii="Verdana" w:eastAsia="Verdana" w:hAnsi="Verdana"/>
          <w:color w:val="0070C0"/>
        </w:rPr>
        <w:t xml:space="preserve"> nie odpowiada lub odmawia zgody. W niniejszej sprawie </w:t>
      </w:r>
      <w:r w:rsidR="00C75066">
        <w:rPr>
          <w:rFonts w:ascii="Verdana" w:eastAsia="Verdana" w:hAnsi="Verdana"/>
          <w:color w:val="0070C0"/>
        </w:rPr>
        <w:t>skarżący</w:t>
      </w:r>
      <w:r w:rsidRPr="00927B62">
        <w:rPr>
          <w:rFonts w:ascii="Verdana" w:eastAsia="Verdana" w:hAnsi="Verdana"/>
          <w:color w:val="0070C0"/>
        </w:rPr>
        <w:t xml:space="preserve"> nie dysponował taką procedurą</w:t>
      </w:r>
      <w:r>
        <w:rPr>
          <w:rFonts w:ascii="Verdana" w:hAnsi="Verdana" w:cs="Verdana"/>
          <w:color w:val="000000"/>
        </w:rPr>
        <w:t>.</w:t>
      </w:r>
    </w:p>
    <w:p w14:paraId="620E92D4" w14:textId="2F089F44" w:rsidR="008538F4" w:rsidRPr="008538F4" w:rsidRDefault="008538F4" w:rsidP="00AB713F">
      <w:pPr>
        <w:spacing w:before="120" w:line="0" w:lineRule="atLeast"/>
        <w:ind w:left="740"/>
        <w:rPr>
          <w:rFonts w:ascii="Verdana" w:eastAsia="Verdana" w:hAnsi="Verdana"/>
          <w:b/>
          <w:color w:val="0072BC"/>
          <w:u w:val="single"/>
        </w:rPr>
      </w:pPr>
      <w:hyperlink r:id="rId104" w:anchor="{%22itemid%22:[%22003-698999-707368%22]}" w:history="1">
        <w:r w:rsidRPr="00BF1406">
          <w:rPr>
            <w:rStyle w:val="Hipercze"/>
            <w:rFonts w:ascii="Verdana" w:eastAsia="Verdana" w:hAnsi="Verdana"/>
            <w:b/>
          </w:rPr>
          <w:t>Odièvre przeciwko Francji</w:t>
        </w:r>
      </w:hyperlink>
      <w:r w:rsidRPr="008538F4">
        <w:rPr>
          <w:rFonts w:ascii="Verdana" w:eastAsia="Verdana" w:hAnsi="Verdana"/>
          <w:b/>
          <w:color w:val="0072BC"/>
          <w:u w:val="single"/>
        </w:rPr>
        <w:t xml:space="preserve"> </w:t>
      </w:r>
    </w:p>
    <w:p w14:paraId="6423BA16" w14:textId="77777777" w:rsidR="008538F4" w:rsidRPr="008538F4" w:rsidRDefault="008538F4" w:rsidP="00AB713F">
      <w:pPr>
        <w:spacing w:line="0" w:lineRule="atLeast"/>
        <w:ind w:left="740"/>
        <w:rPr>
          <w:rFonts w:ascii="Verdana" w:eastAsia="Verdana" w:hAnsi="Verdana"/>
          <w:color w:val="808080"/>
          <w:sz w:val="18"/>
        </w:rPr>
      </w:pPr>
      <w:r w:rsidRPr="008538F4">
        <w:rPr>
          <w:rFonts w:ascii="Verdana" w:eastAsia="Verdana" w:hAnsi="Verdana"/>
          <w:color w:val="808080"/>
          <w:sz w:val="18"/>
        </w:rPr>
        <w:t xml:space="preserve">13 </w:t>
      </w:r>
      <w:r>
        <w:rPr>
          <w:rFonts w:ascii="Verdana" w:eastAsia="Verdana" w:hAnsi="Verdana"/>
          <w:color w:val="808080"/>
          <w:sz w:val="18"/>
        </w:rPr>
        <w:t>lutego</w:t>
      </w:r>
      <w:r w:rsidRPr="008538F4">
        <w:rPr>
          <w:rFonts w:ascii="Verdana" w:eastAsia="Verdana" w:hAnsi="Verdana"/>
          <w:color w:val="808080"/>
          <w:sz w:val="18"/>
        </w:rPr>
        <w:t xml:space="preserve"> 2003</w:t>
      </w:r>
      <w:r>
        <w:rPr>
          <w:rFonts w:ascii="Verdana" w:eastAsia="Verdana" w:hAnsi="Verdana"/>
          <w:color w:val="808080"/>
          <w:sz w:val="18"/>
        </w:rPr>
        <w:t xml:space="preserve"> roku</w:t>
      </w:r>
      <w:r w:rsidRPr="008538F4">
        <w:rPr>
          <w:rFonts w:ascii="Verdana" w:eastAsia="Verdana" w:hAnsi="Verdana"/>
          <w:color w:val="808080"/>
          <w:sz w:val="18"/>
        </w:rPr>
        <w:t xml:space="preserve"> (</w:t>
      </w:r>
      <w:r>
        <w:rPr>
          <w:rFonts w:ascii="Verdana" w:eastAsia="Verdana" w:hAnsi="Verdana"/>
          <w:color w:val="808080"/>
          <w:sz w:val="18"/>
        </w:rPr>
        <w:t>Wielka Izba</w:t>
      </w:r>
      <w:r w:rsidRPr="008538F4">
        <w:rPr>
          <w:rFonts w:ascii="Verdana" w:eastAsia="Verdana" w:hAnsi="Verdana"/>
          <w:color w:val="808080"/>
          <w:sz w:val="18"/>
        </w:rPr>
        <w:t xml:space="preserve">) </w:t>
      </w:r>
    </w:p>
    <w:p w14:paraId="49A6CD7C" w14:textId="77777777" w:rsidR="008538F4" w:rsidRPr="008538F4" w:rsidRDefault="008538F4" w:rsidP="00AB713F">
      <w:pPr>
        <w:spacing w:line="239" w:lineRule="auto"/>
        <w:ind w:left="740" w:right="20"/>
        <w:jc w:val="both"/>
        <w:rPr>
          <w:rFonts w:ascii="Verdana" w:eastAsia="Verdana" w:hAnsi="Verdana"/>
        </w:rPr>
      </w:pPr>
      <w:r w:rsidRPr="008538F4">
        <w:rPr>
          <w:rFonts w:ascii="Verdana" w:eastAsia="Verdana" w:hAnsi="Verdana"/>
        </w:rPr>
        <w:t xml:space="preserve">Skarżąca została porzucona przez swoją </w:t>
      </w:r>
      <w:r>
        <w:rPr>
          <w:rFonts w:ascii="Verdana" w:eastAsia="Verdana" w:hAnsi="Verdana"/>
        </w:rPr>
        <w:t>biologiczną</w:t>
      </w:r>
      <w:r w:rsidRPr="008538F4">
        <w:rPr>
          <w:rFonts w:ascii="Verdana" w:eastAsia="Verdana" w:hAnsi="Verdana"/>
        </w:rPr>
        <w:t xml:space="preserve"> matkę </w:t>
      </w:r>
      <w:r>
        <w:rPr>
          <w:rFonts w:ascii="Verdana" w:eastAsia="Verdana" w:hAnsi="Verdana"/>
        </w:rPr>
        <w:t>po</w:t>
      </w:r>
      <w:r w:rsidRPr="008538F4">
        <w:rPr>
          <w:rFonts w:ascii="Verdana" w:eastAsia="Verdana" w:hAnsi="Verdana"/>
        </w:rPr>
        <w:t xml:space="preserve"> urodzeniu i </w:t>
      </w:r>
      <w:r>
        <w:rPr>
          <w:rFonts w:ascii="Verdana" w:eastAsia="Verdana" w:hAnsi="Verdana"/>
        </w:rPr>
        <w:t>pozostawiona w</w:t>
      </w:r>
      <w:r w:rsidRPr="008538F4">
        <w:rPr>
          <w:rFonts w:ascii="Verdana" w:eastAsia="Verdana" w:hAnsi="Verdana"/>
        </w:rPr>
        <w:t xml:space="preserve"> Departamen</w:t>
      </w:r>
      <w:r>
        <w:rPr>
          <w:rFonts w:ascii="Verdana" w:eastAsia="Verdana" w:hAnsi="Verdana"/>
        </w:rPr>
        <w:t>cie</w:t>
      </w:r>
      <w:r w:rsidRPr="008538F4">
        <w:rPr>
          <w:rFonts w:ascii="Verdana" w:eastAsia="Verdana" w:hAnsi="Verdana"/>
        </w:rPr>
        <w:t xml:space="preserve"> Zdrowia i Ubezpieczeń Społecznych. Skarżyła się, że nie była w stanie uzyskać szczegółów identyfikujących jej </w:t>
      </w:r>
      <w:r>
        <w:rPr>
          <w:rFonts w:ascii="Verdana" w:eastAsia="Verdana" w:hAnsi="Verdana"/>
        </w:rPr>
        <w:t>biologiczną</w:t>
      </w:r>
      <w:r w:rsidRPr="008538F4">
        <w:rPr>
          <w:rFonts w:ascii="Verdana" w:eastAsia="Verdana" w:hAnsi="Verdana"/>
        </w:rPr>
        <w:t xml:space="preserve"> rodzinę, </w:t>
      </w:r>
      <w:r w:rsidR="00DB2E7E">
        <w:rPr>
          <w:rFonts w:ascii="Verdana" w:eastAsia="Verdana" w:hAnsi="Verdana"/>
        </w:rPr>
        <w:t>a</w:t>
      </w:r>
      <w:r w:rsidRPr="008538F4">
        <w:rPr>
          <w:rFonts w:ascii="Verdana" w:eastAsia="Verdana" w:hAnsi="Verdana"/>
        </w:rPr>
        <w:t xml:space="preserve"> w szczególności</w:t>
      </w:r>
      <w:r w:rsidR="00DB2E7E">
        <w:rPr>
          <w:rFonts w:ascii="Verdana" w:eastAsia="Verdana" w:hAnsi="Verdana"/>
        </w:rPr>
        <w:t xml:space="preserve"> podnosiła</w:t>
      </w:r>
      <w:r w:rsidRPr="008538F4">
        <w:rPr>
          <w:rFonts w:ascii="Verdana" w:eastAsia="Verdana" w:hAnsi="Verdana"/>
        </w:rPr>
        <w:t>, że był</w:t>
      </w:r>
      <w:r w:rsidR="00DB2E7E">
        <w:rPr>
          <w:rFonts w:ascii="Verdana" w:eastAsia="Verdana" w:hAnsi="Verdana"/>
        </w:rPr>
        <w:t>o to</w:t>
      </w:r>
      <w:r w:rsidRPr="008538F4">
        <w:rPr>
          <w:rFonts w:ascii="Verdana" w:eastAsia="Verdana" w:hAnsi="Verdana"/>
        </w:rPr>
        <w:t xml:space="preserve"> dla niej bardzo </w:t>
      </w:r>
      <w:r w:rsidR="00DB2E7E">
        <w:rPr>
          <w:rFonts w:ascii="Verdana" w:eastAsia="Verdana" w:hAnsi="Verdana"/>
        </w:rPr>
        <w:t>krzywdzące</w:t>
      </w:r>
      <w:r w:rsidRPr="008538F4">
        <w:rPr>
          <w:rFonts w:ascii="Verdana" w:eastAsia="Verdana" w:hAnsi="Verdana"/>
        </w:rPr>
        <w:t>, ponieważ pozbawił</w:t>
      </w:r>
      <w:r w:rsidR="00DB2E7E">
        <w:rPr>
          <w:rFonts w:ascii="Verdana" w:eastAsia="Verdana" w:hAnsi="Verdana"/>
        </w:rPr>
        <w:t>o</w:t>
      </w:r>
      <w:r w:rsidRPr="008538F4">
        <w:rPr>
          <w:rFonts w:ascii="Verdana" w:eastAsia="Verdana" w:hAnsi="Verdana"/>
        </w:rPr>
        <w:t xml:space="preserve"> ją szansy na odtworzenie jej historii życia. </w:t>
      </w:r>
    </w:p>
    <w:p w14:paraId="1F25F2AE" w14:textId="77777777" w:rsidR="00927B62" w:rsidRDefault="008538F4" w:rsidP="00AB713F">
      <w:pPr>
        <w:spacing w:line="0" w:lineRule="atLeast"/>
        <w:ind w:left="740"/>
        <w:jc w:val="both"/>
        <w:rPr>
          <w:rFonts w:ascii="Verdana" w:eastAsia="Verdana" w:hAnsi="Verdana"/>
          <w:color w:val="0070C0"/>
        </w:rPr>
      </w:pPr>
      <w:r w:rsidRPr="008538F4">
        <w:rPr>
          <w:rFonts w:ascii="Verdana" w:eastAsia="Verdana" w:hAnsi="Verdana"/>
          <w:color w:val="0070C0"/>
        </w:rPr>
        <w:t>W wyroku Wielkiej Izby Trybunał zauważył, że poród, a w szczególności okoliczności, w których dziecko się urodziło, stanowiły część życia prywatnego dziecka, a następnie osoby dorosłej, gwarantowane</w:t>
      </w:r>
      <w:r w:rsidR="00DB2E7E">
        <w:rPr>
          <w:rFonts w:ascii="Verdana" w:eastAsia="Verdana" w:hAnsi="Verdana"/>
          <w:color w:val="0070C0"/>
        </w:rPr>
        <w:t>go</w:t>
      </w:r>
      <w:r w:rsidRPr="008538F4">
        <w:rPr>
          <w:rFonts w:ascii="Verdana" w:eastAsia="Verdana" w:hAnsi="Verdana"/>
          <w:color w:val="0070C0"/>
        </w:rPr>
        <w:t xml:space="preserve"> przez art. 8 Konwencji. W niniejszej sprawie Trybunał stwierdził, że </w:t>
      </w:r>
      <w:r w:rsidRPr="00DB2E7E">
        <w:rPr>
          <w:rFonts w:ascii="Verdana" w:eastAsia="Verdana" w:hAnsi="Verdana"/>
          <w:b/>
          <w:bCs/>
          <w:color w:val="0070C0"/>
        </w:rPr>
        <w:t>nie doszło do naruszenia art. 8</w:t>
      </w:r>
      <w:r w:rsidRPr="008538F4">
        <w:rPr>
          <w:rFonts w:ascii="Verdana" w:eastAsia="Verdana" w:hAnsi="Verdana"/>
          <w:color w:val="0070C0"/>
        </w:rPr>
        <w:t xml:space="preserve">, zauważając w szczególności, że skarżąca uzyskała dostęp do nieidentyfikujących informacji o swojej matce i </w:t>
      </w:r>
      <w:r w:rsidR="00DB2E7E">
        <w:rPr>
          <w:rFonts w:ascii="Verdana" w:eastAsia="Verdana" w:hAnsi="Verdana"/>
          <w:color w:val="0070C0"/>
        </w:rPr>
        <w:t>biologicznej</w:t>
      </w:r>
      <w:r w:rsidRPr="008538F4">
        <w:rPr>
          <w:rFonts w:ascii="Verdana" w:eastAsia="Verdana" w:hAnsi="Verdana"/>
          <w:color w:val="0070C0"/>
        </w:rPr>
        <w:t xml:space="preserve"> rodzinie, które umożliwiły jej odnalezienie niektórych jej korzeni, zapewniając jednocześnie ochron</w:t>
      </w:r>
      <w:r w:rsidR="00DB2E7E">
        <w:rPr>
          <w:rFonts w:ascii="Verdana" w:eastAsia="Verdana" w:hAnsi="Verdana"/>
          <w:color w:val="0070C0"/>
        </w:rPr>
        <w:t>ę</w:t>
      </w:r>
      <w:r w:rsidRPr="008538F4">
        <w:rPr>
          <w:rFonts w:ascii="Verdana" w:eastAsia="Verdana" w:hAnsi="Verdana"/>
          <w:color w:val="0070C0"/>
        </w:rPr>
        <w:t xml:space="preserve"> interesów stron trzecich. Ponadto ostatnie przepisy uchwalone w 2002 r</w:t>
      </w:r>
      <w:r w:rsidR="00DB2E7E">
        <w:rPr>
          <w:rFonts w:ascii="Verdana" w:eastAsia="Verdana" w:hAnsi="Verdana"/>
          <w:color w:val="0070C0"/>
        </w:rPr>
        <w:t>oku</w:t>
      </w:r>
      <w:r w:rsidRPr="008538F4">
        <w:rPr>
          <w:rFonts w:ascii="Verdana" w:eastAsia="Verdana" w:hAnsi="Verdana"/>
          <w:color w:val="0070C0"/>
        </w:rPr>
        <w:t xml:space="preserve"> </w:t>
      </w:r>
      <w:r w:rsidR="00DB2E7E">
        <w:rPr>
          <w:rFonts w:ascii="Verdana" w:eastAsia="Verdana" w:hAnsi="Verdana"/>
          <w:color w:val="0070C0"/>
        </w:rPr>
        <w:t>u</w:t>
      </w:r>
      <w:r w:rsidRPr="008538F4">
        <w:rPr>
          <w:rFonts w:ascii="Verdana" w:eastAsia="Verdana" w:hAnsi="Verdana"/>
          <w:color w:val="0070C0"/>
        </w:rPr>
        <w:t xml:space="preserve">możliwiły uchylenie poufności i ustanowienie specjalnego organu w celu ułatwienia wyszukiwania informacji na temat pochodzenia biologicznego. Skarżąca może teraz </w:t>
      </w:r>
      <w:r w:rsidR="00DB2E7E">
        <w:rPr>
          <w:rFonts w:ascii="Verdana" w:eastAsia="Verdana" w:hAnsi="Verdana"/>
          <w:color w:val="0070C0"/>
        </w:rPr>
        <w:t>s</w:t>
      </w:r>
      <w:r w:rsidRPr="008538F4">
        <w:rPr>
          <w:rFonts w:ascii="Verdana" w:eastAsia="Verdana" w:hAnsi="Verdana"/>
          <w:color w:val="0070C0"/>
        </w:rPr>
        <w:t>korzystać z tego ustawodawstwa, aby zażądać ujawnienia tożsamości matki, pod warunkiem uzyskania jej zgody, aby</w:t>
      </w:r>
      <w:r w:rsidR="00DB2E7E">
        <w:rPr>
          <w:rFonts w:ascii="Verdana" w:eastAsia="Verdana" w:hAnsi="Verdana"/>
          <w:color w:val="0070C0"/>
        </w:rPr>
        <w:t xml:space="preserve"> zagwarantować</w:t>
      </w:r>
      <w:r w:rsidRPr="008538F4">
        <w:rPr>
          <w:rFonts w:ascii="Verdana" w:eastAsia="Verdana" w:hAnsi="Verdana"/>
          <w:color w:val="0070C0"/>
        </w:rPr>
        <w:t xml:space="preserve">, że potrzeba ochrony matki i uzasadniony wniosek skarżącej zostały </w:t>
      </w:r>
      <w:r w:rsidR="00DB2E7E">
        <w:rPr>
          <w:rFonts w:ascii="Verdana" w:eastAsia="Verdana" w:hAnsi="Verdana"/>
          <w:color w:val="0070C0"/>
        </w:rPr>
        <w:t>sprawiedliwie</w:t>
      </w:r>
      <w:r w:rsidRPr="008538F4">
        <w:rPr>
          <w:rFonts w:ascii="Verdana" w:eastAsia="Verdana" w:hAnsi="Verdana"/>
          <w:color w:val="0070C0"/>
        </w:rPr>
        <w:t xml:space="preserve"> pogodzone.</w:t>
      </w:r>
      <w:r w:rsidR="00DB2E7E">
        <w:rPr>
          <w:rFonts w:ascii="Verdana" w:eastAsia="Verdana" w:hAnsi="Verdana"/>
          <w:color w:val="0070C0"/>
        </w:rPr>
        <w:t xml:space="preserve"> </w:t>
      </w:r>
      <w:r w:rsidRPr="008538F4">
        <w:rPr>
          <w:rFonts w:ascii="Verdana" w:eastAsia="Verdana" w:hAnsi="Verdana"/>
          <w:color w:val="0070C0"/>
        </w:rPr>
        <w:t>Ustawodawstwo francuskie dążyło zatem do osiągnięcia równowagi i zapewnienia wystarczającej proporcji między sprzecznymi interesami.</w:t>
      </w:r>
    </w:p>
    <w:p w14:paraId="0DDBAE84" w14:textId="132CB22D" w:rsidR="00DB2E7E" w:rsidRPr="00DB2E7E" w:rsidRDefault="00DB2E7E" w:rsidP="00AB713F">
      <w:pPr>
        <w:spacing w:before="120" w:line="0" w:lineRule="atLeast"/>
        <w:ind w:left="740"/>
        <w:rPr>
          <w:rFonts w:ascii="Verdana" w:eastAsia="Verdana" w:hAnsi="Verdana"/>
          <w:b/>
          <w:color w:val="0072BC"/>
          <w:u w:val="single"/>
        </w:rPr>
      </w:pPr>
      <w:hyperlink r:id="rId105" w:anchor="{%22itemid%22:[%22003-1477579-1544873%22]}" w:history="1">
        <w:r w:rsidRPr="00BF1406">
          <w:rPr>
            <w:rStyle w:val="Hipercze"/>
            <w:rFonts w:ascii="Verdana" w:eastAsia="Verdana" w:hAnsi="Verdana"/>
            <w:b/>
          </w:rPr>
          <w:t xml:space="preserve">Roche </w:t>
        </w:r>
        <w:r w:rsidR="00806CC9" w:rsidRPr="00BF1406">
          <w:rPr>
            <w:rStyle w:val="Hipercze"/>
            <w:rFonts w:ascii="Verdana" w:eastAsia="Verdana" w:hAnsi="Verdana"/>
            <w:b/>
          </w:rPr>
          <w:t>przeciwko Zjednoczonemu Królestwu</w:t>
        </w:r>
      </w:hyperlink>
      <w:r w:rsidRPr="00DB2E7E">
        <w:rPr>
          <w:rFonts w:ascii="Verdana" w:eastAsia="Verdana" w:hAnsi="Verdana"/>
          <w:b/>
          <w:color w:val="0072BC"/>
          <w:u w:val="single"/>
        </w:rPr>
        <w:t xml:space="preserve"> </w:t>
      </w:r>
    </w:p>
    <w:p w14:paraId="3FC2C55C" w14:textId="77777777" w:rsidR="00DB2E7E" w:rsidRPr="00DB2E7E" w:rsidRDefault="00DB2E7E" w:rsidP="00AB713F">
      <w:pPr>
        <w:spacing w:line="0" w:lineRule="atLeast"/>
        <w:ind w:left="740"/>
        <w:rPr>
          <w:rFonts w:ascii="Verdana" w:hAnsi="Verdana" w:cs="Verdana"/>
          <w:color w:val="000000"/>
        </w:rPr>
      </w:pPr>
      <w:r w:rsidRPr="00DB2E7E">
        <w:rPr>
          <w:rFonts w:ascii="Verdana" w:eastAsia="Verdana" w:hAnsi="Verdana"/>
          <w:color w:val="808080"/>
          <w:sz w:val="18"/>
        </w:rPr>
        <w:t xml:space="preserve">19 </w:t>
      </w:r>
      <w:r w:rsidR="00806CC9">
        <w:rPr>
          <w:rFonts w:ascii="Verdana" w:eastAsia="Verdana" w:hAnsi="Verdana"/>
          <w:color w:val="808080"/>
          <w:sz w:val="18"/>
        </w:rPr>
        <w:t>października</w:t>
      </w:r>
      <w:r w:rsidRPr="00DB2E7E">
        <w:rPr>
          <w:rFonts w:ascii="Verdana" w:eastAsia="Verdana" w:hAnsi="Verdana"/>
          <w:color w:val="808080"/>
          <w:sz w:val="18"/>
        </w:rPr>
        <w:t xml:space="preserve"> 2005</w:t>
      </w:r>
      <w:r w:rsidR="00806CC9">
        <w:rPr>
          <w:rFonts w:ascii="Verdana" w:eastAsia="Verdana" w:hAnsi="Verdana"/>
          <w:color w:val="808080"/>
          <w:sz w:val="18"/>
        </w:rPr>
        <w:t xml:space="preserve"> roku</w:t>
      </w:r>
      <w:r w:rsidRPr="00DB2E7E">
        <w:rPr>
          <w:rFonts w:ascii="Verdana" w:eastAsia="Verdana" w:hAnsi="Verdana"/>
          <w:color w:val="808080"/>
          <w:sz w:val="18"/>
        </w:rPr>
        <w:t xml:space="preserve"> (</w:t>
      </w:r>
      <w:r w:rsidR="00806CC9">
        <w:rPr>
          <w:rFonts w:ascii="Verdana" w:eastAsia="Verdana" w:hAnsi="Verdana"/>
          <w:color w:val="808080"/>
          <w:sz w:val="18"/>
        </w:rPr>
        <w:t>Wielka Izba</w:t>
      </w:r>
      <w:r w:rsidRPr="00DB2E7E">
        <w:rPr>
          <w:rFonts w:ascii="Verdana" w:eastAsia="Verdana" w:hAnsi="Verdana"/>
          <w:color w:val="808080"/>
          <w:sz w:val="18"/>
        </w:rPr>
        <w:t xml:space="preserve">) </w:t>
      </w:r>
    </w:p>
    <w:p w14:paraId="2E1A383C" w14:textId="77777777" w:rsidR="00DB2E7E" w:rsidRPr="00DB2E7E" w:rsidRDefault="004F62B7" w:rsidP="00AB713F">
      <w:pPr>
        <w:spacing w:line="239" w:lineRule="auto"/>
        <w:ind w:left="740" w:right="20"/>
        <w:jc w:val="both"/>
        <w:rPr>
          <w:rFonts w:ascii="Verdana" w:hAnsi="Verdana" w:cs="Verdana"/>
          <w:color w:val="000000"/>
        </w:rPr>
      </w:pPr>
      <w:r w:rsidRPr="004F62B7">
        <w:rPr>
          <w:rFonts w:ascii="Verdana" w:eastAsia="Verdana" w:hAnsi="Verdana"/>
        </w:rPr>
        <w:t>Skarżący został zwolniony z armii brytyjskiej pod koniec lat 60. W latach 80</w:t>
      </w:r>
      <w:r w:rsidR="003B08D1">
        <w:rPr>
          <w:rFonts w:ascii="Verdana" w:eastAsia="Verdana" w:hAnsi="Verdana"/>
        </w:rPr>
        <w:t>.</w:t>
      </w:r>
      <w:r w:rsidRPr="004F62B7">
        <w:rPr>
          <w:rFonts w:ascii="Verdana" w:eastAsia="Verdana" w:hAnsi="Verdana"/>
        </w:rPr>
        <w:t xml:space="preserve"> rozwin</w:t>
      </w:r>
      <w:r w:rsidR="003B08D1">
        <w:rPr>
          <w:rFonts w:ascii="Verdana" w:eastAsia="Verdana" w:hAnsi="Verdana"/>
        </w:rPr>
        <w:t>ęło</w:t>
      </w:r>
      <w:r w:rsidRPr="004F62B7">
        <w:rPr>
          <w:rFonts w:ascii="Verdana" w:eastAsia="Verdana" w:hAnsi="Verdana"/>
        </w:rPr>
        <w:t xml:space="preserve"> się</w:t>
      </w:r>
      <w:r w:rsidR="003B08D1">
        <w:rPr>
          <w:rFonts w:ascii="Verdana" w:eastAsia="Verdana" w:hAnsi="Verdana"/>
        </w:rPr>
        <w:t xml:space="preserve"> u niego</w:t>
      </w:r>
      <w:r w:rsidRPr="004F62B7">
        <w:rPr>
          <w:rFonts w:ascii="Verdana" w:eastAsia="Verdana" w:hAnsi="Verdana"/>
        </w:rPr>
        <w:t xml:space="preserve"> nadciśnienie, </w:t>
      </w:r>
      <w:r w:rsidR="00755D87">
        <w:rPr>
          <w:rFonts w:ascii="Verdana" w:eastAsia="Verdana" w:hAnsi="Verdana"/>
        </w:rPr>
        <w:t xml:space="preserve">a później cierpiał tez na </w:t>
      </w:r>
      <w:r w:rsidRPr="004F62B7">
        <w:rPr>
          <w:rFonts w:ascii="Verdana" w:eastAsia="Verdana" w:hAnsi="Verdana"/>
        </w:rPr>
        <w:t xml:space="preserve">zapalenie oskrzeli i astmę oskrzelową. Został zarejestrowany jako </w:t>
      </w:r>
      <w:r w:rsidR="00755D87">
        <w:rPr>
          <w:rFonts w:ascii="Verdana" w:eastAsia="Verdana" w:hAnsi="Verdana"/>
        </w:rPr>
        <w:t>inwalida</w:t>
      </w:r>
      <w:r w:rsidRPr="004F62B7">
        <w:rPr>
          <w:rFonts w:ascii="Verdana" w:eastAsia="Verdana" w:hAnsi="Verdana"/>
        </w:rPr>
        <w:t xml:space="preserve"> i utrzymywał, że jego problemy zdrowotne były wynikiem jego udziału w testach </w:t>
      </w:r>
      <w:r w:rsidR="00755D87">
        <w:rPr>
          <w:rFonts w:ascii="Verdana" w:eastAsia="Verdana" w:hAnsi="Verdana"/>
        </w:rPr>
        <w:t>z użyciem</w:t>
      </w:r>
      <w:r w:rsidRPr="004F62B7">
        <w:rPr>
          <w:rFonts w:ascii="Verdana" w:eastAsia="Verdana" w:hAnsi="Verdana"/>
        </w:rPr>
        <w:t xml:space="preserve"> gaz</w:t>
      </w:r>
      <w:r w:rsidR="00755D87">
        <w:rPr>
          <w:rFonts w:ascii="Verdana" w:eastAsia="Verdana" w:hAnsi="Verdana"/>
        </w:rPr>
        <w:t>u</w:t>
      </w:r>
      <w:r w:rsidRPr="004F62B7">
        <w:rPr>
          <w:rFonts w:ascii="Verdana" w:eastAsia="Verdana" w:hAnsi="Verdana"/>
        </w:rPr>
        <w:t xml:space="preserve"> </w:t>
      </w:r>
      <w:r w:rsidR="00755D87">
        <w:rPr>
          <w:rFonts w:ascii="Verdana" w:eastAsia="Verdana" w:hAnsi="Verdana"/>
        </w:rPr>
        <w:t xml:space="preserve">musztardowego i </w:t>
      </w:r>
      <w:r w:rsidRPr="004F62B7">
        <w:rPr>
          <w:rFonts w:ascii="Verdana" w:eastAsia="Verdana" w:hAnsi="Verdana"/>
        </w:rPr>
        <w:t>nerwow</w:t>
      </w:r>
      <w:r w:rsidR="00755D87">
        <w:rPr>
          <w:rFonts w:ascii="Verdana" w:eastAsia="Verdana" w:hAnsi="Verdana"/>
        </w:rPr>
        <w:t>ego</w:t>
      </w:r>
      <w:r w:rsidRPr="004F62B7">
        <w:rPr>
          <w:rFonts w:ascii="Verdana" w:eastAsia="Verdana" w:hAnsi="Verdana"/>
        </w:rPr>
        <w:t xml:space="preserve"> przeprowadzonych pod auspicjami brytyjskich sił zbrojnych w Porton Down Barracks (Anglia) w latach 60. Skarżący zarzucił w szczególności, że nie miał dostępu do wszystkich istotnych i odpowiednich informacji, które pozwoliłyby mu ocenić ryzyko, na które był narażony podczas udziału w tych testach.</w:t>
      </w:r>
      <w:r w:rsidR="00DB2E7E" w:rsidRPr="00DB2E7E">
        <w:rPr>
          <w:rFonts w:ascii="Verdana" w:eastAsia="Verdana" w:hAnsi="Verdana"/>
        </w:rPr>
        <w:t xml:space="preserve"> </w:t>
      </w:r>
    </w:p>
    <w:p w14:paraId="3EEC1928" w14:textId="77777777" w:rsidR="00DB2E7E" w:rsidRDefault="004F62B7" w:rsidP="00AB713F">
      <w:pPr>
        <w:spacing w:line="241" w:lineRule="auto"/>
        <w:ind w:left="740"/>
        <w:jc w:val="both"/>
        <w:rPr>
          <w:rFonts w:ascii="Verdana" w:eastAsia="Verdana" w:hAnsi="Verdana"/>
          <w:color w:val="0072BC"/>
        </w:rPr>
      </w:pPr>
      <w:r w:rsidRPr="004F62B7">
        <w:rPr>
          <w:rFonts w:ascii="Verdana" w:eastAsia="Verdana" w:hAnsi="Verdana"/>
          <w:color w:val="0072BC"/>
        </w:rPr>
        <w:t xml:space="preserve">Trybunał uznał, że doszło do </w:t>
      </w:r>
      <w:r w:rsidRPr="00755D87">
        <w:rPr>
          <w:rFonts w:ascii="Verdana" w:eastAsia="Verdana" w:hAnsi="Verdana"/>
          <w:b/>
          <w:bCs/>
          <w:color w:val="0072BC"/>
        </w:rPr>
        <w:t>naruszenia art. 8</w:t>
      </w:r>
      <w:r w:rsidRPr="004F62B7">
        <w:rPr>
          <w:rFonts w:ascii="Verdana" w:eastAsia="Verdana" w:hAnsi="Verdana"/>
          <w:color w:val="0072BC"/>
        </w:rPr>
        <w:t xml:space="preserve"> Konwencji, uznając, że w ogólnych okolicznościach Zjednoczone Królestwo nie wypełniło swojego pozytywnego obowiązku zapewnienia skutecznej i dostępnej procedury umożliwiającej skarżącemu dostęp do wszystkich istotnych i odpowiedni</w:t>
      </w:r>
      <w:r w:rsidR="00755D87">
        <w:rPr>
          <w:rFonts w:ascii="Verdana" w:eastAsia="Verdana" w:hAnsi="Verdana"/>
          <w:color w:val="0072BC"/>
        </w:rPr>
        <w:t>ch</w:t>
      </w:r>
      <w:r w:rsidRPr="004F62B7">
        <w:rPr>
          <w:rFonts w:ascii="Verdana" w:eastAsia="Verdana" w:hAnsi="Verdana"/>
          <w:color w:val="0072BC"/>
        </w:rPr>
        <w:t xml:space="preserve"> informacj</w:t>
      </w:r>
      <w:r w:rsidR="00755D87">
        <w:rPr>
          <w:rFonts w:ascii="Verdana" w:eastAsia="Verdana" w:hAnsi="Verdana"/>
          <w:color w:val="0072BC"/>
        </w:rPr>
        <w:t>i</w:t>
      </w:r>
      <w:r w:rsidRPr="004F62B7">
        <w:rPr>
          <w:rFonts w:ascii="Verdana" w:eastAsia="Verdana" w:hAnsi="Verdana"/>
          <w:color w:val="0072BC"/>
        </w:rPr>
        <w:t>, które pozwol</w:t>
      </w:r>
      <w:r w:rsidR="00755D87">
        <w:rPr>
          <w:rFonts w:ascii="Verdana" w:eastAsia="Verdana" w:hAnsi="Verdana"/>
          <w:color w:val="0072BC"/>
        </w:rPr>
        <w:t>iłyby</w:t>
      </w:r>
      <w:r w:rsidRPr="004F62B7">
        <w:rPr>
          <w:rFonts w:ascii="Verdana" w:eastAsia="Verdana" w:hAnsi="Verdana"/>
          <w:color w:val="0072BC"/>
        </w:rPr>
        <w:t xml:space="preserve"> mu ocenić </w:t>
      </w:r>
      <w:r w:rsidR="00755D87">
        <w:rPr>
          <w:rFonts w:ascii="Verdana" w:eastAsia="Verdana" w:hAnsi="Verdana"/>
          <w:color w:val="0072BC"/>
        </w:rPr>
        <w:t xml:space="preserve">ewentualne </w:t>
      </w:r>
      <w:r w:rsidRPr="004F62B7">
        <w:rPr>
          <w:rFonts w:ascii="Verdana" w:eastAsia="Verdana" w:hAnsi="Verdana"/>
          <w:color w:val="0072BC"/>
        </w:rPr>
        <w:t>ryzyko, na które był narażony podczas udziału w testach. Trybunał zauważył w szczególności, że osoba fizyczna, taka jak skarżąc</w:t>
      </w:r>
      <w:r w:rsidR="000E637C">
        <w:rPr>
          <w:rFonts w:ascii="Verdana" w:eastAsia="Verdana" w:hAnsi="Verdana"/>
          <w:color w:val="0072BC"/>
        </w:rPr>
        <w:t>y</w:t>
      </w:r>
      <w:r w:rsidRPr="004F62B7">
        <w:rPr>
          <w:rFonts w:ascii="Verdana" w:eastAsia="Verdana" w:hAnsi="Verdana"/>
          <w:color w:val="0072BC"/>
        </w:rPr>
        <w:t xml:space="preserve">, która konsekwentnie dochodziła takiego ujawnienia </w:t>
      </w:r>
      <w:r w:rsidR="000E637C">
        <w:rPr>
          <w:rFonts w:ascii="Verdana" w:eastAsia="Verdana" w:hAnsi="Verdana"/>
          <w:color w:val="0072BC"/>
        </w:rPr>
        <w:t xml:space="preserve">informacji </w:t>
      </w:r>
      <w:r w:rsidRPr="004F62B7">
        <w:rPr>
          <w:rFonts w:ascii="Verdana" w:eastAsia="Verdana" w:hAnsi="Verdana"/>
          <w:color w:val="0072BC"/>
        </w:rPr>
        <w:t xml:space="preserve">niezależnie od jakiegokolwiek sporu, nie powinna być zobowiązana do prowadzenia postępowania w celu uzyskania </w:t>
      </w:r>
      <w:r w:rsidR="000E637C">
        <w:rPr>
          <w:rFonts w:ascii="Verdana" w:eastAsia="Verdana" w:hAnsi="Verdana"/>
          <w:color w:val="0072BC"/>
        </w:rPr>
        <w:t>informacji</w:t>
      </w:r>
      <w:r w:rsidRPr="004F62B7">
        <w:rPr>
          <w:rFonts w:ascii="Verdana" w:eastAsia="Verdana" w:hAnsi="Verdana"/>
          <w:color w:val="0072BC"/>
        </w:rPr>
        <w:t xml:space="preserve">. Ponadto usługi informacyjne i badania zdrowotne rozpoczęto dopiero prawie 10 lat po rozpoczęciu przez skarżącego poszukiwania dokumentacji i po złożeniu </w:t>
      </w:r>
      <w:r w:rsidR="000E637C">
        <w:rPr>
          <w:rFonts w:ascii="Verdana" w:eastAsia="Verdana" w:hAnsi="Verdana"/>
          <w:color w:val="0072BC"/>
        </w:rPr>
        <w:t>skargi</w:t>
      </w:r>
      <w:r w:rsidRPr="004F62B7">
        <w:rPr>
          <w:rFonts w:ascii="Verdana" w:eastAsia="Verdana" w:hAnsi="Verdana"/>
          <w:color w:val="0072BC"/>
        </w:rPr>
        <w:t xml:space="preserve"> do Trybunału</w:t>
      </w:r>
      <w:r w:rsidR="00DB2E7E" w:rsidRPr="00672E47">
        <w:rPr>
          <w:rFonts w:ascii="Verdana" w:eastAsia="Verdana" w:hAnsi="Verdana"/>
          <w:color w:val="0072BC"/>
        </w:rPr>
        <w:t>.</w:t>
      </w:r>
    </w:p>
    <w:p w14:paraId="028DF8B0" w14:textId="044608C7" w:rsidR="00806CC9" w:rsidRDefault="00806CC9" w:rsidP="00AB713F">
      <w:pPr>
        <w:spacing w:before="120" w:line="0" w:lineRule="atLeast"/>
        <w:ind w:left="740"/>
        <w:rPr>
          <w:rFonts w:ascii="Verdana" w:eastAsia="Verdana" w:hAnsi="Verdana"/>
          <w:b/>
          <w:color w:val="0072BC"/>
          <w:u w:val="single"/>
        </w:rPr>
      </w:pPr>
      <w:hyperlink r:id="rId106" w:anchor="{%22itemid%22:[%22003-1584657-1658907%22]}" w:history="1">
        <w:r w:rsidRPr="00BF1406">
          <w:rPr>
            <w:rStyle w:val="Hipercze"/>
            <w:rFonts w:ascii="Verdana" w:eastAsia="Verdana" w:hAnsi="Verdana"/>
            <w:b/>
          </w:rPr>
          <w:t>Turek przeciwko Słowacji</w:t>
        </w:r>
      </w:hyperlink>
    </w:p>
    <w:p w14:paraId="1B8A33A8" w14:textId="77777777" w:rsidR="00806CC9" w:rsidRDefault="00806CC9" w:rsidP="00AB713F">
      <w:pPr>
        <w:spacing w:line="65" w:lineRule="exact"/>
        <w:ind w:left="740"/>
        <w:rPr>
          <w:rFonts w:ascii="Times New Roman" w:eastAsia="Times New Roman" w:hAnsi="Times New Roman"/>
        </w:rPr>
      </w:pPr>
    </w:p>
    <w:p w14:paraId="1FEC84F5" w14:textId="77777777" w:rsidR="00806CC9" w:rsidRDefault="00806CC9" w:rsidP="00AB713F">
      <w:pPr>
        <w:spacing w:line="0" w:lineRule="atLeast"/>
        <w:ind w:left="740"/>
        <w:rPr>
          <w:rFonts w:ascii="Verdana" w:eastAsia="Verdana" w:hAnsi="Verdana"/>
          <w:color w:val="808080"/>
          <w:sz w:val="18"/>
        </w:rPr>
      </w:pPr>
      <w:r>
        <w:rPr>
          <w:rFonts w:ascii="Verdana" w:eastAsia="Verdana" w:hAnsi="Verdana"/>
          <w:color w:val="808080"/>
          <w:sz w:val="18"/>
        </w:rPr>
        <w:t>14 lutego 2006 roku</w:t>
      </w:r>
    </w:p>
    <w:p w14:paraId="4FB57C13" w14:textId="77777777" w:rsidR="00806CC9" w:rsidRDefault="00806CC9" w:rsidP="00AB713F">
      <w:pPr>
        <w:spacing w:line="241" w:lineRule="auto"/>
        <w:ind w:left="740"/>
        <w:jc w:val="both"/>
        <w:rPr>
          <w:rFonts w:ascii="Verdana" w:eastAsia="Verdana" w:hAnsi="Verdana"/>
        </w:rPr>
      </w:pPr>
      <w:r w:rsidRPr="00964A72">
        <w:rPr>
          <w:rFonts w:ascii="Verdana" w:eastAsia="Verdana" w:hAnsi="Verdana"/>
        </w:rPr>
        <w:t>Skarżący twierdził w szczególności,</w:t>
      </w:r>
      <w:r>
        <w:rPr>
          <w:rFonts w:ascii="Verdana" w:eastAsia="Verdana" w:hAnsi="Verdana"/>
        </w:rPr>
        <w:t xml:space="preserve"> że dalsze istnienie akt byłej C</w:t>
      </w:r>
      <w:r w:rsidRPr="00964A72">
        <w:rPr>
          <w:rFonts w:ascii="Verdana" w:eastAsia="Verdana" w:hAnsi="Verdana"/>
        </w:rPr>
        <w:t xml:space="preserve">zechosłowackiej </w:t>
      </w:r>
      <w:r w:rsidR="00EC757A">
        <w:rPr>
          <w:rFonts w:ascii="Verdana" w:eastAsia="Verdana" w:hAnsi="Verdana"/>
        </w:rPr>
        <w:t xml:space="preserve">Komunistycznej </w:t>
      </w:r>
      <w:r w:rsidRPr="00964A72">
        <w:rPr>
          <w:rFonts w:ascii="Verdana" w:eastAsia="Verdana" w:hAnsi="Verdana"/>
        </w:rPr>
        <w:t>Agencji Bezpieczeństwa rejes</w:t>
      </w:r>
      <w:r>
        <w:rPr>
          <w:rFonts w:ascii="Verdana" w:eastAsia="Verdana" w:hAnsi="Verdana"/>
        </w:rPr>
        <w:t>trujących go jako jednego z jej</w:t>
      </w:r>
      <w:r w:rsidRPr="00964A72">
        <w:rPr>
          <w:rFonts w:ascii="Verdana" w:eastAsia="Verdana" w:hAnsi="Verdana"/>
        </w:rPr>
        <w:t xml:space="preserve"> </w:t>
      </w:r>
      <w:r w:rsidR="00FB082B">
        <w:rPr>
          <w:rFonts w:ascii="Verdana" w:eastAsia="Verdana" w:hAnsi="Verdana"/>
        </w:rPr>
        <w:t>agentów</w:t>
      </w:r>
      <w:r w:rsidRPr="00964A72">
        <w:rPr>
          <w:rFonts w:ascii="Verdana" w:eastAsia="Verdana" w:hAnsi="Verdana"/>
        </w:rPr>
        <w:t xml:space="preserve">, wydanie poświadczenia bezpieczeństwa </w:t>
      </w:r>
      <w:r w:rsidR="00FB082B">
        <w:rPr>
          <w:rFonts w:ascii="Verdana" w:eastAsia="Verdana" w:hAnsi="Verdana"/>
        </w:rPr>
        <w:t>w tym zakresie</w:t>
      </w:r>
      <w:r w:rsidRPr="00964A72">
        <w:rPr>
          <w:rFonts w:ascii="Verdana" w:eastAsia="Verdana" w:hAnsi="Verdana"/>
        </w:rPr>
        <w:t xml:space="preserve">, oddalenie jego skargi na tę </w:t>
      </w:r>
      <w:r w:rsidRPr="00964A72">
        <w:rPr>
          <w:rFonts w:ascii="Verdana" w:eastAsia="Verdana" w:hAnsi="Verdana"/>
        </w:rPr>
        <w:lastRenderedPageBreak/>
        <w:t>rejestrację oraz wynikające z tego skutki stanowi</w:t>
      </w:r>
      <w:r w:rsidR="00FB082B">
        <w:rPr>
          <w:rFonts w:ascii="Verdana" w:eastAsia="Verdana" w:hAnsi="Verdana"/>
        </w:rPr>
        <w:t>ły</w:t>
      </w:r>
      <w:r w:rsidRPr="00964A72">
        <w:rPr>
          <w:rFonts w:ascii="Verdana" w:eastAsia="Verdana" w:hAnsi="Verdana"/>
        </w:rPr>
        <w:t xml:space="preserve"> naruszenie jego prawa do poszanowania życia prywatnego.</w:t>
      </w:r>
    </w:p>
    <w:p w14:paraId="0065D347" w14:textId="77777777" w:rsidR="00806CC9" w:rsidRDefault="00806CC9" w:rsidP="00AB713F">
      <w:pPr>
        <w:spacing w:line="241" w:lineRule="auto"/>
        <w:ind w:left="740"/>
        <w:jc w:val="both"/>
        <w:rPr>
          <w:rFonts w:ascii="Verdana" w:eastAsia="Verdana" w:hAnsi="Verdana"/>
          <w:color w:val="0072BC"/>
        </w:rPr>
      </w:pPr>
      <w:r>
        <w:rPr>
          <w:rFonts w:ascii="Verdana" w:eastAsia="Verdana" w:hAnsi="Verdana"/>
          <w:color w:val="0072BC"/>
        </w:rPr>
        <w:t>Trybunał uznał,</w:t>
      </w:r>
      <w:r w:rsidRPr="000E53E8">
        <w:rPr>
          <w:rFonts w:ascii="Verdana" w:eastAsia="Verdana" w:hAnsi="Verdana"/>
          <w:color w:val="0072BC"/>
        </w:rPr>
        <w:t xml:space="preserve"> </w:t>
      </w:r>
      <w:r w:rsidR="00FB082B" w:rsidRPr="00FB082B">
        <w:rPr>
          <w:rFonts w:ascii="Verdana" w:eastAsia="Verdana" w:hAnsi="Verdana"/>
          <w:color w:val="0072BC"/>
        </w:rPr>
        <w:t>że szczególnie w postępowaniach związanych z działaniami</w:t>
      </w:r>
      <w:r w:rsidR="00FB082B">
        <w:rPr>
          <w:rFonts w:ascii="Verdana" w:eastAsia="Verdana" w:hAnsi="Verdana"/>
          <w:color w:val="0072BC"/>
        </w:rPr>
        <w:t xml:space="preserve"> </w:t>
      </w:r>
      <w:r w:rsidRPr="000E53E8">
        <w:rPr>
          <w:rFonts w:ascii="Verdana" w:eastAsia="Verdana" w:hAnsi="Verdana"/>
          <w:color w:val="0072BC"/>
        </w:rPr>
        <w:t xml:space="preserve">agencji bezpieczeństwa państwa mogą istnieć uzasadnione podstawy do ograniczenia dostępu do niektórych dokumentów i innych materiałów. </w:t>
      </w:r>
      <w:r w:rsidR="00FB082B" w:rsidRPr="00FB082B">
        <w:rPr>
          <w:rFonts w:ascii="Verdana" w:eastAsia="Verdana" w:hAnsi="Verdana"/>
          <w:color w:val="0072BC"/>
        </w:rPr>
        <w:t>Jednak w odniesieniu do postępowania lustracyjnego rozważani</w:t>
      </w:r>
      <w:r w:rsidR="00FB082B">
        <w:rPr>
          <w:rFonts w:ascii="Verdana" w:eastAsia="Verdana" w:hAnsi="Verdana"/>
          <w:color w:val="0072BC"/>
        </w:rPr>
        <w:t>a</w:t>
      </w:r>
      <w:r w:rsidR="00FB082B" w:rsidRPr="00FB082B">
        <w:rPr>
          <w:rFonts w:ascii="Verdana" w:eastAsia="Verdana" w:hAnsi="Verdana"/>
          <w:color w:val="0072BC"/>
        </w:rPr>
        <w:t xml:space="preserve"> t</w:t>
      </w:r>
      <w:r w:rsidR="00FB082B">
        <w:rPr>
          <w:rFonts w:ascii="Verdana" w:eastAsia="Verdana" w:hAnsi="Verdana"/>
          <w:color w:val="0072BC"/>
        </w:rPr>
        <w:t>e</w:t>
      </w:r>
      <w:r w:rsidR="00FB082B" w:rsidRPr="00FB082B">
        <w:rPr>
          <w:rFonts w:ascii="Verdana" w:eastAsia="Verdana" w:hAnsi="Verdana"/>
          <w:color w:val="0072BC"/>
        </w:rPr>
        <w:t xml:space="preserve"> stracił</w:t>
      </w:r>
      <w:r w:rsidR="00FB082B">
        <w:rPr>
          <w:rFonts w:ascii="Verdana" w:eastAsia="Verdana" w:hAnsi="Verdana"/>
          <w:color w:val="0072BC"/>
        </w:rPr>
        <w:t>y</w:t>
      </w:r>
      <w:r w:rsidR="00FB082B" w:rsidRPr="00FB082B">
        <w:rPr>
          <w:rFonts w:ascii="Verdana" w:eastAsia="Verdana" w:hAnsi="Verdana"/>
          <w:color w:val="0072BC"/>
        </w:rPr>
        <w:t xml:space="preserve"> wiele na aktualności, tym bardziej, że postępowanie takie z natury było ukierunkowane na ustalenie faktów pochodzących z okresu komunizmu i nie był</w:t>
      </w:r>
      <w:r w:rsidR="00FB082B">
        <w:rPr>
          <w:rFonts w:ascii="Verdana" w:eastAsia="Verdana" w:hAnsi="Verdana"/>
          <w:color w:val="0072BC"/>
        </w:rPr>
        <w:t>o</w:t>
      </w:r>
      <w:r w:rsidR="00FB082B" w:rsidRPr="00FB082B">
        <w:rPr>
          <w:rFonts w:ascii="Verdana" w:eastAsia="Verdana" w:hAnsi="Verdana"/>
          <w:color w:val="0072BC"/>
        </w:rPr>
        <w:t xml:space="preserve"> bezpośrednio związane z obecnymi funkcjami służb bezpieczeństwa. Ponadto kwestionowana była legalność działań agencji. W sprawie skarżącego </w:t>
      </w:r>
      <w:r w:rsidR="00FB082B">
        <w:rPr>
          <w:rFonts w:ascii="Verdana" w:eastAsia="Verdana" w:hAnsi="Verdana"/>
          <w:color w:val="0072BC"/>
        </w:rPr>
        <w:t xml:space="preserve">Trybunał </w:t>
      </w:r>
      <w:r w:rsidR="00FB082B" w:rsidRPr="00FB082B">
        <w:rPr>
          <w:rFonts w:ascii="Verdana" w:eastAsia="Verdana" w:hAnsi="Verdana"/>
          <w:color w:val="0072BC"/>
        </w:rPr>
        <w:t xml:space="preserve">zauważył, że sądy krajowe uznały za niezwykle ważne, aby </w:t>
      </w:r>
      <w:r w:rsidR="00FB082B">
        <w:rPr>
          <w:rFonts w:ascii="Verdana" w:eastAsia="Verdana" w:hAnsi="Verdana"/>
          <w:color w:val="0072BC"/>
        </w:rPr>
        <w:t xml:space="preserve">skarżący </w:t>
      </w:r>
      <w:r w:rsidR="00FB082B" w:rsidRPr="00FB082B">
        <w:rPr>
          <w:rFonts w:ascii="Verdana" w:eastAsia="Verdana" w:hAnsi="Verdana"/>
          <w:color w:val="0072BC"/>
        </w:rPr>
        <w:t xml:space="preserve">udowodnił, że ingerencja państwa w jego prawa była sprzeczna z obowiązującymi przepisami. Zasady te były jednak tajne i skarżący nie miał do nich pełnego dostępu. Z drugiej strony państwo - słowacka służba wywiadowcza - miało pełny dostęp. Trybunał stwierdził, że wymóg ten nałożył nierealistyczne i nadmierne obciążenie na skarżącego i nie był zgodny z zasadą równości. W związku z tym doszło do </w:t>
      </w:r>
      <w:r w:rsidR="00FB082B" w:rsidRPr="00FB082B">
        <w:rPr>
          <w:rFonts w:ascii="Verdana" w:eastAsia="Verdana" w:hAnsi="Verdana"/>
          <w:b/>
          <w:bCs/>
          <w:color w:val="0072BC"/>
        </w:rPr>
        <w:t>naruszenia art. 8</w:t>
      </w:r>
      <w:r w:rsidR="00FB082B" w:rsidRPr="00FB082B">
        <w:rPr>
          <w:rFonts w:ascii="Verdana" w:eastAsia="Verdana" w:hAnsi="Verdana"/>
          <w:color w:val="0072BC"/>
        </w:rPr>
        <w:t xml:space="preserve"> Konwencji </w:t>
      </w:r>
      <w:r w:rsidR="00636761">
        <w:rPr>
          <w:rFonts w:ascii="Verdana" w:eastAsia="Verdana" w:hAnsi="Verdana"/>
          <w:color w:val="0072BC"/>
        </w:rPr>
        <w:t>w zakresie</w:t>
      </w:r>
      <w:r w:rsidR="00FB082B" w:rsidRPr="00FB082B">
        <w:rPr>
          <w:rFonts w:ascii="Verdana" w:eastAsia="Verdana" w:hAnsi="Verdana"/>
          <w:color w:val="0072BC"/>
        </w:rPr>
        <w:t xml:space="preserve"> braku procedury, w ramach której skarżący mógłby ubiegać się o ochronę jego prawa do poszanowania życia prywatnego. Trybunał w końcu stwierdził, że nie ma potrzeby osobnego badania wpływu </w:t>
      </w:r>
      <w:r w:rsidR="00636761">
        <w:rPr>
          <w:rFonts w:ascii="Verdana" w:eastAsia="Verdana" w:hAnsi="Verdana"/>
          <w:color w:val="0072BC"/>
        </w:rPr>
        <w:t xml:space="preserve">na życie prywatne skarżącego faktu </w:t>
      </w:r>
      <w:r w:rsidR="00FB082B" w:rsidRPr="00FB082B">
        <w:rPr>
          <w:rFonts w:ascii="Verdana" w:eastAsia="Verdana" w:hAnsi="Verdana"/>
          <w:color w:val="0072BC"/>
        </w:rPr>
        <w:t xml:space="preserve">zarejestrowania </w:t>
      </w:r>
      <w:r w:rsidR="00636761">
        <w:rPr>
          <w:rFonts w:ascii="Verdana" w:eastAsia="Verdana" w:hAnsi="Verdana"/>
          <w:color w:val="0072BC"/>
        </w:rPr>
        <w:t>go w</w:t>
      </w:r>
      <w:r w:rsidR="00FB082B" w:rsidRPr="00FB082B">
        <w:rPr>
          <w:rFonts w:ascii="Verdana" w:eastAsia="Verdana" w:hAnsi="Verdana"/>
          <w:color w:val="0072BC"/>
        </w:rPr>
        <w:t xml:space="preserve"> akta</w:t>
      </w:r>
      <w:r w:rsidR="00636761">
        <w:rPr>
          <w:rFonts w:ascii="Verdana" w:eastAsia="Verdana" w:hAnsi="Verdana"/>
          <w:color w:val="0072BC"/>
        </w:rPr>
        <w:t>ch</w:t>
      </w:r>
      <w:r w:rsidR="00FB082B" w:rsidRPr="00FB082B">
        <w:rPr>
          <w:rFonts w:ascii="Verdana" w:eastAsia="Verdana" w:hAnsi="Verdana"/>
          <w:color w:val="0072BC"/>
        </w:rPr>
        <w:t xml:space="preserve"> byłej Agencji Bezpieczeństwa Państwowego i negatywnego poświadczenia bezpieczeństwa.</w:t>
      </w:r>
      <w:r>
        <w:rPr>
          <w:rFonts w:ascii="Verdana" w:eastAsia="Verdana" w:hAnsi="Verdana"/>
          <w:color w:val="0072BC"/>
        </w:rPr>
        <w:t xml:space="preserve"> </w:t>
      </w:r>
    </w:p>
    <w:p w14:paraId="5D66ED42" w14:textId="40A0A21D" w:rsidR="00BB0181" w:rsidRPr="00BB0181" w:rsidRDefault="00BB0181" w:rsidP="00AB713F">
      <w:pPr>
        <w:spacing w:before="120" w:line="0" w:lineRule="atLeast"/>
        <w:ind w:left="740"/>
        <w:rPr>
          <w:rFonts w:ascii="Verdana" w:eastAsia="Verdana" w:hAnsi="Verdana"/>
          <w:b/>
          <w:color w:val="0072BC"/>
          <w:u w:val="single"/>
        </w:rPr>
      </w:pPr>
      <w:hyperlink r:id="rId107" w:anchor="{%22itemid%22:[%22003-1688388-1769677%22]}" w:history="1">
        <w:r w:rsidRPr="00BF1406">
          <w:rPr>
            <w:rStyle w:val="Hipercze"/>
            <w:rFonts w:ascii="Verdana" w:eastAsia="Verdana" w:hAnsi="Verdana"/>
            <w:b/>
          </w:rPr>
          <w:t>Segerstedt-Wiberg i Inni przeciwko Szwecji</w:t>
        </w:r>
      </w:hyperlink>
    </w:p>
    <w:p w14:paraId="50A8EC19" w14:textId="77777777" w:rsidR="00BB0181" w:rsidRPr="00BB0181" w:rsidRDefault="00BB0181" w:rsidP="00AB713F">
      <w:pPr>
        <w:spacing w:line="0" w:lineRule="atLeast"/>
        <w:ind w:left="740"/>
        <w:rPr>
          <w:rFonts w:ascii="Verdana" w:eastAsia="Verdana" w:hAnsi="Verdana"/>
          <w:color w:val="808080"/>
          <w:sz w:val="18"/>
        </w:rPr>
      </w:pPr>
      <w:r w:rsidRPr="00BB0181">
        <w:rPr>
          <w:rFonts w:ascii="Verdana" w:eastAsia="Verdana" w:hAnsi="Verdana"/>
          <w:color w:val="808080"/>
          <w:sz w:val="18"/>
        </w:rPr>
        <w:t xml:space="preserve">6 </w:t>
      </w:r>
      <w:r>
        <w:rPr>
          <w:rFonts w:ascii="Verdana" w:eastAsia="Verdana" w:hAnsi="Verdana"/>
          <w:color w:val="808080"/>
          <w:sz w:val="18"/>
        </w:rPr>
        <w:t>czerwca</w:t>
      </w:r>
      <w:r w:rsidRPr="00BB0181">
        <w:rPr>
          <w:rFonts w:ascii="Verdana" w:eastAsia="Verdana" w:hAnsi="Verdana"/>
          <w:color w:val="808080"/>
          <w:sz w:val="18"/>
        </w:rPr>
        <w:t xml:space="preserve"> 2006</w:t>
      </w:r>
      <w:r>
        <w:rPr>
          <w:rFonts w:ascii="Verdana" w:eastAsia="Verdana" w:hAnsi="Verdana"/>
          <w:color w:val="808080"/>
          <w:sz w:val="18"/>
        </w:rPr>
        <w:t xml:space="preserve"> roku</w:t>
      </w:r>
    </w:p>
    <w:p w14:paraId="7B764B41" w14:textId="77777777" w:rsidR="00BB0181" w:rsidRDefault="00BB0181" w:rsidP="00AB713F">
      <w:pPr>
        <w:spacing w:line="241" w:lineRule="auto"/>
        <w:ind w:left="740"/>
        <w:jc w:val="both"/>
        <w:rPr>
          <w:rFonts w:ascii="Verdana" w:eastAsia="Verdana" w:hAnsi="Verdana"/>
        </w:rPr>
      </w:pPr>
      <w:r w:rsidRPr="00BB0181">
        <w:rPr>
          <w:rFonts w:ascii="Verdana" w:eastAsia="Verdana" w:hAnsi="Verdana"/>
        </w:rPr>
        <w:t xml:space="preserve">W tym przypadku skarżącym odmówiono dostępu do pełnych akt przechowywanych przez szwedzką policję bezpieczeństwa, ponieważ udzielenie im dostępu </w:t>
      </w:r>
      <w:r>
        <w:rPr>
          <w:rFonts w:ascii="Verdana" w:eastAsia="Verdana" w:hAnsi="Verdana"/>
        </w:rPr>
        <w:t>mogło</w:t>
      </w:r>
      <w:r w:rsidRPr="00BB0181">
        <w:rPr>
          <w:rFonts w:ascii="Verdana" w:eastAsia="Verdana" w:hAnsi="Verdana"/>
        </w:rPr>
        <w:t xml:space="preserve"> zagrozić zapobieganiu przestępczości lub ochronie bezpieczeństwa narodowego.</w:t>
      </w:r>
    </w:p>
    <w:p w14:paraId="0431E418" w14:textId="77777777" w:rsidR="00BB0181" w:rsidRDefault="00BB0181" w:rsidP="00AB713F">
      <w:pPr>
        <w:spacing w:line="241" w:lineRule="auto"/>
        <w:ind w:left="740"/>
        <w:jc w:val="both"/>
        <w:rPr>
          <w:rFonts w:ascii="Verdana" w:eastAsia="Verdana" w:hAnsi="Verdana"/>
          <w:color w:val="0072BC"/>
        </w:rPr>
      </w:pPr>
      <w:r w:rsidRPr="00BB0181">
        <w:rPr>
          <w:rFonts w:ascii="Verdana" w:eastAsia="Verdana" w:hAnsi="Verdana"/>
          <w:color w:val="0072BC"/>
        </w:rPr>
        <w:t xml:space="preserve">Trybunał stwierdził, że </w:t>
      </w:r>
      <w:r w:rsidRPr="00451D21">
        <w:rPr>
          <w:rFonts w:ascii="Verdana" w:eastAsia="Verdana" w:hAnsi="Verdana"/>
          <w:b/>
          <w:bCs/>
          <w:color w:val="0072BC"/>
        </w:rPr>
        <w:t>nie doszło do naruszenia art. 8</w:t>
      </w:r>
      <w:r w:rsidRPr="00BB0181">
        <w:rPr>
          <w:rFonts w:ascii="Verdana" w:eastAsia="Verdana" w:hAnsi="Verdana"/>
          <w:color w:val="0072BC"/>
        </w:rPr>
        <w:t xml:space="preserve"> Konwencji z powodu odmowy udzielenia skarżącym pełnego dostępu do informacji przechowywanych na ich temat przez policję bezpieczeństwa. Powtarzając w szczególności, że odmowa pełnego dostępu do krajowego rejestru tajnej policji </w:t>
      </w:r>
      <w:r w:rsidR="00451D21">
        <w:rPr>
          <w:rFonts w:ascii="Verdana" w:eastAsia="Verdana" w:hAnsi="Verdana"/>
          <w:color w:val="0072BC"/>
        </w:rPr>
        <w:t>jest</w:t>
      </w:r>
      <w:r w:rsidRPr="00BB0181">
        <w:rPr>
          <w:rFonts w:ascii="Verdana" w:eastAsia="Verdana" w:hAnsi="Verdana"/>
          <w:color w:val="0072BC"/>
        </w:rPr>
        <w:t xml:space="preserve"> konieczna, gdy</w:t>
      </w:r>
      <w:r w:rsidR="00451D21">
        <w:rPr>
          <w:rFonts w:ascii="Verdana" w:eastAsia="Verdana" w:hAnsi="Verdana"/>
          <w:color w:val="0072BC"/>
        </w:rPr>
        <w:t xml:space="preserve"> </w:t>
      </w:r>
      <w:r w:rsidRPr="00BB0181">
        <w:rPr>
          <w:rFonts w:ascii="Verdana" w:eastAsia="Verdana" w:hAnsi="Verdana"/>
          <w:color w:val="0072BC"/>
        </w:rPr>
        <w:t xml:space="preserve">państwo mogłoby słusznie obawiać się, że udzielenie takich informacji może zagrozić skuteczności tajnego systemu nadzoru zaprojektowanego w celu ochrony bezpieczeństwa narodowego i zwalczania terroryzmu, Trybunał stwierdził, że Szwecja, biorąc pod uwagę szeroki margines uznania, mogła słusznie uznać, że interesy bezpieczeństwa narodowego i walka z terroryzmem przeważały nad interesem </w:t>
      </w:r>
      <w:r w:rsidR="00451D21">
        <w:rPr>
          <w:rFonts w:ascii="Verdana" w:eastAsia="Verdana" w:hAnsi="Verdana"/>
          <w:color w:val="0072BC"/>
        </w:rPr>
        <w:t>skarżących w byciu</w:t>
      </w:r>
      <w:r w:rsidRPr="00BB0181">
        <w:rPr>
          <w:rFonts w:ascii="Verdana" w:eastAsia="Verdana" w:hAnsi="Verdana"/>
          <w:color w:val="0072BC"/>
        </w:rPr>
        <w:t xml:space="preserve"> </w:t>
      </w:r>
      <w:r w:rsidR="00451D21">
        <w:rPr>
          <w:rFonts w:ascii="Verdana" w:eastAsia="Verdana" w:hAnsi="Verdana"/>
          <w:color w:val="0072BC"/>
        </w:rPr>
        <w:t>po</w:t>
      </w:r>
      <w:r w:rsidRPr="00BB0181">
        <w:rPr>
          <w:rFonts w:ascii="Verdana" w:eastAsia="Verdana" w:hAnsi="Verdana"/>
          <w:color w:val="0072BC"/>
        </w:rPr>
        <w:t>informowan</w:t>
      </w:r>
      <w:r w:rsidR="00451D21">
        <w:rPr>
          <w:rFonts w:ascii="Verdana" w:eastAsia="Verdana" w:hAnsi="Verdana"/>
          <w:color w:val="0072BC"/>
        </w:rPr>
        <w:t>ymi</w:t>
      </w:r>
      <w:r w:rsidRPr="00BB0181">
        <w:rPr>
          <w:rFonts w:ascii="Verdana" w:eastAsia="Verdana" w:hAnsi="Verdana"/>
          <w:color w:val="0072BC"/>
        </w:rPr>
        <w:t xml:space="preserve"> o pełnym zakresie, w jakim informacje </w:t>
      </w:r>
      <w:r w:rsidR="00451D21">
        <w:rPr>
          <w:rFonts w:ascii="Verdana" w:eastAsia="Verdana" w:hAnsi="Verdana"/>
          <w:color w:val="0072BC"/>
        </w:rPr>
        <w:t xml:space="preserve">o nich </w:t>
      </w:r>
      <w:r w:rsidRPr="00BB0181">
        <w:rPr>
          <w:rFonts w:ascii="Verdana" w:eastAsia="Verdana" w:hAnsi="Verdana"/>
          <w:color w:val="0072BC"/>
        </w:rPr>
        <w:t>były przechowywane w rejestrze policji bezpieczeństwa.</w:t>
      </w:r>
    </w:p>
    <w:p w14:paraId="09081A5B" w14:textId="3AF4DF71" w:rsidR="00701406" w:rsidRPr="00A14197" w:rsidRDefault="00701406" w:rsidP="00AB713F">
      <w:pPr>
        <w:spacing w:before="120" w:line="0" w:lineRule="atLeast"/>
        <w:ind w:left="740"/>
        <w:rPr>
          <w:rFonts w:ascii="Verdana" w:eastAsia="Verdana" w:hAnsi="Verdana"/>
          <w:b/>
          <w:color w:val="0072BC"/>
          <w:u w:val="single"/>
        </w:rPr>
      </w:pPr>
      <w:hyperlink r:id="rId108" w:anchor="{%22itemid%22:[%22003-2718812-2971322%22]}" w:history="1">
        <w:r w:rsidRPr="00BF1406">
          <w:rPr>
            <w:rStyle w:val="Hipercze"/>
            <w:rFonts w:ascii="Verdana" w:eastAsia="Verdana" w:hAnsi="Verdana"/>
            <w:b/>
          </w:rPr>
          <w:t>K.H. i Inni przeciwko Słowacji (no. 32881/04)</w:t>
        </w:r>
      </w:hyperlink>
      <w:r w:rsidRPr="00A14197">
        <w:rPr>
          <w:rFonts w:ascii="Verdana" w:eastAsia="Verdana" w:hAnsi="Verdana"/>
          <w:b/>
          <w:color w:val="0072BC"/>
          <w:u w:val="single"/>
        </w:rPr>
        <w:t xml:space="preserve"> </w:t>
      </w:r>
    </w:p>
    <w:p w14:paraId="16E7B9ED" w14:textId="77777777" w:rsidR="00701406" w:rsidRPr="00701406" w:rsidRDefault="00701406" w:rsidP="00AB713F">
      <w:pPr>
        <w:spacing w:line="0" w:lineRule="atLeast"/>
        <w:ind w:left="740"/>
        <w:rPr>
          <w:rFonts w:ascii="Verdana" w:eastAsia="Verdana" w:hAnsi="Verdana"/>
          <w:color w:val="808080"/>
          <w:sz w:val="18"/>
        </w:rPr>
      </w:pPr>
      <w:r w:rsidRPr="00701406">
        <w:rPr>
          <w:rFonts w:ascii="Verdana" w:eastAsia="Verdana" w:hAnsi="Verdana"/>
          <w:color w:val="808080"/>
          <w:sz w:val="18"/>
        </w:rPr>
        <w:t xml:space="preserve">28 </w:t>
      </w:r>
      <w:r>
        <w:rPr>
          <w:rFonts w:ascii="Verdana" w:eastAsia="Verdana" w:hAnsi="Verdana"/>
          <w:color w:val="808080"/>
          <w:sz w:val="18"/>
        </w:rPr>
        <w:t>kwietnia</w:t>
      </w:r>
      <w:r w:rsidRPr="00701406">
        <w:rPr>
          <w:rFonts w:ascii="Verdana" w:eastAsia="Verdana" w:hAnsi="Verdana"/>
          <w:color w:val="808080"/>
          <w:sz w:val="18"/>
        </w:rPr>
        <w:t xml:space="preserve"> 2009</w:t>
      </w:r>
      <w:r>
        <w:rPr>
          <w:rFonts w:ascii="Verdana" w:eastAsia="Verdana" w:hAnsi="Verdana"/>
          <w:color w:val="808080"/>
          <w:sz w:val="18"/>
        </w:rPr>
        <w:t xml:space="preserve"> roku</w:t>
      </w:r>
      <w:r w:rsidRPr="00701406">
        <w:rPr>
          <w:rFonts w:ascii="Verdana" w:eastAsia="Verdana" w:hAnsi="Verdana"/>
          <w:color w:val="808080"/>
          <w:sz w:val="18"/>
        </w:rPr>
        <w:t xml:space="preserve"> </w:t>
      </w:r>
    </w:p>
    <w:p w14:paraId="52D47AA9" w14:textId="77777777" w:rsidR="00701406" w:rsidRPr="00701406" w:rsidRDefault="00701406" w:rsidP="00AB713F">
      <w:pPr>
        <w:spacing w:line="239" w:lineRule="auto"/>
        <w:ind w:left="740" w:right="20"/>
        <w:jc w:val="both"/>
        <w:rPr>
          <w:rFonts w:ascii="Verdana" w:eastAsia="Verdana" w:hAnsi="Verdana"/>
        </w:rPr>
      </w:pPr>
      <w:r w:rsidRPr="00701406">
        <w:rPr>
          <w:rFonts w:ascii="Verdana" w:eastAsia="Verdana" w:hAnsi="Verdana"/>
        </w:rPr>
        <w:t xml:space="preserve">Skarżące, osiem kobiet pochodzenia romskiego, nie mogły już począć </w:t>
      </w:r>
      <w:r w:rsidR="00637004">
        <w:rPr>
          <w:rFonts w:ascii="Verdana" w:eastAsia="Verdana" w:hAnsi="Verdana"/>
        </w:rPr>
        <w:t xml:space="preserve">dzieci </w:t>
      </w:r>
      <w:r w:rsidRPr="00701406">
        <w:rPr>
          <w:rFonts w:ascii="Verdana" w:eastAsia="Verdana" w:hAnsi="Verdana"/>
        </w:rPr>
        <w:t>po leczeniu na oddziałach ginekologicznych w dwóch różnych szpitalach i podejrzewały, że dzieje się tak, ponieważ zostały one wysterylizowane podczas pobytu w tych szpitalach. Skarży</w:t>
      </w:r>
      <w:r w:rsidR="00637004">
        <w:rPr>
          <w:rFonts w:ascii="Verdana" w:eastAsia="Verdana" w:hAnsi="Verdana"/>
        </w:rPr>
        <w:t>ły</w:t>
      </w:r>
      <w:r w:rsidRPr="00701406">
        <w:rPr>
          <w:rFonts w:ascii="Verdana" w:eastAsia="Verdana" w:hAnsi="Verdana"/>
        </w:rPr>
        <w:t xml:space="preserve"> się, że nie mo</w:t>
      </w:r>
      <w:r w:rsidR="00637004">
        <w:rPr>
          <w:rFonts w:ascii="Verdana" w:eastAsia="Verdana" w:hAnsi="Verdana"/>
        </w:rPr>
        <w:t>gły</w:t>
      </w:r>
      <w:r w:rsidRPr="00701406">
        <w:rPr>
          <w:rFonts w:ascii="Verdana" w:eastAsia="Verdana" w:hAnsi="Verdana"/>
        </w:rPr>
        <w:t xml:space="preserve"> uzyskać kserokopii swojej dokumentacji medycznej. </w:t>
      </w:r>
    </w:p>
    <w:p w14:paraId="3C727CC3" w14:textId="77777777" w:rsidR="00806CC9" w:rsidRDefault="00637004" w:rsidP="00AB713F">
      <w:pPr>
        <w:spacing w:line="241" w:lineRule="auto"/>
        <w:ind w:left="740"/>
        <w:jc w:val="both"/>
        <w:rPr>
          <w:rFonts w:ascii="Verdana" w:eastAsia="Verdana" w:hAnsi="Verdana"/>
          <w:color w:val="0072BC"/>
        </w:rPr>
      </w:pPr>
      <w:r w:rsidRPr="00637004">
        <w:rPr>
          <w:rFonts w:ascii="Verdana" w:eastAsia="Verdana" w:hAnsi="Verdana"/>
          <w:color w:val="0072BC"/>
        </w:rPr>
        <w:t xml:space="preserve">Trybunał uznał, że doszło do </w:t>
      </w:r>
      <w:r w:rsidRPr="00637004">
        <w:rPr>
          <w:rFonts w:ascii="Verdana" w:eastAsia="Verdana" w:hAnsi="Verdana"/>
          <w:b/>
          <w:bCs/>
          <w:color w:val="0072BC"/>
        </w:rPr>
        <w:t>naruszenia art. 8</w:t>
      </w:r>
      <w:r w:rsidRPr="00637004">
        <w:rPr>
          <w:rFonts w:ascii="Verdana" w:eastAsia="Verdana" w:hAnsi="Verdana"/>
          <w:color w:val="0072BC"/>
        </w:rPr>
        <w:t xml:space="preserve"> Konwencji, ponieważ skarżącym nie zezwolono na kserokopię ich dokumentacji medycznej. Uznał w szczególności, że osoby, które podobnie jak skarżące, chciały uzyskać kserokopie dokumentów zawierających ich dane osobowe, nie powinny były być zobowiązane do szczegółowego uzasadnienia, dlaczego potrzebują kopii. Organ, który posiadał dane, powinien był raczej wykazać, że istniały ważne powody, dla których nie udostępniono te</w:t>
      </w:r>
      <w:r>
        <w:rPr>
          <w:rFonts w:ascii="Verdana" w:eastAsia="Verdana" w:hAnsi="Verdana"/>
          <w:color w:val="0072BC"/>
        </w:rPr>
        <w:t>j usługi</w:t>
      </w:r>
      <w:r w:rsidRPr="00637004">
        <w:rPr>
          <w:rFonts w:ascii="Verdana" w:eastAsia="Verdana" w:hAnsi="Verdana"/>
          <w:color w:val="0072BC"/>
        </w:rPr>
        <w:t>. Biorąc pod uwagę, że skarżąc</w:t>
      </w:r>
      <w:r>
        <w:rPr>
          <w:rFonts w:ascii="Verdana" w:eastAsia="Verdana" w:hAnsi="Verdana"/>
          <w:color w:val="0072BC"/>
        </w:rPr>
        <w:t>e</w:t>
      </w:r>
      <w:r w:rsidRPr="00637004">
        <w:rPr>
          <w:rFonts w:ascii="Verdana" w:eastAsia="Verdana" w:hAnsi="Verdana"/>
          <w:color w:val="0072BC"/>
        </w:rPr>
        <w:t xml:space="preserve"> otrzyma</w:t>
      </w:r>
      <w:r>
        <w:rPr>
          <w:rFonts w:ascii="Verdana" w:eastAsia="Verdana" w:hAnsi="Verdana"/>
          <w:color w:val="0072BC"/>
        </w:rPr>
        <w:t>ły</w:t>
      </w:r>
      <w:r w:rsidRPr="00637004">
        <w:rPr>
          <w:rFonts w:ascii="Verdana" w:eastAsia="Verdana" w:hAnsi="Verdana"/>
          <w:color w:val="0072BC"/>
        </w:rPr>
        <w:t xml:space="preserve"> orzeczenia sądowe pozwalające na wgląd do całej dokumentacji medycznej, </w:t>
      </w:r>
      <w:r>
        <w:rPr>
          <w:rFonts w:ascii="Verdana" w:eastAsia="Verdana" w:hAnsi="Verdana"/>
          <w:color w:val="0072BC"/>
        </w:rPr>
        <w:t>odmowa</w:t>
      </w:r>
      <w:r w:rsidRPr="00637004">
        <w:rPr>
          <w:rFonts w:ascii="Verdana" w:eastAsia="Verdana" w:hAnsi="Verdana"/>
          <w:color w:val="0072BC"/>
        </w:rPr>
        <w:t xml:space="preserve"> możliwości wykonania kserokopii tych akt, nie został</w:t>
      </w:r>
      <w:r>
        <w:rPr>
          <w:rFonts w:ascii="Verdana" w:eastAsia="Verdana" w:hAnsi="Verdana"/>
          <w:color w:val="0072BC"/>
        </w:rPr>
        <w:t>a</w:t>
      </w:r>
      <w:r w:rsidRPr="00637004">
        <w:rPr>
          <w:rFonts w:ascii="Verdana" w:eastAsia="Verdana" w:hAnsi="Verdana"/>
          <w:color w:val="0072BC"/>
        </w:rPr>
        <w:t xml:space="preserve"> wystarczająco uzasadnione przez władze. Aby uniknąć ryzyka nadużywania danych medycznych, wystarczyłoby wprowadzić zabezpieczenia prawne w celu ścisłego ograniczenia okoliczności, w których takie dane mogłyby zostać ujawnione, a także zakresu osób uprawnionych do dostępu do plików. Trybunał zauważył, że nowa </w:t>
      </w:r>
      <w:r>
        <w:rPr>
          <w:rFonts w:ascii="Verdana" w:eastAsia="Verdana" w:hAnsi="Verdana"/>
          <w:color w:val="0072BC"/>
        </w:rPr>
        <w:t>u</w:t>
      </w:r>
      <w:r w:rsidRPr="00637004">
        <w:rPr>
          <w:rFonts w:ascii="Verdana" w:eastAsia="Verdana" w:hAnsi="Verdana"/>
          <w:color w:val="0072BC"/>
        </w:rPr>
        <w:t>stawa o opiece zdrowotnej przyjęta w 2004 r</w:t>
      </w:r>
      <w:r>
        <w:rPr>
          <w:rFonts w:ascii="Verdana" w:eastAsia="Verdana" w:hAnsi="Verdana"/>
          <w:color w:val="0072BC"/>
        </w:rPr>
        <w:t>oku</w:t>
      </w:r>
      <w:r w:rsidRPr="00637004">
        <w:rPr>
          <w:rFonts w:ascii="Verdana" w:eastAsia="Verdana" w:hAnsi="Verdana"/>
          <w:color w:val="0072BC"/>
        </w:rPr>
        <w:t xml:space="preserve"> </w:t>
      </w:r>
      <w:r>
        <w:rPr>
          <w:rFonts w:ascii="Verdana" w:eastAsia="Verdana" w:hAnsi="Verdana"/>
          <w:color w:val="0072BC"/>
        </w:rPr>
        <w:t>b</w:t>
      </w:r>
      <w:r w:rsidRPr="00637004">
        <w:rPr>
          <w:rFonts w:ascii="Verdana" w:eastAsia="Verdana" w:hAnsi="Verdana"/>
          <w:color w:val="0072BC"/>
        </w:rPr>
        <w:t>yła zgodna z tym wymogiem, jednak weszła w życie zbyt późno, aby wpłynąć na sytuację skarżących w tej sprawie</w:t>
      </w:r>
      <w:r w:rsidR="00701406" w:rsidRPr="00701406">
        <w:rPr>
          <w:rFonts w:ascii="Verdana" w:eastAsia="Verdana" w:hAnsi="Verdana"/>
          <w:color w:val="0072BC"/>
        </w:rPr>
        <w:t>.</w:t>
      </w:r>
    </w:p>
    <w:p w14:paraId="0F2916BD" w14:textId="17814FFE" w:rsidR="007716D3" w:rsidRPr="007716D3" w:rsidRDefault="007716D3" w:rsidP="00AB713F">
      <w:pPr>
        <w:spacing w:before="120" w:line="0" w:lineRule="atLeast"/>
        <w:ind w:left="740"/>
        <w:rPr>
          <w:rFonts w:ascii="Verdana" w:eastAsia="Verdana" w:hAnsi="Verdana"/>
          <w:b/>
          <w:color w:val="0072BC"/>
          <w:u w:val="single"/>
        </w:rPr>
      </w:pPr>
      <w:hyperlink r:id="rId109" w:anchor="{%22itemid%22:[%22003-2909811-3196312%22]}" w:history="1">
        <w:r w:rsidRPr="00BF1406">
          <w:rPr>
            <w:rStyle w:val="Hipercze"/>
            <w:rFonts w:ascii="Verdana" w:eastAsia="Verdana" w:hAnsi="Verdana"/>
            <w:b/>
          </w:rPr>
          <w:t xml:space="preserve">Haralambie </w:t>
        </w:r>
        <w:r w:rsidR="006D1F05" w:rsidRPr="00BF1406">
          <w:rPr>
            <w:rStyle w:val="Hipercze"/>
            <w:rFonts w:ascii="Verdana" w:eastAsia="Verdana" w:hAnsi="Verdana"/>
            <w:b/>
          </w:rPr>
          <w:t>przeciwko</w:t>
        </w:r>
        <w:r w:rsidRPr="00BF1406">
          <w:rPr>
            <w:rStyle w:val="Hipercze"/>
            <w:rFonts w:ascii="Verdana" w:eastAsia="Verdana" w:hAnsi="Verdana"/>
            <w:b/>
          </w:rPr>
          <w:t xml:space="preserve"> R</w:t>
        </w:r>
        <w:r w:rsidR="006D1F05" w:rsidRPr="00BF1406">
          <w:rPr>
            <w:rStyle w:val="Hipercze"/>
            <w:rFonts w:ascii="Verdana" w:eastAsia="Verdana" w:hAnsi="Verdana"/>
            <w:b/>
          </w:rPr>
          <w:t>umunii</w:t>
        </w:r>
      </w:hyperlink>
      <w:r w:rsidRPr="007716D3">
        <w:rPr>
          <w:rFonts w:ascii="Verdana" w:eastAsia="Verdana" w:hAnsi="Verdana"/>
          <w:b/>
          <w:color w:val="0072BC"/>
          <w:u w:val="single"/>
        </w:rPr>
        <w:t xml:space="preserve"> </w:t>
      </w:r>
    </w:p>
    <w:p w14:paraId="365A1898" w14:textId="77777777" w:rsidR="007716D3" w:rsidRPr="007716D3" w:rsidRDefault="007716D3" w:rsidP="00AB713F">
      <w:pPr>
        <w:spacing w:line="0" w:lineRule="atLeast"/>
        <w:ind w:left="740"/>
        <w:rPr>
          <w:rFonts w:ascii="Verdana" w:eastAsia="Verdana" w:hAnsi="Verdana"/>
          <w:color w:val="808080"/>
          <w:sz w:val="18"/>
        </w:rPr>
      </w:pPr>
      <w:r w:rsidRPr="007716D3">
        <w:rPr>
          <w:rFonts w:ascii="Verdana" w:eastAsia="Verdana" w:hAnsi="Verdana"/>
          <w:color w:val="808080"/>
          <w:sz w:val="18"/>
        </w:rPr>
        <w:t xml:space="preserve">27 </w:t>
      </w:r>
      <w:r w:rsidR="006D1F05">
        <w:rPr>
          <w:rFonts w:ascii="Verdana" w:eastAsia="Verdana" w:hAnsi="Verdana"/>
          <w:color w:val="808080"/>
          <w:sz w:val="18"/>
        </w:rPr>
        <w:t>października</w:t>
      </w:r>
      <w:r w:rsidRPr="007716D3">
        <w:rPr>
          <w:rFonts w:ascii="Verdana" w:eastAsia="Verdana" w:hAnsi="Verdana"/>
          <w:color w:val="808080"/>
          <w:sz w:val="18"/>
        </w:rPr>
        <w:t xml:space="preserve"> 2009</w:t>
      </w:r>
      <w:r w:rsidR="006D1F05">
        <w:rPr>
          <w:rFonts w:ascii="Verdana" w:eastAsia="Verdana" w:hAnsi="Verdana"/>
          <w:color w:val="808080"/>
          <w:sz w:val="18"/>
        </w:rPr>
        <w:t xml:space="preserve"> roku</w:t>
      </w:r>
    </w:p>
    <w:p w14:paraId="396E4115" w14:textId="77777777" w:rsidR="007716D3" w:rsidRPr="007716D3" w:rsidRDefault="000D6359" w:rsidP="00AB713F">
      <w:pPr>
        <w:spacing w:line="239" w:lineRule="auto"/>
        <w:ind w:left="740" w:right="20"/>
        <w:jc w:val="both"/>
        <w:rPr>
          <w:rFonts w:ascii="Verdana" w:eastAsia="Verdana" w:hAnsi="Verdana"/>
        </w:rPr>
      </w:pPr>
      <w:r w:rsidRPr="000D6359">
        <w:rPr>
          <w:rFonts w:ascii="Verdana" w:eastAsia="Verdana" w:hAnsi="Verdana"/>
        </w:rPr>
        <w:lastRenderedPageBreak/>
        <w:t xml:space="preserve">Skarżący skarżył się w szczególności na przeszkody w prawie dostępu do akt osobowych </w:t>
      </w:r>
      <w:r>
        <w:rPr>
          <w:rFonts w:ascii="Verdana" w:eastAsia="Verdana" w:hAnsi="Verdana"/>
        </w:rPr>
        <w:t>założonych</w:t>
      </w:r>
      <w:r w:rsidRPr="000D6359">
        <w:rPr>
          <w:rFonts w:ascii="Verdana" w:eastAsia="Verdana" w:hAnsi="Verdana"/>
        </w:rPr>
        <w:t xml:space="preserve"> </w:t>
      </w:r>
      <w:r>
        <w:rPr>
          <w:rFonts w:ascii="Verdana" w:eastAsia="Verdana" w:hAnsi="Verdana"/>
        </w:rPr>
        <w:t>na</w:t>
      </w:r>
      <w:r w:rsidRPr="000D6359">
        <w:rPr>
          <w:rFonts w:ascii="Verdana" w:eastAsia="Verdana" w:hAnsi="Verdana"/>
        </w:rPr>
        <w:t xml:space="preserve"> </w:t>
      </w:r>
      <w:r>
        <w:rPr>
          <w:rFonts w:ascii="Verdana" w:eastAsia="Verdana" w:hAnsi="Verdana"/>
        </w:rPr>
        <w:t>niego</w:t>
      </w:r>
      <w:r w:rsidRPr="000D6359">
        <w:rPr>
          <w:rFonts w:ascii="Verdana" w:eastAsia="Verdana" w:hAnsi="Verdana"/>
        </w:rPr>
        <w:t xml:space="preserve"> przez byłe tajne służby w okresie komunizmu</w:t>
      </w:r>
      <w:r w:rsidR="007716D3" w:rsidRPr="007716D3">
        <w:rPr>
          <w:rFonts w:ascii="Verdana" w:eastAsia="Verdana" w:hAnsi="Verdana"/>
        </w:rPr>
        <w:t xml:space="preserve">. </w:t>
      </w:r>
    </w:p>
    <w:p w14:paraId="55C38F81" w14:textId="77777777" w:rsidR="007716D3" w:rsidRPr="007716D3" w:rsidRDefault="000D6359" w:rsidP="00AB713F">
      <w:pPr>
        <w:spacing w:line="241" w:lineRule="auto"/>
        <w:ind w:left="740"/>
        <w:jc w:val="both"/>
        <w:rPr>
          <w:rFonts w:ascii="Verdana" w:eastAsia="Verdana" w:hAnsi="Verdana"/>
          <w:color w:val="0072BC"/>
        </w:rPr>
      </w:pPr>
      <w:r w:rsidRPr="000D6359">
        <w:rPr>
          <w:rFonts w:ascii="Verdana" w:eastAsia="Verdana" w:hAnsi="Verdana"/>
          <w:color w:val="0072BC"/>
        </w:rPr>
        <w:t xml:space="preserve">Trybunał uznał, że doszło do </w:t>
      </w:r>
      <w:r w:rsidRPr="000D6359">
        <w:rPr>
          <w:rFonts w:ascii="Verdana" w:eastAsia="Verdana" w:hAnsi="Verdana"/>
          <w:b/>
          <w:bCs/>
          <w:color w:val="0072BC"/>
        </w:rPr>
        <w:t>naruszenia art. 8</w:t>
      </w:r>
      <w:r w:rsidRPr="000D6359">
        <w:rPr>
          <w:rFonts w:ascii="Verdana" w:eastAsia="Verdana" w:hAnsi="Verdana"/>
          <w:color w:val="0072BC"/>
        </w:rPr>
        <w:t xml:space="preserve"> Konwencji z powodu przeszkód w zapoznaniu się skarżącego z aktami osobistymi utworzonymi przez tajne służby pod rządami komunistycznymi. Stwierdzono, że ani liczba przesłanych plików, ani niedociągnięcia w systemie archiwum nie uzasadniają sześcioletniego opóźnienia w spełnieniu jego </w:t>
      </w:r>
      <w:r>
        <w:rPr>
          <w:rFonts w:ascii="Verdana" w:eastAsia="Verdana" w:hAnsi="Verdana"/>
          <w:color w:val="0072BC"/>
        </w:rPr>
        <w:t>prośby</w:t>
      </w:r>
      <w:r w:rsidRPr="000D6359">
        <w:rPr>
          <w:rFonts w:ascii="Verdana" w:eastAsia="Verdana" w:hAnsi="Verdana"/>
          <w:color w:val="0072BC"/>
        </w:rPr>
        <w:t>. W tej sprawie Trybunał przypomniał w szczególności o żywotnym interesie osób, które były przedmiotem akt osobowych przechowywanych przez władze publiczne, aby móc mieć do nich dostęp, i podkreślił, że władze mają obowiązek zapewnić skuteczną procedurę uzyskania dostępu do taki</w:t>
      </w:r>
      <w:r>
        <w:rPr>
          <w:rFonts w:ascii="Verdana" w:eastAsia="Verdana" w:hAnsi="Verdana"/>
          <w:color w:val="0072BC"/>
        </w:rPr>
        <w:t>ch</w:t>
      </w:r>
      <w:r w:rsidRPr="000D6359">
        <w:rPr>
          <w:rFonts w:ascii="Verdana" w:eastAsia="Verdana" w:hAnsi="Verdana"/>
          <w:color w:val="0072BC"/>
        </w:rPr>
        <w:t xml:space="preserve"> informacj</w:t>
      </w:r>
      <w:r>
        <w:rPr>
          <w:rFonts w:ascii="Verdana" w:eastAsia="Verdana" w:hAnsi="Verdana"/>
          <w:color w:val="0072BC"/>
        </w:rPr>
        <w:t>i</w:t>
      </w:r>
      <w:r w:rsidR="007716D3" w:rsidRPr="007716D3">
        <w:rPr>
          <w:rFonts w:ascii="Verdana" w:eastAsia="Verdana" w:hAnsi="Verdana"/>
          <w:color w:val="0072BC"/>
        </w:rPr>
        <w:t xml:space="preserve">. </w:t>
      </w:r>
    </w:p>
    <w:p w14:paraId="26E17002" w14:textId="41C6D12C" w:rsidR="0097380D" w:rsidRPr="00AD03F0" w:rsidRDefault="000D6359" w:rsidP="00AD03F0">
      <w:pPr>
        <w:spacing w:before="120" w:line="241" w:lineRule="auto"/>
        <w:ind w:left="740"/>
        <w:jc w:val="both"/>
        <w:rPr>
          <w:rFonts w:ascii="Verdana" w:eastAsia="Verdana" w:hAnsi="Verdana"/>
        </w:rPr>
      </w:pPr>
      <w:r>
        <w:rPr>
          <w:rFonts w:ascii="Verdana" w:eastAsia="Verdana" w:hAnsi="Verdana"/>
          <w:i/>
          <w:iCs/>
        </w:rPr>
        <w:t>Zobacz także</w:t>
      </w:r>
      <w:r w:rsidR="007716D3" w:rsidRPr="007716D3">
        <w:rPr>
          <w:rFonts w:ascii="Verdana" w:eastAsia="Verdana" w:hAnsi="Verdana"/>
        </w:rPr>
        <w:t>:</w:t>
      </w:r>
      <w:r w:rsidR="007716D3" w:rsidRPr="007716D3">
        <w:rPr>
          <w:rFonts w:ascii="Verdana" w:eastAsia="Verdana" w:hAnsi="Verdana"/>
          <w:color w:val="0072BC"/>
        </w:rPr>
        <w:t xml:space="preserve"> </w:t>
      </w:r>
      <w:hyperlink r:id="rId110" w:anchor="{%22itemid%22:[%22001-105706%22]}" w:history="1">
        <w:proofErr w:type="spellStart"/>
        <w:r w:rsidR="007716D3" w:rsidRPr="00D4676B">
          <w:rPr>
            <w:rStyle w:val="Hipercze"/>
            <w:rFonts w:ascii="Verdana" w:eastAsia="Verdana" w:hAnsi="Verdana"/>
            <w:b/>
            <w:bCs/>
          </w:rPr>
          <w:t>Jarnea</w:t>
        </w:r>
        <w:proofErr w:type="spellEnd"/>
        <w:r w:rsidR="007716D3" w:rsidRPr="00D4676B">
          <w:rPr>
            <w:rStyle w:val="Hipercze"/>
            <w:rFonts w:ascii="Verdana" w:eastAsia="Verdana" w:hAnsi="Verdana"/>
            <w:b/>
            <w:bCs/>
          </w:rPr>
          <w:t xml:space="preserve"> </w:t>
        </w:r>
        <w:r w:rsidRPr="00D4676B">
          <w:rPr>
            <w:rStyle w:val="Hipercze"/>
            <w:rFonts w:ascii="Verdana" w:eastAsia="Verdana" w:hAnsi="Verdana"/>
            <w:b/>
            <w:bCs/>
          </w:rPr>
          <w:t>przeciwko</w:t>
        </w:r>
        <w:r w:rsidR="007716D3" w:rsidRPr="00D4676B">
          <w:rPr>
            <w:rStyle w:val="Hipercze"/>
            <w:rFonts w:ascii="Verdana" w:eastAsia="Verdana" w:hAnsi="Verdana"/>
            <w:b/>
            <w:bCs/>
          </w:rPr>
          <w:t xml:space="preserve"> </w:t>
        </w:r>
        <w:r w:rsidRPr="00D4676B">
          <w:rPr>
            <w:rStyle w:val="Hipercze"/>
            <w:rFonts w:ascii="Verdana" w:eastAsia="Verdana" w:hAnsi="Verdana"/>
            <w:b/>
            <w:bCs/>
          </w:rPr>
          <w:t>Rumunii</w:t>
        </w:r>
      </w:hyperlink>
      <w:r w:rsidR="007716D3" w:rsidRPr="007716D3">
        <w:rPr>
          <w:rFonts w:ascii="Verdana" w:eastAsia="Verdana" w:hAnsi="Verdana"/>
          <w:color w:val="0072BC"/>
        </w:rPr>
        <w:t xml:space="preserve">, </w:t>
      </w:r>
      <w:r>
        <w:rPr>
          <w:rFonts w:ascii="Verdana" w:eastAsia="Verdana" w:hAnsi="Verdana"/>
        </w:rPr>
        <w:t>wyrok</w:t>
      </w:r>
      <w:r w:rsidR="007716D3" w:rsidRPr="007716D3">
        <w:rPr>
          <w:rFonts w:ascii="Verdana" w:eastAsia="Verdana" w:hAnsi="Verdana"/>
        </w:rPr>
        <w:t xml:space="preserve"> </w:t>
      </w:r>
      <w:r>
        <w:rPr>
          <w:rFonts w:ascii="Verdana" w:eastAsia="Verdana" w:hAnsi="Verdana"/>
        </w:rPr>
        <w:t>z</w:t>
      </w:r>
      <w:r w:rsidR="007716D3" w:rsidRPr="007716D3">
        <w:rPr>
          <w:rFonts w:ascii="Verdana" w:eastAsia="Verdana" w:hAnsi="Verdana"/>
        </w:rPr>
        <w:t xml:space="preserve"> 19 </w:t>
      </w:r>
      <w:r>
        <w:rPr>
          <w:rFonts w:ascii="Verdana" w:eastAsia="Verdana" w:hAnsi="Verdana"/>
        </w:rPr>
        <w:t>lipca</w:t>
      </w:r>
      <w:r w:rsidR="007716D3" w:rsidRPr="007716D3">
        <w:rPr>
          <w:rFonts w:ascii="Verdana" w:eastAsia="Verdana" w:hAnsi="Verdana"/>
        </w:rPr>
        <w:t xml:space="preserve"> 2011</w:t>
      </w:r>
      <w:r>
        <w:rPr>
          <w:rFonts w:ascii="Verdana" w:eastAsia="Verdana" w:hAnsi="Verdana"/>
        </w:rPr>
        <w:t xml:space="preserve"> roku</w:t>
      </w:r>
      <w:r w:rsidR="007716D3" w:rsidRPr="007716D3">
        <w:rPr>
          <w:rFonts w:ascii="Verdana" w:eastAsia="Verdana" w:hAnsi="Verdana"/>
        </w:rPr>
        <w:t>;</w:t>
      </w:r>
      <w:r w:rsidR="007716D3" w:rsidRPr="007716D3">
        <w:rPr>
          <w:rFonts w:ascii="Verdana" w:eastAsia="Verdana" w:hAnsi="Verdana"/>
          <w:color w:val="0072BC"/>
        </w:rPr>
        <w:t xml:space="preserve"> </w:t>
      </w:r>
      <w:hyperlink r:id="rId111" w:anchor="{%22itemid%22:[%22001-126765%22]}" w:history="1">
        <w:proofErr w:type="spellStart"/>
        <w:r w:rsidR="007716D3" w:rsidRPr="00D4676B">
          <w:rPr>
            <w:rStyle w:val="Hipercze"/>
            <w:rFonts w:ascii="Verdana" w:eastAsia="Verdana" w:hAnsi="Verdana"/>
            <w:b/>
            <w:bCs/>
          </w:rPr>
          <w:t>Antoneta</w:t>
        </w:r>
        <w:proofErr w:type="spellEnd"/>
        <w:r w:rsidR="007716D3" w:rsidRPr="00D4676B">
          <w:rPr>
            <w:rStyle w:val="Hipercze"/>
            <w:rFonts w:ascii="Verdana" w:eastAsia="Verdana" w:hAnsi="Verdana"/>
            <w:b/>
            <w:bCs/>
          </w:rPr>
          <w:t xml:space="preserve"> Tudor </w:t>
        </w:r>
        <w:r w:rsidRPr="00D4676B">
          <w:rPr>
            <w:rStyle w:val="Hipercze"/>
            <w:rFonts w:ascii="Verdana" w:eastAsia="Verdana" w:hAnsi="Verdana"/>
            <w:b/>
            <w:bCs/>
          </w:rPr>
          <w:t>przeciwko</w:t>
        </w:r>
        <w:r w:rsidR="007716D3" w:rsidRPr="00D4676B">
          <w:rPr>
            <w:rStyle w:val="Hipercze"/>
            <w:rFonts w:ascii="Verdana" w:eastAsia="Verdana" w:hAnsi="Verdana"/>
            <w:b/>
            <w:bCs/>
          </w:rPr>
          <w:t xml:space="preserve"> </w:t>
        </w:r>
        <w:r w:rsidRPr="00D4676B">
          <w:rPr>
            <w:rStyle w:val="Hipercze"/>
            <w:rFonts w:ascii="Verdana" w:eastAsia="Verdana" w:hAnsi="Verdana"/>
            <w:b/>
            <w:bCs/>
          </w:rPr>
          <w:t>Rumunii</w:t>
        </w:r>
      </w:hyperlink>
      <w:r w:rsidR="007716D3" w:rsidRPr="007716D3">
        <w:rPr>
          <w:rFonts w:ascii="Verdana" w:eastAsia="Verdana" w:hAnsi="Verdana"/>
          <w:color w:val="0072BC"/>
        </w:rPr>
        <w:t xml:space="preserve">, </w:t>
      </w:r>
      <w:r>
        <w:rPr>
          <w:rFonts w:ascii="Verdana" w:eastAsia="Verdana" w:hAnsi="Verdana"/>
        </w:rPr>
        <w:t>wyrok</w:t>
      </w:r>
      <w:r w:rsidR="007716D3" w:rsidRPr="007716D3">
        <w:rPr>
          <w:rFonts w:ascii="Verdana" w:eastAsia="Verdana" w:hAnsi="Verdana"/>
        </w:rPr>
        <w:t xml:space="preserve"> </w:t>
      </w:r>
      <w:r>
        <w:rPr>
          <w:rFonts w:ascii="Verdana" w:eastAsia="Verdana" w:hAnsi="Verdana"/>
        </w:rPr>
        <w:t>z</w:t>
      </w:r>
      <w:r w:rsidR="007716D3" w:rsidRPr="007716D3">
        <w:rPr>
          <w:rFonts w:ascii="Verdana" w:eastAsia="Verdana" w:hAnsi="Verdana"/>
        </w:rPr>
        <w:t xml:space="preserve"> 24 </w:t>
      </w:r>
      <w:r>
        <w:rPr>
          <w:rFonts w:ascii="Verdana" w:eastAsia="Verdana" w:hAnsi="Verdana"/>
        </w:rPr>
        <w:t>września</w:t>
      </w:r>
      <w:r w:rsidR="007716D3" w:rsidRPr="007716D3">
        <w:rPr>
          <w:rFonts w:ascii="Verdana" w:eastAsia="Verdana" w:hAnsi="Verdana"/>
        </w:rPr>
        <w:t xml:space="preserve"> 2013</w:t>
      </w:r>
      <w:r>
        <w:rPr>
          <w:rFonts w:ascii="Verdana" w:eastAsia="Verdana" w:hAnsi="Verdana"/>
        </w:rPr>
        <w:t xml:space="preserve"> roku</w:t>
      </w:r>
      <w:r w:rsidR="007716D3" w:rsidRPr="007716D3">
        <w:rPr>
          <w:rFonts w:ascii="Verdana" w:eastAsia="Verdana" w:hAnsi="Verdana"/>
        </w:rPr>
        <w:t>.</w:t>
      </w:r>
    </w:p>
    <w:p w14:paraId="3192D6DE" w14:textId="33C228D1" w:rsidR="007716D3" w:rsidRPr="007716D3" w:rsidRDefault="007716D3" w:rsidP="00AB713F">
      <w:pPr>
        <w:spacing w:before="120" w:line="0" w:lineRule="atLeast"/>
        <w:ind w:left="740"/>
        <w:rPr>
          <w:rFonts w:ascii="Verdana" w:eastAsia="Verdana" w:hAnsi="Verdana"/>
          <w:b/>
          <w:color w:val="0072BC"/>
          <w:u w:val="single"/>
        </w:rPr>
      </w:pPr>
      <w:hyperlink r:id="rId112" w:anchor="{%22itemid%22:[%22003-4089584-4796295%22]}" w:history="1">
        <w:proofErr w:type="spellStart"/>
        <w:r w:rsidRPr="00D4676B">
          <w:rPr>
            <w:rStyle w:val="Hipercze"/>
            <w:rFonts w:ascii="Verdana" w:eastAsia="Verdana" w:hAnsi="Verdana"/>
            <w:b/>
          </w:rPr>
          <w:t>Godelli</w:t>
        </w:r>
        <w:proofErr w:type="spellEnd"/>
        <w:r w:rsidRPr="00D4676B">
          <w:rPr>
            <w:rStyle w:val="Hipercze"/>
            <w:rFonts w:ascii="Verdana" w:eastAsia="Verdana" w:hAnsi="Verdana"/>
            <w:b/>
          </w:rPr>
          <w:t xml:space="preserve"> </w:t>
        </w:r>
        <w:r w:rsidR="003A5175" w:rsidRPr="00D4676B">
          <w:rPr>
            <w:rStyle w:val="Hipercze"/>
            <w:rFonts w:ascii="Verdana" w:eastAsia="Verdana" w:hAnsi="Verdana"/>
            <w:b/>
          </w:rPr>
          <w:t>przeciwko</w:t>
        </w:r>
        <w:r w:rsidRPr="00D4676B">
          <w:rPr>
            <w:rStyle w:val="Hipercze"/>
            <w:rFonts w:ascii="Verdana" w:eastAsia="Verdana" w:hAnsi="Verdana"/>
            <w:b/>
          </w:rPr>
          <w:t xml:space="preserve"> </w:t>
        </w:r>
        <w:r w:rsidR="003A5175" w:rsidRPr="00D4676B">
          <w:rPr>
            <w:rStyle w:val="Hipercze"/>
            <w:rFonts w:ascii="Verdana" w:eastAsia="Verdana" w:hAnsi="Verdana"/>
            <w:b/>
          </w:rPr>
          <w:t>Włochom</w:t>
        </w:r>
      </w:hyperlink>
      <w:r w:rsidRPr="007716D3">
        <w:rPr>
          <w:rFonts w:ascii="Verdana" w:eastAsia="Verdana" w:hAnsi="Verdana"/>
          <w:b/>
          <w:color w:val="0072BC"/>
          <w:u w:val="single"/>
        </w:rPr>
        <w:t xml:space="preserve"> </w:t>
      </w:r>
    </w:p>
    <w:p w14:paraId="6949C9D4" w14:textId="77777777" w:rsidR="007716D3" w:rsidRPr="007716D3" w:rsidRDefault="007716D3" w:rsidP="00AB713F">
      <w:pPr>
        <w:spacing w:line="0" w:lineRule="atLeast"/>
        <w:ind w:left="740"/>
        <w:rPr>
          <w:rFonts w:ascii="Verdana" w:eastAsia="Verdana" w:hAnsi="Verdana"/>
          <w:color w:val="808080"/>
          <w:sz w:val="18"/>
        </w:rPr>
      </w:pPr>
      <w:r w:rsidRPr="007716D3">
        <w:rPr>
          <w:rFonts w:ascii="Verdana" w:eastAsia="Verdana" w:hAnsi="Verdana"/>
          <w:color w:val="808080"/>
          <w:sz w:val="18"/>
        </w:rPr>
        <w:t xml:space="preserve">25 </w:t>
      </w:r>
      <w:r w:rsidR="006D1F05">
        <w:rPr>
          <w:rFonts w:ascii="Verdana" w:eastAsia="Verdana" w:hAnsi="Verdana"/>
          <w:color w:val="808080"/>
          <w:sz w:val="18"/>
        </w:rPr>
        <w:t>września</w:t>
      </w:r>
      <w:r w:rsidRPr="007716D3">
        <w:rPr>
          <w:rFonts w:ascii="Verdana" w:eastAsia="Verdana" w:hAnsi="Verdana"/>
          <w:color w:val="808080"/>
          <w:sz w:val="18"/>
        </w:rPr>
        <w:t xml:space="preserve"> 2012</w:t>
      </w:r>
      <w:r w:rsidR="006D1F05">
        <w:rPr>
          <w:rFonts w:ascii="Verdana" w:eastAsia="Verdana" w:hAnsi="Verdana"/>
          <w:color w:val="808080"/>
          <w:sz w:val="18"/>
        </w:rPr>
        <w:t xml:space="preserve"> roku</w:t>
      </w:r>
      <w:r w:rsidRPr="007716D3">
        <w:rPr>
          <w:rFonts w:ascii="Verdana" w:eastAsia="Verdana" w:hAnsi="Verdana"/>
          <w:color w:val="808080"/>
          <w:sz w:val="18"/>
        </w:rPr>
        <w:t xml:space="preserve"> </w:t>
      </w:r>
    </w:p>
    <w:p w14:paraId="4ED0B949" w14:textId="77777777" w:rsidR="007716D3" w:rsidRPr="007716D3" w:rsidRDefault="000D6359" w:rsidP="00AB713F">
      <w:pPr>
        <w:spacing w:line="239" w:lineRule="auto"/>
        <w:ind w:left="740" w:right="20"/>
        <w:jc w:val="both"/>
        <w:rPr>
          <w:rFonts w:ascii="Verdana" w:eastAsia="Verdana" w:hAnsi="Verdana"/>
        </w:rPr>
      </w:pPr>
      <w:r w:rsidRPr="000D6359">
        <w:rPr>
          <w:rFonts w:ascii="Verdana" w:eastAsia="Verdana" w:hAnsi="Verdana"/>
        </w:rPr>
        <w:t xml:space="preserve">Sprawa dotyczyła poufności informacji dotyczących narodzin dziecka oraz niemożności </w:t>
      </w:r>
      <w:r w:rsidR="006B3307">
        <w:rPr>
          <w:rFonts w:ascii="Verdana" w:eastAsia="Verdana" w:hAnsi="Verdana"/>
        </w:rPr>
        <w:t xml:space="preserve">uzyskania informacji o swoim pochodzeniu przez </w:t>
      </w:r>
      <w:r w:rsidRPr="000D6359">
        <w:rPr>
          <w:rFonts w:ascii="Verdana" w:eastAsia="Verdana" w:hAnsi="Verdana"/>
        </w:rPr>
        <w:t>osob</w:t>
      </w:r>
      <w:r w:rsidR="006B3307">
        <w:rPr>
          <w:rFonts w:ascii="Verdana" w:eastAsia="Verdana" w:hAnsi="Verdana"/>
        </w:rPr>
        <w:t>ę</w:t>
      </w:r>
      <w:r w:rsidRPr="000D6359">
        <w:rPr>
          <w:rFonts w:ascii="Verdana" w:eastAsia="Verdana" w:hAnsi="Verdana"/>
        </w:rPr>
        <w:t xml:space="preserve"> porzucon</w:t>
      </w:r>
      <w:r w:rsidR="006B3307">
        <w:rPr>
          <w:rFonts w:ascii="Verdana" w:eastAsia="Verdana" w:hAnsi="Verdana"/>
        </w:rPr>
        <w:t>ą</w:t>
      </w:r>
      <w:r w:rsidRPr="000D6359">
        <w:rPr>
          <w:rFonts w:ascii="Verdana" w:eastAsia="Verdana" w:hAnsi="Verdana"/>
        </w:rPr>
        <w:t xml:space="preserve"> przez matkę. Skarżąca utrzymywała, że poniosła </w:t>
      </w:r>
      <w:r w:rsidR="006B3307">
        <w:rPr>
          <w:rFonts w:ascii="Verdana" w:eastAsia="Verdana" w:hAnsi="Verdana"/>
        </w:rPr>
        <w:t>znaczną</w:t>
      </w:r>
      <w:r w:rsidRPr="000D6359">
        <w:rPr>
          <w:rFonts w:ascii="Verdana" w:eastAsia="Verdana" w:hAnsi="Verdana"/>
        </w:rPr>
        <w:t xml:space="preserve"> szkodę w wyniku nieznajomości </w:t>
      </w:r>
      <w:r w:rsidR="006B3307">
        <w:rPr>
          <w:rFonts w:ascii="Verdana" w:eastAsia="Verdana" w:hAnsi="Verdana"/>
        </w:rPr>
        <w:t>swojej</w:t>
      </w:r>
      <w:r w:rsidRPr="000D6359">
        <w:rPr>
          <w:rFonts w:ascii="Verdana" w:eastAsia="Verdana" w:hAnsi="Verdana"/>
        </w:rPr>
        <w:t xml:space="preserve"> osobistej historii, ponieważ nie była w stanie </w:t>
      </w:r>
      <w:r w:rsidR="006B3307">
        <w:rPr>
          <w:rFonts w:ascii="Verdana" w:eastAsia="Verdana" w:hAnsi="Verdana"/>
        </w:rPr>
        <w:t>prześledzić</w:t>
      </w:r>
      <w:r w:rsidRPr="000D6359">
        <w:rPr>
          <w:rFonts w:ascii="Verdana" w:eastAsia="Verdana" w:hAnsi="Verdana"/>
        </w:rPr>
        <w:t xml:space="preserve"> swoich korzeni</w:t>
      </w:r>
      <w:r w:rsidR="006B3307">
        <w:rPr>
          <w:rFonts w:ascii="Verdana" w:eastAsia="Verdana" w:hAnsi="Verdana"/>
        </w:rPr>
        <w:t xml:space="preserve"> przy jednoczesnym zapewnieniu</w:t>
      </w:r>
      <w:r w:rsidRPr="000D6359">
        <w:rPr>
          <w:rFonts w:ascii="Verdana" w:eastAsia="Verdana" w:hAnsi="Verdana"/>
        </w:rPr>
        <w:t xml:space="preserve"> ochron</w:t>
      </w:r>
      <w:r w:rsidR="006B3307">
        <w:rPr>
          <w:rFonts w:ascii="Verdana" w:eastAsia="Verdana" w:hAnsi="Verdana"/>
        </w:rPr>
        <w:t>y</w:t>
      </w:r>
      <w:r w:rsidRPr="000D6359">
        <w:rPr>
          <w:rFonts w:ascii="Verdana" w:eastAsia="Verdana" w:hAnsi="Verdana"/>
        </w:rPr>
        <w:t xml:space="preserve"> interesów osób trzecich.</w:t>
      </w:r>
    </w:p>
    <w:p w14:paraId="3860F53E" w14:textId="77777777" w:rsidR="007716D3" w:rsidRPr="00672E47" w:rsidRDefault="000D6359" w:rsidP="00AB713F">
      <w:pPr>
        <w:spacing w:line="241" w:lineRule="auto"/>
        <w:ind w:left="740"/>
        <w:jc w:val="both"/>
        <w:rPr>
          <w:rFonts w:ascii="Verdana" w:eastAsia="Verdana" w:hAnsi="Verdana"/>
          <w:color w:val="0072BC"/>
        </w:rPr>
      </w:pPr>
      <w:r w:rsidRPr="000D6359">
        <w:rPr>
          <w:rFonts w:ascii="Verdana" w:eastAsia="Verdana" w:hAnsi="Verdana"/>
          <w:color w:val="0072BC"/>
        </w:rPr>
        <w:t xml:space="preserve">Trybunał orzekł, że doszło do </w:t>
      </w:r>
      <w:r w:rsidRPr="006B3307">
        <w:rPr>
          <w:rFonts w:ascii="Verdana" w:eastAsia="Verdana" w:hAnsi="Verdana"/>
          <w:b/>
          <w:bCs/>
          <w:color w:val="0072BC"/>
        </w:rPr>
        <w:t>naruszenia art. 8</w:t>
      </w:r>
      <w:r w:rsidRPr="000D6359">
        <w:rPr>
          <w:rFonts w:ascii="Verdana" w:eastAsia="Verdana" w:hAnsi="Verdana"/>
          <w:color w:val="0072BC"/>
        </w:rPr>
        <w:t xml:space="preserve"> Konwencji, biorąc pod uwagę w szczególności, że nie została zachowana równowaga pomiędzy</w:t>
      </w:r>
      <w:r w:rsidR="00401ADF">
        <w:rPr>
          <w:rFonts w:ascii="Verdana" w:eastAsia="Verdana" w:hAnsi="Verdana"/>
          <w:color w:val="0072BC"/>
        </w:rPr>
        <w:t xml:space="preserve"> przedmiotowymi</w:t>
      </w:r>
      <w:r w:rsidRPr="000D6359">
        <w:rPr>
          <w:rFonts w:ascii="Verdana" w:eastAsia="Verdana" w:hAnsi="Verdana"/>
          <w:color w:val="0072BC"/>
        </w:rPr>
        <w:t xml:space="preserve"> interesami</w:t>
      </w:r>
      <w:r w:rsidR="00401ADF">
        <w:rPr>
          <w:rFonts w:ascii="Verdana" w:eastAsia="Verdana" w:hAnsi="Verdana"/>
          <w:color w:val="0072BC"/>
        </w:rPr>
        <w:t xml:space="preserve"> w sytuacji gdy włoskie ustawodawstwo, </w:t>
      </w:r>
      <w:r w:rsidRPr="000D6359">
        <w:rPr>
          <w:rFonts w:ascii="Verdana" w:eastAsia="Verdana" w:hAnsi="Verdana"/>
          <w:color w:val="0072BC"/>
        </w:rPr>
        <w:t>w przypadkach, gdy matka postanowiła nie ujawniać swojej tożsamości, nie pozw</w:t>
      </w:r>
      <w:r w:rsidR="00401ADF">
        <w:rPr>
          <w:rFonts w:ascii="Verdana" w:eastAsia="Verdana" w:hAnsi="Verdana"/>
          <w:color w:val="0072BC"/>
        </w:rPr>
        <w:t>ala</w:t>
      </w:r>
      <w:r w:rsidRPr="000D6359">
        <w:rPr>
          <w:rFonts w:ascii="Verdana" w:eastAsia="Verdana" w:hAnsi="Verdana"/>
          <w:color w:val="0072BC"/>
        </w:rPr>
        <w:t xml:space="preserve">ło dziecku, które nie zostało formalnie uznane przy urodzeniu, a następnie zostało adoptowane, </w:t>
      </w:r>
      <w:r w:rsidR="00401ADF">
        <w:rPr>
          <w:rFonts w:ascii="Verdana" w:eastAsia="Verdana" w:hAnsi="Verdana"/>
          <w:color w:val="0072BC"/>
        </w:rPr>
        <w:t>wnosić</w:t>
      </w:r>
      <w:r w:rsidRPr="000D6359">
        <w:rPr>
          <w:rFonts w:ascii="Verdana" w:eastAsia="Verdana" w:hAnsi="Verdana"/>
          <w:color w:val="0072BC"/>
        </w:rPr>
        <w:t xml:space="preserve"> </w:t>
      </w:r>
      <w:r w:rsidR="00401ADF">
        <w:rPr>
          <w:rFonts w:ascii="Verdana" w:eastAsia="Verdana" w:hAnsi="Verdana"/>
          <w:color w:val="0072BC"/>
        </w:rPr>
        <w:t xml:space="preserve">albo </w:t>
      </w:r>
      <w:r w:rsidRPr="000D6359">
        <w:rPr>
          <w:rFonts w:ascii="Verdana" w:eastAsia="Verdana" w:hAnsi="Verdana"/>
          <w:color w:val="0072BC"/>
        </w:rPr>
        <w:t xml:space="preserve">o </w:t>
      </w:r>
      <w:r w:rsidR="00401ADF" w:rsidRPr="000D6359">
        <w:rPr>
          <w:rFonts w:ascii="Verdana" w:eastAsia="Verdana" w:hAnsi="Verdana"/>
          <w:color w:val="0072BC"/>
        </w:rPr>
        <w:t xml:space="preserve">nieidentyfikujące </w:t>
      </w:r>
      <w:r w:rsidRPr="000D6359">
        <w:rPr>
          <w:rFonts w:ascii="Verdana" w:eastAsia="Verdana" w:hAnsi="Verdana"/>
          <w:color w:val="0072BC"/>
        </w:rPr>
        <w:t xml:space="preserve">informacje o jego pochodzeniu </w:t>
      </w:r>
      <w:r w:rsidR="00401ADF">
        <w:rPr>
          <w:rFonts w:ascii="Verdana" w:eastAsia="Verdana" w:hAnsi="Verdana"/>
          <w:color w:val="0072BC"/>
        </w:rPr>
        <w:t>albo o</w:t>
      </w:r>
      <w:r w:rsidRPr="000D6359">
        <w:rPr>
          <w:rFonts w:ascii="Verdana" w:eastAsia="Verdana" w:hAnsi="Verdana"/>
          <w:color w:val="0072BC"/>
        </w:rPr>
        <w:t xml:space="preserve"> ujawnienie tożsamości matki</w:t>
      </w:r>
      <w:r w:rsidR="00401ADF">
        <w:rPr>
          <w:rFonts w:ascii="Verdana" w:eastAsia="Verdana" w:hAnsi="Verdana"/>
          <w:color w:val="0072BC"/>
        </w:rPr>
        <w:t xml:space="preserve"> biologicznej</w:t>
      </w:r>
      <w:r w:rsidRPr="000D6359">
        <w:rPr>
          <w:rFonts w:ascii="Verdana" w:eastAsia="Verdana" w:hAnsi="Verdana"/>
          <w:color w:val="0072BC"/>
        </w:rPr>
        <w:t xml:space="preserve"> za jej zgodą</w:t>
      </w:r>
      <w:r w:rsidR="006D1F05" w:rsidRPr="006D1F05">
        <w:rPr>
          <w:rFonts w:ascii="Verdana" w:eastAsia="Verdana" w:hAnsi="Verdana"/>
          <w:color w:val="0072BC"/>
        </w:rPr>
        <w:t>.</w:t>
      </w:r>
    </w:p>
    <w:p w14:paraId="7AAD2F8D" w14:textId="41603761" w:rsidR="00F832FE" w:rsidRDefault="00964A72" w:rsidP="00AB713F">
      <w:pPr>
        <w:spacing w:before="120" w:line="0" w:lineRule="atLeast"/>
        <w:ind w:left="740"/>
        <w:rPr>
          <w:rFonts w:ascii="Verdana" w:eastAsia="Verdana" w:hAnsi="Verdana"/>
          <w:b/>
          <w:color w:val="0072BC"/>
          <w:u w:val="single"/>
        </w:rPr>
      </w:pPr>
      <w:hyperlink r:id="rId113" w:anchor="{%22itemid%22:[%22003-5539963-6976296%22]}" w:history="1">
        <w:proofErr w:type="spellStart"/>
        <w:r w:rsidRPr="00D4676B">
          <w:rPr>
            <w:rStyle w:val="Hipercze"/>
            <w:rFonts w:ascii="Verdana" w:eastAsia="Verdana" w:hAnsi="Verdana"/>
            <w:b/>
          </w:rPr>
          <w:t>Magyar</w:t>
        </w:r>
        <w:proofErr w:type="spellEnd"/>
        <w:r w:rsidRPr="00D4676B">
          <w:rPr>
            <w:rStyle w:val="Hipercze"/>
            <w:rFonts w:ascii="Verdana" w:eastAsia="Verdana" w:hAnsi="Verdana"/>
            <w:b/>
          </w:rPr>
          <w:t xml:space="preserve"> Helsinki </w:t>
        </w:r>
        <w:proofErr w:type="spellStart"/>
        <w:r w:rsidRPr="00D4676B">
          <w:rPr>
            <w:rStyle w:val="Hipercze"/>
            <w:rFonts w:ascii="Verdana" w:eastAsia="Verdana" w:hAnsi="Verdana"/>
            <w:b/>
          </w:rPr>
          <w:t>Bizottság</w:t>
        </w:r>
        <w:proofErr w:type="spellEnd"/>
        <w:r w:rsidRPr="00D4676B">
          <w:rPr>
            <w:rStyle w:val="Hipercze"/>
            <w:rFonts w:ascii="Verdana" w:eastAsia="Verdana" w:hAnsi="Verdana"/>
            <w:b/>
          </w:rPr>
          <w:t xml:space="preserve"> przeciwko Węgrom</w:t>
        </w:r>
      </w:hyperlink>
    </w:p>
    <w:p w14:paraId="610620DE" w14:textId="77777777" w:rsidR="00F832FE" w:rsidRDefault="00F832FE" w:rsidP="00AB713F">
      <w:pPr>
        <w:spacing w:line="63" w:lineRule="exact"/>
        <w:ind w:left="740"/>
        <w:rPr>
          <w:rFonts w:ascii="Times New Roman" w:eastAsia="Times New Roman" w:hAnsi="Times New Roman"/>
        </w:rPr>
      </w:pPr>
    </w:p>
    <w:p w14:paraId="4327CD2C" w14:textId="77777777" w:rsidR="00F832FE" w:rsidRDefault="00964A72" w:rsidP="00AB713F">
      <w:pPr>
        <w:spacing w:line="0" w:lineRule="atLeast"/>
        <w:ind w:left="740"/>
        <w:rPr>
          <w:rFonts w:ascii="Verdana" w:eastAsia="Verdana" w:hAnsi="Verdana"/>
          <w:color w:val="808080"/>
          <w:sz w:val="18"/>
        </w:rPr>
      </w:pPr>
      <w:r>
        <w:rPr>
          <w:rFonts w:ascii="Verdana" w:eastAsia="Verdana" w:hAnsi="Verdana"/>
          <w:color w:val="808080"/>
          <w:sz w:val="18"/>
        </w:rPr>
        <w:t>8 listopada</w:t>
      </w:r>
      <w:r w:rsidR="00F832FE">
        <w:rPr>
          <w:rFonts w:ascii="Verdana" w:eastAsia="Verdana" w:hAnsi="Verdana"/>
          <w:color w:val="808080"/>
          <w:sz w:val="18"/>
        </w:rPr>
        <w:t xml:space="preserve"> 2016</w:t>
      </w:r>
      <w:r w:rsidR="00352EC8">
        <w:rPr>
          <w:rFonts w:ascii="Verdana" w:eastAsia="Verdana" w:hAnsi="Verdana"/>
          <w:color w:val="808080"/>
          <w:sz w:val="18"/>
        </w:rPr>
        <w:t xml:space="preserve"> roku</w:t>
      </w:r>
      <w:r>
        <w:rPr>
          <w:rFonts w:ascii="Verdana" w:eastAsia="Verdana" w:hAnsi="Verdana"/>
          <w:color w:val="808080"/>
          <w:sz w:val="18"/>
        </w:rPr>
        <w:t xml:space="preserve"> (Wielka Izba</w:t>
      </w:r>
      <w:r w:rsidR="00F832FE">
        <w:rPr>
          <w:rFonts w:ascii="Verdana" w:eastAsia="Verdana" w:hAnsi="Verdana"/>
          <w:color w:val="808080"/>
          <w:sz w:val="18"/>
        </w:rPr>
        <w:t>)</w:t>
      </w:r>
    </w:p>
    <w:p w14:paraId="68F6F9BB" w14:textId="77777777" w:rsidR="007E1CE3" w:rsidRDefault="007E1CE3" w:rsidP="00AB713F">
      <w:pPr>
        <w:spacing w:line="239" w:lineRule="auto"/>
        <w:ind w:left="740" w:right="20"/>
        <w:jc w:val="both"/>
        <w:rPr>
          <w:rFonts w:ascii="Verdana" w:eastAsia="Verdana" w:hAnsi="Verdana"/>
        </w:rPr>
      </w:pPr>
      <w:r w:rsidRPr="007E1CE3">
        <w:rPr>
          <w:rFonts w:ascii="Verdana" w:eastAsia="Verdana" w:hAnsi="Verdana"/>
        </w:rPr>
        <w:t xml:space="preserve">Sprawa ta dotyczyła odmowy przez władze dostarczenia organizacji pozarządowej informacji dotyczących pracy obrońcy z urzędu, ponieważ władze zaklasyfikowały te informacje jako dane osobowe, które nie </w:t>
      </w:r>
      <w:r w:rsidR="00D45BA0">
        <w:rPr>
          <w:rFonts w:ascii="Verdana" w:eastAsia="Verdana" w:hAnsi="Verdana"/>
        </w:rPr>
        <w:t>są</w:t>
      </w:r>
      <w:r w:rsidR="001E157D">
        <w:rPr>
          <w:rFonts w:ascii="Verdana" w:eastAsia="Verdana" w:hAnsi="Verdana"/>
        </w:rPr>
        <w:t xml:space="preserve"> przedmiotem</w:t>
      </w:r>
      <w:r w:rsidRPr="007E1CE3">
        <w:rPr>
          <w:rFonts w:ascii="Verdana" w:eastAsia="Verdana" w:hAnsi="Verdana"/>
        </w:rPr>
        <w:t xml:space="preserve"> ujawni</w:t>
      </w:r>
      <w:r w:rsidR="001E157D">
        <w:rPr>
          <w:rFonts w:ascii="Verdana" w:eastAsia="Verdana" w:hAnsi="Verdana"/>
        </w:rPr>
        <w:t>enia</w:t>
      </w:r>
      <w:r w:rsidR="003A7187">
        <w:rPr>
          <w:rFonts w:ascii="Verdana" w:eastAsia="Verdana" w:hAnsi="Verdana"/>
        </w:rPr>
        <w:t xml:space="preserve"> na mocy prawa węgierskiego. Skarżąca</w:t>
      </w:r>
      <w:r w:rsidRPr="007E1CE3">
        <w:rPr>
          <w:rFonts w:ascii="Verdana" w:eastAsia="Verdana" w:hAnsi="Verdana"/>
        </w:rPr>
        <w:t xml:space="preserve"> organizacja pozarządowa zarzuciła, że odmowa wydania spornych informacji przez sądy węgierskie stanowi naruszenie jej prawa dostępu do informacji.</w:t>
      </w:r>
    </w:p>
    <w:p w14:paraId="65D77896" w14:textId="77777777" w:rsidR="00F832FE" w:rsidRDefault="00F832FE" w:rsidP="00AB713F">
      <w:pPr>
        <w:spacing w:line="3" w:lineRule="exact"/>
        <w:ind w:left="740"/>
        <w:rPr>
          <w:rFonts w:ascii="Times New Roman" w:eastAsia="Times New Roman" w:hAnsi="Times New Roman"/>
        </w:rPr>
      </w:pPr>
    </w:p>
    <w:p w14:paraId="163A03C9" w14:textId="77777777" w:rsidR="00F832FE" w:rsidRDefault="007E1CE3" w:rsidP="00AB713F">
      <w:pPr>
        <w:spacing w:line="241" w:lineRule="auto"/>
        <w:ind w:left="740"/>
        <w:jc w:val="both"/>
        <w:rPr>
          <w:rFonts w:ascii="Verdana" w:eastAsia="Verdana" w:hAnsi="Verdana"/>
          <w:color w:val="0072BC"/>
        </w:rPr>
      </w:pPr>
      <w:r w:rsidRPr="007E1CE3">
        <w:rPr>
          <w:rFonts w:ascii="Verdana" w:eastAsia="Verdana" w:hAnsi="Verdana"/>
          <w:color w:val="0072BC"/>
        </w:rPr>
        <w:t xml:space="preserve">Trybunał orzekł, że </w:t>
      </w:r>
      <w:r>
        <w:rPr>
          <w:rFonts w:ascii="Verdana" w:eastAsia="Verdana" w:hAnsi="Verdana"/>
          <w:b/>
          <w:color w:val="0072BC"/>
        </w:rPr>
        <w:t xml:space="preserve">doszło do naruszenia </w:t>
      </w:r>
      <w:r w:rsidR="00942F8F">
        <w:rPr>
          <w:rFonts w:ascii="Verdana" w:eastAsia="Verdana" w:hAnsi="Verdana"/>
          <w:b/>
          <w:color w:val="0072BC"/>
        </w:rPr>
        <w:t>art.</w:t>
      </w:r>
      <w:r w:rsidRPr="007E1CE3">
        <w:rPr>
          <w:rFonts w:ascii="Verdana" w:eastAsia="Verdana" w:hAnsi="Verdana"/>
          <w:b/>
          <w:color w:val="0072BC"/>
        </w:rPr>
        <w:t xml:space="preserve"> 10</w:t>
      </w:r>
      <w:r w:rsidRPr="007E1CE3">
        <w:rPr>
          <w:rFonts w:ascii="Verdana" w:eastAsia="Verdana" w:hAnsi="Verdana"/>
          <w:color w:val="0072BC"/>
        </w:rPr>
        <w:t xml:space="preserve"> (</w:t>
      </w:r>
      <w:r w:rsidR="003A7187">
        <w:rPr>
          <w:rFonts w:ascii="Verdana" w:eastAsia="Verdana" w:hAnsi="Verdana"/>
          <w:color w:val="0072BC"/>
        </w:rPr>
        <w:t xml:space="preserve">wolność </w:t>
      </w:r>
      <w:r w:rsidR="00B70601">
        <w:rPr>
          <w:rFonts w:ascii="Verdana" w:eastAsia="Verdana" w:hAnsi="Verdana"/>
          <w:color w:val="0072BC"/>
        </w:rPr>
        <w:t>wyrażania opinii</w:t>
      </w:r>
      <w:r w:rsidR="003A7187">
        <w:rPr>
          <w:rFonts w:ascii="Verdana" w:eastAsia="Verdana" w:hAnsi="Verdana"/>
          <w:color w:val="0072BC"/>
        </w:rPr>
        <w:t>) Konwencji. Zauważył</w:t>
      </w:r>
      <w:r w:rsidRPr="007E1CE3">
        <w:rPr>
          <w:rFonts w:ascii="Verdana" w:eastAsia="Verdana" w:hAnsi="Verdana"/>
          <w:color w:val="0072BC"/>
        </w:rPr>
        <w:t xml:space="preserve"> w szczególności, że informacje, o które zwróciła się organizac</w:t>
      </w:r>
      <w:r w:rsidR="003A7187">
        <w:rPr>
          <w:rFonts w:ascii="Verdana" w:eastAsia="Verdana" w:hAnsi="Verdana"/>
          <w:color w:val="0072BC"/>
        </w:rPr>
        <w:t>ja pozarządowa</w:t>
      </w:r>
      <w:r w:rsidRPr="007E1CE3">
        <w:rPr>
          <w:rFonts w:ascii="Verdana" w:eastAsia="Verdana" w:hAnsi="Verdana"/>
          <w:color w:val="0072BC"/>
        </w:rPr>
        <w:t>, były niezbędne do ukończenia bada</w:t>
      </w:r>
      <w:r w:rsidR="00942F8F">
        <w:rPr>
          <w:rFonts w:ascii="Verdana" w:eastAsia="Verdana" w:hAnsi="Verdana"/>
          <w:color w:val="0072BC"/>
        </w:rPr>
        <w:t>ń</w:t>
      </w:r>
      <w:r w:rsidRPr="007E1CE3">
        <w:rPr>
          <w:rFonts w:ascii="Verdana" w:eastAsia="Verdana" w:hAnsi="Verdana"/>
          <w:color w:val="0072BC"/>
        </w:rPr>
        <w:t xml:space="preserve"> dotycząc</w:t>
      </w:r>
      <w:r w:rsidR="00942F8F">
        <w:rPr>
          <w:rFonts w:ascii="Verdana" w:eastAsia="Verdana" w:hAnsi="Verdana"/>
          <w:color w:val="0072BC"/>
        </w:rPr>
        <w:t>ych</w:t>
      </w:r>
      <w:r w:rsidRPr="007E1CE3">
        <w:rPr>
          <w:rFonts w:ascii="Verdana" w:eastAsia="Verdana" w:hAnsi="Verdana"/>
          <w:color w:val="0072BC"/>
        </w:rPr>
        <w:t xml:space="preserve"> funkcjonowania systemu obrońców publicznych, prowadzon</w:t>
      </w:r>
      <w:r w:rsidR="00942F8F">
        <w:rPr>
          <w:rFonts w:ascii="Verdana" w:eastAsia="Verdana" w:hAnsi="Verdana"/>
          <w:color w:val="0072BC"/>
        </w:rPr>
        <w:t>ych</w:t>
      </w:r>
      <w:r w:rsidRPr="007E1CE3">
        <w:rPr>
          <w:rFonts w:ascii="Verdana" w:eastAsia="Verdana" w:hAnsi="Verdana"/>
          <w:color w:val="0072BC"/>
        </w:rPr>
        <w:t xml:space="preserve"> przez nią jako pozarządową organizację praw człowieka, w celu wniesienia wkładu w dyskusję na temat kwestii </w:t>
      </w:r>
      <w:r w:rsidR="00942F8F">
        <w:rPr>
          <w:rFonts w:ascii="Verdana" w:eastAsia="Verdana" w:hAnsi="Verdana"/>
          <w:color w:val="0072BC"/>
        </w:rPr>
        <w:t>leżących w</w:t>
      </w:r>
      <w:r w:rsidRPr="007E1CE3">
        <w:rPr>
          <w:rFonts w:ascii="Verdana" w:eastAsia="Verdana" w:hAnsi="Verdana"/>
          <w:color w:val="0072BC"/>
        </w:rPr>
        <w:t xml:space="preserve"> oczy</w:t>
      </w:r>
      <w:r w:rsidR="003A7187">
        <w:rPr>
          <w:rFonts w:ascii="Verdana" w:eastAsia="Verdana" w:hAnsi="Verdana"/>
          <w:color w:val="0072BC"/>
        </w:rPr>
        <w:t xml:space="preserve">wistym interesie publicznym. </w:t>
      </w:r>
      <w:r w:rsidRPr="007E1CE3">
        <w:rPr>
          <w:rFonts w:ascii="Verdana" w:eastAsia="Verdana" w:hAnsi="Verdana"/>
          <w:color w:val="0072BC"/>
        </w:rPr>
        <w:t xml:space="preserve">Zdaniem </w:t>
      </w:r>
      <w:r w:rsidR="003A7187">
        <w:rPr>
          <w:rFonts w:ascii="Verdana" w:eastAsia="Verdana" w:hAnsi="Verdana"/>
          <w:color w:val="0072BC"/>
        </w:rPr>
        <w:t>Trybunału</w:t>
      </w:r>
      <w:r w:rsidRPr="007E1CE3">
        <w:rPr>
          <w:rFonts w:ascii="Verdana" w:eastAsia="Verdana" w:hAnsi="Verdana"/>
          <w:color w:val="0072BC"/>
        </w:rPr>
        <w:t xml:space="preserve"> odmawiając</w:t>
      </w:r>
      <w:r w:rsidR="003A7187">
        <w:rPr>
          <w:rFonts w:ascii="Verdana" w:eastAsia="Verdana" w:hAnsi="Verdana"/>
          <w:color w:val="0072BC"/>
        </w:rPr>
        <w:t xml:space="preserve"> skarżącej</w:t>
      </w:r>
      <w:r w:rsidRPr="007E1CE3">
        <w:rPr>
          <w:rFonts w:ascii="Verdana" w:eastAsia="Verdana" w:hAnsi="Verdana"/>
          <w:color w:val="0072BC"/>
        </w:rPr>
        <w:t xml:space="preserve"> organizacji pozarządowej dostępu do żądanych informacji, władze krajowe utrudniły jej korzystanie ze swobody otrzymywania i przekazywania informacji</w:t>
      </w:r>
      <w:r w:rsidR="00942F8F">
        <w:rPr>
          <w:rFonts w:ascii="Verdana" w:eastAsia="Verdana" w:hAnsi="Verdana"/>
          <w:color w:val="0072BC"/>
        </w:rPr>
        <w:t>,</w:t>
      </w:r>
      <w:r w:rsidRPr="007E1CE3">
        <w:rPr>
          <w:rFonts w:ascii="Verdana" w:eastAsia="Verdana" w:hAnsi="Verdana"/>
          <w:color w:val="0072BC"/>
        </w:rPr>
        <w:t xml:space="preserve"> w sposób uderzający w istotę jej praw wynikających z art. 10. </w:t>
      </w:r>
      <w:r w:rsidR="003A7187">
        <w:rPr>
          <w:rFonts w:ascii="Verdana" w:eastAsia="Verdana" w:hAnsi="Verdana"/>
          <w:color w:val="0072BC"/>
        </w:rPr>
        <w:t>Trybunał zauważył ponadto, że prawo</w:t>
      </w:r>
      <w:r w:rsidRPr="007E1CE3">
        <w:rPr>
          <w:rFonts w:ascii="Verdana" w:eastAsia="Verdana" w:hAnsi="Verdana"/>
          <w:color w:val="0072BC"/>
        </w:rPr>
        <w:t xml:space="preserve"> do prywatności obrońców publicznych nie został</w:t>
      </w:r>
      <w:r w:rsidR="00942F8F">
        <w:rPr>
          <w:rFonts w:ascii="Verdana" w:eastAsia="Verdana" w:hAnsi="Verdana"/>
          <w:color w:val="0072BC"/>
        </w:rPr>
        <w:t>o</w:t>
      </w:r>
      <w:r w:rsidRPr="007E1CE3">
        <w:rPr>
          <w:rFonts w:ascii="Verdana" w:eastAsia="Verdana" w:hAnsi="Verdana"/>
          <w:color w:val="0072BC"/>
        </w:rPr>
        <w:t xml:space="preserve">by naruszone, gdyby wniosek o udzielenie </w:t>
      </w:r>
      <w:r w:rsidR="003A7187">
        <w:rPr>
          <w:rFonts w:ascii="Verdana" w:eastAsia="Verdana" w:hAnsi="Verdana"/>
          <w:color w:val="0072BC"/>
        </w:rPr>
        <w:t>informacji został przyjęty</w:t>
      </w:r>
      <w:r w:rsidRPr="007E1CE3">
        <w:rPr>
          <w:rFonts w:ascii="Verdana" w:eastAsia="Verdana" w:hAnsi="Verdana"/>
          <w:color w:val="0072BC"/>
        </w:rPr>
        <w:t xml:space="preserve">, ponieważ chociaż wniosek o udzielenie informacji rzeczywiście dotyczył danych osobowych, nie dotyczył informacji spoza domeny publicznej.  Trybunał stwierdził również, że </w:t>
      </w:r>
      <w:r w:rsidR="00942F8F">
        <w:rPr>
          <w:rFonts w:ascii="Verdana" w:eastAsia="Verdana" w:hAnsi="Verdana"/>
          <w:color w:val="0072BC"/>
        </w:rPr>
        <w:t>ustawodawstwo</w:t>
      </w:r>
      <w:r w:rsidRPr="007E1CE3">
        <w:rPr>
          <w:rFonts w:ascii="Verdana" w:eastAsia="Verdana" w:hAnsi="Verdana"/>
          <w:color w:val="0072BC"/>
        </w:rPr>
        <w:t xml:space="preserve"> węgiersk</w:t>
      </w:r>
      <w:r w:rsidR="00942F8F">
        <w:rPr>
          <w:rFonts w:ascii="Verdana" w:eastAsia="Verdana" w:hAnsi="Verdana"/>
          <w:color w:val="0072BC"/>
        </w:rPr>
        <w:t>ie</w:t>
      </w:r>
      <w:r w:rsidRPr="007E1CE3">
        <w:rPr>
          <w:rFonts w:ascii="Verdana" w:eastAsia="Verdana" w:hAnsi="Verdana"/>
          <w:color w:val="0072BC"/>
        </w:rPr>
        <w:t>, zgodnie z wykładnią sądów krajowych, wyklucz</w:t>
      </w:r>
      <w:r w:rsidR="00942F8F">
        <w:rPr>
          <w:rFonts w:ascii="Verdana" w:eastAsia="Verdana" w:hAnsi="Verdana"/>
          <w:color w:val="0072BC"/>
        </w:rPr>
        <w:t>a</w:t>
      </w:r>
      <w:r w:rsidRPr="007E1CE3">
        <w:rPr>
          <w:rFonts w:ascii="Verdana" w:eastAsia="Verdana" w:hAnsi="Verdana"/>
          <w:color w:val="0072BC"/>
        </w:rPr>
        <w:t>ł</w:t>
      </w:r>
      <w:r w:rsidR="00942F8F">
        <w:rPr>
          <w:rFonts w:ascii="Verdana" w:eastAsia="Verdana" w:hAnsi="Verdana"/>
          <w:color w:val="0072BC"/>
        </w:rPr>
        <w:t>o</w:t>
      </w:r>
      <w:r w:rsidRPr="007E1CE3">
        <w:rPr>
          <w:rFonts w:ascii="Verdana" w:eastAsia="Verdana" w:hAnsi="Verdana"/>
          <w:color w:val="0072BC"/>
        </w:rPr>
        <w:t xml:space="preserve"> jakąkolwiek miarodajną ocenę praw organizacji pozarządowej do swobodnego wyrażania opinii i uznał, że w niniejszej sprawie wszelkie ograniczenia dotyczące proponowanej publikacji przez </w:t>
      </w:r>
      <w:r w:rsidR="003A7187">
        <w:rPr>
          <w:rFonts w:ascii="Verdana" w:eastAsia="Verdana" w:hAnsi="Verdana"/>
          <w:color w:val="0072BC"/>
        </w:rPr>
        <w:t>organizację pozarządową</w:t>
      </w:r>
      <w:r w:rsidRPr="007E1CE3">
        <w:rPr>
          <w:rFonts w:ascii="Verdana" w:eastAsia="Verdana" w:hAnsi="Verdana"/>
          <w:color w:val="0072BC"/>
        </w:rPr>
        <w:t xml:space="preserve"> - która miała przyczynić się do debaty na temat interesu ogólnego - powinny były zostać poddane jak najściślejszej kontroli. </w:t>
      </w:r>
      <w:r w:rsidR="003A7187">
        <w:rPr>
          <w:rFonts w:ascii="Verdana" w:eastAsia="Verdana" w:hAnsi="Verdana"/>
          <w:color w:val="0072BC"/>
        </w:rPr>
        <w:t>Trybunał</w:t>
      </w:r>
      <w:r w:rsidRPr="007E1CE3">
        <w:rPr>
          <w:rFonts w:ascii="Verdana" w:eastAsia="Verdana" w:hAnsi="Verdana"/>
          <w:color w:val="0072BC"/>
        </w:rPr>
        <w:t xml:space="preserve"> uznał wreszcie, że argumenty rządu węgierskiego nie były wystarczające, aby wykazać</w:t>
      </w:r>
      <w:r w:rsidR="003A7187">
        <w:rPr>
          <w:rFonts w:ascii="Verdana" w:eastAsia="Verdana" w:hAnsi="Verdana"/>
          <w:color w:val="0072BC"/>
        </w:rPr>
        <w:t>, że zarzucana ingerencja była „</w:t>
      </w:r>
      <w:r w:rsidRPr="007E1CE3">
        <w:rPr>
          <w:rFonts w:ascii="Verdana" w:eastAsia="Verdana" w:hAnsi="Verdana"/>
          <w:color w:val="0072BC"/>
        </w:rPr>
        <w:t xml:space="preserve">niezbędna </w:t>
      </w:r>
      <w:r w:rsidR="003A7187">
        <w:rPr>
          <w:rFonts w:ascii="Verdana" w:eastAsia="Verdana" w:hAnsi="Verdana"/>
          <w:color w:val="0072BC"/>
        </w:rPr>
        <w:t>w demokratycznym społeczeństwie”</w:t>
      </w:r>
      <w:r w:rsidRPr="007E1CE3">
        <w:rPr>
          <w:rFonts w:ascii="Verdana" w:eastAsia="Verdana" w:hAnsi="Verdana"/>
          <w:color w:val="0072BC"/>
        </w:rPr>
        <w:t>, i orzekł, że pomimo swobody uznania po</w:t>
      </w:r>
      <w:r w:rsidR="003A7187">
        <w:rPr>
          <w:rFonts w:ascii="Verdana" w:eastAsia="Verdana" w:hAnsi="Verdana"/>
          <w:color w:val="0072BC"/>
        </w:rPr>
        <w:t>zostawionej państwu pozwanemu („</w:t>
      </w:r>
      <w:r w:rsidRPr="007E1CE3">
        <w:rPr>
          <w:rFonts w:ascii="Verdana" w:eastAsia="Verdana" w:hAnsi="Verdana"/>
          <w:color w:val="0072BC"/>
        </w:rPr>
        <w:t xml:space="preserve">margines </w:t>
      </w:r>
      <w:r w:rsidR="003A7187">
        <w:rPr>
          <w:rFonts w:ascii="Verdana" w:eastAsia="Verdana" w:hAnsi="Verdana"/>
          <w:color w:val="0072BC"/>
        </w:rPr>
        <w:t>uznania”)</w:t>
      </w:r>
      <w:r w:rsidRPr="007E1CE3">
        <w:rPr>
          <w:rFonts w:ascii="Verdana" w:eastAsia="Verdana" w:hAnsi="Verdana"/>
          <w:color w:val="0072BC"/>
        </w:rPr>
        <w:t xml:space="preserve"> nie istniał rozsądny związek proporcjonalności między środkiem, którego dotyczyła skarga (odmowa podania nazwisk obrońc</w:t>
      </w:r>
      <w:r w:rsidR="00FE6E6C">
        <w:rPr>
          <w:rFonts w:ascii="Verdana" w:eastAsia="Verdana" w:hAnsi="Verdana"/>
          <w:color w:val="0072BC"/>
        </w:rPr>
        <w:t>ów</w:t>
      </w:r>
      <w:r w:rsidRPr="007E1CE3">
        <w:rPr>
          <w:rFonts w:ascii="Verdana" w:eastAsia="Verdana" w:hAnsi="Verdana"/>
          <w:color w:val="0072BC"/>
        </w:rPr>
        <w:t xml:space="preserve"> z urzędu</w:t>
      </w:r>
      <w:r w:rsidR="00FE6E6C">
        <w:rPr>
          <w:rFonts w:ascii="Verdana" w:eastAsia="Verdana" w:hAnsi="Verdana"/>
          <w:color w:val="0072BC"/>
        </w:rPr>
        <w:t>,</w:t>
      </w:r>
      <w:r w:rsidRPr="007E1CE3">
        <w:rPr>
          <w:rFonts w:ascii="Verdana" w:eastAsia="Verdana" w:hAnsi="Verdana"/>
          <w:color w:val="0072BC"/>
        </w:rPr>
        <w:t xml:space="preserve"> a liczbą przypadków, w których zosta</w:t>
      </w:r>
      <w:r w:rsidR="00FE6E6C">
        <w:rPr>
          <w:rFonts w:ascii="Verdana" w:eastAsia="Verdana" w:hAnsi="Verdana"/>
          <w:color w:val="0072BC"/>
        </w:rPr>
        <w:t>li</w:t>
      </w:r>
      <w:r w:rsidRPr="007E1CE3">
        <w:rPr>
          <w:rFonts w:ascii="Verdana" w:eastAsia="Verdana" w:hAnsi="Verdana"/>
          <w:color w:val="0072BC"/>
        </w:rPr>
        <w:t xml:space="preserve"> wyznacz</w:t>
      </w:r>
      <w:r w:rsidR="00FE6E6C">
        <w:rPr>
          <w:rFonts w:ascii="Verdana" w:eastAsia="Verdana" w:hAnsi="Verdana"/>
          <w:color w:val="0072BC"/>
        </w:rPr>
        <w:t>eni</w:t>
      </w:r>
      <w:r w:rsidRPr="007E1CE3">
        <w:rPr>
          <w:rFonts w:ascii="Verdana" w:eastAsia="Verdana" w:hAnsi="Verdana"/>
          <w:color w:val="0072BC"/>
        </w:rPr>
        <w:t xml:space="preserve"> do działania w charakterze obrońcy</w:t>
      </w:r>
      <w:r w:rsidR="00FE6E6C">
        <w:rPr>
          <w:rFonts w:ascii="Verdana" w:eastAsia="Verdana" w:hAnsi="Verdana"/>
          <w:color w:val="0072BC"/>
        </w:rPr>
        <w:t xml:space="preserve"> w określonych jurysdykcjach</w:t>
      </w:r>
      <w:r w:rsidRPr="007E1CE3">
        <w:rPr>
          <w:rFonts w:ascii="Verdana" w:eastAsia="Verdana" w:hAnsi="Verdana"/>
          <w:color w:val="0072BC"/>
        </w:rPr>
        <w:t>), a</w:t>
      </w:r>
      <w:r w:rsidR="00FE6E6C">
        <w:rPr>
          <w:rFonts w:ascii="Verdana" w:eastAsia="Verdana" w:hAnsi="Verdana"/>
          <w:color w:val="0072BC"/>
        </w:rPr>
        <w:t xml:space="preserve"> uzasadnionym zamierzonym celem (ochrona praw innych</w:t>
      </w:r>
      <w:r w:rsidR="005A06C0">
        <w:rPr>
          <w:rFonts w:ascii="Verdana" w:eastAsia="Verdana" w:hAnsi="Verdana"/>
          <w:color w:val="0072BC"/>
        </w:rPr>
        <w:t xml:space="preserve"> osób</w:t>
      </w:r>
      <w:r w:rsidR="00FE6E6C">
        <w:rPr>
          <w:rFonts w:ascii="Verdana" w:eastAsia="Verdana" w:hAnsi="Verdana"/>
          <w:color w:val="0072BC"/>
        </w:rPr>
        <w:t>)</w:t>
      </w:r>
      <w:r w:rsidRPr="007E1CE3">
        <w:rPr>
          <w:rFonts w:ascii="Verdana" w:eastAsia="Verdana" w:hAnsi="Verdana"/>
          <w:color w:val="0072BC"/>
        </w:rPr>
        <w:t>.</w:t>
      </w:r>
    </w:p>
    <w:p w14:paraId="04F78FF9" w14:textId="77777777" w:rsidR="00AD03F0" w:rsidRDefault="00AD03F0" w:rsidP="00AB713F">
      <w:pPr>
        <w:spacing w:line="241" w:lineRule="auto"/>
        <w:ind w:left="740"/>
        <w:jc w:val="both"/>
        <w:rPr>
          <w:rFonts w:ascii="Verdana" w:eastAsia="Verdana" w:hAnsi="Verdana"/>
          <w:color w:val="0072BC"/>
        </w:rPr>
      </w:pPr>
    </w:p>
    <w:p w14:paraId="19FA7B50" w14:textId="1BBCFE53" w:rsidR="00AD03F0" w:rsidRDefault="00AD03F0" w:rsidP="00AB713F">
      <w:pPr>
        <w:spacing w:line="241" w:lineRule="auto"/>
        <w:ind w:left="740"/>
        <w:jc w:val="both"/>
        <w:rPr>
          <w:rFonts w:ascii="Verdana" w:eastAsia="Verdana" w:hAnsi="Verdana"/>
          <w:color w:val="0072BC"/>
        </w:rPr>
      </w:pPr>
      <w:r w:rsidRPr="00AD03F0">
        <w:rPr>
          <w:rFonts w:ascii="Verdana" w:eastAsia="Verdana" w:hAnsi="Verdana"/>
          <w:i/>
          <w:iCs/>
        </w:rPr>
        <w:t xml:space="preserve">Zob. również między innymi: </w:t>
      </w:r>
      <w:hyperlink r:id="rId114" w:anchor="{%22itemid%22:[%22002-12781%22]}" w:history="1">
        <w:r w:rsidRPr="00AD03F0">
          <w:rPr>
            <w:rStyle w:val="Hipercze"/>
            <w:rFonts w:ascii="Verdana" w:eastAsia="Verdana" w:hAnsi="Verdana"/>
            <w:b/>
            <w:bCs/>
          </w:rPr>
          <w:t>Centrum na rzecz Demokracji i Praworządności przeciwko Ukrainie</w:t>
        </w:r>
      </w:hyperlink>
      <w:r w:rsidRPr="00AD03F0">
        <w:rPr>
          <w:rFonts w:ascii="Verdana" w:eastAsia="Verdana" w:hAnsi="Verdana"/>
          <w:b/>
          <w:bCs/>
          <w:color w:val="0072BC"/>
        </w:rPr>
        <w:t>,</w:t>
      </w:r>
      <w:r w:rsidRPr="00AD03F0">
        <w:rPr>
          <w:rFonts w:ascii="Verdana" w:eastAsia="Verdana" w:hAnsi="Verdana"/>
          <w:color w:val="0072BC"/>
        </w:rPr>
        <w:t xml:space="preserve"> decyzja w sprawie dopuszczalności z dnia 3 marca 2020 r</w:t>
      </w:r>
      <w:r w:rsidRPr="00AD03F0">
        <w:rPr>
          <w:rFonts w:ascii="Verdana" w:eastAsia="Verdana" w:hAnsi="Verdana"/>
          <w:b/>
          <w:bCs/>
          <w:color w:val="0072BC"/>
        </w:rPr>
        <w:t xml:space="preserve">.; </w:t>
      </w:r>
      <w:hyperlink r:id="rId115" w:anchor="{%22itemid%22:[%22002-12781%22]}" w:history="1">
        <w:r w:rsidRPr="00AD03F0">
          <w:rPr>
            <w:rStyle w:val="Hipercze"/>
            <w:rFonts w:ascii="Verdana" w:eastAsia="Verdana" w:hAnsi="Verdana"/>
            <w:b/>
            <w:bCs/>
          </w:rPr>
          <w:t>Centrum na rzecz Demokracji i Praworządności przeciwko Ukrainie</w:t>
        </w:r>
      </w:hyperlink>
      <w:r w:rsidRPr="00AD03F0">
        <w:rPr>
          <w:rFonts w:ascii="Verdana" w:eastAsia="Verdana" w:hAnsi="Verdana"/>
          <w:color w:val="0072BC"/>
        </w:rPr>
        <w:t xml:space="preserve">, wyrok z dnia 26 marca 2020 r.; </w:t>
      </w:r>
      <w:hyperlink r:id="rId116" w:anchor="{%22itemid%22:[%22002-13470%22]}" w:history="1">
        <w:r w:rsidRPr="00AD03F0">
          <w:rPr>
            <w:rStyle w:val="Hipercze"/>
            <w:rFonts w:ascii="Verdana" w:eastAsia="Verdana" w:hAnsi="Verdana"/>
            <w:b/>
            <w:bCs/>
          </w:rPr>
          <w:t>Saure przeciwko Niemcom</w:t>
        </w:r>
      </w:hyperlink>
      <w:r w:rsidRPr="00AD03F0">
        <w:rPr>
          <w:rFonts w:ascii="Verdana" w:eastAsia="Verdana" w:hAnsi="Verdana"/>
          <w:color w:val="0072BC"/>
        </w:rPr>
        <w:t xml:space="preserve">, decyzja w sprawie dopuszczalności z dnia 19 października 2021 r.; </w:t>
      </w:r>
      <w:hyperlink r:id="rId117" w:anchor="{%22itemid%22:[%22002-13470%22]}" w:history="1">
        <w:r w:rsidRPr="00AD03F0">
          <w:rPr>
            <w:rStyle w:val="Hipercze"/>
            <w:rFonts w:ascii="Verdana" w:eastAsia="Verdana" w:hAnsi="Verdana"/>
            <w:b/>
            <w:bCs/>
          </w:rPr>
          <w:t>Mitov i inni przeciwko Bułgarii</w:t>
        </w:r>
      </w:hyperlink>
      <w:r w:rsidRPr="00AD03F0">
        <w:rPr>
          <w:rFonts w:ascii="Verdana" w:eastAsia="Verdana" w:hAnsi="Verdana"/>
          <w:color w:val="0072BC"/>
        </w:rPr>
        <w:t>, decyzja w sprawie dopuszczalności z dnia 28 lutego 2023 r.</w:t>
      </w:r>
    </w:p>
    <w:p w14:paraId="4AB00212" w14:textId="77777777" w:rsidR="00F832FE" w:rsidRDefault="00F832FE" w:rsidP="00AB713F">
      <w:pPr>
        <w:spacing w:line="214" w:lineRule="exact"/>
        <w:ind w:left="740"/>
        <w:rPr>
          <w:rFonts w:ascii="Times New Roman" w:eastAsia="Times New Roman" w:hAnsi="Times New Roman"/>
        </w:rPr>
      </w:pPr>
    </w:p>
    <w:p w14:paraId="5D4C5463" w14:textId="77777777" w:rsidR="00F832FE" w:rsidRDefault="000F234B" w:rsidP="00AB713F">
      <w:pPr>
        <w:spacing w:line="0" w:lineRule="atLeast"/>
        <w:ind w:left="740"/>
        <w:rPr>
          <w:rFonts w:ascii="Verdana" w:eastAsia="Verdana" w:hAnsi="Verdana"/>
          <w:color w:val="0072BC"/>
          <w:sz w:val="28"/>
        </w:rPr>
      </w:pPr>
      <w:bookmarkStart w:id="12" w:name="_Hlk17380051"/>
      <w:r>
        <w:rPr>
          <w:rFonts w:ascii="Verdana" w:eastAsia="Verdana" w:hAnsi="Verdana"/>
          <w:color w:val="0072BC"/>
          <w:sz w:val="28"/>
        </w:rPr>
        <w:t>Usuwanie lub niszczenie danych osobowych</w:t>
      </w:r>
      <w:bookmarkStart w:id="13" w:name="_Hlk17380087"/>
    </w:p>
    <w:bookmarkEnd w:id="12"/>
    <w:p w14:paraId="544E50BA" w14:textId="07751DC0"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8752" behindDoc="1" locked="0" layoutInCell="1" allowOverlap="1" wp14:anchorId="53DBA3AD" wp14:editId="1CA8814D">
                <wp:simplePos x="0" y="0"/>
                <wp:positionH relativeFrom="column">
                  <wp:posOffset>451485</wp:posOffset>
                </wp:positionH>
                <wp:positionV relativeFrom="paragraph">
                  <wp:posOffset>68580</wp:posOffset>
                </wp:positionV>
                <wp:extent cx="5768340" cy="0"/>
                <wp:effectExtent l="10160" t="13335" r="12700" b="15240"/>
                <wp:wrapNone/>
                <wp:docPr id="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D4402" id="Line 7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" strokecolor="#999" strokeweight="1.44pt"/>
            </w:pict>
          </mc:Fallback>
        </mc:AlternateContent>
      </w:r>
    </w:p>
    <w:p w14:paraId="5B7BC596" w14:textId="77777777" w:rsidR="00F832FE" w:rsidRDefault="00F832FE" w:rsidP="00AB713F">
      <w:pPr>
        <w:spacing w:line="211" w:lineRule="exact"/>
        <w:ind w:left="740"/>
        <w:rPr>
          <w:rFonts w:ascii="Times New Roman" w:eastAsia="Times New Roman" w:hAnsi="Times New Roman"/>
        </w:rPr>
      </w:pPr>
    </w:p>
    <w:p w14:paraId="3657F96A" w14:textId="75CBBA9C" w:rsidR="00F832FE" w:rsidRDefault="000F234B" w:rsidP="00AB713F">
      <w:pPr>
        <w:spacing w:before="120" w:line="0" w:lineRule="atLeast"/>
        <w:ind w:left="740"/>
        <w:rPr>
          <w:rFonts w:ascii="Verdana" w:eastAsia="Verdana" w:hAnsi="Verdana"/>
          <w:b/>
          <w:color w:val="0072BC"/>
          <w:u w:val="single"/>
        </w:rPr>
      </w:pPr>
      <w:hyperlink r:id="rId118" w:anchor="{%22itemid%22:[%22003-68482-68950%22]}" w:history="1">
        <w:r w:rsidRPr="00D4676B">
          <w:rPr>
            <w:rStyle w:val="Hipercze"/>
            <w:rFonts w:ascii="Verdana" w:eastAsia="Verdana" w:hAnsi="Verdana"/>
            <w:b/>
          </w:rPr>
          <w:t>Rotaru przeciwko Rumunii</w:t>
        </w:r>
        <w:bookmarkEnd w:id="13"/>
      </w:hyperlink>
    </w:p>
    <w:p w14:paraId="68081CE4" w14:textId="77777777" w:rsidR="00F832FE" w:rsidRDefault="00F832FE" w:rsidP="00AB713F">
      <w:pPr>
        <w:spacing w:line="66" w:lineRule="exact"/>
        <w:ind w:left="740"/>
        <w:rPr>
          <w:rFonts w:ascii="Times New Roman" w:eastAsia="Times New Roman" w:hAnsi="Times New Roman"/>
        </w:rPr>
      </w:pPr>
    </w:p>
    <w:p w14:paraId="1A493850" w14:textId="77777777" w:rsidR="00F832FE" w:rsidRDefault="000F234B" w:rsidP="00AB713F">
      <w:pPr>
        <w:spacing w:line="0" w:lineRule="atLeast"/>
        <w:ind w:left="740"/>
        <w:rPr>
          <w:rFonts w:ascii="Verdana" w:eastAsia="Verdana" w:hAnsi="Verdana"/>
          <w:color w:val="808080"/>
          <w:sz w:val="18"/>
        </w:rPr>
      </w:pPr>
      <w:r>
        <w:rPr>
          <w:rFonts w:ascii="Verdana" w:eastAsia="Verdana" w:hAnsi="Verdana"/>
          <w:color w:val="808080"/>
          <w:sz w:val="18"/>
        </w:rPr>
        <w:t>4 maja 2000</w:t>
      </w:r>
      <w:r w:rsidR="00352EC8">
        <w:rPr>
          <w:rFonts w:ascii="Verdana" w:eastAsia="Verdana" w:hAnsi="Verdana"/>
          <w:color w:val="808080"/>
          <w:sz w:val="18"/>
        </w:rPr>
        <w:t xml:space="preserve"> roku</w:t>
      </w:r>
      <w:r>
        <w:rPr>
          <w:rFonts w:ascii="Verdana" w:eastAsia="Verdana" w:hAnsi="Verdana"/>
          <w:color w:val="808080"/>
          <w:sz w:val="18"/>
        </w:rPr>
        <w:t xml:space="preserve"> (Wielka Izba</w:t>
      </w:r>
      <w:r w:rsidR="00F832FE">
        <w:rPr>
          <w:rFonts w:ascii="Verdana" w:eastAsia="Verdana" w:hAnsi="Verdana"/>
          <w:color w:val="808080"/>
          <w:sz w:val="18"/>
        </w:rPr>
        <w:t>)</w:t>
      </w:r>
    </w:p>
    <w:p w14:paraId="0602149B" w14:textId="77777777" w:rsidR="00B06720" w:rsidRDefault="001C615C" w:rsidP="00AB713F">
      <w:pPr>
        <w:spacing w:line="238" w:lineRule="auto"/>
        <w:ind w:left="740" w:right="20"/>
        <w:jc w:val="both"/>
        <w:rPr>
          <w:rFonts w:ascii="Verdana" w:eastAsia="Verdana" w:hAnsi="Verdana"/>
        </w:rPr>
      </w:pPr>
      <w:r w:rsidRPr="001C615C">
        <w:rPr>
          <w:rFonts w:ascii="Verdana" w:eastAsia="Verdana" w:hAnsi="Verdana"/>
        </w:rPr>
        <w:t xml:space="preserve">Skarżący zarzucał, że niemożliwe było </w:t>
      </w:r>
      <w:r w:rsidR="00D04F17">
        <w:rPr>
          <w:rFonts w:ascii="Verdana" w:eastAsia="Verdana" w:hAnsi="Verdana"/>
        </w:rPr>
        <w:t>podważenie</w:t>
      </w:r>
      <w:r w:rsidR="00B06720">
        <w:rPr>
          <w:rFonts w:ascii="Verdana" w:eastAsia="Verdana" w:hAnsi="Verdana"/>
        </w:rPr>
        <w:t xml:space="preserve"> nieprawdziwych</w:t>
      </w:r>
      <w:r w:rsidR="001D780A">
        <w:rPr>
          <w:rFonts w:ascii="Verdana" w:eastAsia="Verdana" w:hAnsi="Verdana"/>
        </w:rPr>
        <w:t xml:space="preserve"> (jego zdaniem)</w:t>
      </w:r>
      <w:r w:rsidRPr="001C615C">
        <w:rPr>
          <w:rFonts w:ascii="Verdana" w:eastAsia="Verdana" w:hAnsi="Verdana"/>
        </w:rPr>
        <w:t xml:space="preserve"> </w:t>
      </w:r>
      <w:r w:rsidR="00B06720">
        <w:rPr>
          <w:rFonts w:ascii="Verdana" w:eastAsia="Verdana" w:hAnsi="Verdana"/>
        </w:rPr>
        <w:t>informacji</w:t>
      </w:r>
      <w:r w:rsidRPr="001C615C">
        <w:rPr>
          <w:rFonts w:ascii="Verdana" w:eastAsia="Verdana" w:hAnsi="Verdana"/>
        </w:rPr>
        <w:t xml:space="preserve"> zawarty</w:t>
      </w:r>
      <w:r w:rsidR="001D780A">
        <w:rPr>
          <w:rFonts w:ascii="Verdana" w:eastAsia="Verdana" w:hAnsi="Verdana"/>
        </w:rPr>
        <w:t>ch</w:t>
      </w:r>
      <w:r w:rsidRPr="001C615C">
        <w:rPr>
          <w:rFonts w:ascii="Verdana" w:eastAsia="Verdana" w:hAnsi="Verdana"/>
        </w:rPr>
        <w:t xml:space="preserve"> w </w:t>
      </w:r>
      <w:r w:rsidR="00B06720">
        <w:rPr>
          <w:rFonts w:ascii="Verdana" w:eastAsia="Verdana" w:hAnsi="Verdana"/>
        </w:rPr>
        <w:t xml:space="preserve">jego </w:t>
      </w:r>
      <w:r w:rsidRPr="001C615C">
        <w:rPr>
          <w:rFonts w:ascii="Verdana" w:eastAsia="Verdana" w:hAnsi="Verdana"/>
        </w:rPr>
        <w:t xml:space="preserve">aktach prowadzonych przez rumuńskie służby wywiadowcze (RIS). </w:t>
      </w:r>
      <w:r w:rsidR="00DB724E">
        <w:rPr>
          <w:rFonts w:ascii="Verdana" w:eastAsia="Verdana" w:hAnsi="Verdana"/>
        </w:rPr>
        <w:t>Skarżący z</w:t>
      </w:r>
      <w:r w:rsidRPr="001C615C">
        <w:rPr>
          <w:rFonts w:ascii="Verdana" w:eastAsia="Verdana" w:hAnsi="Verdana"/>
        </w:rPr>
        <w:t>ostał skazany na rok pozbawienia wolności w 1948 r</w:t>
      </w:r>
      <w:r w:rsidR="00E123B4">
        <w:rPr>
          <w:rFonts w:ascii="Verdana" w:eastAsia="Verdana" w:hAnsi="Verdana"/>
        </w:rPr>
        <w:t>oku</w:t>
      </w:r>
      <w:r w:rsidRPr="001C615C">
        <w:rPr>
          <w:rFonts w:ascii="Verdana" w:eastAsia="Verdana" w:hAnsi="Verdana"/>
        </w:rPr>
        <w:t xml:space="preserve"> za krytykę reżimu komunistyczneg</w:t>
      </w:r>
      <w:r w:rsidR="00B06720">
        <w:rPr>
          <w:rFonts w:ascii="Verdana" w:eastAsia="Verdana" w:hAnsi="Verdana"/>
        </w:rPr>
        <w:t>o.</w:t>
      </w:r>
    </w:p>
    <w:p w14:paraId="18DD32FC" w14:textId="77777777" w:rsidR="007C26FA" w:rsidRPr="00F8489F" w:rsidRDefault="000F234B" w:rsidP="00AB713F">
      <w:pPr>
        <w:spacing w:line="238" w:lineRule="auto"/>
        <w:ind w:left="740" w:right="20"/>
        <w:jc w:val="both"/>
        <w:rPr>
          <w:rFonts w:ascii="Verdana" w:eastAsia="Verdana" w:hAnsi="Verdana"/>
        </w:rPr>
      </w:pPr>
      <w:r w:rsidRPr="00826A32">
        <w:rPr>
          <w:rFonts w:ascii="Verdana" w:eastAsia="Verdana" w:hAnsi="Verdana"/>
          <w:color w:val="0070C0"/>
        </w:rPr>
        <w:t xml:space="preserve">Trybunał orzekł, że nastąpiło </w:t>
      </w:r>
      <w:r w:rsidRPr="00F8489F">
        <w:rPr>
          <w:rFonts w:ascii="Verdana" w:eastAsia="Verdana" w:hAnsi="Verdana"/>
          <w:b/>
          <w:color w:val="0070C0"/>
        </w:rPr>
        <w:t xml:space="preserve">naruszenie </w:t>
      </w:r>
      <w:r w:rsidR="00E123B4">
        <w:rPr>
          <w:rFonts w:ascii="Verdana" w:eastAsia="Verdana" w:hAnsi="Verdana"/>
          <w:b/>
          <w:color w:val="0070C0"/>
        </w:rPr>
        <w:t>art.</w:t>
      </w:r>
      <w:r w:rsidRPr="00F8489F">
        <w:rPr>
          <w:rFonts w:ascii="Verdana" w:eastAsia="Verdana" w:hAnsi="Verdana"/>
          <w:b/>
          <w:color w:val="0070C0"/>
        </w:rPr>
        <w:t xml:space="preserve"> 8 Konwencji,</w:t>
      </w:r>
      <w:r w:rsidRPr="00826A32">
        <w:rPr>
          <w:rFonts w:ascii="Verdana" w:eastAsia="Verdana" w:hAnsi="Verdana"/>
          <w:color w:val="0070C0"/>
        </w:rPr>
        <w:t xml:space="preserve"> uznając, że przechowywanie i wykorzystywanie przez RIS informacji o życiu prywatnym </w:t>
      </w:r>
      <w:r w:rsidR="00E123B4">
        <w:rPr>
          <w:rFonts w:ascii="Verdana" w:eastAsia="Verdana" w:hAnsi="Verdana"/>
          <w:color w:val="0070C0"/>
        </w:rPr>
        <w:t>skarżącego</w:t>
      </w:r>
      <w:r w:rsidR="003A7187">
        <w:rPr>
          <w:rFonts w:ascii="Verdana" w:eastAsia="Verdana" w:hAnsi="Verdana"/>
          <w:color w:val="0070C0"/>
        </w:rPr>
        <w:t xml:space="preserve"> było niezgodne z prawem.</w:t>
      </w:r>
      <w:r w:rsidRPr="00826A32">
        <w:rPr>
          <w:rFonts w:ascii="Verdana" w:eastAsia="Verdana" w:hAnsi="Verdana"/>
          <w:color w:val="0070C0"/>
        </w:rPr>
        <w:t xml:space="preserve"> Trybunał zauważył w szczególności, że informacje publiczne mogą wchodzić w zakres życia prywatnego, </w:t>
      </w:r>
      <w:r w:rsidR="00E123B4">
        <w:rPr>
          <w:rFonts w:ascii="Verdana" w:eastAsia="Verdana" w:hAnsi="Verdana"/>
          <w:color w:val="0070C0"/>
        </w:rPr>
        <w:t>w przypadkach gdy</w:t>
      </w:r>
      <w:r w:rsidRPr="00826A32">
        <w:rPr>
          <w:rFonts w:ascii="Verdana" w:eastAsia="Verdana" w:hAnsi="Verdana"/>
          <w:color w:val="0070C0"/>
        </w:rPr>
        <w:t xml:space="preserve"> są systematycznie gromadzone i przechowywane w akta</w:t>
      </w:r>
      <w:r w:rsidR="003A7187">
        <w:rPr>
          <w:rFonts w:ascii="Verdana" w:eastAsia="Verdana" w:hAnsi="Verdana"/>
          <w:color w:val="0070C0"/>
        </w:rPr>
        <w:t>ch będących w posiadaniu władz.</w:t>
      </w:r>
      <w:r w:rsidRPr="00826A32">
        <w:rPr>
          <w:rFonts w:ascii="Verdana" w:eastAsia="Verdana" w:hAnsi="Verdana"/>
          <w:color w:val="0070C0"/>
        </w:rPr>
        <w:t xml:space="preserve"> Jest to tym bardziej prawdziwe, gdy takie informacje dotyczą odległej przeszłości danej osoby. </w:t>
      </w:r>
      <w:r w:rsidR="003A7187">
        <w:rPr>
          <w:rFonts w:ascii="Verdana" w:eastAsia="Verdana" w:hAnsi="Verdana"/>
          <w:color w:val="0070C0"/>
        </w:rPr>
        <w:t>Trybunał zauważył</w:t>
      </w:r>
      <w:r w:rsidRPr="00826A32">
        <w:rPr>
          <w:rFonts w:ascii="Verdana" w:eastAsia="Verdana" w:hAnsi="Verdana"/>
          <w:color w:val="0070C0"/>
        </w:rPr>
        <w:t>, że żaden przepis prawa krajowego nie określa rodzaju informacji, które mogą być rejestrowane, kategorii osób, przeciwko którym mogą być podejmowane środki nadzoru, takie jak gromadzenie i przechowywanie informacji, okoliczności, w których takie środki mogą być podejmowane, ani procedur</w:t>
      </w:r>
      <w:r w:rsidR="003A7187">
        <w:rPr>
          <w:rFonts w:ascii="Verdana" w:eastAsia="Verdana" w:hAnsi="Verdana"/>
          <w:color w:val="0070C0"/>
        </w:rPr>
        <w:t xml:space="preserve">y, którą należy stosować. </w:t>
      </w:r>
      <w:r w:rsidRPr="00826A32">
        <w:rPr>
          <w:rFonts w:ascii="Verdana" w:eastAsia="Verdana" w:hAnsi="Verdana"/>
          <w:color w:val="0070C0"/>
        </w:rPr>
        <w:t xml:space="preserve">Podobnie, ustawa nie określała ograniczeń dotyczących wieku przechowywanych informacji ani okresu, przez jaki można </w:t>
      </w:r>
      <w:r w:rsidR="003A7187">
        <w:rPr>
          <w:rFonts w:ascii="Verdana" w:eastAsia="Verdana" w:hAnsi="Verdana"/>
          <w:color w:val="0070C0"/>
        </w:rPr>
        <w:t xml:space="preserve">je przechowywać. </w:t>
      </w:r>
      <w:r w:rsidRPr="00826A32">
        <w:rPr>
          <w:rFonts w:ascii="Verdana" w:eastAsia="Verdana" w:hAnsi="Verdana"/>
          <w:color w:val="0070C0"/>
        </w:rPr>
        <w:t xml:space="preserve">Wreszcie, nie istniały żadne wyraźne, szczegółowe przepisy dotyczące osób uprawnionych do wglądu do akt, charakteru </w:t>
      </w:r>
      <w:r w:rsidR="00DF5454">
        <w:rPr>
          <w:rFonts w:ascii="Verdana" w:eastAsia="Verdana" w:hAnsi="Verdana"/>
          <w:color w:val="0070C0"/>
        </w:rPr>
        <w:t xml:space="preserve">tych </w:t>
      </w:r>
      <w:r w:rsidRPr="00826A32">
        <w:rPr>
          <w:rFonts w:ascii="Verdana" w:eastAsia="Verdana" w:hAnsi="Verdana"/>
          <w:color w:val="0070C0"/>
        </w:rPr>
        <w:t>akt, procedury, którą należy stosować lub sposobu wykorzystania uzysk</w:t>
      </w:r>
      <w:r w:rsidR="003A7187">
        <w:rPr>
          <w:rFonts w:ascii="Verdana" w:eastAsia="Verdana" w:hAnsi="Verdana"/>
          <w:color w:val="0070C0"/>
        </w:rPr>
        <w:t xml:space="preserve">anych w ten sposób informacji. </w:t>
      </w:r>
      <w:r w:rsidRPr="00826A32">
        <w:rPr>
          <w:rFonts w:ascii="Verdana" w:eastAsia="Verdana" w:hAnsi="Verdana"/>
          <w:color w:val="0070C0"/>
        </w:rPr>
        <w:t>W związku z tym Trybunał uznał, że prawo rumuńskie nie określa dostatecznie jasno zakresu i sposobu korzystania z uprawnień dyskrecjonalnych przyzna</w:t>
      </w:r>
      <w:r w:rsidR="003A7187">
        <w:rPr>
          <w:rFonts w:ascii="Verdana" w:eastAsia="Verdana" w:hAnsi="Verdana"/>
          <w:color w:val="0070C0"/>
        </w:rPr>
        <w:t>nych organom władzy publicznej.</w:t>
      </w:r>
      <w:r w:rsidRPr="00826A32">
        <w:rPr>
          <w:rFonts w:ascii="Verdana" w:eastAsia="Verdana" w:hAnsi="Verdana"/>
          <w:color w:val="0070C0"/>
        </w:rPr>
        <w:t xml:space="preserve"> W tej sprawie Trybunał orzekł również, że </w:t>
      </w:r>
      <w:r w:rsidR="003A7187">
        <w:rPr>
          <w:rFonts w:ascii="Verdana" w:eastAsia="Verdana" w:hAnsi="Verdana"/>
          <w:b/>
          <w:color w:val="0070C0"/>
        </w:rPr>
        <w:t xml:space="preserve">doszło do naruszenia </w:t>
      </w:r>
      <w:r w:rsidR="00A50805">
        <w:rPr>
          <w:rFonts w:ascii="Verdana" w:eastAsia="Verdana" w:hAnsi="Verdana"/>
          <w:b/>
          <w:color w:val="0070C0"/>
        </w:rPr>
        <w:t>art.</w:t>
      </w:r>
      <w:r w:rsidRPr="003A7187">
        <w:rPr>
          <w:rFonts w:ascii="Verdana" w:eastAsia="Verdana" w:hAnsi="Verdana"/>
          <w:b/>
          <w:color w:val="0070C0"/>
        </w:rPr>
        <w:t xml:space="preserve"> 13</w:t>
      </w:r>
      <w:r w:rsidRPr="00826A32">
        <w:rPr>
          <w:rFonts w:ascii="Verdana" w:eastAsia="Verdana" w:hAnsi="Verdana"/>
          <w:color w:val="0070C0"/>
        </w:rPr>
        <w:t xml:space="preserve"> (prawo do sk</w:t>
      </w:r>
      <w:r w:rsidR="003A7187">
        <w:rPr>
          <w:rFonts w:ascii="Verdana" w:eastAsia="Verdana" w:hAnsi="Verdana"/>
          <w:color w:val="0070C0"/>
        </w:rPr>
        <w:t>utecznego środka odwoławczego) K</w:t>
      </w:r>
      <w:r w:rsidRPr="00826A32">
        <w:rPr>
          <w:rFonts w:ascii="Verdana" w:eastAsia="Verdana" w:hAnsi="Verdana"/>
          <w:color w:val="0070C0"/>
        </w:rPr>
        <w:t xml:space="preserve">onwencji, ponieważ </w:t>
      </w:r>
      <w:r w:rsidR="003A7187">
        <w:rPr>
          <w:rFonts w:ascii="Verdana" w:eastAsia="Verdana" w:hAnsi="Verdana"/>
          <w:color w:val="0070C0"/>
        </w:rPr>
        <w:t>skarżący</w:t>
      </w:r>
      <w:r w:rsidRPr="00826A32">
        <w:rPr>
          <w:rFonts w:ascii="Verdana" w:eastAsia="Verdana" w:hAnsi="Verdana"/>
          <w:color w:val="0070C0"/>
        </w:rPr>
        <w:t xml:space="preserve"> nie miał możliwości zakwestionowania przechowywania danych ani podważenia prawdziwości przedmiotowych informacji</w:t>
      </w:r>
      <w:r w:rsidRPr="000F234B">
        <w:rPr>
          <w:rFonts w:ascii="Verdana" w:eastAsia="Verdana" w:hAnsi="Verdana"/>
        </w:rPr>
        <w:t>.</w:t>
      </w:r>
    </w:p>
    <w:p w14:paraId="78F9BB9E" w14:textId="77777777" w:rsidR="00F832FE" w:rsidRDefault="00F832FE" w:rsidP="00AB713F">
      <w:pPr>
        <w:spacing w:line="6" w:lineRule="exact"/>
        <w:ind w:left="740"/>
        <w:rPr>
          <w:rFonts w:ascii="Times New Roman" w:eastAsia="Times New Roman" w:hAnsi="Times New Roman"/>
        </w:rPr>
      </w:pPr>
    </w:p>
    <w:p w14:paraId="1F9FA6F1" w14:textId="40BBFAA7" w:rsidR="00F832FE" w:rsidRDefault="00407B53" w:rsidP="00AB713F">
      <w:pPr>
        <w:spacing w:line="271" w:lineRule="auto"/>
        <w:ind w:left="740" w:right="20"/>
        <w:jc w:val="both"/>
        <w:rPr>
          <w:rFonts w:ascii="Verdana" w:eastAsia="Verdana" w:hAnsi="Verdana"/>
          <w:color w:val="404040"/>
        </w:rPr>
      </w:pPr>
      <w:r>
        <w:rPr>
          <w:rFonts w:ascii="Verdana" w:eastAsia="Verdana" w:hAnsi="Verdana"/>
          <w:i/>
          <w:color w:val="404040"/>
        </w:rPr>
        <w:t>Zobacz również</w:t>
      </w:r>
      <w:hyperlink r:id="rId119" w:anchor="{%22itemid%22:[%22003-3549731-4011007%22]}" w:history="1">
        <w:r w:rsidR="00F832FE" w:rsidRPr="00D4676B">
          <w:rPr>
            <w:rStyle w:val="Hipercze"/>
            <w:rFonts w:ascii="Verdana" w:eastAsia="Verdana" w:hAnsi="Verdana"/>
          </w:rPr>
          <w:t>:</w:t>
        </w:r>
        <w:r w:rsidR="00F832FE" w:rsidRPr="00D4676B">
          <w:rPr>
            <w:rStyle w:val="Hipercze"/>
            <w:rFonts w:ascii="Verdana" w:eastAsia="Verdana" w:hAnsi="Verdana"/>
            <w:i/>
          </w:rPr>
          <w:t xml:space="preserve"> </w:t>
        </w:r>
        <w:r w:rsidR="000F234B" w:rsidRPr="00D4676B">
          <w:rPr>
            <w:rStyle w:val="Hipercze"/>
            <w:rFonts w:ascii="Verdana" w:eastAsia="Verdana" w:hAnsi="Verdana"/>
            <w:b/>
          </w:rPr>
          <w:t xml:space="preserve">Organizacja </w:t>
        </w:r>
        <w:r w:rsidR="00F832FE" w:rsidRPr="00D4676B">
          <w:rPr>
            <w:rStyle w:val="Hipercze"/>
            <w:rFonts w:ascii="Verdana" w:eastAsia="Verdana" w:hAnsi="Verdana"/>
            <w:b/>
          </w:rPr>
          <w:t xml:space="preserve"> “21 </w:t>
        </w:r>
        <w:r w:rsidR="000F234B" w:rsidRPr="00D4676B">
          <w:rPr>
            <w:rStyle w:val="Hipercze"/>
            <w:rFonts w:ascii="Verdana" w:eastAsia="Verdana" w:hAnsi="Verdana"/>
            <w:b/>
          </w:rPr>
          <w:t>grudnia</w:t>
        </w:r>
        <w:r w:rsidR="00F832FE" w:rsidRPr="00D4676B">
          <w:rPr>
            <w:rStyle w:val="Hipercze"/>
            <w:rFonts w:ascii="Verdana" w:eastAsia="Verdana" w:hAnsi="Verdana"/>
            <w:b/>
          </w:rPr>
          <w:t xml:space="preserve"> 1989” </w:t>
        </w:r>
        <w:r w:rsidR="000F234B" w:rsidRPr="00D4676B">
          <w:rPr>
            <w:rStyle w:val="Hipercze"/>
            <w:rFonts w:ascii="Verdana" w:eastAsia="Verdana" w:hAnsi="Verdana"/>
            <w:b/>
          </w:rPr>
          <w:t>i Inni przeciwko Rumunii</w:t>
        </w:r>
      </w:hyperlink>
      <w:r w:rsidR="00F832FE">
        <w:rPr>
          <w:rFonts w:ascii="Verdana" w:eastAsia="Verdana" w:hAnsi="Verdana"/>
          <w:color w:val="404040"/>
        </w:rPr>
        <w:t>,</w:t>
      </w:r>
      <w:r w:rsidR="00F832FE">
        <w:rPr>
          <w:rFonts w:ascii="Verdana" w:eastAsia="Verdana" w:hAnsi="Verdana"/>
          <w:i/>
          <w:color w:val="404040"/>
        </w:rPr>
        <w:t xml:space="preserve"> </w:t>
      </w:r>
      <w:r>
        <w:rPr>
          <w:rFonts w:ascii="Verdana" w:eastAsia="Verdana" w:hAnsi="Verdana"/>
          <w:color w:val="404040"/>
        </w:rPr>
        <w:t>wyrok z 24 maja</w:t>
      </w:r>
      <w:r w:rsidR="00F832FE">
        <w:rPr>
          <w:rFonts w:ascii="Verdana" w:eastAsia="Verdana" w:hAnsi="Verdana"/>
          <w:color w:val="404040"/>
        </w:rPr>
        <w:t xml:space="preserve"> 2011</w:t>
      </w:r>
      <w:r w:rsidR="00A50805">
        <w:rPr>
          <w:rFonts w:ascii="Verdana" w:eastAsia="Verdana" w:hAnsi="Verdana"/>
          <w:color w:val="404040"/>
        </w:rPr>
        <w:t xml:space="preserve"> roku</w:t>
      </w:r>
      <w:r w:rsidR="00F832FE">
        <w:rPr>
          <w:rFonts w:ascii="Verdana" w:eastAsia="Verdana" w:hAnsi="Verdana"/>
          <w:color w:val="404040"/>
        </w:rPr>
        <w:t>.</w:t>
      </w:r>
    </w:p>
    <w:p w14:paraId="4AD43FD8" w14:textId="77777777" w:rsidR="00F832FE" w:rsidRDefault="00F832FE" w:rsidP="00AB713F">
      <w:pPr>
        <w:spacing w:line="178" w:lineRule="exact"/>
        <w:ind w:left="740"/>
        <w:rPr>
          <w:rFonts w:ascii="Times New Roman" w:eastAsia="Times New Roman" w:hAnsi="Times New Roman"/>
        </w:rPr>
      </w:pPr>
    </w:p>
    <w:p w14:paraId="4BA22892" w14:textId="77777777" w:rsidR="00F832FE" w:rsidRDefault="00407B53" w:rsidP="00AB713F">
      <w:pPr>
        <w:spacing w:line="0" w:lineRule="atLeast"/>
        <w:ind w:left="740"/>
        <w:rPr>
          <w:rFonts w:ascii="Verdana" w:eastAsia="Verdana" w:hAnsi="Verdana"/>
          <w:color w:val="0072BC"/>
          <w:sz w:val="28"/>
        </w:rPr>
      </w:pPr>
      <w:r>
        <w:rPr>
          <w:rFonts w:ascii="Verdana" w:eastAsia="Verdana" w:hAnsi="Verdana"/>
          <w:color w:val="0072BC"/>
          <w:sz w:val="28"/>
        </w:rPr>
        <w:t>Lektura uzupełniająca</w:t>
      </w:r>
    </w:p>
    <w:p w14:paraId="26FB407B" w14:textId="745195B3" w:rsidR="00F832FE" w:rsidRDefault="003F5550" w:rsidP="00AB713F">
      <w:pPr>
        <w:spacing w:line="20" w:lineRule="exact"/>
        <w:ind w:left="740"/>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9776" behindDoc="1" locked="0" layoutInCell="1" allowOverlap="1" wp14:anchorId="2C230CD3" wp14:editId="2F1283A8">
                <wp:simplePos x="0" y="0"/>
                <wp:positionH relativeFrom="column">
                  <wp:posOffset>451485</wp:posOffset>
                </wp:positionH>
                <wp:positionV relativeFrom="paragraph">
                  <wp:posOffset>68580</wp:posOffset>
                </wp:positionV>
                <wp:extent cx="5768340" cy="0"/>
                <wp:effectExtent l="10160" t="10160" r="12700" b="18415"/>
                <wp:wrapNone/>
                <wp:docPr id="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98FA8" id="Line 8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" strokecolor="#999" strokeweight="1.44pt"/>
            </w:pict>
          </mc:Fallback>
        </mc:AlternateContent>
      </w:r>
    </w:p>
    <w:p w14:paraId="0FE5878D" w14:textId="77777777" w:rsidR="00F832FE" w:rsidRDefault="00F832FE" w:rsidP="00AB713F">
      <w:pPr>
        <w:spacing w:line="335" w:lineRule="exact"/>
        <w:ind w:left="740"/>
        <w:rPr>
          <w:rFonts w:ascii="Times New Roman" w:eastAsia="Times New Roman" w:hAnsi="Times New Roman"/>
        </w:rPr>
      </w:pPr>
    </w:p>
    <w:p w14:paraId="738DF008" w14:textId="77777777" w:rsidR="00F832FE" w:rsidRDefault="00407B53" w:rsidP="00AB713F">
      <w:pPr>
        <w:spacing w:line="0" w:lineRule="atLeast"/>
        <w:ind w:left="740"/>
        <w:rPr>
          <w:rFonts w:ascii="Verdana" w:eastAsia="Verdana" w:hAnsi="Verdana"/>
        </w:rPr>
      </w:pPr>
      <w:r>
        <w:rPr>
          <w:rFonts w:ascii="Verdana" w:eastAsia="Verdana" w:hAnsi="Verdana"/>
        </w:rPr>
        <w:t>Zobacz w szczególności:</w:t>
      </w:r>
    </w:p>
    <w:p w14:paraId="7FD3C3BC" w14:textId="77777777" w:rsidR="00772257" w:rsidRDefault="00772257" w:rsidP="00AB713F">
      <w:pPr>
        <w:spacing w:line="0" w:lineRule="atLeast"/>
        <w:ind w:left="740"/>
        <w:rPr>
          <w:rFonts w:ascii="Verdana" w:eastAsia="Verdana" w:hAnsi="Verdana"/>
        </w:rPr>
      </w:pPr>
    </w:p>
    <w:p w14:paraId="68B98AE9" w14:textId="072913D2" w:rsidR="00772257" w:rsidRPr="00772257" w:rsidRDefault="00772257" w:rsidP="00772257">
      <w:pPr>
        <w:spacing w:line="0" w:lineRule="atLeast"/>
        <w:ind w:left="740"/>
        <w:rPr>
          <w:rFonts w:ascii="Verdana" w:eastAsia="Verdana" w:hAnsi="Verdana"/>
        </w:rPr>
      </w:pPr>
      <w:r w:rsidRPr="00772257">
        <w:rPr>
          <w:rFonts w:ascii="Verdana" w:eastAsia="Verdana" w:hAnsi="Verdana"/>
          <w:b/>
          <w:bCs/>
        </w:rPr>
        <w:t xml:space="preserve">-    </w:t>
      </w:r>
      <w:hyperlink r:id="rId120" w:history="1">
        <w:r w:rsidRPr="00196CFB">
          <w:rPr>
            <w:rStyle w:val="Hipercze"/>
            <w:rFonts w:ascii="Verdana" w:eastAsia="Verdana" w:hAnsi="Verdana"/>
            <w:b/>
            <w:bCs/>
            <w:color w:val="0077D0"/>
          </w:rPr>
          <w:t>Platforma wymiany wiedzy na temat EKPC (ECHR-KS)</w:t>
        </w:r>
        <w:r w:rsidRPr="00772257">
          <w:rPr>
            <w:rStyle w:val="Hipercze"/>
            <w:rFonts w:ascii="Verdana" w:eastAsia="Verdana" w:hAnsi="Verdana"/>
            <w:b/>
            <w:bCs/>
          </w:rPr>
          <w:t>,</w:t>
        </w:r>
      </w:hyperlink>
      <w:r w:rsidRPr="00772257">
        <w:rPr>
          <w:rFonts w:ascii="Verdana" w:eastAsia="Verdana" w:hAnsi="Verdana"/>
        </w:rPr>
        <w:t xml:space="preserve"> Ochrona danych</w:t>
      </w:r>
    </w:p>
    <w:p w14:paraId="273E4B82" w14:textId="77777777" w:rsidR="00F832FE" w:rsidRDefault="00F832FE" w:rsidP="00AB713F">
      <w:pPr>
        <w:spacing w:line="142" w:lineRule="exact"/>
        <w:ind w:left="740"/>
        <w:rPr>
          <w:rFonts w:ascii="Times New Roman" w:eastAsia="Times New Roman" w:hAnsi="Times New Roman"/>
        </w:rPr>
      </w:pPr>
    </w:p>
    <w:p w14:paraId="023BBE4E" w14:textId="31B616E0" w:rsidR="00F832FE" w:rsidRDefault="00F832FE" w:rsidP="00AB713F">
      <w:pPr>
        <w:spacing w:line="14" w:lineRule="exact"/>
        <w:ind w:left="740"/>
        <w:rPr>
          <w:rFonts w:ascii="Verdana" w:eastAsia="Verdana" w:hAnsi="Verdana"/>
          <w:b/>
          <w:color w:val="0072BC"/>
        </w:rPr>
      </w:pPr>
    </w:p>
    <w:p w14:paraId="49005B46" w14:textId="77777777" w:rsidR="00C914F4" w:rsidRDefault="00C914F4" w:rsidP="00AB713F">
      <w:pPr>
        <w:spacing w:line="14" w:lineRule="exact"/>
        <w:ind w:left="740"/>
        <w:rPr>
          <w:rFonts w:ascii="Verdana" w:eastAsia="Verdana" w:hAnsi="Verdana"/>
          <w:b/>
          <w:color w:val="0072BC"/>
        </w:rPr>
      </w:pPr>
    </w:p>
    <w:p w14:paraId="2DBA7B54" w14:textId="77777777" w:rsidR="00C914F4" w:rsidRDefault="00C914F4" w:rsidP="00AB713F">
      <w:pPr>
        <w:spacing w:line="14" w:lineRule="exact"/>
        <w:ind w:left="740"/>
        <w:rPr>
          <w:rFonts w:ascii="Verdana" w:eastAsia="Verdana" w:hAnsi="Verdana"/>
          <w:b/>
          <w:color w:val="0072BC"/>
        </w:rPr>
      </w:pPr>
    </w:p>
    <w:p w14:paraId="661A0966" w14:textId="77777777" w:rsidR="00C914F4" w:rsidRDefault="00C914F4" w:rsidP="00AB713F">
      <w:pPr>
        <w:spacing w:line="14" w:lineRule="exact"/>
        <w:ind w:left="740"/>
        <w:rPr>
          <w:rFonts w:ascii="Verdana" w:eastAsia="Verdana" w:hAnsi="Verdana"/>
          <w:b/>
          <w:color w:val="0072BC"/>
        </w:rPr>
      </w:pPr>
    </w:p>
    <w:p w14:paraId="0FE77DA0" w14:textId="77777777" w:rsidR="00C914F4" w:rsidRDefault="00C914F4" w:rsidP="00AB713F">
      <w:pPr>
        <w:spacing w:line="14" w:lineRule="exact"/>
        <w:ind w:left="740"/>
        <w:rPr>
          <w:rFonts w:ascii="Verdana" w:eastAsia="Verdana" w:hAnsi="Verdana"/>
          <w:b/>
          <w:color w:val="0072BC"/>
        </w:rPr>
      </w:pPr>
    </w:p>
    <w:p w14:paraId="3ECB285C" w14:textId="77777777" w:rsidR="00C914F4" w:rsidRDefault="00C914F4" w:rsidP="00AB713F">
      <w:pPr>
        <w:spacing w:line="14" w:lineRule="exact"/>
        <w:ind w:left="740"/>
        <w:rPr>
          <w:rFonts w:ascii="Verdana" w:eastAsia="Verdana" w:hAnsi="Verdana"/>
          <w:b/>
          <w:color w:val="0072BC"/>
        </w:rPr>
      </w:pPr>
    </w:p>
    <w:p w14:paraId="12D824F8" w14:textId="77777777" w:rsidR="00C914F4" w:rsidRDefault="00C914F4" w:rsidP="00AB713F">
      <w:pPr>
        <w:spacing w:line="14" w:lineRule="exact"/>
        <w:ind w:left="740"/>
        <w:rPr>
          <w:rFonts w:ascii="Verdana" w:eastAsia="Verdana" w:hAnsi="Verdana"/>
          <w:b/>
          <w:color w:val="0072BC"/>
        </w:rPr>
      </w:pPr>
    </w:p>
    <w:p w14:paraId="090F05E1" w14:textId="77777777" w:rsidR="00C914F4" w:rsidRDefault="00C914F4" w:rsidP="00AB713F">
      <w:pPr>
        <w:spacing w:line="14" w:lineRule="exact"/>
        <w:ind w:left="740"/>
        <w:rPr>
          <w:rFonts w:ascii="Verdana" w:eastAsia="Verdana" w:hAnsi="Verdana"/>
          <w:b/>
          <w:color w:val="0072BC"/>
        </w:rPr>
      </w:pPr>
    </w:p>
    <w:p w14:paraId="20613CAA" w14:textId="77777777" w:rsidR="00C914F4" w:rsidRDefault="00C914F4" w:rsidP="00AB713F">
      <w:pPr>
        <w:spacing w:line="14" w:lineRule="exact"/>
        <w:ind w:left="740"/>
        <w:rPr>
          <w:rFonts w:ascii="Verdana" w:eastAsia="Verdana" w:hAnsi="Verdana"/>
          <w:b/>
          <w:color w:val="0072BC"/>
        </w:rPr>
      </w:pPr>
    </w:p>
    <w:p w14:paraId="4D611AE0" w14:textId="77777777" w:rsidR="00C914F4" w:rsidRDefault="00C914F4" w:rsidP="00AB713F">
      <w:pPr>
        <w:spacing w:line="14" w:lineRule="exact"/>
        <w:ind w:left="740"/>
        <w:rPr>
          <w:rFonts w:ascii="Verdana" w:eastAsia="Verdana" w:hAnsi="Verdana"/>
          <w:b/>
          <w:color w:val="0072BC"/>
        </w:rPr>
      </w:pPr>
    </w:p>
    <w:p w14:paraId="2150EA67" w14:textId="77777777" w:rsidR="00C914F4" w:rsidRDefault="00C914F4" w:rsidP="00AB713F">
      <w:pPr>
        <w:spacing w:line="14" w:lineRule="exact"/>
        <w:ind w:left="740"/>
        <w:rPr>
          <w:rFonts w:ascii="Verdana" w:eastAsia="Verdana" w:hAnsi="Verdana"/>
          <w:b/>
          <w:color w:val="0072BC"/>
        </w:rPr>
      </w:pPr>
    </w:p>
    <w:p w14:paraId="383D41E4" w14:textId="77777777" w:rsidR="00C914F4" w:rsidRDefault="00C914F4" w:rsidP="00AB713F">
      <w:pPr>
        <w:spacing w:line="14" w:lineRule="exact"/>
        <w:ind w:left="740"/>
        <w:rPr>
          <w:rFonts w:ascii="Verdana" w:eastAsia="Verdana" w:hAnsi="Verdana"/>
          <w:b/>
          <w:color w:val="0072BC"/>
        </w:rPr>
      </w:pPr>
    </w:p>
    <w:p w14:paraId="2115A4D1" w14:textId="77777777" w:rsidR="00C914F4" w:rsidRDefault="00C914F4" w:rsidP="00AB713F">
      <w:pPr>
        <w:spacing w:line="14" w:lineRule="exact"/>
        <w:ind w:left="740"/>
        <w:rPr>
          <w:rFonts w:ascii="Verdana" w:eastAsia="Verdana" w:hAnsi="Verdana"/>
          <w:b/>
          <w:color w:val="0072BC"/>
        </w:rPr>
      </w:pPr>
    </w:p>
    <w:p w14:paraId="5660A95C" w14:textId="77777777" w:rsidR="00C914F4" w:rsidRDefault="00C914F4" w:rsidP="00AB713F">
      <w:pPr>
        <w:spacing w:line="14" w:lineRule="exact"/>
        <w:ind w:left="740"/>
        <w:rPr>
          <w:rFonts w:ascii="Verdana" w:eastAsia="Verdana" w:hAnsi="Verdana"/>
          <w:b/>
          <w:color w:val="0072BC"/>
        </w:rPr>
      </w:pPr>
    </w:p>
    <w:p w14:paraId="554E1A8B" w14:textId="77777777" w:rsidR="00C914F4" w:rsidRDefault="00C914F4" w:rsidP="00AB713F">
      <w:pPr>
        <w:spacing w:line="14" w:lineRule="exact"/>
        <w:ind w:left="740"/>
        <w:rPr>
          <w:rFonts w:ascii="Verdana" w:eastAsia="Verdana" w:hAnsi="Verdana"/>
          <w:b/>
          <w:color w:val="0072BC"/>
        </w:rPr>
      </w:pPr>
    </w:p>
    <w:p w14:paraId="305D2475" w14:textId="77777777" w:rsidR="00C914F4" w:rsidRDefault="00C914F4" w:rsidP="00AB713F">
      <w:pPr>
        <w:spacing w:line="14" w:lineRule="exact"/>
        <w:ind w:left="740"/>
        <w:rPr>
          <w:rFonts w:ascii="Verdana" w:eastAsia="Verdana" w:hAnsi="Verdana"/>
          <w:b/>
          <w:color w:val="0072BC"/>
        </w:rPr>
      </w:pPr>
    </w:p>
    <w:p w14:paraId="004C6DCE" w14:textId="77777777" w:rsidR="00C914F4" w:rsidRDefault="00C914F4" w:rsidP="00AB713F">
      <w:pPr>
        <w:spacing w:line="14" w:lineRule="exact"/>
        <w:ind w:left="740"/>
        <w:rPr>
          <w:rFonts w:ascii="Verdana" w:eastAsia="Verdana" w:hAnsi="Verdana"/>
          <w:b/>
          <w:color w:val="0072BC"/>
        </w:rPr>
      </w:pPr>
    </w:p>
    <w:p w14:paraId="0F1D2E63" w14:textId="77777777" w:rsidR="00C914F4" w:rsidRDefault="00C914F4" w:rsidP="00AB713F">
      <w:pPr>
        <w:spacing w:line="14" w:lineRule="exact"/>
        <w:ind w:left="740"/>
        <w:rPr>
          <w:rFonts w:ascii="Verdana" w:eastAsia="Verdana" w:hAnsi="Verdana"/>
          <w:b/>
          <w:color w:val="0072BC"/>
        </w:rPr>
      </w:pPr>
    </w:p>
    <w:p w14:paraId="6D89486E" w14:textId="77777777" w:rsidR="00F832FE" w:rsidRDefault="00826A32" w:rsidP="00AB713F">
      <w:pPr>
        <w:numPr>
          <w:ilvl w:val="0"/>
          <w:numId w:val="6"/>
        </w:numPr>
        <w:tabs>
          <w:tab w:val="left" w:pos="1160"/>
        </w:tabs>
        <w:spacing w:line="0" w:lineRule="atLeast"/>
        <w:ind w:left="740"/>
        <w:rPr>
          <w:rFonts w:ascii="Verdana" w:eastAsia="Verdana" w:hAnsi="Verdana"/>
        </w:rPr>
      </w:pPr>
      <w:hyperlink r:id="rId121" w:history="1">
        <w:r w:rsidRPr="00196CFB">
          <w:rPr>
            <w:rFonts w:ascii="Verdana" w:eastAsia="Verdana" w:hAnsi="Verdana"/>
            <w:b/>
            <w:color w:val="0077D0"/>
            <w:u w:val="single"/>
          </w:rPr>
          <w:t>strona internetowa</w:t>
        </w:r>
        <w:r w:rsidR="00F832FE">
          <w:rPr>
            <w:rFonts w:ascii="Verdana" w:eastAsia="Verdana" w:hAnsi="Verdana"/>
            <w:u w:val="single"/>
          </w:rPr>
          <w:t xml:space="preserve"> </w:t>
        </w:r>
      </w:hyperlink>
      <w:r>
        <w:rPr>
          <w:rFonts w:ascii="Verdana" w:eastAsia="Verdana" w:hAnsi="Verdana"/>
        </w:rPr>
        <w:t>Rady Europy dotycząca ochrony danych osobowych</w:t>
      </w:r>
    </w:p>
    <w:p w14:paraId="6E95C182" w14:textId="4F52E42D" w:rsidR="00F832FE" w:rsidRDefault="003F5550">
      <w:pPr>
        <w:spacing w:line="20" w:lineRule="exact"/>
        <w:rPr>
          <w:rFonts w:ascii="Verdana" w:eastAsia="Verdana" w:hAnsi="Verdana"/>
        </w:rPr>
      </w:pPr>
      <w:r>
        <w:rPr>
          <w:rFonts w:ascii="Verdana" w:eastAsia="Verdana" w:hAnsi="Verdana"/>
          <w:b/>
          <w:noProof/>
          <w:color w:val="0072BC"/>
        </w:rPr>
        <mc:AlternateContent>
          <mc:Choice Requires="wps">
            <w:drawing>
              <wp:anchor distT="0" distB="0" distL="114300" distR="114300" simplePos="0" relativeHeight="251660800" behindDoc="1" locked="0" layoutInCell="1" allowOverlap="1" wp14:anchorId="57AFC07C" wp14:editId="332FE437">
                <wp:simplePos x="0" y="0"/>
                <wp:positionH relativeFrom="column">
                  <wp:posOffset>451485</wp:posOffset>
                </wp:positionH>
                <wp:positionV relativeFrom="paragraph">
                  <wp:posOffset>141605</wp:posOffset>
                </wp:positionV>
                <wp:extent cx="5768340" cy="0"/>
                <wp:effectExtent l="10160" t="12065" r="12700" b="6985"/>
                <wp:wrapNone/>
                <wp:docPr id="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D70B9" id="Line 8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1.15pt" to="489.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" strokecolor="#999" strokeweight=".33831mm"/>
            </w:pict>
          </mc:Fallback>
        </mc:AlternateContent>
      </w:r>
    </w:p>
    <w:p w14:paraId="022D9C7B" w14:textId="77777777" w:rsidR="00F832FE" w:rsidRDefault="00F832FE">
      <w:pPr>
        <w:spacing w:line="200" w:lineRule="exact"/>
        <w:rPr>
          <w:rFonts w:ascii="Verdana" w:eastAsia="Verdana" w:hAnsi="Verdana"/>
        </w:rPr>
      </w:pPr>
    </w:p>
    <w:p w14:paraId="2AD8BEBA" w14:textId="77777777" w:rsidR="00F832FE" w:rsidRDefault="00F832FE">
      <w:pPr>
        <w:spacing w:line="361" w:lineRule="exact"/>
        <w:rPr>
          <w:rFonts w:ascii="Verdana" w:eastAsia="Verdana" w:hAnsi="Verdana"/>
        </w:rPr>
      </w:pPr>
    </w:p>
    <w:p w14:paraId="5819A735" w14:textId="77777777" w:rsidR="00F832FE" w:rsidRDefault="00407B53">
      <w:pPr>
        <w:spacing w:line="0" w:lineRule="atLeast"/>
        <w:ind w:right="-719"/>
        <w:jc w:val="center"/>
        <w:rPr>
          <w:rFonts w:ascii="Verdana" w:eastAsia="Verdana" w:hAnsi="Verdana"/>
          <w:b/>
          <w:color w:val="808080"/>
        </w:rPr>
      </w:pPr>
      <w:r>
        <w:rPr>
          <w:rFonts w:ascii="Verdana" w:eastAsia="Verdana" w:hAnsi="Verdana"/>
          <w:b/>
          <w:color w:val="808080"/>
        </w:rPr>
        <w:t>Kontakt dla mediów</w:t>
      </w:r>
      <w:r w:rsidR="00F832FE">
        <w:rPr>
          <w:rFonts w:ascii="Verdana" w:eastAsia="Verdana" w:hAnsi="Verdana"/>
          <w:b/>
          <w:color w:val="808080"/>
        </w:rPr>
        <w:t>:</w:t>
      </w:r>
    </w:p>
    <w:p w14:paraId="6B309197" w14:textId="77777777" w:rsidR="00F832FE" w:rsidRDefault="00F832FE">
      <w:pPr>
        <w:spacing w:line="4" w:lineRule="exact"/>
        <w:rPr>
          <w:rFonts w:ascii="Verdana" w:eastAsia="Verdana" w:hAnsi="Verdana"/>
        </w:rPr>
      </w:pPr>
    </w:p>
    <w:p w14:paraId="5A29242A" w14:textId="023ECAEA" w:rsidR="00F832FE" w:rsidRPr="00B5202A" w:rsidRDefault="00F832FE" w:rsidP="00B5202A">
      <w:pPr>
        <w:spacing w:line="0" w:lineRule="atLeast"/>
        <w:ind w:left="4040"/>
        <w:rPr>
          <w:rFonts w:ascii="Verdana" w:eastAsia="Verdana" w:hAnsi="Verdana"/>
          <w:color w:val="808080"/>
        </w:rPr>
      </w:pPr>
      <w:r>
        <w:rPr>
          <w:rFonts w:ascii="Verdana" w:eastAsia="Verdana" w:hAnsi="Verdana"/>
          <w:color w:val="808080"/>
        </w:rPr>
        <w:t>Tel.: +33 3 90 21 42 08</w:t>
      </w:r>
    </w:p>
    <w:p w14:paraId="775D4083" w14:textId="77777777" w:rsidR="00F832FE" w:rsidRDefault="00F832FE">
      <w:pPr>
        <w:spacing w:line="200" w:lineRule="exact"/>
        <w:rPr>
          <w:rFonts w:ascii="Verdana" w:eastAsia="Verdana" w:hAnsi="Verdana"/>
        </w:rPr>
      </w:pPr>
    </w:p>
    <w:p w14:paraId="4F80D8F3" w14:textId="77777777" w:rsidR="00F832FE" w:rsidRDefault="00F832FE">
      <w:pPr>
        <w:spacing w:line="200" w:lineRule="exact"/>
        <w:rPr>
          <w:rFonts w:ascii="Verdana" w:eastAsia="Verdana" w:hAnsi="Verdana"/>
        </w:rPr>
      </w:pPr>
    </w:p>
    <w:p w14:paraId="1D0FC9C1" w14:textId="77777777" w:rsidR="00F832FE" w:rsidRDefault="00F832FE">
      <w:pPr>
        <w:spacing w:line="200" w:lineRule="exact"/>
        <w:rPr>
          <w:rFonts w:ascii="Verdana" w:eastAsia="Verdana" w:hAnsi="Verdana"/>
        </w:rPr>
      </w:pPr>
    </w:p>
    <w:p w14:paraId="01BBC509" w14:textId="77777777" w:rsidR="00F832FE" w:rsidRDefault="00F832FE" w:rsidP="00765F9F">
      <w:pPr>
        <w:spacing w:line="0" w:lineRule="atLeast"/>
        <w:rPr>
          <w:rFonts w:ascii="Verdana" w:eastAsia="Verdana" w:hAnsi="Verdana"/>
        </w:rPr>
      </w:pPr>
    </w:p>
    <w:sectPr w:rsidR="00F832FE" w:rsidSect="00C7172F">
      <w:headerReference w:type="default" r:id="rId122"/>
      <w:footerReference w:type="default" r:id="rId123"/>
      <w:type w:val="continuous"/>
      <w:pgSz w:w="11900" w:h="16838"/>
      <w:pgMar w:top="1156" w:right="1426" w:bottom="993" w:left="700" w:header="227" w:footer="0" w:gutter="0"/>
      <w:cols w:space="0" w:equalWidth="0">
        <w:col w:w="97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87F8D" w14:textId="77777777" w:rsidR="00711691" w:rsidRDefault="00711691" w:rsidP="001061E3">
      <w:r>
        <w:separator/>
      </w:r>
    </w:p>
  </w:endnote>
  <w:endnote w:type="continuationSeparator" w:id="0">
    <w:p w14:paraId="70A2F6FA" w14:textId="77777777" w:rsidR="00711691" w:rsidRDefault="00711691" w:rsidP="0010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95121"/>
      <w:docPartObj>
        <w:docPartGallery w:val="Page Numbers (Bottom of Page)"/>
        <w:docPartUnique/>
      </w:docPartObj>
    </w:sdtPr>
    <w:sdtContent>
      <w:p w14:paraId="0BEADAE2" w14:textId="40FE2ABA" w:rsidR="007C3DB9" w:rsidRDefault="007C3DB9">
        <w:pPr>
          <w:pStyle w:val="Stopka"/>
          <w:jc w:val="center"/>
        </w:pPr>
        <w:r>
          <w:fldChar w:fldCharType="begin"/>
        </w:r>
        <w:r>
          <w:instrText>PAGE   \* MERGEFORMAT</w:instrText>
        </w:r>
        <w:r>
          <w:fldChar w:fldCharType="separate"/>
        </w:r>
        <w:r>
          <w:t>2</w:t>
        </w:r>
        <w:r>
          <w:fldChar w:fldCharType="end"/>
        </w:r>
      </w:p>
    </w:sdtContent>
  </w:sdt>
  <w:p w14:paraId="493E2C68" w14:textId="77777777" w:rsidR="007C3DB9" w:rsidRDefault="007C3D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E1B52" w14:textId="77777777" w:rsidR="00711691" w:rsidRDefault="00711691" w:rsidP="00B5202A">
      <w:pPr>
        <w:ind w:firstLine="720"/>
      </w:pPr>
      <w:r>
        <w:separator/>
      </w:r>
    </w:p>
  </w:footnote>
  <w:footnote w:type="continuationSeparator" w:id="0">
    <w:p w14:paraId="1B07842A" w14:textId="77777777" w:rsidR="00711691" w:rsidRDefault="00711691" w:rsidP="001061E3">
      <w:r>
        <w:continuationSeparator/>
      </w:r>
    </w:p>
  </w:footnote>
  <w:footnote w:id="1">
    <w:p w14:paraId="54307E9F" w14:textId="66034CDC" w:rsidR="00A14197" w:rsidRPr="00F8489F" w:rsidRDefault="00A14197" w:rsidP="00A14197">
      <w:pPr>
        <w:pStyle w:val="Tekstprzypisudolnego"/>
        <w:ind w:left="709"/>
        <w:jc w:val="both"/>
        <w:rPr>
          <w:rFonts w:ascii="Verdana" w:hAnsi="Verdana" w:cs="Calibri Light"/>
          <w:sz w:val="16"/>
        </w:rPr>
      </w:pPr>
      <w:r w:rsidRPr="00F8489F">
        <w:rPr>
          <w:rStyle w:val="Odwoanieprzypisudolnego"/>
          <w:rFonts w:ascii="Verdana" w:hAnsi="Verdana" w:cs="Calibri Light"/>
          <w:sz w:val="16"/>
        </w:rPr>
        <w:footnoteRef/>
      </w:r>
      <w:r w:rsidRPr="00F8489F">
        <w:rPr>
          <w:rFonts w:ascii="Verdana" w:hAnsi="Verdana" w:cs="Calibri Light"/>
          <w:sz w:val="16"/>
        </w:rPr>
        <w:t xml:space="preserve"> Artykuł 8 </w:t>
      </w:r>
      <w:hyperlink r:id="rId1" w:history="1">
        <w:r w:rsidRPr="00237802">
          <w:rPr>
            <w:rStyle w:val="Hipercze"/>
            <w:rFonts w:ascii="Verdana" w:hAnsi="Verdana" w:cs="Calibri Light"/>
            <w:sz w:val="16"/>
          </w:rPr>
          <w:t>Europejskiej Konwencji Praw Człowieka</w:t>
        </w:r>
      </w:hyperlink>
      <w:r w:rsidRPr="00F8489F">
        <w:rPr>
          <w:rFonts w:ascii="Verdana" w:hAnsi="Verdana" w:cs="Calibri Light"/>
          <w:sz w:val="16"/>
        </w:rPr>
        <w:t xml:space="preserve"> stanowi, że:</w:t>
      </w:r>
    </w:p>
    <w:p w14:paraId="63768ECC" w14:textId="77777777" w:rsidR="00A14197" w:rsidRPr="00F8489F" w:rsidRDefault="00A14197" w:rsidP="00A14197">
      <w:pPr>
        <w:pStyle w:val="Tekstprzypisudolnego"/>
        <w:ind w:left="709"/>
        <w:jc w:val="both"/>
        <w:rPr>
          <w:rFonts w:ascii="Verdana" w:hAnsi="Verdana" w:cs="Calibri Light"/>
          <w:sz w:val="16"/>
        </w:rPr>
      </w:pPr>
      <w:r>
        <w:rPr>
          <w:rFonts w:ascii="Verdana" w:hAnsi="Verdana" w:cs="Calibri Light"/>
          <w:sz w:val="16"/>
        </w:rPr>
        <w:t>„</w:t>
      </w:r>
      <w:r w:rsidRPr="00F8489F">
        <w:rPr>
          <w:rFonts w:ascii="Verdana" w:hAnsi="Verdana" w:cs="Calibri Light"/>
          <w:sz w:val="16"/>
        </w:rPr>
        <w:t>1.  Każdy ma prawo do poszanowania swojego życia prywatnego i rodzinnego, swojego mieszkania i swojej korespondencji.</w:t>
      </w:r>
    </w:p>
    <w:p w14:paraId="56511DAC" w14:textId="77777777" w:rsidR="00A14197" w:rsidRDefault="00A14197" w:rsidP="00A14197">
      <w:pPr>
        <w:pStyle w:val="Tekstprzypisudolnego"/>
        <w:ind w:left="709"/>
        <w:jc w:val="both"/>
      </w:pPr>
      <w:r w:rsidRPr="00F8489F">
        <w:rPr>
          <w:rFonts w:ascii="Verdana" w:hAnsi="Verdana" w:cs="Calibri Light"/>
          <w:sz w:val="16"/>
        </w:rPr>
        <w:t>2. 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lub ochronę praw i wolności osób.”</w:t>
      </w:r>
      <w:r>
        <w:rPr>
          <w:rFonts w:ascii="Verdana" w:hAnsi="Verdana" w:cs="Calibri Light"/>
          <w:sz w:val="16"/>
        </w:rPr>
        <w:t>.</w:t>
      </w:r>
    </w:p>
  </w:footnote>
  <w:footnote w:id="2">
    <w:p w14:paraId="2260B652" w14:textId="567E9175" w:rsidR="00E16914" w:rsidRPr="00E16914" w:rsidRDefault="00E16914" w:rsidP="00B5202A">
      <w:pPr>
        <w:pStyle w:val="Tekstprzypisudolnego"/>
        <w:ind w:left="709"/>
        <w:jc w:val="both"/>
        <w:rPr>
          <w:rFonts w:ascii="Verdana" w:hAnsi="Verdana"/>
        </w:rPr>
      </w:pPr>
      <w:r w:rsidRPr="00E16914">
        <w:rPr>
          <w:rStyle w:val="Odwoanieprzypisudolnego"/>
          <w:rFonts w:ascii="Verdana" w:hAnsi="Verdana"/>
          <w:sz w:val="16"/>
          <w:szCs w:val="16"/>
        </w:rPr>
        <w:footnoteRef/>
      </w:r>
      <w:r w:rsidRPr="00E16914">
        <w:rPr>
          <w:rFonts w:ascii="Verdana" w:hAnsi="Verdana"/>
          <w:sz w:val="16"/>
          <w:szCs w:val="16"/>
        </w:rPr>
        <w:t xml:space="preserve"> W dniu 16 września 2022 r. Federacja Rosyjska przestała być stroną Europejskiej konwencji praw człowieka („Konwencja”).</w:t>
      </w:r>
    </w:p>
  </w:footnote>
  <w:footnote w:id="3">
    <w:p w14:paraId="00EC291A" w14:textId="77777777" w:rsidR="00E67FFD" w:rsidRPr="00F8489F" w:rsidRDefault="00E67FFD" w:rsidP="00B5202A">
      <w:pPr>
        <w:pStyle w:val="Tekstprzypisudolnego"/>
        <w:ind w:left="709" w:right="-7"/>
        <w:jc w:val="both"/>
        <w:rPr>
          <w:rFonts w:ascii="Verdana" w:hAnsi="Verdana" w:cs="Times New Roman"/>
          <w:sz w:val="16"/>
        </w:rPr>
      </w:pPr>
      <w:r w:rsidRPr="00F8489F">
        <w:rPr>
          <w:rStyle w:val="Odwoanieprzypisudolnego"/>
          <w:rFonts w:ascii="Verdana" w:hAnsi="Verdana" w:cs="Times New Roman"/>
          <w:sz w:val="16"/>
        </w:rPr>
        <w:footnoteRef/>
      </w:r>
      <w:r w:rsidRPr="00F8489F">
        <w:rPr>
          <w:rFonts w:ascii="Verdana" w:hAnsi="Verdana" w:cs="Times New Roman"/>
          <w:sz w:val="16"/>
        </w:rPr>
        <w:t xml:space="preserve"> Nieletni lub osoba, która jest </w:t>
      </w:r>
      <w:r w:rsidR="008C5273">
        <w:rPr>
          <w:rFonts w:ascii="Verdana" w:hAnsi="Verdana" w:cs="Times New Roman"/>
          <w:sz w:val="16"/>
        </w:rPr>
        <w:t>zaburzona</w:t>
      </w:r>
      <w:r w:rsidRPr="00F8489F">
        <w:rPr>
          <w:rFonts w:ascii="Verdana" w:hAnsi="Verdana" w:cs="Times New Roman"/>
          <w:sz w:val="16"/>
        </w:rPr>
        <w:t xml:space="preserve"> umysłowo bądź </w:t>
      </w:r>
      <w:r w:rsidR="005A4523">
        <w:rPr>
          <w:rFonts w:ascii="Verdana" w:hAnsi="Verdana" w:cs="Times New Roman"/>
          <w:sz w:val="16"/>
        </w:rPr>
        <w:t>posiada szczególne potrzeby</w:t>
      </w:r>
      <w:r w:rsidR="006F73B8">
        <w:rPr>
          <w:rFonts w:ascii="Verdana" w:hAnsi="Verdana" w:cs="Times New Roman"/>
          <w:sz w:val="16"/>
        </w:rPr>
        <w:t xml:space="preserve"> z uwagi na właściwości psychiczne</w:t>
      </w:r>
      <w:r w:rsidRPr="00F8489F">
        <w:rPr>
          <w:rFonts w:ascii="Verdana" w:hAnsi="Verdana" w:cs="Times New Roman"/>
          <w:sz w:val="16"/>
        </w:rPr>
        <w:t>.</w:t>
      </w:r>
    </w:p>
  </w:footnote>
  <w:footnote w:id="4">
    <w:p w14:paraId="7EF18735" w14:textId="77777777" w:rsidR="00E67FFD" w:rsidRDefault="00E67FFD" w:rsidP="00B5202A">
      <w:pPr>
        <w:pStyle w:val="Tekstprzypisudolnego"/>
        <w:ind w:left="709" w:right="-7"/>
        <w:jc w:val="both"/>
      </w:pPr>
      <w:r w:rsidRPr="00F8489F">
        <w:rPr>
          <w:rStyle w:val="Odwoanieprzypisudolnego"/>
          <w:rFonts w:ascii="Verdana" w:hAnsi="Verdana" w:cs="Times New Roman"/>
          <w:sz w:val="16"/>
        </w:rPr>
        <w:footnoteRef/>
      </w:r>
      <w:r w:rsidRPr="00F8489F">
        <w:rPr>
          <w:rFonts w:ascii="Verdana" w:hAnsi="Verdana" w:cs="Times New Roman"/>
          <w:sz w:val="16"/>
        </w:rPr>
        <w:t xml:space="preserve"> Taką osobą może być krewny lub opiekun, lub osoba doświadczona w radzeniu sobie z osobami </w:t>
      </w:r>
      <w:r w:rsidR="00D93331">
        <w:rPr>
          <w:rFonts w:ascii="Verdana" w:hAnsi="Verdana" w:cs="Times New Roman"/>
          <w:sz w:val="16"/>
        </w:rPr>
        <w:t>zaburzonymi</w:t>
      </w:r>
      <w:r w:rsidRPr="00F8489F">
        <w:rPr>
          <w:rFonts w:ascii="Verdana" w:hAnsi="Verdana" w:cs="Times New Roman"/>
          <w:sz w:val="16"/>
        </w:rPr>
        <w:t xml:space="preserve"> umysłowo lub</w:t>
      </w:r>
      <w:r w:rsidR="00CC1B08">
        <w:rPr>
          <w:rFonts w:ascii="Verdana" w:hAnsi="Verdana" w:cs="Times New Roman"/>
          <w:sz w:val="16"/>
        </w:rPr>
        <w:t xml:space="preserve"> posiadającymi szczególne potrzeby z uwagi na właściwości psychiczne</w:t>
      </w:r>
      <w:r w:rsidRPr="00F8489F">
        <w:rPr>
          <w:rFonts w:ascii="Verdana" w:hAnsi="Verdana" w:cs="Times New Roman"/>
          <w:sz w:val="16"/>
        </w:rPr>
        <w:t xml:space="preserve">.  </w:t>
      </w:r>
    </w:p>
  </w:footnote>
  <w:footnote w:id="5">
    <w:p w14:paraId="4FA04009" w14:textId="12124DA7" w:rsidR="00754015" w:rsidRDefault="00754015" w:rsidP="00B5202A">
      <w:pPr>
        <w:pStyle w:val="Tekstprzypisudolnego"/>
        <w:ind w:firstLine="709"/>
        <w:jc w:val="both"/>
      </w:pPr>
      <w:r>
        <w:rPr>
          <w:rStyle w:val="Odwoanieprzypisudolnego"/>
        </w:rPr>
        <w:footnoteRef/>
      </w:r>
      <w:r>
        <w:t xml:space="preserve"> </w:t>
      </w:r>
      <w:bookmarkStart w:id="7" w:name="_Hlk185419377"/>
      <w:r w:rsidRPr="00754015">
        <w:t>W dniu 16 września 2022 r. Federacja Rosyjska przestała być stroną Europejskiej konwencji praw człowieka</w:t>
      </w:r>
      <w:r w:rsidR="007C3DB9">
        <w:t>.</w:t>
      </w:r>
      <w:bookmarkEnd w:id="7"/>
    </w:p>
  </w:footnote>
  <w:footnote w:id="6">
    <w:p w14:paraId="046CFB75" w14:textId="396DBF18" w:rsidR="00BF08D2" w:rsidRDefault="00BF08D2" w:rsidP="00B5202A">
      <w:pPr>
        <w:pStyle w:val="Tekstprzypisudolnego"/>
        <w:ind w:left="709"/>
      </w:pPr>
      <w:r>
        <w:rPr>
          <w:rStyle w:val="Odwoanieprzypisudolnego"/>
        </w:rPr>
        <w:footnoteRef/>
      </w:r>
      <w:r>
        <w:t xml:space="preserve"> </w:t>
      </w:r>
      <w:r w:rsidRPr="00BF08D2">
        <w:t xml:space="preserve">W dniu 16 września 2022 r. Federacja Rosyjska przestała być stroną Europejskiej </w:t>
      </w:r>
      <w:r w:rsidR="00B5202A">
        <w:t>K</w:t>
      </w:r>
      <w:r w:rsidRPr="00BF08D2">
        <w:t xml:space="preserve">onwencji </w:t>
      </w:r>
      <w:r w:rsidR="00B5202A">
        <w:t>P</w:t>
      </w:r>
      <w:r w:rsidRPr="00BF08D2">
        <w:t xml:space="preserve">raw </w:t>
      </w:r>
      <w:r w:rsidR="00B5202A">
        <w:t>C</w:t>
      </w:r>
      <w:r w:rsidRPr="00BF08D2">
        <w:t>złowieka.</w:t>
      </w:r>
    </w:p>
  </w:footnote>
  <w:footnote w:id="7">
    <w:p w14:paraId="22930E5F" w14:textId="51387F3E" w:rsidR="001C3872" w:rsidRDefault="001C3872" w:rsidP="00B5202A">
      <w:pPr>
        <w:pStyle w:val="Tekstprzypisudolnego"/>
        <w:ind w:left="709"/>
        <w:jc w:val="both"/>
      </w:pPr>
      <w:r w:rsidRPr="001C3872">
        <w:rPr>
          <w:rStyle w:val="Odwoanieprzypisudolnego"/>
        </w:rPr>
        <w:footnoteRef/>
      </w:r>
      <w:r w:rsidRPr="001C3872">
        <w:t xml:space="preserve"> </w:t>
      </w:r>
      <w:r w:rsidRPr="001C3872">
        <w:rPr>
          <w:rFonts w:ascii="Verdana" w:hAnsi="Verdana"/>
          <w:sz w:val="16"/>
          <w:szCs w:val="16"/>
        </w:rPr>
        <w:t>Sekcja 7 Ustawy o służbach wywiadowczych z 1994 r. („ISA”) zezwala Sekretarzowi Stanu na upoważnienie osoby do podjęcia (i zwolnienia jej z odpowiedzialności) działania poza Wyspami Brytyjskimi, w odniesieniu do którego byłaby ona odpowiedzialna, gdyby zostało ono wykonane w Wielkiej Brytanii.</w:t>
      </w:r>
    </w:p>
  </w:footnote>
  <w:footnote w:id="8">
    <w:p w14:paraId="0A0AFCFF" w14:textId="24874D8F" w:rsidR="00BF08D2" w:rsidRDefault="00BF08D2" w:rsidP="00B5202A">
      <w:pPr>
        <w:pStyle w:val="Tekstprzypisudolnego"/>
        <w:ind w:left="709"/>
        <w:jc w:val="both"/>
      </w:pPr>
      <w:r>
        <w:rPr>
          <w:rStyle w:val="Odwoanieprzypisudolnego"/>
        </w:rPr>
        <w:footnoteRef/>
      </w:r>
      <w:r>
        <w:t xml:space="preserve"> </w:t>
      </w:r>
      <w:r w:rsidRPr="00BF08D2">
        <w:t xml:space="preserve">W </w:t>
      </w:r>
      <w:r>
        <w:t xml:space="preserve">tym </w:t>
      </w:r>
      <w:r w:rsidRPr="00BF08D2">
        <w:t>czasie system masowego przechwytywania i uzyskiwania danych komunikacyjnych od dostawców usług komunikacyjnych miał podstawę ustawową w ustawie Regulation of Investigatory Powers Act 2000. Od tego czasu została ona zastąpiona ustawą o uprawnieniach śledczych z 2016 roku. Ustalenia Wielkiej Izby odnoszą się wyłącznie do przepisów ustawy z 2000 r., która stanowiła ramy prawne obowiązujące w czasie, gdy miały miejsce zdarzenia będące przedmiotem skargi.</w:t>
      </w:r>
    </w:p>
  </w:footnote>
  <w:footnote w:id="9">
    <w:p w14:paraId="755112A9" w14:textId="4A605E0B" w:rsidR="00BF08D2" w:rsidRDefault="00BF08D2" w:rsidP="00B5202A">
      <w:pPr>
        <w:pStyle w:val="Tekstprzypisudolnego"/>
        <w:ind w:left="709"/>
        <w:jc w:val="both"/>
      </w:pPr>
      <w:r>
        <w:rPr>
          <w:rStyle w:val="Odwoanieprzypisudolnego"/>
        </w:rPr>
        <w:footnoteRef/>
      </w:r>
      <w:r>
        <w:t xml:space="preserve"> </w:t>
      </w:r>
      <w:r w:rsidRPr="00BF08D2">
        <w:t>Niniejszy wyrok stanie się ostateczny w okolicznościach określonych w art. 44 § 2 (wyroki ostateczne) Europejskiej Konwencji Praw Człowieka.</w:t>
      </w:r>
    </w:p>
  </w:footnote>
  <w:footnote w:id="10">
    <w:p w14:paraId="5CB2E63A" w14:textId="429B8B58" w:rsidR="00CB2D15" w:rsidRDefault="00CB2D15" w:rsidP="00B5202A">
      <w:pPr>
        <w:pStyle w:val="Tekstprzypisudolnego"/>
        <w:ind w:left="709"/>
      </w:pPr>
      <w:r>
        <w:rPr>
          <w:rStyle w:val="Odwoanieprzypisudolnego"/>
        </w:rPr>
        <w:footnoteRef/>
      </w:r>
      <w:r>
        <w:t xml:space="preserve"> </w:t>
      </w:r>
      <w:r w:rsidRPr="00CB2D15">
        <w:t>W dniu 16 września 2022 r. Federacja Rosyjska przestała być stroną Konwencji.</w:t>
      </w:r>
    </w:p>
  </w:footnote>
  <w:footnote w:id="11">
    <w:p w14:paraId="2FAEDEB0" w14:textId="32D78F6E" w:rsidR="00CB2D15" w:rsidRDefault="00CB2D15" w:rsidP="00B5202A">
      <w:pPr>
        <w:pStyle w:val="Tekstprzypisudolnego"/>
        <w:ind w:left="709"/>
        <w:jc w:val="both"/>
      </w:pPr>
      <w:r>
        <w:rPr>
          <w:rStyle w:val="Odwoanieprzypisudolnego"/>
        </w:rPr>
        <w:footnoteRef/>
      </w:r>
      <w:r>
        <w:t xml:space="preserve"> </w:t>
      </w:r>
      <w:r w:rsidRPr="00CB2D15">
        <w:t>Profile DNA to zdigitalizowane informacje, które są przechowywane elektronicznie w Krajowej Bazie Danych DNA wraz ze szczegółami dotyczącymi osoby, której dotyczą.</w:t>
      </w:r>
    </w:p>
  </w:footnote>
  <w:footnote w:id="12">
    <w:p w14:paraId="0DB72F81" w14:textId="4BA94CAE" w:rsidR="00CB2D15" w:rsidRDefault="00CB2D15" w:rsidP="00B5202A">
      <w:pPr>
        <w:pStyle w:val="Tekstprzypisudolnego"/>
        <w:ind w:left="709"/>
      </w:pPr>
      <w:r>
        <w:rPr>
          <w:rStyle w:val="Odwoanieprzypisudolnego"/>
        </w:rPr>
        <w:footnoteRef/>
      </w:r>
      <w:r>
        <w:t xml:space="preserve"> </w:t>
      </w:r>
      <w:r w:rsidRPr="00CB2D15">
        <w:t>W dniu 16 września 2022 r. Federacja Rosyjska przestała być stroną Konwencji</w:t>
      </w:r>
    </w:p>
  </w:footnote>
  <w:footnote w:id="13">
    <w:p w14:paraId="1D70E21D" w14:textId="37EE7080" w:rsidR="00171252" w:rsidRPr="00171252" w:rsidRDefault="00171252" w:rsidP="008B33E0">
      <w:pPr>
        <w:pStyle w:val="Tekstprzypisudolnego"/>
        <w:ind w:left="709"/>
        <w:jc w:val="both"/>
        <w:rPr>
          <w:rFonts w:ascii="Verdana" w:hAnsi="Verdana"/>
          <w:sz w:val="16"/>
          <w:szCs w:val="16"/>
        </w:rPr>
      </w:pPr>
      <w:r w:rsidRPr="00171252">
        <w:rPr>
          <w:rStyle w:val="Odwoanieprzypisudolnego"/>
          <w:rFonts w:ascii="Verdana" w:hAnsi="Verdana"/>
          <w:sz w:val="16"/>
          <w:szCs w:val="16"/>
        </w:rPr>
        <w:footnoteRef/>
      </w:r>
      <w:r w:rsidRPr="00171252">
        <w:rPr>
          <w:rFonts w:ascii="Verdana" w:hAnsi="Verdana"/>
          <w:sz w:val="16"/>
          <w:szCs w:val="16"/>
        </w:rPr>
        <w:t xml:space="preserve"> Wyrok ten stanie się ostateczny w okolicznościach określonych w art. 44 § 2 Konwencji.</w:t>
      </w:r>
    </w:p>
  </w:footnote>
  <w:footnote w:id="14">
    <w:p w14:paraId="14615ED0" w14:textId="56FC9073" w:rsidR="00171252" w:rsidRDefault="00171252" w:rsidP="008B33E0">
      <w:pPr>
        <w:pStyle w:val="Tekstprzypisudolnego"/>
        <w:ind w:left="709"/>
        <w:jc w:val="both"/>
      </w:pPr>
      <w:r w:rsidRPr="00171252">
        <w:rPr>
          <w:rStyle w:val="Odwoanieprzypisudolnego"/>
          <w:rFonts w:ascii="Verdana" w:hAnsi="Verdana"/>
          <w:sz w:val="16"/>
          <w:szCs w:val="16"/>
        </w:rPr>
        <w:footnoteRef/>
      </w:r>
      <w:r w:rsidRPr="00171252">
        <w:rPr>
          <w:rFonts w:ascii="Verdana" w:hAnsi="Verdana"/>
          <w:sz w:val="16"/>
          <w:szCs w:val="16"/>
        </w:rPr>
        <w:t xml:space="preserve"> Wraz z Europejskim Trybunałem Praw Człowieka i Komitetem Ministrów Rady Europy, Europejska Komisja Praw Człowieka, która obradowała w Strasburgu od lipca 1954 r. do października 1999 r., nadzorowała przestrzeganie przez Umawiające się Państwa zobowiązań wynikających z Europejskiej Konwencji Praw Człowieka. Komisja przestała istnieć, gdy Trybunał uzyskał status stały w dniu 1 listopada 1998 roku.</w:t>
      </w:r>
    </w:p>
  </w:footnote>
  <w:footnote w:id="15">
    <w:p w14:paraId="231D2461" w14:textId="5C13ADD6" w:rsidR="00171252" w:rsidRDefault="00171252" w:rsidP="00B5202A">
      <w:pPr>
        <w:pStyle w:val="Tekstprzypisudolnego"/>
        <w:ind w:left="709"/>
      </w:pPr>
      <w:r>
        <w:rPr>
          <w:rStyle w:val="Odwoanieprzypisudolnego"/>
        </w:rPr>
        <w:footnoteRef/>
      </w:r>
      <w:r>
        <w:t xml:space="preserve"> </w:t>
      </w:r>
      <w:r w:rsidRPr="00171252">
        <w:t>W dniu 16 września 2022 r. Federacja Rosyjska przestała być stroną Konwencji.</w:t>
      </w:r>
    </w:p>
  </w:footnote>
  <w:footnote w:id="16">
    <w:p w14:paraId="6041B9F0" w14:textId="2D5E64B5" w:rsidR="00171252" w:rsidRDefault="00171252" w:rsidP="00B5202A">
      <w:pPr>
        <w:pStyle w:val="Tekstprzypisudolnego"/>
        <w:ind w:left="709"/>
      </w:pPr>
      <w:r>
        <w:rPr>
          <w:rStyle w:val="Odwoanieprzypisudolnego"/>
        </w:rPr>
        <w:footnoteRef/>
      </w:r>
      <w:r>
        <w:t xml:space="preserve"> </w:t>
      </w:r>
      <w:r w:rsidRPr="00171252">
        <w:t>W dniu 16 września 2022 r. Federacja Rosyjska przestała być stroną Konwencji.</w:t>
      </w:r>
    </w:p>
  </w:footnote>
  <w:footnote w:id="17">
    <w:p w14:paraId="210287B4" w14:textId="150BB8FC" w:rsidR="00196CFB" w:rsidRDefault="00196CFB" w:rsidP="00B5202A">
      <w:pPr>
        <w:pStyle w:val="Tekstprzypisudolnego"/>
        <w:ind w:left="709"/>
      </w:pPr>
      <w:r>
        <w:rPr>
          <w:rStyle w:val="Odwoanieprzypisudolnego"/>
        </w:rPr>
        <w:footnoteRef/>
      </w:r>
      <w:r>
        <w:t xml:space="preserve"> </w:t>
      </w:r>
      <w:r w:rsidRPr="00196CFB">
        <w:t>W dniu 16 września 2022 r. Federacja Rosyjska przestała być stroną Konwencji.</w:t>
      </w:r>
    </w:p>
  </w:footnote>
  <w:footnote w:id="18">
    <w:p w14:paraId="4CB4E75C" w14:textId="3624AB5B" w:rsidR="00171252" w:rsidRDefault="00171252" w:rsidP="00B5202A">
      <w:pPr>
        <w:pStyle w:val="Tekstprzypisudolnego"/>
        <w:ind w:left="709"/>
      </w:pPr>
      <w:r>
        <w:rPr>
          <w:rStyle w:val="Odwoanieprzypisudolnego"/>
        </w:rPr>
        <w:footnoteRef/>
      </w:r>
      <w:r>
        <w:t xml:space="preserve"> </w:t>
      </w:r>
      <w:r w:rsidRPr="00171252">
        <w:t>W dniu 16 września 2022 r. Federacja Rosyjska przestała być stroną Konwencji.</w:t>
      </w:r>
    </w:p>
  </w:footnote>
  <w:footnote w:id="19">
    <w:p w14:paraId="47B2B20E" w14:textId="129095AF" w:rsidR="00196CFB" w:rsidRDefault="00196CFB" w:rsidP="00B5202A">
      <w:pPr>
        <w:pStyle w:val="Tekstprzypisudolnego"/>
        <w:ind w:left="709"/>
      </w:pPr>
      <w:r>
        <w:rPr>
          <w:rStyle w:val="Odwoanieprzypisudolnego"/>
        </w:rPr>
        <w:footnoteRef/>
      </w:r>
      <w:r>
        <w:t xml:space="preserve"> </w:t>
      </w:r>
      <w:r w:rsidRPr="00196CFB">
        <w:t>Wyrok ten stanie się ostateczny w okolicznościach określonych w art. 44 § 2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2B13" w14:textId="088C6BEE" w:rsidR="00DC7909" w:rsidRDefault="003F5550" w:rsidP="00037ABB">
    <w:pPr>
      <w:pStyle w:val="Nagwek"/>
      <w:spacing w:before="480"/>
      <w:jc w:val="right"/>
    </w:pPr>
    <w:r>
      <w:rPr>
        <w:noProof/>
      </w:rPr>
      <mc:AlternateContent>
        <mc:Choice Requires="wps">
          <w:drawing>
            <wp:anchor distT="0" distB="0" distL="114300" distR="114300" simplePos="0" relativeHeight="251657728" behindDoc="0" locked="0" layoutInCell="1" allowOverlap="1" wp14:anchorId="0FF5CDCB" wp14:editId="7E908006">
              <wp:simplePos x="0" y="0"/>
              <wp:positionH relativeFrom="column">
                <wp:posOffset>334645</wp:posOffset>
              </wp:positionH>
              <wp:positionV relativeFrom="paragraph">
                <wp:posOffset>398145</wp:posOffset>
              </wp:positionV>
              <wp:extent cx="3792855" cy="321310"/>
              <wp:effectExtent l="7620" t="7620" r="9525" b="139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321310"/>
                      </a:xfrm>
                      <a:prstGeom prst="rect">
                        <a:avLst/>
                      </a:prstGeom>
                      <a:solidFill>
                        <a:srgbClr val="FFFFFF"/>
                      </a:solidFill>
                      <a:ln w="3175">
                        <a:solidFill>
                          <a:srgbClr val="FFFFFF"/>
                        </a:solidFill>
                        <a:miter lim="800000"/>
                        <a:headEnd/>
                        <a:tailEnd/>
                      </a:ln>
                    </wps:spPr>
                    <wps:txbx>
                      <w:txbxContent>
                        <w:p w14:paraId="5E259624" w14:textId="77777777" w:rsidR="00037ABB" w:rsidRPr="00037ABB" w:rsidRDefault="00037ABB" w:rsidP="00037ABB">
                          <w:pPr>
                            <w:spacing w:line="0" w:lineRule="atLeast"/>
                            <w:rPr>
                              <w:rFonts w:ascii="Verdana" w:eastAsia="Verdana" w:hAnsi="Verdana"/>
                              <w:sz w:val="22"/>
                              <w:szCs w:val="22"/>
                            </w:rPr>
                          </w:pPr>
                          <w:r w:rsidRPr="00037ABB">
                            <w:rPr>
                              <w:rFonts w:ascii="Verdana" w:eastAsia="Verdana" w:hAnsi="Verdana"/>
                              <w:sz w:val="22"/>
                              <w:szCs w:val="22"/>
                            </w:rPr>
                            <w:t>Zestawienie – Ochrona danych oso</w:t>
                          </w:r>
                          <w:r>
                            <w:rPr>
                              <w:rFonts w:ascii="Verdana" w:eastAsia="Verdana" w:hAnsi="Verdana"/>
                              <w:sz w:val="22"/>
                              <w:szCs w:val="22"/>
                            </w:rPr>
                            <w:t>b</w:t>
                          </w:r>
                          <w:r w:rsidRPr="00037ABB">
                            <w:rPr>
                              <w:rFonts w:ascii="Verdana" w:eastAsia="Verdana" w:hAnsi="Verdana"/>
                              <w:sz w:val="22"/>
                              <w:szCs w:val="22"/>
                            </w:rPr>
                            <w:t>owyc</w:t>
                          </w:r>
                          <w:r>
                            <w:rPr>
                              <w:rFonts w:ascii="Verdana" w:eastAsia="Verdana" w:hAnsi="Verdana"/>
                              <w:sz w:val="22"/>
                              <w:szCs w:val="22"/>
                            </w:rPr>
                            <w:t>h</w:t>
                          </w:r>
                        </w:p>
                        <w:p w14:paraId="62FDC1B6" w14:textId="77777777" w:rsidR="00037ABB" w:rsidRDefault="00037A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5CDCB" id="_x0000_t202" coordsize="21600,21600" o:spt="202" path="m,l,21600r21600,l21600,xe">
              <v:stroke joinstyle="miter"/>
              <v:path gradientshapeok="t" o:connecttype="rect"/>
            </v:shapetype>
            <v:shape id="Text Box 1" o:spid="_x0000_s1026" type="#_x0000_t202" style="position:absolute;left:0;text-align:left;margin-left:26.35pt;margin-top:31.35pt;width:298.65pt;height:2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" strokecolor="white" strokeweight=".25pt">
              <v:textbox>
                <w:txbxContent>
                  <w:p w14:paraId="5E259624" w14:textId="77777777" w:rsidR="00037ABB" w:rsidRPr="00037ABB" w:rsidRDefault="00037ABB" w:rsidP="00037ABB">
                    <w:pPr>
                      <w:spacing w:line="0" w:lineRule="atLeast"/>
                      <w:rPr>
                        <w:rFonts w:ascii="Verdana" w:eastAsia="Verdana" w:hAnsi="Verdana"/>
                        <w:sz w:val="22"/>
                        <w:szCs w:val="22"/>
                      </w:rPr>
                    </w:pPr>
                    <w:r w:rsidRPr="00037ABB">
                      <w:rPr>
                        <w:rFonts w:ascii="Verdana" w:eastAsia="Verdana" w:hAnsi="Verdana"/>
                        <w:sz w:val="22"/>
                        <w:szCs w:val="22"/>
                      </w:rPr>
                      <w:t>Zestawienie – Ochrona danych oso</w:t>
                    </w:r>
                    <w:r>
                      <w:rPr>
                        <w:rFonts w:ascii="Verdana" w:eastAsia="Verdana" w:hAnsi="Verdana"/>
                        <w:sz w:val="22"/>
                        <w:szCs w:val="22"/>
                      </w:rPr>
                      <w:t>b</w:t>
                    </w:r>
                    <w:r w:rsidRPr="00037ABB">
                      <w:rPr>
                        <w:rFonts w:ascii="Verdana" w:eastAsia="Verdana" w:hAnsi="Verdana"/>
                        <w:sz w:val="22"/>
                        <w:szCs w:val="22"/>
                      </w:rPr>
                      <w:t>owyc</w:t>
                    </w:r>
                    <w:r>
                      <w:rPr>
                        <w:rFonts w:ascii="Verdana" w:eastAsia="Verdana" w:hAnsi="Verdana"/>
                        <w:sz w:val="22"/>
                        <w:szCs w:val="22"/>
                      </w:rPr>
                      <w:t>h</w:t>
                    </w:r>
                  </w:p>
                  <w:p w14:paraId="62FDC1B6" w14:textId="77777777" w:rsidR="00037ABB" w:rsidRDefault="00037ABB"/>
                </w:txbxContent>
              </v:textbox>
            </v:shape>
          </w:pict>
        </mc:Fallback>
      </mc:AlternateContent>
    </w:r>
    <w:r w:rsidRPr="007D0578">
      <w:rPr>
        <w:noProof/>
      </w:rPr>
      <w:drawing>
        <wp:inline distT="0" distB="0" distL="0" distR="0" wp14:anchorId="63E49B8E" wp14:editId="0247CD30">
          <wp:extent cx="1409700" cy="44767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5A56E67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2AE8944A"/>
    <w:lvl w:ilvl="0" w:tplc="DDD616E4">
      <w:start w:val="2"/>
      <w:numFmt w:val="decimal"/>
      <w:lvlText w:val="%1."/>
      <w:lvlJc w:val="left"/>
    </w:lvl>
    <w:lvl w:ilvl="1" w:tplc="94DC53A0">
      <w:start w:val="1"/>
      <w:numFmt w:val="bullet"/>
      <w:lvlText w:val=""/>
      <w:lvlJc w:val="left"/>
    </w:lvl>
    <w:lvl w:ilvl="2" w:tplc="9A16B72A">
      <w:start w:val="1"/>
      <w:numFmt w:val="bullet"/>
      <w:lvlText w:val=""/>
      <w:lvlJc w:val="left"/>
    </w:lvl>
    <w:lvl w:ilvl="3" w:tplc="38AA519E">
      <w:start w:val="1"/>
      <w:numFmt w:val="bullet"/>
      <w:lvlText w:val=""/>
      <w:lvlJc w:val="left"/>
    </w:lvl>
    <w:lvl w:ilvl="4" w:tplc="7688AFD8">
      <w:start w:val="1"/>
      <w:numFmt w:val="bullet"/>
      <w:lvlText w:val=""/>
      <w:lvlJc w:val="left"/>
    </w:lvl>
    <w:lvl w:ilvl="5" w:tplc="936050F6">
      <w:start w:val="1"/>
      <w:numFmt w:val="bullet"/>
      <w:lvlText w:val=""/>
      <w:lvlJc w:val="left"/>
    </w:lvl>
    <w:lvl w:ilvl="6" w:tplc="5F6E92C4">
      <w:start w:val="1"/>
      <w:numFmt w:val="bullet"/>
      <w:lvlText w:val=""/>
      <w:lvlJc w:val="left"/>
    </w:lvl>
    <w:lvl w:ilvl="7" w:tplc="FE7EBE6E">
      <w:start w:val="1"/>
      <w:numFmt w:val="bullet"/>
      <w:lvlText w:val=""/>
      <w:lvlJc w:val="left"/>
    </w:lvl>
    <w:lvl w:ilvl="8" w:tplc="24869632">
      <w:start w:val="1"/>
      <w:numFmt w:val="bullet"/>
      <w:lvlText w:val=""/>
      <w:lvlJc w:val="left"/>
    </w:lvl>
  </w:abstractNum>
  <w:abstractNum w:abstractNumId="2" w15:restartNumberingAfterBreak="0">
    <w:nsid w:val="00000002"/>
    <w:multiLevelType w:val="hybridMultilevel"/>
    <w:tmpl w:val="625558EC"/>
    <w:lvl w:ilvl="0" w:tplc="661CD1C2">
      <w:start w:val="2"/>
      <w:numFmt w:val="decimal"/>
      <w:lvlText w:val="%1"/>
      <w:lvlJc w:val="left"/>
    </w:lvl>
    <w:lvl w:ilvl="1" w:tplc="796ED1BC">
      <w:start w:val="1"/>
      <w:numFmt w:val="bullet"/>
      <w:lvlText w:val=""/>
      <w:lvlJc w:val="left"/>
    </w:lvl>
    <w:lvl w:ilvl="2" w:tplc="B9883CCE">
      <w:start w:val="1"/>
      <w:numFmt w:val="bullet"/>
      <w:lvlText w:val=""/>
      <w:lvlJc w:val="left"/>
    </w:lvl>
    <w:lvl w:ilvl="3" w:tplc="3C40BDF2">
      <w:start w:val="1"/>
      <w:numFmt w:val="bullet"/>
      <w:lvlText w:val=""/>
      <w:lvlJc w:val="left"/>
    </w:lvl>
    <w:lvl w:ilvl="4" w:tplc="64B605C2">
      <w:start w:val="1"/>
      <w:numFmt w:val="bullet"/>
      <w:lvlText w:val=""/>
      <w:lvlJc w:val="left"/>
    </w:lvl>
    <w:lvl w:ilvl="5" w:tplc="542C98F4">
      <w:start w:val="1"/>
      <w:numFmt w:val="bullet"/>
      <w:lvlText w:val=""/>
      <w:lvlJc w:val="left"/>
    </w:lvl>
    <w:lvl w:ilvl="6" w:tplc="4F946404">
      <w:start w:val="1"/>
      <w:numFmt w:val="bullet"/>
      <w:lvlText w:val=""/>
      <w:lvlJc w:val="left"/>
    </w:lvl>
    <w:lvl w:ilvl="7" w:tplc="8D522E40">
      <w:start w:val="1"/>
      <w:numFmt w:val="bullet"/>
      <w:lvlText w:val=""/>
      <w:lvlJc w:val="left"/>
    </w:lvl>
    <w:lvl w:ilvl="8" w:tplc="AF525D76">
      <w:start w:val="1"/>
      <w:numFmt w:val="bullet"/>
      <w:lvlText w:val=""/>
      <w:lvlJc w:val="left"/>
    </w:lvl>
  </w:abstractNum>
  <w:abstractNum w:abstractNumId="3" w15:restartNumberingAfterBreak="0">
    <w:nsid w:val="00000003"/>
    <w:multiLevelType w:val="hybridMultilevel"/>
    <w:tmpl w:val="238E1F28"/>
    <w:lvl w:ilvl="0" w:tplc="2D940B3E">
      <w:start w:val="3"/>
      <w:numFmt w:val="decimal"/>
      <w:lvlText w:val="(%1)"/>
      <w:lvlJc w:val="left"/>
    </w:lvl>
    <w:lvl w:ilvl="1" w:tplc="A91889BC">
      <w:start w:val="1"/>
      <w:numFmt w:val="bullet"/>
      <w:lvlText w:val=""/>
      <w:lvlJc w:val="left"/>
    </w:lvl>
    <w:lvl w:ilvl="2" w:tplc="68609AF2">
      <w:start w:val="1"/>
      <w:numFmt w:val="bullet"/>
      <w:lvlText w:val=""/>
      <w:lvlJc w:val="left"/>
    </w:lvl>
    <w:lvl w:ilvl="3" w:tplc="A2283F52">
      <w:start w:val="1"/>
      <w:numFmt w:val="bullet"/>
      <w:lvlText w:val=""/>
      <w:lvlJc w:val="left"/>
    </w:lvl>
    <w:lvl w:ilvl="4" w:tplc="9274F01C">
      <w:start w:val="1"/>
      <w:numFmt w:val="bullet"/>
      <w:lvlText w:val=""/>
      <w:lvlJc w:val="left"/>
    </w:lvl>
    <w:lvl w:ilvl="5" w:tplc="E51C0D6C">
      <w:start w:val="1"/>
      <w:numFmt w:val="bullet"/>
      <w:lvlText w:val=""/>
      <w:lvlJc w:val="left"/>
    </w:lvl>
    <w:lvl w:ilvl="6" w:tplc="4B52E39E">
      <w:start w:val="1"/>
      <w:numFmt w:val="bullet"/>
      <w:lvlText w:val=""/>
      <w:lvlJc w:val="left"/>
    </w:lvl>
    <w:lvl w:ilvl="7" w:tplc="BAD286BE">
      <w:start w:val="1"/>
      <w:numFmt w:val="bullet"/>
      <w:lvlText w:val=""/>
      <w:lvlJc w:val="left"/>
    </w:lvl>
    <w:lvl w:ilvl="8" w:tplc="9574F360">
      <w:start w:val="1"/>
      <w:numFmt w:val="bullet"/>
      <w:lvlText w:val=""/>
      <w:lvlJc w:val="left"/>
    </w:lvl>
  </w:abstractNum>
  <w:abstractNum w:abstractNumId="4" w15:restartNumberingAfterBreak="0">
    <w:nsid w:val="00000004"/>
    <w:multiLevelType w:val="hybridMultilevel"/>
    <w:tmpl w:val="46E87CCC"/>
    <w:lvl w:ilvl="0" w:tplc="2766E780">
      <w:start w:val="2"/>
      <w:numFmt w:val="upperLetter"/>
      <w:lvlText w:val="B.%1."/>
      <w:lvlJc w:val="left"/>
    </w:lvl>
    <w:lvl w:ilvl="1" w:tplc="D76E1D02">
      <w:start w:val="1"/>
      <w:numFmt w:val="bullet"/>
      <w:lvlText w:val=""/>
      <w:lvlJc w:val="left"/>
    </w:lvl>
    <w:lvl w:ilvl="2" w:tplc="21BA39D4">
      <w:start w:val="1"/>
      <w:numFmt w:val="bullet"/>
      <w:lvlText w:val=""/>
      <w:lvlJc w:val="left"/>
    </w:lvl>
    <w:lvl w:ilvl="3" w:tplc="EAF6737C">
      <w:start w:val="1"/>
      <w:numFmt w:val="bullet"/>
      <w:lvlText w:val=""/>
      <w:lvlJc w:val="left"/>
    </w:lvl>
    <w:lvl w:ilvl="4" w:tplc="E2C8BF60">
      <w:start w:val="1"/>
      <w:numFmt w:val="bullet"/>
      <w:lvlText w:val=""/>
      <w:lvlJc w:val="left"/>
    </w:lvl>
    <w:lvl w:ilvl="5" w:tplc="6AF80514">
      <w:start w:val="1"/>
      <w:numFmt w:val="bullet"/>
      <w:lvlText w:val=""/>
      <w:lvlJc w:val="left"/>
    </w:lvl>
    <w:lvl w:ilvl="6" w:tplc="355EBC26">
      <w:start w:val="1"/>
      <w:numFmt w:val="bullet"/>
      <w:lvlText w:val=""/>
      <w:lvlJc w:val="left"/>
    </w:lvl>
    <w:lvl w:ilvl="7" w:tplc="B7DAA5EA">
      <w:start w:val="1"/>
      <w:numFmt w:val="bullet"/>
      <w:lvlText w:val=""/>
      <w:lvlJc w:val="left"/>
    </w:lvl>
    <w:lvl w:ilvl="8" w:tplc="716800C8">
      <w:start w:val="1"/>
      <w:numFmt w:val="bullet"/>
      <w:lvlText w:val=""/>
      <w:lvlJc w:val="left"/>
    </w:lvl>
  </w:abstractNum>
  <w:abstractNum w:abstractNumId="5" w15:restartNumberingAfterBreak="0">
    <w:nsid w:val="00000005"/>
    <w:multiLevelType w:val="hybridMultilevel"/>
    <w:tmpl w:val="3D1B58BA"/>
    <w:lvl w:ilvl="0" w:tplc="0CEC3060">
      <w:start w:val="1"/>
      <w:numFmt w:val="bullet"/>
      <w:lvlText w:val="\endash "/>
      <w:lvlJc w:val="left"/>
    </w:lvl>
    <w:lvl w:ilvl="1" w:tplc="63A893B6">
      <w:start w:val="1"/>
      <w:numFmt w:val="bullet"/>
      <w:lvlText w:val=""/>
      <w:lvlJc w:val="left"/>
    </w:lvl>
    <w:lvl w:ilvl="2" w:tplc="51AEFCB0">
      <w:start w:val="1"/>
      <w:numFmt w:val="bullet"/>
      <w:lvlText w:val=""/>
      <w:lvlJc w:val="left"/>
    </w:lvl>
    <w:lvl w:ilvl="3" w:tplc="A31024F8">
      <w:start w:val="1"/>
      <w:numFmt w:val="bullet"/>
      <w:lvlText w:val=""/>
      <w:lvlJc w:val="left"/>
    </w:lvl>
    <w:lvl w:ilvl="4" w:tplc="83E43B82">
      <w:start w:val="1"/>
      <w:numFmt w:val="bullet"/>
      <w:lvlText w:val=""/>
      <w:lvlJc w:val="left"/>
    </w:lvl>
    <w:lvl w:ilvl="5" w:tplc="68ACF498">
      <w:start w:val="1"/>
      <w:numFmt w:val="bullet"/>
      <w:lvlText w:val=""/>
      <w:lvlJc w:val="left"/>
    </w:lvl>
    <w:lvl w:ilvl="6" w:tplc="363E3374">
      <w:start w:val="1"/>
      <w:numFmt w:val="bullet"/>
      <w:lvlText w:val=""/>
      <w:lvlJc w:val="left"/>
    </w:lvl>
    <w:lvl w:ilvl="7" w:tplc="735C23E4">
      <w:start w:val="1"/>
      <w:numFmt w:val="bullet"/>
      <w:lvlText w:val=""/>
      <w:lvlJc w:val="left"/>
    </w:lvl>
    <w:lvl w:ilvl="8" w:tplc="32787A0E">
      <w:start w:val="1"/>
      <w:numFmt w:val="bullet"/>
      <w:lvlText w:val=""/>
      <w:lvlJc w:val="left"/>
    </w:lvl>
  </w:abstractNum>
  <w:abstractNum w:abstractNumId="6" w15:restartNumberingAfterBreak="0">
    <w:nsid w:val="00000006"/>
    <w:multiLevelType w:val="hybridMultilevel"/>
    <w:tmpl w:val="507ED7AA"/>
    <w:lvl w:ilvl="0" w:tplc="00BA5714">
      <w:start w:val="1"/>
      <w:numFmt w:val="bullet"/>
      <w:lvlText w:val="-"/>
      <w:lvlJc w:val="left"/>
    </w:lvl>
    <w:lvl w:ilvl="1" w:tplc="F4D09648">
      <w:start w:val="1"/>
      <w:numFmt w:val="bullet"/>
      <w:lvlText w:val=""/>
      <w:lvlJc w:val="left"/>
    </w:lvl>
    <w:lvl w:ilvl="2" w:tplc="C31EDBBE">
      <w:start w:val="1"/>
      <w:numFmt w:val="bullet"/>
      <w:lvlText w:val=""/>
      <w:lvlJc w:val="left"/>
    </w:lvl>
    <w:lvl w:ilvl="3" w:tplc="82E07140">
      <w:start w:val="1"/>
      <w:numFmt w:val="bullet"/>
      <w:lvlText w:val=""/>
      <w:lvlJc w:val="left"/>
    </w:lvl>
    <w:lvl w:ilvl="4" w:tplc="2DF6C5FE">
      <w:start w:val="1"/>
      <w:numFmt w:val="bullet"/>
      <w:lvlText w:val=""/>
      <w:lvlJc w:val="left"/>
    </w:lvl>
    <w:lvl w:ilvl="5" w:tplc="1A466CB0">
      <w:start w:val="1"/>
      <w:numFmt w:val="bullet"/>
      <w:lvlText w:val=""/>
      <w:lvlJc w:val="left"/>
    </w:lvl>
    <w:lvl w:ilvl="6" w:tplc="1A185DB6">
      <w:start w:val="1"/>
      <w:numFmt w:val="bullet"/>
      <w:lvlText w:val=""/>
      <w:lvlJc w:val="left"/>
    </w:lvl>
    <w:lvl w:ilvl="7" w:tplc="6A48AC52">
      <w:start w:val="1"/>
      <w:numFmt w:val="bullet"/>
      <w:lvlText w:val=""/>
      <w:lvlJc w:val="left"/>
    </w:lvl>
    <w:lvl w:ilvl="8" w:tplc="7BFC066E">
      <w:start w:val="1"/>
      <w:numFmt w:val="bullet"/>
      <w:lvlText w:val=""/>
      <w:lvlJc w:val="left"/>
    </w:lvl>
  </w:abstractNum>
  <w:abstractNum w:abstractNumId="7" w15:restartNumberingAfterBreak="0">
    <w:nsid w:val="61BD5B92"/>
    <w:multiLevelType w:val="hybridMultilevel"/>
    <w:tmpl w:val="F1803E1C"/>
    <w:lvl w:ilvl="0" w:tplc="7670431C">
      <w:start w:val="12"/>
      <w:numFmt w:val="decimal"/>
      <w:lvlText w:val="%1"/>
      <w:lvlJc w:val="left"/>
      <w:pPr>
        <w:ind w:left="1100" w:hanging="360"/>
      </w:pPr>
      <w:rPr>
        <w:rFonts w:hint="default"/>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8" w15:restartNumberingAfterBreak="0">
    <w:nsid w:val="74DC6BC7"/>
    <w:multiLevelType w:val="hybridMultilevel"/>
    <w:tmpl w:val="F82449A0"/>
    <w:lvl w:ilvl="0" w:tplc="04150001">
      <w:start w:val="1"/>
      <w:numFmt w:val="bullet"/>
      <w:lvlText w:val=""/>
      <w:lvlJc w:val="left"/>
      <w:pPr>
        <w:ind w:left="1460" w:hanging="360"/>
      </w:pPr>
      <w:rPr>
        <w:rFonts w:ascii="Symbol" w:hAnsi="Symbol" w:hint="default"/>
      </w:rPr>
    </w:lvl>
    <w:lvl w:ilvl="1" w:tplc="04150003" w:tentative="1">
      <w:start w:val="1"/>
      <w:numFmt w:val="bullet"/>
      <w:lvlText w:val="o"/>
      <w:lvlJc w:val="left"/>
      <w:pPr>
        <w:ind w:left="2180" w:hanging="360"/>
      </w:pPr>
      <w:rPr>
        <w:rFonts w:ascii="Courier New" w:hAnsi="Courier New" w:cs="Courier New" w:hint="default"/>
      </w:rPr>
    </w:lvl>
    <w:lvl w:ilvl="2" w:tplc="04150005" w:tentative="1">
      <w:start w:val="1"/>
      <w:numFmt w:val="bullet"/>
      <w:lvlText w:val=""/>
      <w:lvlJc w:val="left"/>
      <w:pPr>
        <w:ind w:left="2900" w:hanging="360"/>
      </w:pPr>
      <w:rPr>
        <w:rFonts w:ascii="Wingdings" w:hAnsi="Wingdings" w:hint="default"/>
      </w:rPr>
    </w:lvl>
    <w:lvl w:ilvl="3" w:tplc="04150001" w:tentative="1">
      <w:start w:val="1"/>
      <w:numFmt w:val="bullet"/>
      <w:lvlText w:val=""/>
      <w:lvlJc w:val="left"/>
      <w:pPr>
        <w:ind w:left="3620" w:hanging="360"/>
      </w:pPr>
      <w:rPr>
        <w:rFonts w:ascii="Symbol" w:hAnsi="Symbol" w:hint="default"/>
      </w:rPr>
    </w:lvl>
    <w:lvl w:ilvl="4" w:tplc="04150003" w:tentative="1">
      <w:start w:val="1"/>
      <w:numFmt w:val="bullet"/>
      <w:lvlText w:val="o"/>
      <w:lvlJc w:val="left"/>
      <w:pPr>
        <w:ind w:left="4340" w:hanging="360"/>
      </w:pPr>
      <w:rPr>
        <w:rFonts w:ascii="Courier New" w:hAnsi="Courier New" w:cs="Courier New" w:hint="default"/>
      </w:rPr>
    </w:lvl>
    <w:lvl w:ilvl="5" w:tplc="04150005" w:tentative="1">
      <w:start w:val="1"/>
      <w:numFmt w:val="bullet"/>
      <w:lvlText w:val=""/>
      <w:lvlJc w:val="left"/>
      <w:pPr>
        <w:ind w:left="5060" w:hanging="360"/>
      </w:pPr>
      <w:rPr>
        <w:rFonts w:ascii="Wingdings" w:hAnsi="Wingdings" w:hint="default"/>
      </w:rPr>
    </w:lvl>
    <w:lvl w:ilvl="6" w:tplc="04150001" w:tentative="1">
      <w:start w:val="1"/>
      <w:numFmt w:val="bullet"/>
      <w:lvlText w:val=""/>
      <w:lvlJc w:val="left"/>
      <w:pPr>
        <w:ind w:left="5780" w:hanging="360"/>
      </w:pPr>
      <w:rPr>
        <w:rFonts w:ascii="Symbol" w:hAnsi="Symbol" w:hint="default"/>
      </w:rPr>
    </w:lvl>
    <w:lvl w:ilvl="7" w:tplc="04150003" w:tentative="1">
      <w:start w:val="1"/>
      <w:numFmt w:val="bullet"/>
      <w:lvlText w:val="o"/>
      <w:lvlJc w:val="left"/>
      <w:pPr>
        <w:ind w:left="6500" w:hanging="360"/>
      </w:pPr>
      <w:rPr>
        <w:rFonts w:ascii="Courier New" w:hAnsi="Courier New" w:cs="Courier New" w:hint="default"/>
      </w:rPr>
    </w:lvl>
    <w:lvl w:ilvl="8" w:tplc="04150005" w:tentative="1">
      <w:start w:val="1"/>
      <w:numFmt w:val="bullet"/>
      <w:lvlText w:val=""/>
      <w:lvlJc w:val="left"/>
      <w:pPr>
        <w:ind w:left="7220" w:hanging="360"/>
      </w:pPr>
      <w:rPr>
        <w:rFonts w:ascii="Wingdings" w:hAnsi="Wingdings" w:hint="default"/>
      </w:rPr>
    </w:lvl>
  </w:abstractNum>
  <w:abstractNum w:abstractNumId="9" w15:restartNumberingAfterBreak="0">
    <w:nsid w:val="7CE37032"/>
    <w:multiLevelType w:val="hybridMultilevel"/>
    <w:tmpl w:val="DDD000CE"/>
    <w:lvl w:ilvl="0" w:tplc="95C2B816">
      <w:start w:val="12"/>
      <w:numFmt w:val="decimal"/>
      <w:lvlText w:val="%1"/>
      <w:lvlJc w:val="left"/>
      <w:pPr>
        <w:ind w:left="1100" w:hanging="360"/>
      </w:pPr>
      <w:rPr>
        <w:rFonts w:hint="default"/>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num w:numId="1" w16cid:durableId="1356468361">
    <w:abstractNumId w:val="1"/>
  </w:num>
  <w:num w:numId="2" w16cid:durableId="731541342">
    <w:abstractNumId w:val="2"/>
  </w:num>
  <w:num w:numId="3" w16cid:durableId="953483477">
    <w:abstractNumId w:val="3"/>
  </w:num>
  <w:num w:numId="4" w16cid:durableId="209458924">
    <w:abstractNumId w:val="4"/>
  </w:num>
  <w:num w:numId="5" w16cid:durableId="1380663053">
    <w:abstractNumId w:val="5"/>
  </w:num>
  <w:num w:numId="6" w16cid:durableId="637029886">
    <w:abstractNumId w:val="6"/>
  </w:num>
  <w:num w:numId="7" w16cid:durableId="99108296">
    <w:abstractNumId w:val="7"/>
  </w:num>
  <w:num w:numId="8" w16cid:durableId="795484844">
    <w:abstractNumId w:val="0"/>
  </w:num>
  <w:num w:numId="9" w16cid:durableId="228157613">
    <w:abstractNumId w:val="8"/>
  </w:num>
  <w:num w:numId="10" w16cid:durableId="2001305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CB"/>
    <w:rsid w:val="00001F48"/>
    <w:rsid w:val="00002190"/>
    <w:rsid w:val="00005C4A"/>
    <w:rsid w:val="00006AF2"/>
    <w:rsid w:val="000172EF"/>
    <w:rsid w:val="000273B6"/>
    <w:rsid w:val="00031A6D"/>
    <w:rsid w:val="00032CDC"/>
    <w:rsid w:val="00037ABB"/>
    <w:rsid w:val="00042FCF"/>
    <w:rsid w:val="00043280"/>
    <w:rsid w:val="000467ED"/>
    <w:rsid w:val="000500CD"/>
    <w:rsid w:val="00055E16"/>
    <w:rsid w:val="00060A54"/>
    <w:rsid w:val="00064F9B"/>
    <w:rsid w:val="000652B6"/>
    <w:rsid w:val="00075954"/>
    <w:rsid w:val="00076245"/>
    <w:rsid w:val="0008229A"/>
    <w:rsid w:val="00087F3E"/>
    <w:rsid w:val="00091183"/>
    <w:rsid w:val="00097426"/>
    <w:rsid w:val="00097AAE"/>
    <w:rsid w:val="000B019B"/>
    <w:rsid w:val="000C02CB"/>
    <w:rsid w:val="000D4D47"/>
    <w:rsid w:val="000D6359"/>
    <w:rsid w:val="000E53E8"/>
    <w:rsid w:val="000E637C"/>
    <w:rsid w:val="000F234B"/>
    <w:rsid w:val="000F3EA9"/>
    <w:rsid w:val="000F7D8D"/>
    <w:rsid w:val="00104353"/>
    <w:rsid w:val="001061E3"/>
    <w:rsid w:val="00112189"/>
    <w:rsid w:val="00115C71"/>
    <w:rsid w:val="00116CAA"/>
    <w:rsid w:val="00117B60"/>
    <w:rsid w:val="00122CBC"/>
    <w:rsid w:val="001234E4"/>
    <w:rsid w:val="00126BD5"/>
    <w:rsid w:val="00131261"/>
    <w:rsid w:val="00145486"/>
    <w:rsid w:val="001464CB"/>
    <w:rsid w:val="00151D4E"/>
    <w:rsid w:val="00151E02"/>
    <w:rsid w:val="0015707C"/>
    <w:rsid w:val="001617FD"/>
    <w:rsid w:val="00165F6E"/>
    <w:rsid w:val="00171252"/>
    <w:rsid w:val="0017226C"/>
    <w:rsid w:val="001728F7"/>
    <w:rsid w:val="00176162"/>
    <w:rsid w:val="00176317"/>
    <w:rsid w:val="00180751"/>
    <w:rsid w:val="00181E99"/>
    <w:rsid w:val="00186002"/>
    <w:rsid w:val="001933B7"/>
    <w:rsid w:val="001944C3"/>
    <w:rsid w:val="00196CFB"/>
    <w:rsid w:val="00197166"/>
    <w:rsid w:val="001B0505"/>
    <w:rsid w:val="001B6A3E"/>
    <w:rsid w:val="001C3631"/>
    <w:rsid w:val="001C3872"/>
    <w:rsid w:val="001C3ADD"/>
    <w:rsid w:val="001C615C"/>
    <w:rsid w:val="001D1606"/>
    <w:rsid w:val="001D780A"/>
    <w:rsid w:val="001E157D"/>
    <w:rsid w:val="001E658D"/>
    <w:rsid w:val="001E7A83"/>
    <w:rsid w:val="001F55B2"/>
    <w:rsid w:val="001F7085"/>
    <w:rsid w:val="001F7CE5"/>
    <w:rsid w:val="001F7E84"/>
    <w:rsid w:val="00206D69"/>
    <w:rsid w:val="00207CDD"/>
    <w:rsid w:val="00210056"/>
    <w:rsid w:val="002218A6"/>
    <w:rsid w:val="00237773"/>
    <w:rsid w:val="00237802"/>
    <w:rsid w:val="00253097"/>
    <w:rsid w:val="00254B56"/>
    <w:rsid w:val="0027116C"/>
    <w:rsid w:val="00274DBF"/>
    <w:rsid w:val="00281C4C"/>
    <w:rsid w:val="00281D90"/>
    <w:rsid w:val="002839F5"/>
    <w:rsid w:val="002922A6"/>
    <w:rsid w:val="002A0B03"/>
    <w:rsid w:val="002B5B4B"/>
    <w:rsid w:val="002B5E4E"/>
    <w:rsid w:val="002D2DA5"/>
    <w:rsid w:val="002D3C5B"/>
    <w:rsid w:val="002E03B5"/>
    <w:rsid w:val="002E1C8E"/>
    <w:rsid w:val="002E1E51"/>
    <w:rsid w:val="002E623A"/>
    <w:rsid w:val="002F6BF9"/>
    <w:rsid w:val="003021B1"/>
    <w:rsid w:val="003202CB"/>
    <w:rsid w:val="0033344B"/>
    <w:rsid w:val="00337EC1"/>
    <w:rsid w:val="003413E5"/>
    <w:rsid w:val="00343F55"/>
    <w:rsid w:val="00344897"/>
    <w:rsid w:val="003469F5"/>
    <w:rsid w:val="00352098"/>
    <w:rsid w:val="00352EC8"/>
    <w:rsid w:val="00366153"/>
    <w:rsid w:val="00372A63"/>
    <w:rsid w:val="00372B0B"/>
    <w:rsid w:val="00375895"/>
    <w:rsid w:val="0037627F"/>
    <w:rsid w:val="00382B67"/>
    <w:rsid w:val="003913C5"/>
    <w:rsid w:val="003A50F5"/>
    <w:rsid w:val="003A5175"/>
    <w:rsid w:val="003A5C95"/>
    <w:rsid w:val="003A65E1"/>
    <w:rsid w:val="003A691D"/>
    <w:rsid w:val="003A7187"/>
    <w:rsid w:val="003A75D2"/>
    <w:rsid w:val="003B08D1"/>
    <w:rsid w:val="003B1758"/>
    <w:rsid w:val="003B5BF9"/>
    <w:rsid w:val="003B75D8"/>
    <w:rsid w:val="003C171D"/>
    <w:rsid w:val="003D0AAC"/>
    <w:rsid w:val="003D3C49"/>
    <w:rsid w:val="003D664D"/>
    <w:rsid w:val="003D70C5"/>
    <w:rsid w:val="003F38F5"/>
    <w:rsid w:val="003F5550"/>
    <w:rsid w:val="003F674B"/>
    <w:rsid w:val="0040191E"/>
    <w:rsid w:val="00401ADF"/>
    <w:rsid w:val="0040200E"/>
    <w:rsid w:val="00407B53"/>
    <w:rsid w:val="00407E3B"/>
    <w:rsid w:val="0041497F"/>
    <w:rsid w:val="00426DFE"/>
    <w:rsid w:val="00427C06"/>
    <w:rsid w:val="0043499E"/>
    <w:rsid w:val="00435C38"/>
    <w:rsid w:val="00437024"/>
    <w:rsid w:val="00451D21"/>
    <w:rsid w:val="00455C63"/>
    <w:rsid w:val="0046256D"/>
    <w:rsid w:val="00466B34"/>
    <w:rsid w:val="00475AFA"/>
    <w:rsid w:val="00487B7A"/>
    <w:rsid w:val="004A2C4B"/>
    <w:rsid w:val="004A3C14"/>
    <w:rsid w:val="004A58FD"/>
    <w:rsid w:val="004B5986"/>
    <w:rsid w:val="004C0C9B"/>
    <w:rsid w:val="004C5EFB"/>
    <w:rsid w:val="004D6DC3"/>
    <w:rsid w:val="004D74B7"/>
    <w:rsid w:val="004E47FB"/>
    <w:rsid w:val="004E689F"/>
    <w:rsid w:val="004F325D"/>
    <w:rsid w:val="004F62B7"/>
    <w:rsid w:val="004F65CC"/>
    <w:rsid w:val="00500099"/>
    <w:rsid w:val="005003E7"/>
    <w:rsid w:val="00500BF2"/>
    <w:rsid w:val="00501974"/>
    <w:rsid w:val="00507ED8"/>
    <w:rsid w:val="00513A73"/>
    <w:rsid w:val="005146A4"/>
    <w:rsid w:val="0051627B"/>
    <w:rsid w:val="00517C29"/>
    <w:rsid w:val="00517FC1"/>
    <w:rsid w:val="00521DFD"/>
    <w:rsid w:val="00522540"/>
    <w:rsid w:val="005256B8"/>
    <w:rsid w:val="00531451"/>
    <w:rsid w:val="00532698"/>
    <w:rsid w:val="00534999"/>
    <w:rsid w:val="00543561"/>
    <w:rsid w:val="005538F0"/>
    <w:rsid w:val="005611CB"/>
    <w:rsid w:val="00561CD2"/>
    <w:rsid w:val="00567BB9"/>
    <w:rsid w:val="00570AB4"/>
    <w:rsid w:val="005728AB"/>
    <w:rsid w:val="00577147"/>
    <w:rsid w:val="0058141F"/>
    <w:rsid w:val="00583206"/>
    <w:rsid w:val="00590550"/>
    <w:rsid w:val="005924E0"/>
    <w:rsid w:val="005A06C0"/>
    <w:rsid w:val="005A0A4A"/>
    <w:rsid w:val="005A0CC4"/>
    <w:rsid w:val="005A0CE6"/>
    <w:rsid w:val="005A4523"/>
    <w:rsid w:val="005A7872"/>
    <w:rsid w:val="005A7CFD"/>
    <w:rsid w:val="005B3F04"/>
    <w:rsid w:val="005C4938"/>
    <w:rsid w:val="005C6678"/>
    <w:rsid w:val="005D0289"/>
    <w:rsid w:val="005D03F6"/>
    <w:rsid w:val="005E0F6A"/>
    <w:rsid w:val="005E6F0C"/>
    <w:rsid w:val="005F6F56"/>
    <w:rsid w:val="006009A7"/>
    <w:rsid w:val="006052B5"/>
    <w:rsid w:val="00612645"/>
    <w:rsid w:val="00613E0D"/>
    <w:rsid w:val="00620D23"/>
    <w:rsid w:val="0062716B"/>
    <w:rsid w:val="00632431"/>
    <w:rsid w:val="00633FB6"/>
    <w:rsid w:val="00635E31"/>
    <w:rsid w:val="00636761"/>
    <w:rsid w:val="00637004"/>
    <w:rsid w:val="00640924"/>
    <w:rsid w:val="00640BBA"/>
    <w:rsid w:val="006429FC"/>
    <w:rsid w:val="00647839"/>
    <w:rsid w:val="0065699E"/>
    <w:rsid w:val="006612CF"/>
    <w:rsid w:val="00662713"/>
    <w:rsid w:val="0066304A"/>
    <w:rsid w:val="006633EC"/>
    <w:rsid w:val="00663480"/>
    <w:rsid w:val="00665E12"/>
    <w:rsid w:val="00666FA6"/>
    <w:rsid w:val="006712EC"/>
    <w:rsid w:val="00671D94"/>
    <w:rsid w:val="00672E47"/>
    <w:rsid w:val="00674351"/>
    <w:rsid w:val="00677D4B"/>
    <w:rsid w:val="0068481D"/>
    <w:rsid w:val="00694546"/>
    <w:rsid w:val="00694F25"/>
    <w:rsid w:val="00695CE6"/>
    <w:rsid w:val="006A182B"/>
    <w:rsid w:val="006A672D"/>
    <w:rsid w:val="006A7259"/>
    <w:rsid w:val="006B3307"/>
    <w:rsid w:val="006B6EC5"/>
    <w:rsid w:val="006C1A70"/>
    <w:rsid w:val="006C222C"/>
    <w:rsid w:val="006C27E8"/>
    <w:rsid w:val="006C3655"/>
    <w:rsid w:val="006C3DBA"/>
    <w:rsid w:val="006D1F05"/>
    <w:rsid w:val="006D358D"/>
    <w:rsid w:val="006D47D2"/>
    <w:rsid w:val="006F1CA7"/>
    <w:rsid w:val="006F73B8"/>
    <w:rsid w:val="00701406"/>
    <w:rsid w:val="00711691"/>
    <w:rsid w:val="00713A08"/>
    <w:rsid w:val="00724A45"/>
    <w:rsid w:val="00730C0B"/>
    <w:rsid w:val="00732BB5"/>
    <w:rsid w:val="00741441"/>
    <w:rsid w:val="00745178"/>
    <w:rsid w:val="0074631D"/>
    <w:rsid w:val="0074792C"/>
    <w:rsid w:val="007517CF"/>
    <w:rsid w:val="00752086"/>
    <w:rsid w:val="00754015"/>
    <w:rsid w:val="00755D87"/>
    <w:rsid w:val="0075690B"/>
    <w:rsid w:val="00757447"/>
    <w:rsid w:val="007579A3"/>
    <w:rsid w:val="00757EF7"/>
    <w:rsid w:val="00765F9F"/>
    <w:rsid w:val="007716D3"/>
    <w:rsid w:val="00771945"/>
    <w:rsid w:val="00772257"/>
    <w:rsid w:val="00781E54"/>
    <w:rsid w:val="007824FB"/>
    <w:rsid w:val="007849BA"/>
    <w:rsid w:val="007850C7"/>
    <w:rsid w:val="00792098"/>
    <w:rsid w:val="00792A1A"/>
    <w:rsid w:val="0079646B"/>
    <w:rsid w:val="00797860"/>
    <w:rsid w:val="007A417A"/>
    <w:rsid w:val="007A5F31"/>
    <w:rsid w:val="007B270A"/>
    <w:rsid w:val="007B31DD"/>
    <w:rsid w:val="007C26FA"/>
    <w:rsid w:val="007C3007"/>
    <w:rsid w:val="007C3DB9"/>
    <w:rsid w:val="007C6EA3"/>
    <w:rsid w:val="007E1CE3"/>
    <w:rsid w:val="007E30E2"/>
    <w:rsid w:val="007F230D"/>
    <w:rsid w:val="007F7CA3"/>
    <w:rsid w:val="008024A3"/>
    <w:rsid w:val="00806CC9"/>
    <w:rsid w:val="00810540"/>
    <w:rsid w:val="00815261"/>
    <w:rsid w:val="0082154A"/>
    <w:rsid w:val="00826A32"/>
    <w:rsid w:val="00834141"/>
    <w:rsid w:val="00840C2D"/>
    <w:rsid w:val="00852A63"/>
    <w:rsid w:val="008538F4"/>
    <w:rsid w:val="00853A17"/>
    <w:rsid w:val="008572E9"/>
    <w:rsid w:val="0086067F"/>
    <w:rsid w:val="008669C2"/>
    <w:rsid w:val="00872F20"/>
    <w:rsid w:val="00874759"/>
    <w:rsid w:val="008818F4"/>
    <w:rsid w:val="008918D6"/>
    <w:rsid w:val="008939A3"/>
    <w:rsid w:val="008A1DE2"/>
    <w:rsid w:val="008B33E0"/>
    <w:rsid w:val="008C345D"/>
    <w:rsid w:val="008C370B"/>
    <w:rsid w:val="008C5273"/>
    <w:rsid w:val="008C57DD"/>
    <w:rsid w:val="008C5F0F"/>
    <w:rsid w:val="008D2770"/>
    <w:rsid w:val="008D2DD0"/>
    <w:rsid w:val="008E3C5D"/>
    <w:rsid w:val="008F4B62"/>
    <w:rsid w:val="009016C6"/>
    <w:rsid w:val="00902EE8"/>
    <w:rsid w:val="00912E2E"/>
    <w:rsid w:val="009227DC"/>
    <w:rsid w:val="00927B62"/>
    <w:rsid w:val="00931955"/>
    <w:rsid w:val="009325E3"/>
    <w:rsid w:val="00935A6F"/>
    <w:rsid w:val="00937A98"/>
    <w:rsid w:val="00942F8F"/>
    <w:rsid w:val="0094410C"/>
    <w:rsid w:val="009503E5"/>
    <w:rsid w:val="00950775"/>
    <w:rsid w:val="009514BA"/>
    <w:rsid w:val="0096034E"/>
    <w:rsid w:val="00961063"/>
    <w:rsid w:val="00964A72"/>
    <w:rsid w:val="00966EB4"/>
    <w:rsid w:val="009720FE"/>
    <w:rsid w:val="0097380D"/>
    <w:rsid w:val="009866C0"/>
    <w:rsid w:val="00991084"/>
    <w:rsid w:val="00993C2D"/>
    <w:rsid w:val="00997236"/>
    <w:rsid w:val="009A0167"/>
    <w:rsid w:val="009A19EF"/>
    <w:rsid w:val="009A24F5"/>
    <w:rsid w:val="009A6492"/>
    <w:rsid w:val="009B3363"/>
    <w:rsid w:val="009C0ACB"/>
    <w:rsid w:val="009C68F2"/>
    <w:rsid w:val="009E4C68"/>
    <w:rsid w:val="009E5122"/>
    <w:rsid w:val="009E70DF"/>
    <w:rsid w:val="009F0447"/>
    <w:rsid w:val="00A03F57"/>
    <w:rsid w:val="00A05162"/>
    <w:rsid w:val="00A05ADC"/>
    <w:rsid w:val="00A14197"/>
    <w:rsid w:val="00A2410A"/>
    <w:rsid w:val="00A2492E"/>
    <w:rsid w:val="00A25799"/>
    <w:rsid w:val="00A27E13"/>
    <w:rsid w:val="00A40582"/>
    <w:rsid w:val="00A42803"/>
    <w:rsid w:val="00A46C6A"/>
    <w:rsid w:val="00A478AA"/>
    <w:rsid w:val="00A50805"/>
    <w:rsid w:val="00A61361"/>
    <w:rsid w:val="00A74565"/>
    <w:rsid w:val="00A75580"/>
    <w:rsid w:val="00A755D0"/>
    <w:rsid w:val="00A77497"/>
    <w:rsid w:val="00A81735"/>
    <w:rsid w:val="00A95B2F"/>
    <w:rsid w:val="00A97A92"/>
    <w:rsid w:val="00AB0CA0"/>
    <w:rsid w:val="00AB2084"/>
    <w:rsid w:val="00AB713F"/>
    <w:rsid w:val="00AC65FA"/>
    <w:rsid w:val="00AD03F0"/>
    <w:rsid w:val="00AD42EC"/>
    <w:rsid w:val="00AE1D7E"/>
    <w:rsid w:val="00AF5E6F"/>
    <w:rsid w:val="00B01D0F"/>
    <w:rsid w:val="00B04391"/>
    <w:rsid w:val="00B06720"/>
    <w:rsid w:val="00B07954"/>
    <w:rsid w:val="00B105DC"/>
    <w:rsid w:val="00B10E4A"/>
    <w:rsid w:val="00B110F7"/>
    <w:rsid w:val="00B17191"/>
    <w:rsid w:val="00B22DB4"/>
    <w:rsid w:val="00B22F59"/>
    <w:rsid w:val="00B2385A"/>
    <w:rsid w:val="00B24D57"/>
    <w:rsid w:val="00B251C4"/>
    <w:rsid w:val="00B25923"/>
    <w:rsid w:val="00B31479"/>
    <w:rsid w:val="00B34A20"/>
    <w:rsid w:val="00B35B27"/>
    <w:rsid w:val="00B467C8"/>
    <w:rsid w:val="00B5202A"/>
    <w:rsid w:val="00B52125"/>
    <w:rsid w:val="00B5277F"/>
    <w:rsid w:val="00B642AF"/>
    <w:rsid w:val="00B70601"/>
    <w:rsid w:val="00B724A1"/>
    <w:rsid w:val="00B745F2"/>
    <w:rsid w:val="00B75579"/>
    <w:rsid w:val="00B80726"/>
    <w:rsid w:val="00B826D1"/>
    <w:rsid w:val="00B83C66"/>
    <w:rsid w:val="00B87B14"/>
    <w:rsid w:val="00B971C9"/>
    <w:rsid w:val="00BA2493"/>
    <w:rsid w:val="00BA2EF7"/>
    <w:rsid w:val="00BA4807"/>
    <w:rsid w:val="00BA5BDC"/>
    <w:rsid w:val="00BB0181"/>
    <w:rsid w:val="00BB27F3"/>
    <w:rsid w:val="00BC3F70"/>
    <w:rsid w:val="00BC551D"/>
    <w:rsid w:val="00BD35E1"/>
    <w:rsid w:val="00BD3647"/>
    <w:rsid w:val="00BD6383"/>
    <w:rsid w:val="00BD7B95"/>
    <w:rsid w:val="00BE3DB5"/>
    <w:rsid w:val="00BE55CE"/>
    <w:rsid w:val="00BE5618"/>
    <w:rsid w:val="00BF08D2"/>
    <w:rsid w:val="00BF1406"/>
    <w:rsid w:val="00BF56B0"/>
    <w:rsid w:val="00C01500"/>
    <w:rsid w:val="00C072FE"/>
    <w:rsid w:val="00C2019B"/>
    <w:rsid w:val="00C22DDA"/>
    <w:rsid w:val="00C30A0D"/>
    <w:rsid w:val="00C45565"/>
    <w:rsid w:val="00C50B26"/>
    <w:rsid w:val="00C5176F"/>
    <w:rsid w:val="00C561D3"/>
    <w:rsid w:val="00C567C1"/>
    <w:rsid w:val="00C56ACB"/>
    <w:rsid w:val="00C60524"/>
    <w:rsid w:val="00C620FD"/>
    <w:rsid w:val="00C653AB"/>
    <w:rsid w:val="00C66EAD"/>
    <w:rsid w:val="00C70911"/>
    <w:rsid w:val="00C7172F"/>
    <w:rsid w:val="00C75066"/>
    <w:rsid w:val="00C914F4"/>
    <w:rsid w:val="00C933C4"/>
    <w:rsid w:val="00C93F19"/>
    <w:rsid w:val="00C9647D"/>
    <w:rsid w:val="00CA32A2"/>
    <w:rsid w:val="00CB2D15"/>
    <w:rsid w:val="00CB58F1"/>
    <w:rsid w:val="00CB5ABD"/>
    <w:rsid w:val="00CB6E28"/>
    <w:rsid w:val="00CC1B08"/>
    <w:rsid w:val="00CD5A42"/>
    <w:rsid w:val="00CE6AF2"/>
    <w:rsid w:val="00D04F17"/>
    <w:rsid w:val="00D073E9"/>
    <w:rsid w:val="00D13366"/>
    <w:rsid w:val="00D15A4E"/>
    <w:rsid w:val="00D229FB"/>
    <w:rsid w:val="00D22A22"/>
    <w:rsid w:val="00D232A4"/>
    <w:rsid w:val="00D329BD"/>
    <w:rsid w:val="00D32D57"/>
    <w:rsid w:val="00D3364E"/>
    <w:rsid w:val="00D432C8"/>
    <w:rsid w:val="00D4537F"/>
    <w:rsid w:val="00D45BA0"/>
    <w:rsid w:val="00D4676B"/>
    <w:rsid w:val="00D55611"/>
    <w:rsid w:val="00D56928"/>
    <w:rsid w:val="00D664EB"/>
    <w:rsid w:val="00D66926"/>
    <w:rsid w:val="00D73023"/>
    <w:rsid w:val="00D738B6"/>
    <w:rsid w:val="00D84FC1"/>
    <w:rsid w:val="00D93331"/>
    <w:rsid w:val="00DB2E7E"/>
    <w:rsid w:val="00DB2EE1"/>
    <w:rsid w:val="00DB724E"/>
    <w:rsid w:val="00DC7909"/>
    <w:rsid w:val="00DC7924"/>
    <w:rsid w:val="00DD111D"/>
    <w:rsid w:val="00DD36F1"/>
    <w:rsid w:val="00DD417D"/>
    <w:rsid w:val="00DE0DAC"/>
    <w:rsid w:val="00DE5D1A"/>
    <w:rsid w:val="00DE69B0"/>
    <w:rsid w:val="00DF3632"/>
    <w:rsid w:val="00DF38C5"/>
    <w:rsid w:val="00DF3C66"/>
    <w:rsid w:val="00DF48CE"/>
    <w:rsid w:val="00DF5454"/>
    <w:rsid w:val="00DF6D64"/>
    <w:rsid w:val="00E003E8"/>
    <w:rsid w:val="00E05358"/>
    <w:rsid w:val="00E07077"/>
    <w:rsid w:val="00E1015F"/>
    <w:rsid w:val="00E123B4"/>
    <w:rsid w:val="00E12DC7"/>
    <w:rsid w:val="00E16914"/>
    <w:rsid w:val="00E20D2E"/>
    <w:rsid w:val="00E40293"/>
    <w:rsid w:val="00E402D4"/>
    <w:rsid w:val="00E42117"/>
    <w:rsid w:val="00E453F1"/>
    <w:rsid w:val="00E47885"/>
    <w:rsid w:val="00E47A33"/>
    <w:rsid w:val="00E51267"/>
    <w:rsid w:val="00E53312"/>
    <w:rsid w:val="00E64285"/>
    <w:rsid w:val="00E67FFD"/>
    <w:rsid w:val="00E73702"/>
    <w:rsid w:val="00E8425A"/>
    <w:rsid w:val="00E938F9"/>
    <w:rsid w:val="00E94ADB"/>
    <w:rsid w:val="00E975DD"/>
    <w:rsid w:val="00EA4B0B"/>
    <w:rsid w:val="00EA6461"/>
    <w:rsid w:val="00EA678D"/>
    <w:rsid w:val="00EB3B3E"/>
    <w:rsid w:val="00EC757A"/>
    <w:rsid w:val="00ED7BD0"/>
    <w:rsid w:val="00EE21B2"/>
    <w:rsid w:val="00EE316A"/>
    <w:rsid w:val="00EE3B57"/>
    <w:rsid w:val="00F04649"/>
    <w:rsid w:val="00F07D61"/>
    <w:rsid w:val="00F16FE9"/>
    <w:rsid w:val="00F17721"/>
    <w:rsid w:val="00F228D9"/>
    <w:rsid w:val="00F26E1D"/>
    <w:rsid w:val="00F41597"/>
    <w:rsid w:val="00F42ACB"/>
    <w:rsid w:val="00F42EA1"/>
    <w:rsid w:val="00F437CE"/>
    <w:rsid w:val="00F5072F"/>
    <w:rsid w:val="00F560B1"/>
    <w:rsid w:val="00F561ED"/>
    <w:rsid w:val="00F67C5F"/>
    <w:rsid w:val="00F832FE"/>
    <w:rsid w:val="00F837E4"/>
    <w:rsid w:val="00F8469C"/>
    <w:rsid w:val="00F8489F"/>
    <w:rsid w:val="00F86785"/>
    <w:rsid w:val="00F91F13"/>
    <w:rsid w:val="00FB082B"/>
    <w:rsid w:val="00FC17C3"/>
    <w:rsid w:val="00FC354C"/>
    <w:rsid w:val="00FC546F"/>
    <w:rsid w:val="00FD2E8E"/>
    <w:rsid w:val="00FE6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3E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E51"/>
  </w:style>
  <w:style w:type="paragraph" w:styleId="Nagwek1">
    <w:name w:val="heading 1"/>
    <w:basedOn w:val="Normalny"/>
    <w:next w:val="Normalny"/>
    <w:link w:val="Nagwek1Znak"/>
    <w:uiPriority w:val="9"/>
    <w:qFormat/>
    <w:rsid w:val="003A7187"/>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
    <w:unhideWhenUsed/>
    <w:qFormat/>
    <w:rsid w:val="003A7187"/>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uiPriority w:val="9"/>
    <w:unhideWhenUsed/>
    <w:qFormat/>
    <w:rsid w:val="003A7187"/>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3A7187"/>
    <w:pPr>
      <w:keepNext/>
      <w:spacing w:before="240" w:after="60"/>
      <w:outlineLvl w:val="3"/>
    </w:pPr>
    <w:rPr>
      <w:rFonts w:eastAsia="Times New Roman" w:cs="Times New Roman"/>
      <w:b/>
      <w:bCs/>
      <w:sz w:val="28"/>
      <w:szCs w:val="28"/>
    </w:rPr>
  </w:style>
  <w:style w:type="paragraph" w:styleId="Nagwek5">
    <w:name w:val="heading 5"/>
    <w:basedOn w:val="Normalny"/>
    <w:next w:val="Normalny"/>
    <w:link w:val="Nagwek5Znak"/>
    <w:uiPriority w:val="9"/>
    <w:unhideWhenUsed/>
    <w:qFormat/>
    <w:rsid w:val="003A7187"/>
    <w:pPr>
      <w:spacing w:before="240" w:after="60"/>
      <w:outlineLvl w:val="4"/>
    </w:pPr>
    <w:rPr>
      <w:rFonts w:eastAsia="Times New Roman" w:cs="Times New Roman"/>
      <w:b/>
      <w:bCs/>
      <w:i/>
      <w:iCs/>
      <w:sz w:val="26"/>
      <w:szCs w:val="26"/>
    </w:rPr>
  </w:style>
  <w:style w:type="paragraph" w:styleId="Nagwek6">
    <w:name w:val="heading 6"/>
    <w:basedOn w:val="Normalny"/>
    <w:next w:val="Normalny"/>
    <w:link w:val="Nagwek6Znak"/>
    <w:uiPriority w:val="9"/>
    <w:unhideWhenUsed/>
    <w:qFormat/>
    <w:rsid w:val="003A7187"/>
    <w:pPr>
      <w:spacing w:before="240" w:after="60"/>
      <w:outlineLvl w:val="5"/>
    </w:pPr>
    <w:rPr>
      <w:rFonts w:eastAsia="Times New Roman"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1061E3"/>
  </w:style>
  <w:style w:type="character" w:customStyle="1" w:styleId="TekstprzypisukocowegoZnak">
    <w:name w:val="Tekst przypisu końcowego Znak"/>
    <w:basedOn w:val="Domylnaczcionkaakapitu"/>
    <w:link w:val="Tekstprzypisukocowego"/>
    <w:uiPriority w:val="99"/>
    <w:semiHidden/>
    <w:rsid w:val="001061E3"/>
  </w:style>
  <w:style w:type="character" w:styleId="Odwoanieprzypisukocowego">
    <w:name w:val="endnote reference"/>
    <w:uiPriority w:val="99"/>
    <w:semiHidden/>
    <w:unhideWhenUsed/>
    <w:rsid w:val="001061E3"/>
    <w:rPr>
      <w:vertAlign w:val="superscript"/>
    </w:rPr>
  </w:style>
  <w:style w:type="paragraph" w:styleId="Tekstprzypisudolnego">
    <w:name w:val="footnote text"/>
    <w:basedOn w:val="Normalny"/>
    <w:link w:val="TekstprzypisudolnegoZnak"/>
    <w:uiPriority w:val="99"/>
    <w:semiHidden/>
    <w:unhideWhenUsed/>
    <w:rsid w:val="001061E3"/>
  </w:style>
  <w:style w:type="character" w:customStyle="1" w:styleId="TekstprzypisudolnegoZnak">
    <w:name w:val="Tekst przypisu dolnego Znak"/>
    <w:basedOn w:val="Domylnaczcionkaakapitu"/>
    <w:link w:val="Tekstprzypisudolnego"/>
    <w:uiPriority w:val="99"/>
    <w:semiHidden/>
    <w:rsid w:val="001061E3"/>
  </w:style>
  <w:style w:type="character" w:styleId="Odwoanieprzypisudolnego">
    <w:name w:val="footnote reference"/>
    <w:uiPriority w:val="99"/>
    <w:semiHidden/>
    <w:unhideWhenUsed/>
    <w:rsid w:val="001061E3"/>
    <w:rPr>
      <w:vertAlign w:val="superscript"/>
    </w:rPr>
  </w:style>
  <w:style w:type="character" w:customStyle="1" w:styleId="Nagwek1Znak">
    <w:name w:val="Nagłówek 1 Znak"/>
    <w:link w:val="Nagwek1"/>
    <w:uiPriority w:val="9"/>
    <w:rsid w:val="003A7187"/>
    <w:rPr>
      <w:rFonts w:ascii="Cambria" w:eastAsia="Times New Roman" w:hAnsi="Cambria" w:cs="Times New Roman"/>
      <w:b/>
      <w:bCs/>
      <w:kern w:val="32"/>
      <w:sz w:val="32"/>
      <w:szCs w:val="32"/>
      <w:lang w:val="pl-PL" w:eastAsia="pl-PL"/>
    </w:rPr>
  </w:style>
  <w:style w:type="character" w:customStyle="1" w:styleId="Nagwek2Znak">
    <w:name w:val="Nagłówek 2 Znak"/>
    <w:link w:val="Nagwek2"/>
    <w:uiPriority w:val="9"/>
    <w:rsid w:val="003A7187"/>
    <w:rPr>
      <w:rFonts w:ascii="Cambria" w:eastAsia="Times New Roman" w:hAnsi="Cambria" w:cs="Times New Roman"/>
      <w:b/>
      <w:bCs/>
      <w:i/>
      <w:iCs/>
      <w:sz w:val="28"/>
      <w:szCs w:val="28"/>
      <w:lang w:val="pl-PL" w:eastAsia="pl-PL"/>
    </w:rPr>
  </w:style>
  <w:style w:type="character" w:customStyle="1" w:styleId="Nagwek3Znak">
    <w:name w:val="Nagłówek 3 Znak"/>
    <w:link w:val="Nagwek3"/>
    <w:uiPriority w:val="9"/>
    <w:rsid w:val="003A7187"/>
    <w:rPr>
      <w:rFonts w:ascii="Cambria" w:eastAsia="Times New Roman" w:hAnsi="Cambria" w:cs="Times New Roman"/>
      <w:b/>
      <w:bCs/>
      <w:sz w:val="26"/>
      <w:szCs w:val="26"/>
      <w:lang w:val="pl-PL" w:eastAsia="pl-PL"/>
    </w:rPr>
  </w:style>
  <w:style w:type="character" w:customStyle="1" w:styleId="Nagwek4Znak">
    <w:name w:val="Nagłówek 4 Znak"/>
    <w:link w:val="Nagwek4"/>
    <w:uiPriority w:val="9"/>
    <w:rsid w:val="003A7187"/>
    <w:rPr>
      <w:rFonts w:ascii="Calibri" w:eastAsia="Times New Roman" w:hAnsi="Calibri" w:cs="Times New Roman"/>
      <w:b/>
      <w:bCs/>
      <w:sz w:val="28"/>
      <w:szCs w:val="28"/>
      <w:lang w:val="pl-PL" w:eastAsia="pl-PL"/>
    </w:rPr>
  </w:style>
  <w:style w:type="character" w:customStyle="1" w:styleId="Nagwek5Znak">
    <w:name w:val="Nagłówek 5 Znak"/>
    <w:link w:val="Nagwek5"/>
    <w:uiPriority w:val="9"/>
    <w:rsid w:val="003A7187"/>
    <w:rPr>
      <w:rFonts w:ascii="Calibri" w:eastAsia="Times New Roman" w:hAnsi="Calibri" w:cs="Times New Roman"/>
      <w:b/>
      <w:bCs/>
      <w:i/>
      <w:iCs/>
      <w:sz w:val="26"/>
      <w:szCs w:val="26"/>
      <w:lang w:val="pl-PL" w:eastAsia="pl-PL"/>
    </w:rPr>
  </w:style>
  <w:style w:type="character" w:customStyle="1" w:styleId="Nagwek6Znak">
    <w:name w:val="Nagłówek 6 Znak"/>
    <w:link w:val="Nagwek6"/>
    <w:uiPriority w:val="9"/>
    <w:rsid w:val="003A7187"/>
    <w:rPr>
      <w:rFonts w:ascii="Calibri" w:eastAsia="Times New Roman" w:hAnsi="Calibri" w:cs="Times New Roman"/>
      <w:b/>
      <w:bCs/>
      <w:sz w:val="22"/>
      <w:szCs w:val="22"/>
      <w:lang w:val="pl-PL" w:eastAsia="pl-PL"/>
    </w:rPr>
  </w:style>
  <w:style w:type="paragraph" w:styleId="Lista2">
    <w:name w:val="List 2"/>
    <w:basedOn w:val="Normalny"/>
    <w:uiPriority w:val="99"/>
    <w:unhideWhenUsed/>
    <w:rsid w:val="003A7187"/>
    <w:pPr>
      <w:ind w:left="566" w:hanging="283"/>
      <w:contextualSpacing/>
    </w:pPr>
  </w:style>
  <w:style w:type="paragraph" w:styleId="Data">
    <w:name w:val="Date"/>
    <w:basedOn w:val="Normalny"/>
    <w:next w:val="Normalny"/>
    <w:link w:val="DataZnak"/>
    <w:uiPriority w:val="99"/>
    <w:unhideWhenUsed/>
    <w:rsid w:val="003A7187"/>
    <w:rPr>
      <w:rFonts w:cs="Times New Roman"/>
    </w:rPr>
  </w:style>
  <w:style w:type="character" w:customStyle="1" w:styleId="DataZnak">
    <w:name w:val="Data Znak"/>
    <w:link w:val="Data"/>
    <w:uiPriority w:val="99"/>
    <w:rsid w:val="003A7187"/>
    <w:rPr>
      <w:lang w:val="pl-PL" w:eastAsia="pl-PL"/>
    </w:rPr>
  </w:style>
  <w:style w:type="paragraph" w:styleId="Listapunktowana2">
    <w:name w:val="List Bullet 2"/>
    <w:basedOn w:val="Normalny"/>
    <w:uiPriority w:val="99"/>
    <w:unhideWhenUsed/>
    <w:rsid w:val="003A7187"/>
    <w:pPr>
      <w:numPr>
        <w:numId w:val="8"/>
      </w:numPr>
      <w:contextualSpacing/>
    </w:pPr>
  </w:style>
  <w:style w:type="paragraph" w:styleId="Tekstpodstawowy">
    <w:name w:val="Body Text"/>
    <w:basedOn w:val="Normalny"/>
    <w:link w:val="TekstpodstawowyZnak"/>
    <w:uiPriority w:val="99"/>
    <w:unhideWhenUsed/>
    <w:rsid w:val="003A7187"/>
    <w:pPr>
      <w:spacing w:after="120"/>
    </w:pPr>
    <w:rPr>
      <w:rFonts w:cs="Times New Roman"/>
    </w:rPr>
  </w:style>
  <w:style w:type="character" w:customStyle="1" w:styleId="TekstpodstawowyZnak">
    <w:name w:val="Tekst podstawowy Znak"/>
    <w:link w:val="Tekstpodstawowy"/>
    <w:uiPriority w:val="99"/>
    <w:rsid w:val="003A7187"/>
    <w:rPr>
      <w:lang w:val="pl-PL" w:eastAsia="pl-PL"/>
    </w:rPr>
  </w:style>
  <w:style w:type="paragraph" w:styleId="Tekstpodstawowywcity">
    <w:name w:val="Body Text Indent"/>
    <w:basedOn w:val="Normalny"/>
    <w:link w:val="TekstpodstawowywcityZnak"/>
    <w:uiPriority w:val="99"/>
    <w:unhideWhenUsed/>
    <w:rsid w:val="003A7187"/>
    <w:pPr>
      <w:spacing w:after="120"/>
      <w:ind w:left="283"/>
    </w:pPr>
    <w:rPr>
      <w:rFonts w:cs="Times New Roman"/>
    </w:rPr>
  </w:style>
  <w:style w:type="character" w:customStyle="1" w:styleId="TekstpodstawowywcityZnak">
    <w:name w:val="Tekst podstawowy wcięty Znak"/>
    <w:link w:val="Tekstpodstawowywcity"/>
    <w:uiPriority w:val="99"/>
    <w:rsid w:val="003A7187"/>
    <w:rPr>
      <w:lang w:val="pl-PL" w:eastAsia="pl-PL"/>
    </w:rPr>
  </w:style>
  <w:style w:type="paragraph" w:styleId="Tekstpodstawowyzwciciem2">
    <w:name w:val="Body Text First Indent 2"/>
    <w:basedOn w:val="Tekstpodstawowywcity"/>
    <w:link w:val="Tekstpodstawowyzwciciem2Znak"/>
    <w:uiPriority w:val="99"/>
    <w:unhideWhenUsed/>
    <w:rsid w:val="003A7187"/>
    <w:pPr>
      <w:ind w:firstLine="210"/>
    </w:pPr>
  </w:style>
  <w:style w:type="character" w:customStyle="1" w:styleId="Tekstpodstawowyzwciciem2Znak">
    <w:name w:val="Tekst podstawowy z wcięciem 2 Znak"/>
    <w:basedOn w:val="TekstpodstawowywcityZnak"/>
    <w:link w:val="Tekstpodstawowyzwciciem2"/>
    <w:uiPriority w:val="99"/>
    <w:rsid w:val="003A7187"/>
    <w:rPr>
      <w:lang w:val="pl-PL" w:eastAsia="pl-PL"/>
    </w:rPr>
  </w:style>
  <w:style w:type="paragraph" w:customStyle="1" w:styleId="Default">
    <w:name w:val="Default"/>
    <w:rsid w:val="00912E2E"/>
    <w:pPr>
      <w:autoSpaceDE w:val="0"/>
      <w:autoSpaceDN w:val="0"/>
      <w:adjustRightInd w:val="0"/>
    </w:pPr>
    <w:rPr>
      <w:rFonts w:ascii="Verdana" w:hAnsi="Verdana" w:cs="Verdana"/>
      <w:color w:val="000000"/>
      <w:sz w:val="24"/>
      <w:szCs w:val="24"/>
    </w:rPr>
  </w:style>
  <w:style w:type="character" w:styleId="Hipercze">
    <w:name w:val="Hyperlink"/>
    <w:uiPriority w:val="99"/>
    <w:unhideWhenUsed/>
    <w:rsid w:val="00D56928"/>
    <w:rPr>
      <w:color w:val="0563C1"/>
      <w:u w:val="single"/>
    </w:rPr>
  </w:style>
  <w:style w:type="character" w:styleId="Nierozpoznanawzmianka">
    <w:name w:val="Unresolved Mention"/>
    <w:uiPriority w:val="99"/>
    <w:semiHidden/>
    <w:unhideWhenUsed/>
    <w:rsid w:val="00D56928"/>
    <w:rPr>
      <w:color w:val="605E5C"/>
      <w:shd w:val="clear" w:color="auto" w:fill="E1DFDD"/>
    </w:rPr>
  </w:style>
  <w:style w:type="paragraph" w:styleId="Tekstdymka">
    <w:name w:val="Balloon Text"/>
    <w:basedOn w:val="Normalny"/>
    <w:link w:val="TekstdymkaZnak"/>
    <w:uiPriority w:val="99"/>
    <w:semiHidden/>
    <w:unhideWhenUsed/>
    <w:rsid w:val="00B971C9"/>
    <w:rPr>
      <w:rFonts w:ascii="Segoe UI" w:hAnsi="Segoe UI" w:cs="Segoe UI"/>
      <w:sz w:val="18"/>
      <w:szCs w:val="18"/>
    </w:rPr>
  </w:style>
  <w:style w:type="character" w:customStyle="1" w:styleId="TekstdymkaZnak">
    <w:name w:val="Tekst dymka Znak"/>
    <w:link w:val="Tekstdymka"/>
    <w:uiPriority w:val="99"/>
    <w:semiHidden/>
    <w:rsid w:val="00B971C9"/>
    <w:rPr>
      <w:rFonts w:ascii="Segoe UI" w:hAnsi="Segoe UI" w:cs="Segoe UI"/>
      <w:sz w:val="18"/>
      <w:szCs w:val="18"/>
    </w:rPr>
  </w:style>
  <w:style w:type="character" w:styleId="UyteHipercze">
    <w:name w:val="FollowedHyperlink"/>
    <w:uiPriority w:val="99"/>
    <w:semiHidden/>
    <w:unhideWhenUsed/>
    <w:rsid w:val="00CB58F1"/>
    <w:rPr>
      <w:color w:val="954F72"/>
      <w:u w:val="single"/>
    </w:rPr>
  </w:style>
  <w:style w:type="paragraph" w:styleId="Nagwek">
    <w:name w:val="header"/>
    <w:basedOn w:val="Normalny"/>
    <w:link w:val="NagwekZnak"/>
    <w:uiPriority w:val="99"/>
    <w:unhideWhenUsed/>
    <w:rsid w:val="005003E7"/>
    <w:pPr>
      <w:tabs>
        <w:tab w:val="center" w:pos="4536"/>
        <w:tab w:val="right" w:pos="9072"/>
      </w:tabs>
    </w:pPr>
  </w:style>
  <w:style w:type="character" w:customStyle="1" w:styleId="NagwekZnak">
    <w:name w:val="Nagłówek Znak"/>
    <w:basedOn w:val="Domylnaczcionkaakapitu"/>
    <w:link w:val="Nagwek"/>
    <w:uiPriority w:val="99"/>
    <w:rsid w:val="005003E7"/>
  </w:style>
  <w:style w:type="paragraph" w:styleId="Stopka">
    <w:name w:val="footer"/>
    <w:basedOn w:val="Normalny"/>
    <w:link w:val="StopkaZnak"/>
    <w:uiPriority w:val="99"/>
    <w:unhideWhenUsed/>
    <w:rsid w:val="005003E7"/>
    <w:pPr>
      <w:tabs>
        <w:tab w:val="center" w:pos="4536"/>
        <w:tab w:val="right" w:pos="9072"/>
      </w:tabs>
    </w:pPr>
  </w:style>
  <w:style w:type="character" w:customStyle="1" w:styleId="StopkaZnak">
    <w:name w:val="Stopka Znak"/>
    <w:basedOn w:val="Domylnaczcionkaakapitu"/>
    <w:link w:val="Stopka"/>
    <w:uiPriority w:val="99"/>
    <w:rsid w:val="005003E7"/>
  </w:style>
  <w:style w:type="character" w:styleId="Odwoaniedokomentarza">
    <w:name w:val="annotation reference"/>
    <w:uiPriority w:val="99"/>
    <w:semiHidden/>
    <w:unhideWhenUsed/>
    <w:rsid w:val="00501974"/>
    <w:rPr>
      <w:sz w:val="16"/>
      <w:szCs w:val="16"/>
    </w:rPr>
  </w:style>
  <w:style w:type="paragraph" w:styleId="Tekstkomentarza">
    <w:name w:val="annotation text"/>
    <w:basedOn w:val="Normalny"/>
    <w:link w:val="TekstkomentarzaZnak"/>
    <w:uiPriority w:val="99"/>
    <w:semiHidden/>
    <w:unhideWhenUsed/>
    <w:rsid w:val="00501974"/>
  </w:style>
  <w:style w:type="character" w:customStyle="1" w:styleId="TekstkomentarzaZnak">
    <w:name w:val="Tekst komentarza Znak"/>
    <w:basedOn w:val="Domylnaczcionkaakapitu"/>
    <w:link w:val="Tekstkomentarza"/>
    <w:uiPriority w:val="99"/>
    <w:semiHidden/>
    <w:rsid w:val="00501974"/>
  </w:style>
  <w:style w:type="paragraph" w:styleId="Tematkomentarza">
    <w:name w:val="annotation subject"/>
    <w:basedOn w:val="Tekstkomentarza"/>
    <w:next w:val="Tekstkomentarza"/>
    <w:link w:val="TematkomentarzaZnak"/>
    <w:uiPriority w:val="99"/>
    <w:semiHidden/>
    <w:unhideWhenUsed/>
    <w:rsid w:val="00501974"/>
    <w:rPr>
      <w:b/>
      <w:bCs/>
    </w:rPr>
  </w:style>
  <w:style w:type="character" w:customStyle="1" w:styleId="TematkomentarzaZnak">
    <w:name w:val="Temat komentarza Znak"/>
    <w:link w:val="Tematkomentarza"/>
    <w:uiPriority w:val="99"/>
    <w:semiHidden/>
    <w:rsid w:val="00501974"/>
    <w:rPr>
      <w:b/>
      <w:bCs/>
    </w:rPr>
  </w:style>
  <w:style w:type="paragraph" w:styleId="Akapitzlist">
    <w:name w:val="List Paragraph"/>
    <w:basedOn w:val="Normalny"/>
    <w:uiPriority w:val="34"/>
    <w:qFormat/>
    <w:rsid w:val="00A61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81533">
      <w:bodyDiv w:val="1"/>
      <w:marLeft w:val="0"/>
      <w:marRight w:val="0"/>
      <w:marTop w:val="0"/>
      <w:marBottom w:val="0"/>
      <w:divBdr>
        <w:top w:val="none" w:sz="0" w:space="0" w:color="auto"/>
        <w:left w:val="none" w:sz="0" w:space="0" w:color="auto"/>
        <w:bottom w:val="none" w:sz="0" w:space="0" w:color="auto"/>
        <w:right w:val="none" w:sz="0" w:space="0" w:color="auto"/>
      </w:divBdr>
      <w:divsChild>
        <w:div w:id="598757830">
          <w:marLeft w:val="0"/>
          <w:marRight w:val="0"/>
          <w:marTop w:val="0"/>
          <w:marBottom w:val="0"/>
          <w:divBdr>
            <w:top w:val="none" w:sz="0" w:space="0" w:color="auto"/>
            <w:left w:val="none" w:sz="0" w:space="0" w:color="auto"/>
            <w:bottom w:val="none" w:sz="0" w:space="0" w:color="auto"/>
            <w:right w:val="none" w:sz="0" w:space="0" w:color="auto"/>
          </w:divBdr>
          <w:divsChild>
            <w:div w:id="656883377">
              <w:marLeft w:val="0"/>
              <w:marRight w:val="0"/>
              <w:marTop w:val="0"/>
              <w:marBottom w:val="0"/>
              <w:divBdr>
                <w:top w:val="none" w:sz="0" w:space="0" w:color="auto"/>
                <w:left w:val="none" w:sz="0" w:space="0" w:color="auto"/>
                <w:bottom w:val="none" w:sz="0" w:space="0" w:color="auto"/>
                <w:right w:val="none" w:sz="0" w:space="0" w:color="auto"/>
              </w:divBdr>
            </w:div>
          </w:divsChild>
        </w:div>
        <w:div w:id="898711961">
          <w:marLeft w:val="0"/>
          <w:marRight w:val="0"/>
          <w:marTop w:val="0"/>
          <w:marBottom w:val="0"/>
          <w:divBdr>
            <w:top w:val="none" w:sz="0" w:space="0" w:color="auto"/>
            <w:left w:val="none" w:sz="0" w:space="0" w:color="auto"/>
            <w:bottom w:val="none" w:sz="0" w:space="0" w:color="auto"/>
            <w:right w:val="none" w:sz="0" w:space="0" w:color="auto"/>
          </w:divBdr>
        </w:div>
      </w:divsChild>
    </w:div>
    <w:div w:id="2031567610">
      <w:bodyDiv w:val="1"/>
      <w:marLeft w:val="0"/>
      <w:marRight w:val="0"/>
      <w:marTop w:val="0"/>
      <w:marBottom w:val="0"/>
      <w:divBdr>
        <w:top w:val="none" w:sz="0" w:space="0" w:color="auto"/>
        <w:left w:val="none" w:sz="0" w:space="0" w:color="auto"/>
        <w:bottom w:val="none" w:sz="0" w:space="0" w:color="auto"/>
        <w:right w:val="none" w:sz="0" w:space="0" w:color="auto"/>
      </w:divBdr>
      <w:divsChild>
        <w:div w:id="833880486">
          <w:marLeft w:val="0"/>
          <w:marRight w:val="0"/>
          <w:marTop w:val="0"/>
          <w:marBottom w:val="0"/>
          <w:divBdr>
            <w:top w:val="none" w:sz="0" w:space="0" w:color="auto"/>
            <w:left w:val="none" w:sz="0" w:space="0" w:color="auto"/>
            <w:bottom w:val="none" w:sz="0" w:space="0" w:color="auto"/>
            <w:right w:val="none" w:sz="0" w:space="0" w:color="auto"/>
          </w:divBdr>
          <w:divsChild>
            <w:div w:id="238489392">
              <w:marLeft w:val="0"/>
              <w:marRight w:val="0"/>
              <w:marTop w:val="0"/>
              <w:marBottom w:val="0"/>
              <w:divBdr>
                <w:top w:val="none" w:sz="0" w:space="0" w:color="auto"/>
                <w:left w:val="none" w:sz="0" w:space="0" w:color="auto"/>
                <w:bottom w:val="none" w:sz="0" w:space="0" w:color="auto"/>
                <w:right w:val="none" w:sz="0" w:space="0" w:color="auto"/>
              </w:divBdr>
            </w:div>
          </w:divsChild>
        </w:div>
        <w:div w:id="13705662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press" TargetMode="External"/><Relationship Id="rId117" Type="http://schemas.openxmlformats.org/officeDocument/2006/relationships/hyperlink" Target="https://hudoc.echr.coe.int/fre" TargetMode="External"/><Relationship Id="rId21" Type="http://schemas.openxmlformats.org/officeDocument/2006/relationships/hyperlink" Target="http://hudoc.echr.coe.int/eng?i=001-167801" TargetMode="External"/><Relationship Id="rId42" Type="http://schemas.openxmlformats.org/officeDocument/2006/relationships/hyperlink" Target="https://hudoc.echr.coe.int/eng-press" TargetMode="External"/><Relationship Id="rId47" Type="http://schemas.openxmlformats.org/officeDocument/2006/relationships/hyperlink" Target="https://hudoc.echr.coe.int/eng" TargetMode="External"/><Relationship Id="rId63" Type="http://schemas.openxmlformats.org/officeDocument/2006/relationships/hyperlink" Target="https://hudoc.echr.coe.int/eng-press?i=003-4872410-5953858" TargetMode="External"/><Relationship Id="rId68" Type="http://schemas.openxmlformats.org/officeDocument/2006/relationships/hyperlink" Target="https://hudoc.echr.coe.int/fre-press?i=003-6308613-8238123" TargetMode="External"/><Relationship Id="rId84" Type="http://schemas.openxmlformats.org/officeDocument/2006/relationships/hyperlink" Target="http://hudoc.echr.coe.int/eng-press?i=003-68482-68950" TargetMode="External"/><Relationship Id="rId89" Type="http://schemas.openxmlformats.org/officeDocument/2006/relationships/hyperlink" Target="https://hudoc.echr.coe.int/eng" TargetMode="External"/><Relationship Id="rId112" Type="http://schemas.openxmlformats.org/officeDocument/2006/relationships/hyperlink" Target="https://hudoc.echr.coe.int/fre-press" TargetMode="External"/><Relationship Id="rId16" Type="http://schemas.openxmlformats.org/officeDocument/2006/relationships/hyperlink" Target="https://hudoc.echr.coe.int/eng" TargetMode="External"/><Relationship Id="rId107" Type="http://schemas.openxmlformats.org/officeDocument/2006/relationships/hyperlink" Target="https://hudoc.echr.coe.int/eng-press" TargetMode="External"/><Relationship Id="rId11" Type="http://schemas.openxmlformats.org/officeDocument/2006/relationships/hyperlink" Target="https://hudoc.echr.coe.int/eng-press" TargetMode="External"/><Relationship Id="rId32" Type="http://schemas.openxmlformats.org/officeDocument/2006/relationships/hyperlink" Target="https://hudoc.echr.coe.int/fre-press" TargetMode="External"/><Relationship Id="rId37" Type="http://schemas.openxmlformats.org/officeDocument/2006/relationships/hyperlink" Target="https://hudoc.echr.coe.int/fre" TargetMode="External"/><Relationship Id="rId53" Type="http://schemas.openxmlformats.org/officeDocument/2006/relationships/hyperlink" Target="https://hudoc.echr.coe.int/fre-press" TargetMode="External"/><Relationship Id="rId58" Type="http://schemas.openxmlformats.org/officeDocument/2006/relationships/hyperlink" Target="https://hudoc.echr.coe.int/eng-press" TargetMode="External"/><Relationship Id="rId74" Type="http://schemas.openxmlformats.org/officeDocument/2006/relationships/hyperlink" Target="https://hudoc.echr.coe.int/fre-press?i=003-7877090-10950833" TargetMode="External"/><Relationship Id="rId79" Type="http://schemas.openxmlformats.org/officeDocument/2006/relationships/hyperlink" Target="https://hudoc.echr.coe.int/eng" TargetMode="External"/><Relationship Id="rId102" Type="http://schemas.openxmlformats.org/officeDocument/2006/relationships/hyperlink" Target="https://hudoc.echr.coe.int/fre" TargetMode="External"/><Relationship Id="rId123"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hudoc.echr.coe.int/eng?i=002-8905" TargetMode="External"/><Relationship Id="rId95" Type="http://schemas.openxmlformats.org/officeDocument/2006/relationships/hyperlink" Target="https://hudoc.echr.coe.int/eng-press?i=003-4388678-5269107" TargetMode="External"/><Relationship Id="rId22" Type="http://schemas.openxmlformats.org/officeDocument/2006/relationships/hyperlink" Target="https://hudoc.echr.coe.int/eng-press" TargetMode="External"/><Relationship Id="rId27" Type="http://schemas.openxmlformats.org/officeDocument/2006/relationships/hyperlink" Target="https://hudoc.echr.coe.int/eng-press" TargetMode="External"/><Relationship Id="rId43" Type="http://schemas.openxmlformats.org/officeDocument/2006/relationships/hyperlink" Target="https://hudoc.echr.coe.int/eng-press" TargetMode="External"/><Relationship Id="rId48" Type="http://schemas.openxmlformats.org/officeDocument/2006/relationships/hyperlink" Target="https://hudoc.echr.coe.int/eng-press" TargetMode="External"/><Relationship Id="rId64" Type="http://schemas.openxmlformats.org/officeDocument/2006/relationships/hyperlink" Target="https://hudoc.echr.coe.int/eng" TargetMode="External"/><Relationship Id="rId69" Type="http://schemas.openxmlformats.org/officeDocument/2006/relationships/hyperlink" Target="https://hudoc.echr.coe.int/eng-press" TargetMode="External"/><Relationship Id="rId113" Type="http://schemas.openxmlformats.org/officeDocument/2006/relationships/hyperlink" Target="https://hudoc.echr.coe.int/eng-press" TargetMode="External"/><Relationship Id="rId118" Type="http://schemas.openxmlformats.org/officeDocument/2006/relationships/hyperlink" Target="https://hudoc.echr.coe.int/eng-press" TargetMode="External"/><Relationship Id="rId80" Type="http://schemas.openxmlformats.org/officeDocument/2006/relationships/hyperlink" Target="https://hudoc.echr.coe.int/eng-press" TargetMode="External"/><Relationship Id="rId85" Type="http://schemas.openxmlformats.org/officeDocument/2006/relationships/hyperlink" Target="https://hudoc.echr.coe.int/eng?i=003-1584657-1658907" TargetMode="External"/><Relationship Id="rId12" Type="http://schemas.openxmlformats.org/officeDocument/2006/relationships/hyperlink" Target="https://hudoc.echr.coe.int/eng-press" TargetMode="External"/><Relationship Id="rId17" Type="http://schemas.openxmlformats.org/officeDocument/2006/relationships/hyperlink" Target="https://hudoc.echr.coe.int/eng?i=001-58144"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press" TargetMode="External"/><Relationship Id="rId59" Type="http://schemas.openxmlformats.org/officeDocument/2006/relationships/hyperlink" Target="https://hudoc.echr.coe.int/eng" TargetMode="External"/><Relationship Id="rId103" Type="http://schemas.openxmlformats.org/officeDocument/2006/relationships/hyperlink" Target="https://hudoc.echr.coe.int/eng" TargetMode="External"/><Relationship Id="rId108" Type="http://schemas.openxmlformats.org/officeDocument/2006/relationships/hyperlink" Target="https://hudoc.echr.coe.int/eng-press" TargetMode="External"/><Relationship Id="rId124" Type="http://schemas.openxmlformats.org/officeDocument/2006/relationships/fontTable" Target="fontTable.xml"/><Relationship Id="rId54" Type="http://schemas.openxmlformats.org/officeDocument/2006/relationships/hyperlink" Target="https://hudoc.echr.coe.int/eng?i=001-147352" TargetMode="External"/><Relationship Id="rId70" Type="http://schemas.openxmlformats.org/officeDocument/2006/relationships/hyperlink" Target="https://hudoc.echr.coe.int/eng-press" TargetMode="External"/><Relationship Id="rId75" Type="http://schemas.openxmlformats.org/officeDocument/2006/relationships/hyperlink" Target="https://hudoc.echr.coe.int/eng" TargetMode="External"/><Relationship Id="rId91" Type="http://schemas.openxmlformats.org/officeDocument/2006/relationships/hyperlink" Target="https://hudoc.echr.coe.int/eng-press?i=003-687182-694690" TargetMode="External"/><Relationship Id="rId96" Type="http://schemas.openxmlformats.org/officeDocument/2006/relationships/hyperlink" Target="http://hudoc.echr.coe.int/eng?i=001-16104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udoc.echr.coe.int/eng-press" TargetMode="External"/><Relationship Id="rId28" Type="http://schemas.openxmlformats.org/officeDocument/2006/relationships/hyperlink" Target="https://hudoc.echr.coe.int/fre-press" TargetMode="External"/><Relationship Id="rId49" Type="http://schemas.openxmlformats.org/officeDocument/2006/relationships/hyperlink" Target="https://hudoc.echr.coe.int/eng" TargetMode="External"/><Relationship Id="rId114" Type="http://schemas.openxmlformats.org/officeDocument/2006/relationships/hyperlink" Target="https://hudoc.echr.coe.int/fre" TargetMode="External"/><Relationship Id="rId119" Type="http://schemas.openxmlformats.org/officeDocument/2006/relationships/hyperlink" Target="https://hudoc.echr.coe.int/eng-press" TargetMode="External"/><Relationship Id="rId44" Type="http://schemas.openxmlformats.org/officeDocument/2006/relationships/hyperlink" Target="https://hudoc.echr.coe.int/eng-press" TargetMode="External"/><Relationship Id="rId60" Type="http://schemas.openxmlformats.org/officeDocument/2006/relationships/hyperlink" Target="https://hudoc.echr.coe.int/fre-press" TargetMode="External"/><Relationship Id="rId65" Type="http://schemas.openxmlformats.org/officeDocument/2006/relationships/hyperlink" Target="https://hudoc.echr.coe.int/eng-press" TargetMode="External"/><Relationship Id="rId81" Type="http://schemas.openxmlformats.org/officeDocument/2006/relationships/hyperlink" Target="https://hudoc.echr.coe.int/eng-press?i=003-6302554-8226649" TargetMode="External"/><Relationship Id="rId86" Type="http://schemas.openxmlformats.org/officeDocument/2006/relationships/hyperlink" Target="https://hudoc.echr.coe.int/eng-press" TargetMode="External"/><Relationship Id="rId13" Type="http://schemas.openxmlformats.org/officeDocument/2006/relationships/hyperlink" Target="https://hudoc.echr.coe.int/eng-press" TargetMode="External"/><Relationship Id="rId18" Type="http://schemas.openxmlformats.org/officeDocument/2006/relationships/hyperlink" Target="https://hudoc.echr.coe.int/eng?i=001-71789" TargetMode="External"/><Relationship Id="rId39" Type="http://schemas.openxmlformats.org/officeDocument/2006/relationships/hyperlink" Target="https://hudoc.echr.coe.int/eng" TargetMode="External"/><Relationship Id="rId109" Type="http://schemas.openxmlformats.org/officeDocument/2006/relationships/hyperlink" Target="https://hudoc.echr.coe.int/eng-press" TargetMode="External"/><Relationship Id="rId34" Type="http://schemas.openxmlformats.org/officeDocument/2006/relationships/hyperlink" Target="https://hudoc.echr.coe.int/eng" TargetMode="External"/><Relationship Id="rId50" Type="http://schemas.openxmlformats.org/officeDocument/2006/relationships/hyperlink" Target="https://hudoc.echr.coe.int/eng-press" TargetMode="External"/><Relationship Id="rId55" Type="http://schemas.openxmlformats.org/officeDocument/2006/relationships/hyperlink" Target="https://hudoc.echr.coe.int/eng-press" TargetMode="External"/><Relationship Id="rId76" Type="http://schemas.openxmlformats.org/officeDocument/2006/relationships/hyperlink" Target="https://hudoc.echr.coe.int/eng" TargetMode="External"/><Relationship Id="rId97" Type="http://schemas.openxmlformats.org/officeDocument/2006/relationships/hyperlink" Target="https://hudoc.echr.coe.int/eng" TargetMode="External"/><Relationship Id="rId104" Type="http://schemas.openxmlformats.org/officeDocument/2006/relationships/hyperlink" Target="https://hudoc.echr.coe.int/eng-press" TargetMode="External"/><Relationship Id="rId120" Type="http://schemas.openxmlformats.org/officeDocument/2006/relationships/hyperlink" Target="Platforma%20wymiany%20wiedzy%20na%20temat%20EKPC%20(ECHR-KS),%20Ochrona%20danych"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hudoc.echr.coe.int/eng-press" TargetMode="External"/><Relationship Id="rId92" Type="http://schemas.openxmlformats.org/officeDocument/2006/relationships/hyperlink" Target="https://hudoc.echr.coe.int/eng?i=002-3281" TargetMode="External"/><Relationship Id="rId2" Type="http://schemas.openxmlformats.org/officeDocument/2006/relationships/numbering" Target="numbering.xml"/><Relationship Id="rId29" Type="http://schemas.openxmlformats.org/officeDocument/2006/relationships/hyperlink" Target="https://hudoc.echr.coe.int/fre" TargetMode="External"/><Relationship Id="rId24" Type="http://schemas.openxmlformats.org/officeDocument/2006/relationships/hyperlink" Target="https://hudoc.echr.coe.int/eng" TargetMode="External"/><Relationship Id="rId40" Type="http://schemas.openxmlformats.org/officeDocument/2006/relationships/hyperlink" Target="https://hudoc.echr.coe.int/fre-press" TargetMode="External"/><Relationship Id="rId45" Type="http://schemas.openxmlformats.org/officeDocument/2006/relationships/hyperlink" Target="https://hudoc.echr.coe.int/eng-press" TargetMode="External"/><Relationship Id="rId66" Type="http://schemas.openxmlformats.org/officeDocument/2006/relationships/hyperlink" Target="https://hudoc.echr.coe.int/eng-press" TargetMode="External"/><Relationship Id="rId87" Type="http://schemas.openxmlformats.org/officeDocument/2006/relationships/hyperlink" Target="https://hudoc.echr.coe.int/eng" TargetMode="External"/><Relationship Id="rId110" Type="http://schemas.openxmlformats.org/officeDocument/2006/relationships/hyperlink" Target="https://hudoc.echr.coe.int/eng" TargetMode="External"/><Relationship Id="rId115" Type="http://schemas.openxmlformats.org/officeDocument/2006/relationships/hyperlink" Target="https://hudoc.echr.coe.int/fre" TargetMode="External"/><Relationship Id="rId61" Type="http://schemas.openxmlformats.org/officeDocument/2006/relationships/hyperlink" Target="https://hudoc.echr.coe.int/eng" TargetMode="External"/><Relationship Id="rId82" Type="http://schemas.openxmlformats.org/officeDocument/2006/relationships/hyperlink" Target="https://hudoc.echr.coe.int/fre" TargetMode="External"/><Relationship Id="rId19" Type="http://schemas.openxmlformats.org/officeDocument/2006/relationships/hyperlink" Target="https://hudoc.echr.coe.int/eng-press?i=003-3133083-3481117" TargetMode="External"/><Relationship Id="rId14" Type="http://schemas.openxmlformats.org/officeDocument/2006/relationships/hyperlink" Target="https://hudoc.echr.coe.int/eng" TargetMode="External"/><Relationship Id="rId30" Type="http://schemas.openxmlformats.org/officeDocument/2006/relationships/hyperlink" Target="https://hudoc.echr.coe.int/eng-press" TargetMode="External"/><Relationship Id="rId35" Type="http://schemas.openxmlformats.org/officeDocument/2006/relationships/hyperlink" Target="https://hudoc.echr.coe.int/eng" TargetMode="External"/><Relationship Id="rId56" Type="http://schemas.openxmlformats.org/officeDocument/2006/relationships/hyperlink" Target="https://hudoc.echr.coe.int/eng" TargetMode="External"/><Relationship Id="rId77" Type="http://schemas.openxmlformats.org/officeDocument/2006/relationships/hyperlink" Target="https://hudoc.echr.coe.int/eng" TargetMode="External"/><Relationship Id="rId100" Type="http://schemas.openxmlformats.org/officeDocument/2006/relationships/hyperlink" Target="https://hudoc.echr.coe.int/eng-press" TargetMode="External"/><Relationship Id="rId105" Type="http://schemas.openxmlformats.org/officeDocument/2006/relationships/hyperlink" Target="https://hudoc.echr.coe.int/eng-press" TargetMode="External"/><Relationship Id="rId8" Type="http://schemas.openxmlformats.org/officeDocument/2006/relationships/image" Target="media/image1.jpeg"/><Relationship Id="rId51" Type="http://schemas.openxmlformats.org/officeDocument/2006/relationships/hyperlink" Target="http://hudoc.echr.coe.int/eng-press?i=003-5927767-7571421" TargetMode="External"/><Relationship Id="rId72" Type="http://schemas.openxmlformats.org/officeDocument/2006/relationships/hyperlink" Target="https://hudoc.echr.coe.int/eng" TargetMode="External"/><Relationship Id="rId93" Type="http://schemas.openxmlformats.org/officeDocument/2006/relationships/hyperlink" Target="https://hudoc.echr.coe.int/eng?i=003-2558775-2780393" TargetMode="External"/><Relationship Id="rId98" Type="http://schemas.openxmlformats.org/officeDocument/2006/relationships/hyperlink" Target="https://hudoc.echr.coe.int/eng-press" TargetMode="External"/><Relationship Id="rId121" Type="http://schemas.openxmlformats.org/officeDocument/2006/relationships/hyperlink" Target="http://www.coe.int/t/dghl/standardsetting/dataprotection/default_EN.asp?" TargetMode="External"/><Relationship Id="rId3" Type="http://schemas.openxmlformats.org/officeDocument/2006/relationships/styles" Target="styles.xml"/><Relationship Id="rId25" Type="http://schemas.openxmlformats.org/officeDocument/2006/relationships/hyperlink" Target="https://hudoc.echr.coe.int/eng" TargetMode="External"/><Relationship Id="rId46" Type="http://schemas.openxmlformats.org/officeDocument/2006/relationships/hyperlink" Target="http://hudoc.echr.coe.int/eng-press?i=003-5927767-7571421" TargetMode="External"/><Relationship Id="rId67" Type="http://schemas.openxmlformats.org/officeDocument/2006/relationships/hyperlink" Target="https://hudoc.echr.coe.int/eng-press?i=003-5758394-7320005" TargetMode="External"/><Relationship Id="rId116" Type="http://schemas.openxmlformats.org/officeDocument/2006/relationships/hyperlink" Target="https://hudoc.echr.coe.int/fre" TargetMode="External"/><Relationship Id="rId20" Type="http://schemas.openxmlformats.org/officeDocument/2006/relationships/hyperlink" Target="https://hudoc.echr.coe.int/eng-press" TargetMode="External"/><Relationship Id="rId41" Type="http://schemas.openxmlformats.org/officeDocument/2006/relationships/hyperlink" Target="https://hudoc.echr.coe.int/eng-press" TargetMode="External"/><Relationship Id="rId62" Type="http://schemas.openxmlformats.org/officeDocument/2006/relationships/hyperlink" Target="http://hudoc.echr.coe.int/eng?i=001-91123" TargetMode="External"/><Relationship Id="rId83" Type="http://schemas.openxmlformats.org/officeDocument/2006/relationships/hyperlink" Target="https://hudoc.echr.coe.int/eng?i=001-57519" TargetMode="External"/><Relationship Id="rId88" Type="http://schemas.openxmlformats.org/officeDocument/2006/relationships/hyperlink" Target="http://hudoc.echr.coe.int/fre?i=001-162150" TargetMode="External"/><Relationship Id="rId111" Type="http://schemas.openxmlformats.org/officeDocument/2006/relationships/hyperlink" Target="https://hudoc.echr.coe.int/eng" TargetMode="External"/><Relationship Id="rId15"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57" Type="http://schemas.openxmlformats.org/officeDocument/2006/relationships/hyperlink" Target="https://hudoc.echr.coe.int/eng-press" TargetMode="External"/><Relationship Id="rId106" Type="http://schemas.openxmlformats.org/officeDocument/2006/relationships/hyperlink" Target="https://hudoc.echr.coe.int/eng" TargetMode="External"/><Relationship Id="rId10" Type="http://schemas.openxmlformats.org/officeDocument/2006/relationships/hyperlink" Target="https://hudoc.echr.coe.int/fre-press" TargetMode="External"/><Relationship Id="rId31" Type="http://schemas.openxmlformats.org/officeDocument/2006/relationships/hyperlink" Target="https://hudoc.echr.coe.int/eng-press" TargetMode="External"/><Relationship Id="rId52" Type="http://schemas.openxmlformats.org/officeDocument/2006/relationships/hyperlink" Target="https://hudoc.echr.coe.int/eng-press" TargetMode="External"/><Relationship Id="rId73" Type="http://schemas.openxmlformats.org/officeDocument/2006/relationships/hyperlink" Target="https://hudoc.echr.coe.int/fre-press" TargetMode="External"/><Relationship Id="rId78" Type="http://schemas.openxmlformats.org/officeDocument/2006/relationships/hyperlink" Target="https://hudoc.echr.coe.int/sites/eng/pages/search.aspx?i=002-3113" TargetMode="External"/><Relationship Id="rId94" Type="http://schemas.openxmlformats.org/officeDocument/2006/relationships/hyperlink" Target="file:///C:\Users\wioleta.podwysocka\Desktop\Biriuk%20v.%20Lithuania" TargetMode="External"/><Relationship Id="rId99" Type="http://schemas.openxmlformats.org/officeDocument/2006/relationships/hyperlink" Target="https://hudoc.echr.coe.int/fre" TargetMode="External"/><Relationship Id="rId101" Type="http://schemas.openxmlformats.org/officeDocument/2006/relationships/hyperlink" Target="https://hudoc.echr.coe.int/fre"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udoc.echr.coe.int/e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attachment/b40f1da1-6ac0-4cbc-9313-28bc090abe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D7134-7924-4D1B-B545-4DEBDD13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19427</Words>
  <Characters>116562</Characters>
  <Application>Microsoft Office Word</Application>
  <DocSecurity>0</DocSecurity>
  <Lines>971</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135718</CharactersWithSpaces>
  <SharedDoc>false</SharedDoc>
  <HLinks>
    <vt:vector size="294" baseType="variant">
      <vt:variant>
        <vt:i4>5111919</vt:i4>
      </vt:variant>
      <vt:variant>
        <vt:i4>144</vt:i4>
      </vt:variant>
      <vt:variant>
        <vt:i4>0</vt:i4>
      </vt:variant>
      <vt:variant>
        <vt:i4>5</vt:i4>
      </vt:variant>
      <vt:variant>
        <vt:lpwstr>http://www.coe.int/t/dghl/standardsetting/dataprotection/default_EN.asp?</vt:lpwstr>
      </vt:variant>
      <vt:variant>
        <vt:lpwstr/>
      </vt:variant>
      <vt:variant>
        <vt:i4>2949237</vt:i4>
      </vt:variant>
      <vt:variant>
        <vt:i4>141</vt:i4>
      </vt:variant>
      <vt:variant>
        <vt:i4>0</vt:i4>
      </vt:variant>
      <vt:variant>
        <vt:i4>5</vt:i4>
      </vt:variant>
      <vt:variant>
        <vt:lpwstr>https://hudoc.echr.coe.int/eng-press?i=003-5767838-7331982</vt:lpwstr>
      </vt:variant>
      <vt:variant>
        <vt:lpwstr/>
      </vt:variant>
      <vt:variant>
        <vt:i4>2621545</vt:i4>
      </vt:variant>
      <vt:variant>
        <vt:i4>138</vt:i4>
      </vt:variant>
      <vt:variant>
        <vt:i4>0</vt:i4>
      </vt:variant>
      <vt:variant>
        <vt:i4>5</vt:i4>
      </vt:variant>
      <vt:variant>
        <vt:lpwstr>http://hudoc.echr.coe.int/eng?i=001-161048</vt:lpwstr>
      </vt:variant>
      <vt:variant>
        <vt:lpwstr/>
      </vt:variant>
      <vt:variant>
        <vt:i4>2490491</vt:i4>
      </vt:variant>
      <vt:variant>
        <vt:i4>135</vt:i4>
      </vt:variant>
      <vt:variant>
        <vt:i4>0</vt:i4>
      </vt:variant>
      <vt:variant>
        <vt:i4>5</vt:i4>
      </vt:variant>
      <vt:variant>
        <vt:lpwstr>https://hudoc.echr.coe.int/eng-press?i=003-4388678-5269107</vt:lpwstr>
      </vt:variant>
      <vt:variant>
        <vt:lpwstr/>
      </vt:variant>
      <vt:variant>
        <vt:i4>3407976</vt:i4>
      </vt:variant>
      <vt:variant>
        <vt:i4>132</vt:i4>
      </vt:variant>
      <vt:variant>
        <vt:i4>0</vt:i4>
      </vt:variant>
      <vt:variant>
        <vt:i4>5</vt:i4>
      </vt:variant>
      <vt:variant>
        <vt:lpwstr>Biriuk v. Lithuania</vt:lpwstr>
      </vt:variant>
      <vt:variant>
        <vt:lpwstr/>
      </vt:variant>
      <vt:variant>
        <vt:i4>4718676</vt:i4>
      </vt:variant>
      <vt:variant>
        <vt:i4>129</vt:i4>
      </vt:variant>
      <vt:variant>
        <vt:i4>0</vt:i4>
      </vt:variant>
      <vt:variant>
        <vt:i4>5</vt:i4>
      </vt:variant>
      <vt:variant>
        <vt:lpwstr>https://hudoc.echr.coe.int/eng?i=003-2558775-2780393</vt:lpwstr>
      </vt:variant>
      <vt:variant>
        <vt:lpwstr/>
      </vt:variant>
      <vt:variant>
        <vt:i4>5046351</vt:i4>
      </vt:variant>
      <vt:variant>
        <vt:i4>126</vt:i4>
      </vt:variant>
      <vt:variant>
        <vt:i4>0</vt:i4>
      </vt:variant>
      <vt:variant>
        <vt:i4>5</vt:i4>
      </vt:variant>
      <vt:variant>
        <vt:lpwstr>https://hudoc.echr.coe.int/eng?i=002-3281</vt:lpwstr>
      </vt:variant>
      <vt:variant>
        <vt:lpwstr/>
      </vt:variant>
      <vt:variant>
        <vt:i4>655441</vt:i4>
      </vt:variant>
      <vt:variant>
        <vt:i4>123</vt:i4>
      </vt:variant>
      <vt:variant>
        <vt:i4>0</vt:i4>
      </vt:variant>
      <vt:variant>
        <vt:i4>5</vt:i4>
      </vt:variant>
      <vt:variant>
        <vt:lpwstr>https://hudoc.echr.coe.int/eng-press?i=003-687182-694690</vt:lpwstr>
      </vt:variant>
      <vt:variant>
        <vt:lpwstr/>
      </vt:variant>
      <vt:variant>
        <vt:i4>5111876</vt:i4>
      </vt:variant>
      <vt:variant>
        <vt:i4>120</vt:i4>
      </vt:variant>
      <vt:variant>
        <vt:i4>0</vt:i4>
      </vt:variant>
      <vt:variant>
        <vt:i4>5</vt:i4>
      </vt:variant>
      <vt:variant>
        <vt:lpwstr>https://hudoc.echr.coe.int/eng?i=002-8905</vt:lpwstr>
      </vt:variant>
      <vt:variant>
        <vt:lpwstr/>
      </vt:variant>
      <vt:variant>
        <vt:i4>2883631</vt:i4>
      </vt:variant>
      <vt:variant>
        <vt:i4>117</vt:i4>
      </vt:variant>
      <vt:variant>
        <vt:i4>0</vt:i4>
      </vt:variant>
      <vt:variant>
        <vt:i4>5</vt:i4>
      </vt:variant>
      <vt:variant>
        <vt:lpwstr>https://hudoc.echr.coe.int/eng</vt:lpwstr>
      </vt:variant>
      <vt:variant>
        <vt:lpwstr>{"itemid":["002-9432"]}</vt:lpwstr>
      </vt:variant>
      <vt:variant>
        <vt:i4>3997802</vt:i4>
      </vt:variant>
      <vt:variant>
        <vt:i4>114</vt:i4>
      </vt:variant>
      <vt:variant>
        <vt:i4>0</vt:i4>
      </vt:variant>
      <vt:variant>
        <vt:i4>5</vt:i4>
      </vt:variant>
      <vt:variant>
        <vt:lpwstr>http://hudoc.echr.coe.int/fre?i=001-162150</vt:lpwstr>
      </vt:variant>
      <vt:variant>
        <vt:lpwstr/>
      </vt:variant>
      <vt:variant>
        <vt:i4>4522074</vt:i4>
      </vt:variant>
      <vt:variant>
        <vt:i4>111</vt:i4>
      </vt:variant>
      <vt:variant>
        <vt:i4>0</vt:i4>
      </vt:variant>
      <vt:variant>
        <vt:i4>5</vt:i4>
      </vt:variant>
      <vt:variant>
        <vt:lpwstr>https://hudoc.echr.coe.int/eng?i=003-1584657-1658907</vt:lpwstr>
      </vt:variant>
      <vt:variant>
        <vt:lpwstr/>
      </vt:variant>
      <vt:variant>
        <vt:i4>1703942</vt:i4>
      </vt:variant>
      <vt:variant>
        <vt:i4>108</vt:i4>
      </vt:variant>
      <vt:variant>
        <vt:i4>0</vt:i4>
      </vt:variant>
      <vt:variant>
        <vt:i4>5</vt:i4>
      </vt:variant>
      <vt:variant>
        <vt:lpwstr>http://hudoc.echr.coe.int/eng-press?i=003-68482-68950</vt:lpwstr>
      </vt:variant>
      <vt:variant>
        <vt:lpwstr/>
      </vt:variant>
      <vt:variant>
        <vt:i4>8126587</vt:i4>
      </vt:variant>
      <vt:variant>
        <vt:i4>105</vt:i4>
      </vt:variant>
      <vt:variant>
        <vt:i4>0</vt:i4>
      </vt:variant>
      <vt:variant>
        <vt:i4>5</vt:i4>
      </vt:variant>
      <vt:variant>
        <vt:lpwstr>https://hudoc.echr.coe.int/eng?i=001-57519</vt:lpwstr>
      </vt:variant>
      <vt:variant>
        <vt:lpwstr/>
      </vt:variant>
      <vt:variant>
        <vt:i4>2293880</vt:i4>
      </vt:variant>
      <vt:variant>
        <vt:i4>102</vt:i4>
      </vt:variant>
      <vt:variant>
        <vt:i4>0</vt:i4>
      </vt:variant>
      <vt:variant>
        <vt:i4>5</vt:i4>
      </vt:variant>
      <vt:variant>
        <vt:lpwstr>https://hudoc.echr.coe.int/eng-press?i=003-6302554-8226649</vt:lpwstr>
      </vt:variant>
      <vt:variant>
        <vt:lpwstr/>
      </vt:variant>
      <vt:variant>
        <vt:i4>5</vt:i4>
      </vt:variant>
      <vt:variant>
        <vt:i4>99</vt:i4>
      </vt:variant>
      <vt:variant>
        <vt:i4>0</vt:i4>
      </vt:variant>
      <vt:variant>
        <vt:i4>5</vt:i4>
      </vt:variant>
      <vt:variant>
        <vt:lpwstr>https://hudoc.echr.coe.int/sites/eng/pages/search.aspx?i=002-3113</vt:lpwstr>
      </vt:variant>
      <vt:variant>
        <vt:lpwstr/>
      </vt:variant>
      <vt:variant>
        <vt:i4>2752610</vt:i4>
      </vt:variant>
      <vt:variant>
        <vt:i4>96</vt:i4>
      </vt:variant>
      <vt:variant>
        <vt:i4>0</vt:i4>
      </vt:variant>
      <vt:variant>
        <vt:i4>5</vt:i4>
      </vt:variant>
      <vt:variant>
        <vt:lpwstr>https://hudoc.echr.coe.int/fre-press?i=003-6308613-8238123</vt:lpwstr>
      </vt:variant>
      <vt:variant>
        <vt:lpwstr/>
      </vt:variant>
      <vt:variant>
        <vt:i4>2490489</vt:i4>
      </vt:variant>
      <vt:variant>
        <vt:i4>93</vt:i4>
      </vt:variant>
      <vt:variant>
        <vt:i4>0</vt:i4>
      </vt:variant>
      <vt:variant>
        <vt:i4>5</vt:i4>
      </vt:variant>
      <vt:variant>
        <vt:lpwstr>https://hudoc.echr.coe.int/eng-press?i=003-5758394-7320005</vt:lpwstr>
      </vt:variant>
      <vt:variant>
        <vt:lpwstr/>
      </vt:variant>
      <vt:variant>
        <vt:i4>2490488</vt:i4>
      </vt:variant>
      <vt:variant>
        <vt:i4>90</vt:i4>
      </vt:variant>
      <vt:variant>
        <vt:i4>0</vt:i4>
      </vt:variant>
      <vt:variant>
        <vt:i4>5</vt:i4>
      </vt:variant>
      <vt:variant>
        <vt:lpwstr>https://hudoc.echr.coe.int/eng-press?i=003-4872410-5953858</vt:lpwstr>
      </vt:variant>
      <vt:variant>
        <vt:lpwstr/>
      </vt:variant>
      <vt:variant>
        <vt:i4>1376341</vt:i4>
      </vt:variant>
      <vt:variant>
        <vt:i4>87</vt:i4>
      </vt:variant>
      <vt:variant>
        <vt:i4>0</vt:i4>
      </vt:variant>
      <vt:variant>
        <vt:i4>5</vt:i4>
      </vt:variant>
      <vt:variant>
        <vt:lpwstr>http://hudoc.echr.coe.int/eng?i=001-91123</vt:lpwstr>
      </vt:variant>
      <vt:variant>
        <vt:lpwstr/>
      </vt:variant>
      <vt:variant>
        <vt:i4>7733370</vt:i4>
      </vt:variant>
      <vt:variant>
        <vt:i4>84</vt:i4>
      </vt:variant>
      <vt:variant>
        <vt:i4>0</vt:i4>
      </vt:variant>
      <vt:variant>
        <vt:i4>5</vt:i4>
      </vt:variant>
      <vt:variant>
        <vt:lpwstr>https://hudoc.echr.coe.int/eng?i=001-147352</vt:lpwstr>
      </vt:variant>
      <vt:variant>
        <vt:lpwstr/>
      </vt:variant>
      <vt:variant>
        <vt:i4>1638410</vt:i4>
      </vt:variant>
      <vt:variant>
        <vt:i4>81</vt:i4>
      </vt:variant>
      <vt:variant>
        <vt:i4>0</vt:i4>
      </vt:variant>
      <vt:variant>
        <vt:i4>5</vt:i4>
      </vt:variant>
      <vt:variant>
        <vt:lpwstr>http://hudoc.echr.coe.int/eng-press?i=003-5927767-7571421</vt:lpwstr>
      </vt:variant>
      <vt:variant>
        <vt:lpwstr/>
      </vt:variant>
      <vt:variant>
        <vt:i4>2949217</vt:i4>
      </vt:variant>
      <vt:variant>
        <vt:i4>78</vt:i4>
      </vt:variant>
      <vt:variant>
        <vt:i4>0</vt:i4>
      </vt:variant>
      <vt:variant>
        <vt:i4>5</vt:i4>
      </vt:variant>
      <vt:variant>
        <vt:lpwstr>https://hudoc.echr.coe.int/eng</vt:lpwstr>
      </vt:variant>
      <vt:variant>
        <vt:lpwstr>{"itemid":["001-90051"]}</vt:lpwstr>
      </vt:variant>
      <vt:variant>
        <vt:i4>1638410</vt:i4>
      </vt:variant>
      <vt:variant>
        <vt:i4>75</vt:i4>
      </vt:variant>
      <vt:variant>
        <vt:i4>0</vt:i4>
      </vt:variant>
      <vt:variant>
        <vt:i4>5</vt:i4>
      </vt:variant>
      <vt:variant>
        <vt:lpwstr>http://hudoc.echr.coe.int/eng-press?i=003-5927767-7571421</vt:lpwstr>
      </vt:variant>
      <vt:variant>
        <vt:lpwstr/>
      </vt:variant>
      <vt:variant>
        <vt:i4>1638410</vt:i4>
      </vt:variant>
      <vt:variant>
        <vt:i4>72</vt:i4>
      </vt:variant>
      <vt:variant>
        <vt:i4>0</vt:i4>
      </vt:variant>
      <vt:variant>
        <vt:i4>5</vt:i4>
      </vt:variant>
      <vt:variant>
        <vt:lpwstr>http://hudoc.echr.coe.int/eng-press?i=003-5927767-7571421</vt:lpwstr>
      </vt:variant>
      <vt:variant>
        <vt:lpwstr/>
      </vt:variant>
      <vt:variant>
        <vt:i4>3604576</vt:i4>
      </vt:variant>
      <vt:variant>
        <vt:i4>69</vt:i4>
      </vt:variant>
      <vt:variant>
        <vt:i4>0</vt:i4>
      </vt:variant>
      <vt:variant>
        <vt:i4>5</vt:i4>
      </vt:variant>
      <vt:variant>
        <vt:lpwstr>http://hudoc.echr.coe.int/fre?i=001-175882</vt:lpwstr>
      </vt:variant>
      <vt:variant>
        <vt:lpwstr/>
      </vt:variant>
      <vt:variant>
        <vt:i4>2293868</vt:i4>
      </vt:variant>
      <vt:variant>
        <vt:i4>66</vt:i4>
      </vt:variant>
      <vt:variant>
        <vt:i4>0</vt:i4>
      </vt:variant>
      <vt:variant>
        <vt:i4>5</vt:i4>
      </vt:variant>
      <vt:variant>
        <vt:lpwstr>http://hudoc.echr.coe.int/eng?i=001-173634</vt:lpwstr>
      </vt:variant>
      <vt:variant>
        <vt:lpwstr/>
      </vt:variant>
      <vt:variant>
        <vt:i4>2293868</vt:i4>
      </vt:variant>
      <vt:variant>
        <vt:i4>63</vt:i4>
      </vt:variant>
      <vt:variant>
        <vt:i4>0</vt:i4>
      </vt:variant>
      <vt:variant>
        <vt:i4>5</vt:i4>
      </vt:variant>
      <vt:variant>
        <vt:lpwstr>http://hudoc.echr.coe.int/eng?i=001-173634</vt:lpwstr>
      </vt:variant>
      <vt:variant>
        <vt:lpwstr/>
      </vt:variant>
      <vt:variant>
        <vt:i4>3080296</vt:i4>
      </vt:variant>
      <vt:variant>
        <vt:i4>60</vt:i4>
      </vt:variant>
      <vt:variant>
        <vt:i4>0</vt:i4>
      </vt:variant>
      <vt:variant>
        <vt:i4>5</vt:i4>
      </vt:variant>
      <vt:variant>
        <vt:lpwstr>http://hudoc.echr.coe.int/eng?i=001-120348</vt:lpwstr>
      </vt:variant>
      <vt:variant>
        <vt:lpwstr/>
      </vt:variant>
      <vt:variant>
        <vt:i4>7077933</vt:i4>
      </vt:variant>
      <vt:variant>
        <vt:i4>57</vt:i4>
      </vt:variant>
      <vt:variant>
        <vt:i4>0</vt:i4>
      </vt:variant>
      <vt:variant>
        <vt:i4>5</vt:i4>
      </vt:variant>
      <vt:variant>
        <vt:lpwstr>http://hudoc.echr.coe.int/sites/eng/pages/search.aspx?i=001-120352</vt:lpwstr>
      </vt:variant>
      <vt:variant>
        <vt:lpwstr/>
      </vt:variant>
      <vt:variant>
        <vt:i4>1835012</vt:i4>
      </vt:variant>
      <vt:variant>
        <vt:i4>54</vt:i4>
      </vt:variant>
      <vt:variant>
        <vt:i4>0</vt:i4>
      </vt:variant>
      <vt:variant>
        <vt:i4>5</vt:i4>
      </vt:variant>
      <vt:variant>
        <vt:lpwstr>http://hudoc.echr.coe.int/eng-press?i=003-5907256-7537826</vt:lpwstr>
      </vt:variant>
      <vt:variant>
        <vt:lpwstr/>
      </vt:variant>
      <vt:variant>
        <vt:i4>2949231</vt:i4>
      </vt:variant>
      <vt:variant>
        <vt:i4>51</vt:i4>
      </vt:variant>
      <vt:variant>
        <vt:i4>0</vt:i4>
      </vt:variant>
      <vt:variant>
        <vt:i4>5</vt:i4>
      </vt:variant>
      <vt:variant>
        <vt:lpwstr>https://hudoc.echr.coe.int/eng</vt:lpwstr>
      </vt:variant>
      <vt:variant>
        <vt:lpwstr>{"itemid":["002-11743"]}</vt:lpwstr>
      </vt:variant>
      <vt:variant>
        <vt:i4>7209077</vt:i4>
      </vt:variant>
      <vt:variant>
        <vt:i4>48</vt:i4>
      </vt:variant>
      <vt:variant>
        <vt:i4>0</vt:i4>
      </vt:variant>
      <vt:variant>
        <vt:i4>5</vt:i4>
      </vt:variant>
      <vt:variant>
        <vt:lpwstr>https://hudoc.echr.coe.int/eng-press</vt:lpwstr>
      </vt:variant>
      <vt:variant>
        <vt:lpwstr>{"itemid":["003-5209726-6454540"]}</vt:lpwstr>
      </vt:variant>
      <vt:variant>
        <vt:i4>7209077</vt:i4>
      </vt:variant>
      <vt:variant>
        <vt:i4>45</vt:i4>
      </vt:variant>
      <vt:variant>
        <vt:i4>0</vt:i4>
      </vt:variant>
      <vt:variant>
        <vt:i4>5</vt:i4>
      </vt:variant>
      <vt:variant>
        <vt:lpwstr>https://hudoc.echr.coe.int/eng-press</vt:lpwstr>
      </vt:variant>
      <vt:variant>
        <vt:lpwstr>{"itemid":["003-5209726-6454540"]}</vt:lpwstr>
      </vt:variant>
      <vt:variant>
        <vt:i4>2687083</vt:i4>
      </vt:variant>
      <vt:variant>
        <vt:i4>42</vt:i4>
      </vt:variant>
      <vt:variant>
        <vt:i4>0</vt:i4>
      </vt:variant>
      <vt:variant>
        <vt:i4>5</vt:i4>
      </vt:variant>
      <vt:variant>
        <vt:lpwstr>http://hudoc.echr.coe.int/eng?i=001-167801</vt:lpwstr>
      </vt:variant>
      <vt:variant>
        <vt:lpwstr/>
      </vt:variant>
      <vt:variant>
        <vt:i4>3080306</vt:i4>
      </vt:variant>
      <vt:variant>
        <vt:i4>39</vt:i4>
      </vt:variant>
      <vt:variant>
        <vt:i4>0</vt:i4>
      </vt:variant>
      <vt:variant>
        <vt:i4>5</vt:i4>
      </vt:variant>
      <vt:variant>
        <vt:lpwstr>https://hudoc.echr.coe.int/eng-press?i=003-3133083-3481117</vt:lpwstr>
      </vt:variant>
      <vt:variant>
        <vt:lpwstr/>
      </vt:variant>
      <vt:variant>
        <vt:i4>8126580</vt:i4>
      </vt:variant>
      <vt:variant>
        <vt:i4>36</vt:i4>
      </vt:variant>
      <vt:variant>
        <vt:i4>0</vt:i4>
      </vt:variant>
      <vt:variant>
        <vt:i4>5</vt:i4>
      </vt:variant>
      <vt:variant>
        <vt:lpwstr>https://hudoc.echr.coe.int/eng?i=001-71789</vt:lpwstr>
      </vt:variant>
      <vt:variant>
        <vt:lpwstr/>
      </vt:variant>
      <vt:variant>
        <vt:i4>2162799</vt:i4>
      </vt:variant>
      <vt:variant>
        <vt:i4>33</vt:i4>
      </vt:variant>
      <vt:variant>
        <vt:i4>0</vt:i4>
      </vt:variant>
      <vt:variant>
        <vt:i4>5</vt:i4>
      </vt:variant>
      <vt:variant>
        <vt:lpwstr>https://hudoc.echr.coe.int/eng</vt:lpwstr>
      </vt:variant>
      <vt:variant>
        <vt:lpwstr>{"itemid":["001-60696"]}</vt:lpwstr>
      </vt:variant>
      <vt:variant>
        <vt:i4>2687087</vt:i4>
      </vt:variant>
      <vt:variant>
        <vt:i4>30</vt:i4>
      </vt:variant>
      <vt:variant>
        <vt:i4>0</vt:i4>
      </vt:variant>
      <vt:variant>
        <vt:i4>5</vt:i4>
      </vt:variant>
      <vt:variant>
        <vt:lpwstr>https://hudoc.echr.coe.int/eng</vt:lpwstr>
      </vt:variant>
      <vt:variant>
        <vt:lpwstr>{"itemid":["001-58497"]}</vt:lpwstr>
      </vt:variant>
      <vt:variant>
        <vt:i4>7667825</vt:i4>
      </vt:variant>
      <vt:variant>
        <vt:i4>27</vt:i4>
      </vt:variant>
      <vt:variant>
        <vt:i4>0</vt:i4>
      </vt:variant>
      <vt:variant>
        <vt:i4>5</vt:i4>
      </vt:variant>
      <vt:variant>
        <vt:lpwstr>https://hudoc.echr.coe.int/eng?i=001-58144</vt:lpwstr>
      </vt:variant>
      <vt:variant>
        <vt:lpwstr/>
      </vt:variant>
      <vt:variant>
        <vt:i4>2293861</vt:i4>
      </vt:variant>
      <vt:variant>
        <vt:i4>24</vt:i4>
      </vt:variant>
      <vt:variant>
        <vt:i4>0</vt:i4>
      </vt:variant>
      <vt:variant>
        <vt:i4>5</vt:i4>
      </vt:variant>
      <vt:variant>
        <vt:lpwstr>https://hudoc.echr.coe.int/eng</vt:lpwstr>
      </vt:variant>
      <vt:variant>
        <vt:lpwstr>{"itemid":["001-58039"]}</vt:lpwstr>
      </vt:variant>
      <vt:variant>
        <vt:i4>2949229</vt:i4>
      </vt:variant>
      <vt:variant>
        <vt:i4>21</vt:i4>
      </vt:variant>
      <vt:variant>
        <vt:i4>0</vt:i4>
      </vt:variant>
      <vt:variant>
        <vt:i4>5</vt:i4>
      </vt:variant>
      <vt:variant>
        <vt:lpwstr>https://hudoc.echr.coe.int/eng</vt:lpwstr>
      </vt:variant>
      <vt:variant>
        <vt:lpwstr>{"itemid":["001-57627"]}</vt:lpwstr>
      </vt:variant>
      <vt:variant>
        <vt:i4>2949228</vt:i4>
      </vt:variant>
      <vt:variant>
        <vt:i4>18</vt:i4>
      </vt:variant>
      <vt:variant>
        <vt:i4>0</vt:i4>
      </vt:variant>
      <vt:variant>
        <vt:i4>5</vt:i4>
      </vt:variant>
      <vt:variant>
        <vt:lpwstr>https://hudoc.echr.coe.int/eng</vt:lpwstr>
      </vt:variant>
      <vt:variant>
        <vt:lpwstr>{"itemid":["001-57626"]}</vt:lpwstr>
      </vt:variant>
      <vt:variant>
        <vt:i4>2883690</vt:i4>
      </vt:variant>
      <vt:variant>
        <vt:i4>15</vt:i4>
      </vt:variant>
      <vt:variant>
        <vt:i4>0</vt:i4>
      </vt:variant>
      <vt:variant>
        <vt:i4>5</vt:i4>
      </vt:variant>
      <vt:variant>
        <vt:lpwstr>https://hudoc.echr.coe.int/eng</vt:lpwstr>
      </vt:variant>
      <vt:variant>
        <vt:lpwstr>{"itemid":["001-57533"]}</vt:lpwstr>
      </vt:variant>
      <vt:variant>
        <vt:i4>5373977</vt:i4>
      </vt:variant>
      <vt:variant>
        <vt:i4>12</vt:i4>
      </vt:variant>
      <vt:variant>
        <vt:i4>0</vt:i4>
      </vt:variant>
      <vt:variant>
        <vt:i4>5</vt:i4>
      </vt:variant>
      <vt:variant>
        <vt:lpwstr>https://hudoc.echr.coe.int/eng</vt:lpwstr>
      </vt:variant>
      <vt:variant>
        <vt:lpwstr>{"dmdocnumber":["695387"],"display":[0]}</vt:lpwstr>
      </vt:variant>
      <vt:variant>
        <vt:i4>2883626</vt:i4>
      </vt:variant>
      <vt:variant>
        <vt:i4>9</vt:i4>
      </vt:variant>
      <vt:variant>
        <vt:i4>0</vt:i4>
      </vt:variant>
      <vt:variant>
        <vt:i4>5</vt:i4>
      </vt:variant>
      <vt:variant>
        <vt:lpwstr>https://hudoc.echr.coe.int/eng</vt:lpwstr>
      </vt:variant>
      <vt:variant>
        <vt:lpwstr>{"itemid":["002-9365"]}</vt:lpwstr>
      </vt:variant>
      <vt:variant>
        <vt:i4>7143539</vt:i4>
      </vt:variant>
      <vt:variant>
        <vt:i4>6</vt:i4>
      </vt:variant>
      <vt:variant>
        <vt:i4>0</vt:i4>
      </vt:variant>
      <vt:variant>
        <vt:i4>5</vt:i4>
      </vt:variant>
      <vt:variant>
        <vt:lpwstr>https://hudoc.echr.coe.int/eng-press</vt:lpwstr>
      </vt:variant>
      <vt:variant>
        <vt:lpwstr>{"itemid":["003-5999245-7685292"]}</vt:lpwstr>
      </vt:variant>
      <vt:variant>
        <vt:i4>6815856</vt:i4>
      </vt:variant>
      <vt:variant>
        <vt:i4>3</vt:i4>
      </vt:variant>
      <vt:variant>
        <vt:i4>0</vt:i4>
      </vt:variant>
      <vt:variant>
        <vt:i4>5</vt:i4>
      </vt:variant>
      <vt:variant>
        <vt:lpwstr>https://hudoc.echr.coe.int/eng-press</vt:lpwstr>
      </vt:variant>
      <vt:variant>
        <vt:lpwstr>{"itemid":["003-3241790-3612154"]}</vt:lpwstr>
      </vt:variant>
      <vt:variant>
        <vt:i4>8192120</vt:i4>
      </vt:variant>
      <vt:variant>
        <vt:i4>0</vt:i4>
      </vt:variant>
      <vt:variant>
        <vt:i4>0</vt:i4>
      </vt:variant>
      <vt:variant>
        <vt:i4>5</vt:i4>
      </vt:variant>
      <vt:variant>
        <vt:lpwstr>https://hudoc.echr.coe.int/eng?i=001-90051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2024-12-17T08:12:00Z</dcterms:created>
  <dcterms:modified xsi:type="dcterms:W3CDTF">2024-12-19T14:13:00Z</dcterms:modified>
</cp:coreProperties>
</file>