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4272" w14:textId="4E8A07F3" w:rsidR="00364879" w:rsidRDefault="00364879" w:rsidP="00364879">
      <w:pPr>
        <w:ind w:left="3540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2 do zapytania ofertowego</w:t>
      </w:r>
    </w:p>
    <w:p w14:paraId="53662CAC" w14:textId="23D2F5B7" w:rsidR="00364879" w:rsidRPr="00DE4433" w:rsidRDefault="00364879" w:rsidP="00364879">
      <w:pPr>
        <w:jc w:val="center"/>
        <w:rPr>
          <w:rFonts w:cstheme="minorHAnsi"/>
          <w:b/>
          <w:bCs/>
        </w:rPr>
      </w:pPr>
      <w:r w:rsidRPr="00DE4433">
        <w:rPr>
          <w:rFonts w:cstheme="minorHAnsi"/>
          <w:b/>
          <w:bCs/>
        </w:rPr>
        <w:t>OPIS PRZEDMIOTU ZAMÓWIENI</w:t>
      </w:r>
      <w:r>
        <w:rPr>
          <w:rFonts w:cstheme="minorHAnsi"/>
          <w:b/>
          <w:bCs/>
        </w:rPr>
        <w:t>A</w:t>
      </w:r>
    </w:p>
    <w:p w14:paraId="11CCAC36" w14:textId="77777777" w:rsidR="00364879" w:rsidRPr="00DE4433" w:rsidRDefault="00364879" w:rsidP="00364879">
      <w:pPr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cstheme="minorHAnsi"/>
        </w:rPr>
        <w:t xml:space="preserve">Nazwa postępowania: </w:t>
      </w:r>
      <w:r w:rsidRPr="00DE4433">
        <w:rPr>
          <w:rFonts w:eastAsia="Times New Roman" w:cstheme="minorHAnsi"/>
          <w:b/>
          <w:bCs/>
          <w:lang w:eastAsia="pl-PL"/>
        </w:rPr>
        <w:t>Zakup 1 szt. urządzenia do wykrywania i identyfikacji śladowych ilości narkotyków i materiałów wybuchowych na Lotniczym Przejściu Granicznym Port Lotniczy Gdańsk- Rębiechowo</w:t>
      </w:r>
    </w:p>
    <w:p w14:paraId="73F75267" w14:textId="77777777" w:rsidR="00364879" w:rsidRPr="00DE4433" w:rsidRDefault="00364879" w:rsidP="00364879">
      <w:pPr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cstheme="minorHAnsi"/>
        </w:rPr>
        <w:t xml:space="preserve">Przedmiotem zamówienia jest dostawa, montaż i konfiguracja 1 szt. fabrycznie nowego urządzenia stanowiącego system do wykrywania i identyfikacji śladowych ilości materiałów wybuchowych i narkotyków, wraz z oprogramowaniem i przeprowadzeniem szkolenia na terenie działania </w:t>
      </w:r>
      <w:r w:rsidRPr="00DE4433">
        <w:rPr>
          <w:rFonts w:eastAsia="Times New Roman" w:cstheme="minorHAnsi"/>
          <w:b/>
          <w:bCs/>
          <w:lang w:eastAsia="pl-PL"/>
        </w:rPr>
        <w:t>Port Lotniczy Gdańsk- Rębiechowo</w:t>
      </w:r>
    </w:p>
    <w:p w14:paraId="722141DC" w14:textId="77777777" w:rsidR="00364879" w:rsidRPr="00DE4433" w:rsidRDefault="00364879" w:rsidP="00364879">
      <w:pPr>
        <w:pStyle w:val="Akapitzlist"/>
        <w:jc w:val="both"/>
        <w:rPr>
          <w:rFonts w:cstheme="minorHAnsi"/>
          <w:b/>
          <w:i/>
        </w:rPr>
      </w:pPr>
    </w:p>
    <w:p w14:paraId="00E88C49" w14:textId="77777777" w:rsidR="00364879" w:rsidRPr="00DE4433" w:rsidRDefault="00364879" w:rsidP="00364879">
      <w:pPr>
        <w:pStyle w:val="Akapitzlist"/>
        <w:numPr>
          <w:ilvl w:val="0"/>
          <w:numId w:val="1"/>
        </w:numPr>
        <w:ind w:left="426" w:hanging="426"/>
        <w:jc w:val="both"/>
        <w:rPr>
          <w:rFonts w:cstheme="minorHAnsi"/>
          <w:b/>
          <w:bCs/>
        </w:rPr>
      </w:pPr>
      <w:r w:rsidRPr="00DE4433">
        <w:rPr>
          <w:rFonts w:cstheme="minorHAnsi"/>
          <w:b/>
          <w:bCs/>
        </w:rPr>
        <w:t>Lokalizacja dostawy urządzenia:</w:t>
      </w:r>
    </w:p>
    <w:tbl>
      <w:tblPr>
        <w:tblStyle w:val="Tabela-Siatka"/>
        <w:tblpPr w:leftFromText="141" w:rightFromText="141" w:vertAnchor="text" w:horzAnchor="margin" w:tblpX="362" w:tblpY="-3"/>
        <w:tblW w:w="8789" w:type="dxa"/>
        <w:tblLook w:val="04A0" w:firstRow="1" w:lastRow="0" w:firstColumn="1" w:lastColumn="0" w:noHBand="0" w:noVBand="1"/>
      </w:tblPr>
      <w:tblGrid>
        <w:gridCol w:w="846"/>
        <w:gridCol w:w="3544"/>
        <w:gridCol w:w="4399"/>
      </w:tblGrid>
      <w:tr w:rsidR="00364879" w:rsidRPr="00DE4433" w14:paraId="1D19A492" w14:textId="77777777" w:rsidTr="00310B4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8DA1" w14:textId="77777777" w:rsidR="00364879" w:rsidRPr="00DE4433" w:rsidRDefault="00364879" w:rsidP="00310B46">
            <w:pPr>
              <w:jc w:val="center"/>
              <w:rPr>
                <w:rFonts w:cstheme="minorHAnsi"/>
                <w:b/>
              </w:rPr>
            </w:pPr>
            <w:r w:rsidRPr="00DE4433">
              <w:rPr>
                <w:rFonts w:cstheme="minorHAnsi"/>
                <w:b/>
              </w:rPr>
              <w:t>Ilość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53C6" w14:textId="77777777" w:rsidR="00364879" w:rsidRPr="00DE4433" w:rsidRDefault="00364879" w:rsidP="00310B46">
            <w:pPr>
              <w:jc w:val="center"/>
              <w:rPr>
                <w:rFonts w:cstheme="minorHAnsi"/>
                <w:b/>
              </w:rPr>
            </w:pPr>
            <w:r w:rsidRPr="00DE4433">
              <w:rPr>
                <w:rFonts w:cstheme="minorHAnsi"/>
                <w:b/>
              </w:rPr>
              <w:t>Przyszły Użytkownik / Adres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A2BA" w14:textId="77777777" w:rsidR="00364879" w:rsidRPr="00DE4433" w:rsidRDefault="00364879" w:rsidP="00310B46">
            <w:pPr>
              <w:jc w:val="center"/>
              <w:rPr>
                <w:rFonts w:cstheme="minorHAnsi"/>
                <w:b/>
              </w:rPr>
            </w:pPr>
            <w:r w:rsidRPr="00DE4433">
              <w:rPr>
                <w:rFonts w:cstheme="minorHAnsi"/>
                <w:b/>
              </w:rPr>
              <w:t>Obiekt/strefa</w:t>
            </w:r>
          </w:p>
        </w:tc>
      </w:tr>
      <w:tr w:rsidR="00364879" w:rsidRPr="00DE4433" w14:paraId="2CCD4147" w14:textId="77777777" w:rsidTr="00310B46">
        <w:trPr>
          <w:trHeight w:val="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3733" w14:textId="77777777" w:rsidR="00364879" w:rsidRPr="00DE4433" w:rsidRDefault="00364879" w:rsidP="00310B46">
            <w:pPr>
              <w:jc w:val="center"/>
              <w:rPr>
                <w:rFonts w:cstheme="minorHAnsi"/>
              </w:rPr>
            </w:pPr>
            <w:r w:rsidRPr="00DE4433">
              <w:rPr>
                <w:rFonts w:cstheme="minorHAnsi"/>
              </w:rPr>
              <w:t>1 szt.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8847" w14:textId="77777777" w:rsidR="00364879" w:rsidRPr="00DE4433" w:rsidRDefault="00364879" w:rsidP="00310B46">
            <w:pPr>
              <w:jc w:val="both"/>
              <w:rPr>
                <w:rFonts w:cstheme="minorHAnsi"/>
              </w:rPr>
            </w:pPr>
            <w:r w:rsidRPr="00DE4433">
              <w:rPr>
                <w:rFonts w:cstheme="minorHAnsi"/>
              </w:rPr>
              <w:t xml:space="preserve">Oddział </w:t>
            </w:r>
            <w:proofErr w:type="spellStart"/>
            <w:r w:rsidRPr="00DE4433">
              <w:rPr>
                <w:rFonts w:cstheme="minorHAnsi"/>
              </w:rPr>
              <w:t>Celny-Graniczny</w:t>
            </w:r>
            <w:proofErr w:type="spellEnd"/>
            <w:r w:rsidRPr="00DE4433">
              <w:rPr>
                <w:rFonts w:cstheme="minorHAnsi"/>
              </w:rPr>
              <w:t>, Port Lotniczy Gdańsk-Rębiechowo,</w:t>
            </w:r>
          </w:p>
          <w:p w14:paraId="41A5E33C" w14:textId="77777777" w:rsidR="00364879" w:rsidRPr="00DE4433" w:rsidRDefault="00364879" w:rsidP="00310B46">
            <w:pPr>
              <w:jc w:val="both"/>
              <w:rPr>
                <w:rFonts w:cstheme="minorHAnsi"/>
              </w:rPr>
            </w:pPr>
            <w:r w:rsidRPr="00DE4433">
              <w:rPr>
                <w:rFonts w:cstheme="minorHAnsi"/>
              </w:rPr>
              <w:t>ul. Słowackiego 200, 80-298  Gdańsk</w:t>
            </w:r>
          </w:p>
          <w:p w14:paraId="140B4DAA" w14:textId="77777777" w:rsidR="00364879" w:rsidRPr="00DE4433" w:rsidRDefault="00364879" w:rsidP="00310B46">
            <w:pPr>
              <w:jc w:val="both"/>
              <w:rPr>
                <w:rFonts w:cstheme="minorHAnsi"/>
              </w:rPr>
            </w:pPr>
            <w:r w:rsidRPr="00DE4433">
              <w:rPr>
                <w:rFonts w:cstheme="minorHAnsi"/>
              </w:rPr>
              <w:t>Pomorski Urząd Celno- Skarbowy w Gdyni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692" w14:textId="77777777" w:rsidR="00364879" w:rsidRPr="00DE4433" w:rsidRDefault="00364879" w:rsidP="00310B46">
            <w:pPr>
              <w:jc w:val="both"/>
              <w:rPr>
                <w:rFonts w:cstheme="minorHAnsi"/>
              </w:rPr>
            </w:pPr>
            <w:r w:rsidRPr="00DE4433">
              <w:rPr>
                <w:rFonts w:cstheme="minorHAnsi"/>
              </w:rPr>
              <w:t>Lotnicze Przejście Celno- Graniczne Gdańsk-Rębiechowo, strefa Celna</w:t>
            </w:r>
          </w:p>
        </w:tc>
      </w:tr>
    </w:tbl>
    <w:p w14:paraId="594E0A26" w14:textId="77777777" w:rsidR="00364879" w:rsidRPr="00DE4433" w:rsidRDefault="00364879" w:rsidP="00364879">
      <w:pPr>
        <w:jc w:val="both"/>
        <w:rPr>
          <w:rFonts w:cstheme="minorHAnsi"/>
          <w:bCs/>
          <w:iCs/>
        </w:rPr>
      </w:pPr>
    </w:p>
    <w:p w14:paraId="21E826FA" w14:textId="77777777" w:rsidR="00364879" w:rsidRPr="00DE4433" w:rsidRDefault="00364879" w:rsidP="0036487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bCs/>
        </w:rPr>
      </w:pPr>
      <w:r w:rsidRPr="00DE4433">
        <w:rPr>
          <w:rFonts w:cstheme="minorHAnsi"/>
          <w:b/>
          <w:bCs/>
        </w:rPr>
        <w:t>Opis techniczny urządzenia:</w:t>
      </w:r>
    </w:p>
    <w:p w14:paraId="622C101F" w14:textId="77777777" w:rsidR="00364879" w:rsidRPr="00DE4433" w:rsidRDefault="00364879" w:rsidP="00364879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/>
          <w:lang w:eastAsia="pl-PL"/>
        </w:rPr>
      </w:pPr>
    </w:p>
    <w:p w14:paraId="4F736428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E4433">
        <w:rPr>
          <w:rFonts w:eastAsia="Times New Roman" w:cstheme="minorHAnsi"/>
          <w:lang w:eastAsia="pl-PL"/>
        </w:rPr>
        <w:t>Oferowane urządzenie musi być fabrycznie nowe</w:t>
      </w:r>
    </w:p>
    <w:p w14:paraId="18D625C8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E4433">
        <w:rPr>
          <w:rFonts w:eastAsia="Times New Roman" w:cstheme="minorHAnsi"/>
          <w:lang w:eastAsia="pl-PL"/>
        </w:rPr>
        <w:t>Zasada działania urządzenia musi być oparta o nieradioaktywne źródło jonizacji- fotojonizacja.</w:t>
      </w:r>
    </w:p>
    <w:p w14:paraId="6A741590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E4433">
        <w:rPr>
          <w:rFonts w:eastAsia="Times New Roman" w:cstheme="minorHAnsi"/>
          <w:lang w:eastAsia="pl-PL"/>
        </w:rPr>
        <w:t>Typ detektora- spektrometr ruchliwości jonów z pułapką (ITMS)</w:t>
      </w:r>
    </w:p>
    <w:p w14:paraId="026C2017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Detektor musi posiadać system operacyjny LINUX </w:t>
      </w:r>
    </w:p>
    <w:p w14:paraId="0917BF9E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zapewniać jednoczesną detekcję narkotyków i materiałów wybuchowych.</w:t>
      </w:r>
    </w:p>
    <w:p w14:paraId="6F1EB8C9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E4433">
        <w:rPr>
          <w:rFonts w:eastAsia="Times New Roman" w:cstheme="minorHAnsi"/>
          <w:lang w:eastAsia="pl-PL"/>
        </w:rPr>
        <w:t>Baza danych urządzenia musi umożliwiać wykrywanie co najmniej takich substancji jak:</w:t>
      </w:r>
    </w:p>
    <w:p w14:paraId="08A3E42F" w14:textId="77777777" w:rsidR="00364879" w:rsidRPr="00DE4433" w:rsidRDefault="00364879" w:rsidP="0036487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 zakresie materiałów wybuchowych: wojskowe, górnicze i domowej roboty materiały wybuchowe oraz ich prekursory, w tym: Estry nitrowe,</w:t>
      </w:r>
      <w:r w:rsidRPr="00DE4433">
        <w:rPr>
          <w:rFonts w:cstheme="minorHAnsi"/>
        </w:rPr>
        <w:t xml:space="preserve"> </w:t>
      </w:r>
      <w:r w:rsidRPr="00DE4433">
        <w:rPr>
          <w:rFonts w:eastAsia="Times New Roman" w:cstheme="minorHAnsi"/>
          <w:lang w:eastAsia="pl-PL"/>
        </w:rPr>
        <w:t>TNT, Azotany, TATP, RDX, PETN, HMX, HMTD, TERTYL  i inne;</w:t>
      </w:r>
    </w:p>
    <w:p w14:paraId="12759C4B" w14:textId="77777777" w:rsidR="00364879" w:rsidRPr="00DE4433" w:rsidRDefault="00364879" w:rsidP="0036487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w zakresie narkotyków i ich prekursorów: </w:t>
      </w:r>
      <w:proofErr w:type="spellStart"/>
      <w:r w:rsidRPr="00DE4433">
        <w:rPr>
          <w:rFonts w:eastAsia="Times New Roman" w:cstheme="minorHAnsi"/>
          <w:lang w:eastAsia="pl-PL"/>
        </w:rPr>
        <w:t>Metamfetamina</w:t>
      </w:r>
      <w:proofErr w:type="spellEnd"/>
      <w:r w:rsidRPr="00DE4433">
        <w:rPr>
          <w:rFonts w:eastAsia="Times New Roman" w:cstheme="minorHAnsi"/>
          <w:lang w:eastAsia="pl-PL"/>
        </w:rPr>
        <w:t xml:space="preserve"> ,MDMA,MDA, THC, Heroina, Kokaina, Amfetamina , Morfina, Efedryna, </w:t>
      </w:r>
      <w:proofErr w:type="spellStart"/>
      <w:r w:rsidRPr="00DE4433">
        <w:rPr>
          <w:rFonts w:eastAsia="Times New Roman" w:cstheme="minorHAnsi"/>
          <w:lang w:eastAsia="pl-PL"/>
        </w:rPr>
        <w:t>Ketamina</w:t>
      </w:r>
      <w:proofErr w:type="spellEnd"/>
      <w:r w:rsidRPr="00DE4433">
        <w:rPr>
          <w:rFonts w:eastAsia="Times New Roman" w:cstheme="minorHAnsi"/>
          <w:lang w:eastAsia="pl-PL"/>
        </w:rPr>
        <w:t xml:space="preserve"> i inne substancje wymienione w</w:t>
      </w:r>
      <w:r>
        <w:rPr>
          <w:rFonts w:eastAsia="Times New Roman" w:cstheme="minorHAnsi"/>
          <w:lang w:eastAsia="pl-PL"/>
        </w:rPr>
        <w:t> </w:t>
      </w:r>
      <w:r w:rsidRPr="00DE4433">
        <w:rPr>
          <w:rFonts w:eastAsia="Times New Roman" w:cstheme="minorHAnsi"/>
          <w:lang w:eastAsia="pl-PL"/>
        </w:rPr>
        <w:t>ustawie o przeciwdziałaniu narkomanii.</w:t>
      </w:r>
    </w:p>
    <w:p w14:paraId="44F9AC15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zapewniać możliwość wprowadzania do bazy danych nowych materiałów wybuchowych i narkotyków.</w:t>
      </w:r>
    </w:p>
    <w:p w14:paraId="394B7C5E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eastAsia="Times New Roman" w:cstheme="minorHAnsi"/>
          <w:lang w:eastAsia="pl-PL"/>
        </w:rPr>
        <w:t>Obsługa urządzenia ma się odbywać poprzez ekran dotykowy z polskojęzycznym menu o</w:t>
      </w:r>
      <w:r>
        <w:rPr>
          <w:rFonts w:eastAsia="Times New Roman" w:cstheme="minorHAnsi"/>
          <w:lang w:eastAsia="pl-PL"/>
        </w:rPr>
        <w:t> </w:t>
      </w:r>
      <w:r w:rsidRPr="00DE4433">
        <w:rPr>
          <w:rFonts w:eastAsia="Times New Roman" w:cstheme="minorHAnsi"/>
          <w:lang w:eastAsia="pl-PL"/>
        </w:rPr>
        <w:t xml:space="preserve">przekątnej </w:t>
      </w:r>
      <w:r w:rsidRPr="00DE4433">
        <w:rPr>
          <w:rFonts w:eastAsia="Times New Roman" w:cstheme="minorHAnsi"/>
          <w:b/>
          <w:bCs/>
          <w:lang w:eastAsia="pl-PL"/>
        </w:rPr>
        <w:t>min. 9 cali – max. 11 cali</w:t>
      </w:r>
    </w:p>
    <w:p w14:paraId="1FEEFAB7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eastAsia="Times New Roman" w:cstheme="minorHAnsi"/>
          <w:b/>
          <w:bCs/>
          <w:lang w:eastAsia="pl-PL"/>
        </w:rPr>
        <w:t>Urządzenie musi posiadać wbudowaną drukarkę z możliwością wydrukowania wyników po analizie,  drukowania raportów oraz opcje wydruku  w późniejszym terminie.</w:t>
      </w:r>
    </w:p>
    <w:p w14:paraId="2E150CC8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eastAsia="Times New Roman" w:cstheme="minorHAnsi"/>
          <w:b/>
          <w:bCs/>
          <w:lang w:eastAsia="pl-PL"/>
        </w:rPr>
        <w:t>Urządzenie powinno posiadać przynajmniej 4 różnego typu wyświetlanie wykrytych materiałów wybuchowych oraz narkotyków na wyświetlaczu.</w:t>
      </w:r>
    </w:p>
    <w:p w14:paraId="78982760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Logowanie do urządzenia musi zapewniać dostęp do jego funkcji z co najmniej dwóch </w:t>
      </w:r>
      <w:r w:rsidRPr="00DE4433">
        <w:rPr>
          <w:rFonts w:eastAsia="Times New Roman" w:cstheme="minorHAnsi"/>
          <w:lang w:eastAsia="pl-PL"/>
        </w:rPr>
        <w:lastRenderedPageBreak/>
        <w:t>poziomów uprawnień.</w:t>
      </w:r>
    </w:p>
    <w:p w14:paraId="002B7C19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Standardowy czas analizy pobranych próbek nie może być dłuższy niż 10 s.</w:t>
      </w:r>
    </w:p>
    <w:p w14:paraId="1F44860E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Sygnalizacja wykrycia materiałów wybuchowych lub narkotyków ma się odbywać co najmniej w postaci alarmu dźwiękowego i komunikatu na ekranie dotykowym wraz z informacją o wykrytej substancji.</w:t>
      </w:r>
    </w:p>
    <w:p w14:paraId="22D778B1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Możliwość wyświetlania się nazw substancji na wyświetlaczu w sposób zakodowany.</w:t>
      </w:r>
    </w:p>
    <w:p w14:paraId="3F3DE99B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Możliwość pobierania próbek ze skóry, bagażu, opakować, odzieży wierzchniej.</w:t>
      </w:r>
    </w:p>
    <w:p w14:paraId="4537A7D7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zapewniać możliwość rejestracji w ich pamięci danych odnośnie wykrycia materiałów wybuchowych lub narkotyków obejmujących co najmniej czas, datę oraz wynik analizy próbki.</w:t>
      </w:r>
    </w:p>
    <w:p w14:paraId="032EB65B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posiadać możliwość odtwarzania danych zapisanych w ich pamięci oraz opcjonalnie tworzenia raportów i statystyk.</w:t>
      </w:r>
    </w:p>
    <w:p w14:paraId="32166CF8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powinno posiadać zautomatyzowaną kalibracje wewnętrzną</w:t>
      </w:r>
    </w:p>
    <w:p w14:paraId="215F2A82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posiadać min. 3 złącza komunikacyjne (min. 3 x USB lub min. 2 x USB + 1 x Ethernet), umożliwiające transfer danych.</w:t>
      </w:r>
    </w:p>
    <w:p w14:paraId="5AEE817C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Urządzenie musi posiadać funkcję </w:t>
      </w:r>
      <w:proofErr w:type="spellStart"/>
      <w:r w:rsidRPr="00DE4433">
        <w:rPr>
          <w:rFonts w:eastAsia="Times New Roman" w:cstheme="minorHAnsi"/>
          <w:lang w:eastAsia="pl-PL"/>
        </w:rPr>
        <w:t>samodiagnozowania</w:t>
      </w:r>
      <w:proofErr w:type="spellEnd"/>
      <w:r w:rsidRPr="00DE4433">
        <w:rPr>
          <w:rFonts w:eastAsia="Times New Roman" w:cstheme="minorHAnsi"/>
          <w:lang w:eastAsia="pl-PL"/>
        </w:rPr>
        <w:t xml:space="preserve"> w postaci komunikatów na ekranie dotykowym, informujących o przyczynie nieprawidłowej pracy.</w:t>
      </w:r>
    </w:p>
    <w:p w14:paraId="0AEA5E19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Waga urządzenia nie może być większa niż 15 kg.</w:t>
      </w:r>
    </w:p>
    <w:p w14:paraId="5C2895B6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Urządzenie musi mieć wbudowany uchwyt do transportu. </w:t>
      </w:r>
    </w:p>
    <w:p w14:paraId="1C043C8A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być dostosowane do pracy w polskiej sieci energetycznej.</w:t>
      </w:r>
    </w:p>
    <w:p w14:paraId="6993304E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Temperatura warunków otoczenia pracy urządzenia min. od 0°C do 40°C.</w:t>
      </w:r>
    </w:p>
    <w:p w14:paraId="4EB106B0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eastAsia="Times New Roman" w:cstheme="minorHAnsi"/>
          <w:b/>
          <w:bCs/>
          <w:lang w:eastAsia="pl-PL"/>
        </w:rPr>
        <w:t>Urządzenie musi posiadać wewnętrzna baterie umożliwiającą próbkowanie oraz podtrzymującą pracę systemu bez wyłączania.</w:t>
      </w:r>
    </w:p>
    <w:p w14:paraId="785A6C6B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cstheme="minorHAnsi"/>
        </w:rPr>
        <w:t xml:space="preserve">Urządzenie powinno mieć możliwość pracy przez co najmniej 60 minut bez zewnętrznego zasilania. </w:t>
      </w:r>
    </w:p>
    <w:p w14:paraId="3FFE46F2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Urządzenie musi być bezpieczne dla operatora i otoczenia, oraz spełniać wszystkie przewidziane przepisami prawa wymagania obowiązujące na terytorium UE </w:t>
      </w:r>
      <w:r w:rsidRPr="00DE4433">
        <w:rPr>
          <w:rFonts w:eastAsia="Times New Roman" w:cstheme="minorHAnsi"/>
          <w:lang w:eastAsia="pl-PL"/>
        </w:rPr>
        <w:br/>
        <w:t>i Rzeczpospolitej Polskiej w stosunku do tego typu sprzętu.</w:t>
      </w:r>
    </w:p>
    <w:p w14:paraId="18F49858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Wykonawca zapewni  z urządzeniem dostawę materiałów eksploatacyjnych przez okres 24 miesięcy od daty podpisania Protokołu Odbioru Końcowego i uruchomienia urządzenia w placówce w ilości niezbędnej dla modelu użytkowania, w którym urządzenie będzie pracowało w sposób ciągły (500 pasków do pobierania próbek oraz odpowiednią ilość pasków kalibracyjnych, jeżeli są wymagane).</w:t>
      </w:r>
    </w:p>
    <w:p w14:paraId="7A85270E" w14:textId="77777777" w:rsidR="00364879" w:rsidRPr="00DE4433" w:rsidRDefault="00364879" w:rsidP="00364879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 Urządzenie musi posiadać instrukcję obsługi w języku polskim (w wersji papierowej </w:t>
      </w:r>
      <w:r w:rsidRPr="00DE4433">
        <w:rPr>
          <w:rFonts w:eastAsia="Times New Roman" w:cstheme="minorHAnsi"/>
          <w:lang w:eastAsia="pl-PL"/>
        </w:rPr>
        <w:br/>
        <w:t>i elektronicznej).</w:t>
      </w:r>
    </w:p>
    <w:p w14:paraId="6138420A" w14:textId="77777777" w:rsidR="00364879" w:rsidRPr="00DE4433" w:rsidRDefault="00364879" w:rsidP="0036487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64A6082" w14:textId="77777777" w:rsidR="00364879" w:rsidRPr="00DE4433" w:rsidRDefault="00364879" w:rsidP="00364879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DE4433">
        <w:rPr>
          <w:rFonts w:eastAsia="Times New Roman" w:cstheme="minorHAnsi"/>
          <w:b/>
          <w:bCs/>
          <w:lang w:eastAsia="pl-PL"/>
        </w:rPr>
        <w:t>W ramach dostawy Wykonawca zobowiązuje się do:</w:t>
      </w:r>
    </w:p>
    <w:p w14:paraId="2E654421" w14:textId="77777777" w:rsidR="00364879" w:rsidRPr="00DE4433" w:rsidRDefault="00364879" w:rsidP="003648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Bezpłatnej dostawy urządzenia na teren Lotniczego Przejścia Granicznego </w:t>
      </w:r>
      <w:r w:rsidRPr="00DE4433">
        <w:rPr>
          <w:rFonts w:cstheme="minorHAnsi"/>
        </w:rPr>
        <w:t>Gdańsk-Rębiechowo.</w:t>
      </w:r>
    </w:p>
    <w:p w14:paraId="7DF364DA" w14:textId="11264529" w:rsidR="00364879" w:rsidRDefault="00364879" w:rsidP="003648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Uruchomienia i instalacji przedmiotu zamówienia we wskazanym przez Zamawiającego miejscu oraz konfiguracji wszystkich elementów.</w:t>
      </w:r>
    </w:p>
    <w:p w14:paraId="78A873BE" w14:textId="7D55EC79" w:rsidR="00C964FF" w:rsidRPr="00497934" w:rsidRDefault="00497934" w:rsidP="00C964FF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bookmarkStart w:id="0" w:name="_Hlk230864764"/>
      <w:r w:rsidRPr="00497934">
        <w:rPr>
          <w:rFonts w:eastAsia="Times New Roman" w:cstheme="minorHAnsi"/>
          <w:b/>
          <w:bCs/>
          <w:lang w:eastAsia="pl-PL"/>
        </w:rPr>
        <w:t>W razie możliwości wykonanie t</w:t>
      </w:r>
      <w:r w:rsidR="00C964FF" w:rsidRPr="00497934">
        <w:rPr>
          <w:rFonts w:eastAsia="Times New Roman" w:cstheme="minorHAnsi"/>
          <w:b/>
          <w:bCs/>
          <w:lang w:eastAsia="pl-PL"/>
        </w:rPr>
        <w:t>estu "blank" (próby kontrolnej).</w:t>
      </w:r>
    </w:p>
    <w:bookmarkEnd w:id="0"/>
    <w:p w14:paraId="7D70E83E" w14:textId="77777777" w:rsidR="00364879" w:rsidRPr="00DE4433" w:rsidRDefault="00364879" w:rsidP="003648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Przeprowadzenia na </w:t>
      </w:r>
      <w:r w:rsidRPr="00DE4433">
        <w:rPr>
          <w:rFonts w:cstheme="minorHAnsi"/>
        </w:rPr>
        <w:t>Lotniczym Przejściu Celno-Granicznym Gdańsk-Rębiechowo</w:t>
      </w:r>
      <w:r w:rsidRPr="00DE4433">
        <w:rPr>
          <w:rFonts w:eastAsia="Times New Roman" w:cstheme="minorHAnsi"/>
          <w:lang w:eastAsia="pl-PL"/>
        </w:rPr>
        <w:t xml:space="preserve"> szkolenia z zakresu użytkowania sprzętu dla wszystkich funkcjonariuszy SCS oraz min. 1 administratora w terminie uzgodnionym ze Służbą Celno-Skarbową z zastrzeżeniem, że osoby przeszkolone powinny otrzymać pisemne zaświadczenie o ukończeniu szkolenia. Szkolenie winny obejmować budowę i zasady działania urządzenia, obsługę w czasie eksploatacji, lokalizacji, diagnozowania ewentualnych uszkodzeń. Szkolenie również powinno zostać rozszerzone o funkcje administratora w zakresie wymiany materiałów eksploatacyjnych oraz sprawdzanie i usuwanie drobnych uszkodzeń. </w:t>
      </w:r>
    </w:p>
    <w:p w14:paraId="6F8A85D6" w14:textId="77777777" w:rsidR="00364879" w:rsidRPr="00DE4433" w:rsidRDefault="00364879" w:rsidP="003648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Uzgodnienia dogodnego dla placówki SCS oraz Wykonawcy terminu szkolenia nie przekraczającego jednak daty podpisania Protokołów Odbioru Końcowego.</w:t>
      </w:r>
    </w:p>
    <w:p w14:paraId="303D5190" w14:textId="77777777" w:rsidR="00364879" w:rsidRPr="00DE4433" w:rsidRDefault="00364879" w:rsidP="00364879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lastRenderedPageBreak/>
        <w:t>Zapewnienia niezbędnych materiałów eksploatacyjnych do realizacji przedmiotowego szkolenia.</w:t>
      </w:r>
    </w:p>
    <w:p w14:paraId="3B6ECDAA" w14:textId="77777777" w:rsidR="00364879" w:rsidRPr="00DE4433" w:rsidRDefault="00364879" w:rsidP="0036487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4D4D01F" w14:textId="77777777" w:rsidR="00364879" w:rsidRPr="00DE4433" w:rsidRDefault="00364879" w:rsidP="0036487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b/>
          <w:lang w:eastAsia="pl-PL"/>
        </w:rPr>
        <w:t>Wymagania serwisowe w okresie gwarancyjnym:</w:t>
      </w:r>
    </w:p>
    <w:p w14:paraId="1340F52E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Do dostarczonego urządzenia będącego przedmiotem zamówienia Wykonawca dołączy wykaz zawierający: numer seryjny, nazwę własną z identyfikacją typu, nazwę producenta.</w:t>
      </w:r>
    </w:p>
    <w:p w14:paraId="3E0A96DD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Urządzenie musi posiadać książkę/kartę gwarancyjną (zawierającą warunki gwarancyjne).</w:t>
      </w:r>
    </w:p>
    <w:p w14:paraId="374A7C1F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F861FF">
        <w:rPr>
          <w:rFonts w:eastAsia="Times New Roman" w:cstheme="minorHAnsi"/>
          <w:lang w:eastAsia="pl-PL"/>
        </w:rPr>
        <w:t>Na dostarczone urządzenie wraz z oprogramowaniem Wykonawca bezpłatnie zapewni co najmniej 24 miesięczny okres gwarancji liczony od dnia bezusterkowego, komisyjnego odebrania sprzętu i podpisania Protokołu Odbioru Końcowego.</w:t>
      </w:r>
      <w:r w:rsidRPr="00F861FF">
        <w:rPr>
          <w:rFonts w:cstheme="minorHAnsi"/>
        </w:rPr>
        <w:t xml:space="preserve"> Wykonawca udzieli również</w:t>
      </w:r>
      <w:r w:rsidRPr="00DE4433">
        <w:rPr>
          <w:rFonts w:cstheme="minorHAnsi"/>
        </w:rPr>
        <w:t xml:space="preserve"> rękojmi za wady fizyczne w/w urządzenia i oprogramowania na okres min. 24</w:t>
      </w:r>
      <w:r w:rsidRPr="00DE4433">
        <w:rPr>
          <w:rFonts w:cstheme="minorHAnsi"/>
          <w:bCs/>
        </w:rPr>
        <w:t xml:space="preserve"> miesięcy oraz bezterminowej rękojmi za wady prawne w/w </w:t>
      </w:r>
      <w:r w:rsidRPr="00DE4433">
        <w:rPr>
          <w:rFonts w:cstheme="minorHAnsi"/>
        </w:rPr>
        <w:t>urządzenia i oprogramowania.</w:t>
      </w:r>
    </w:p>
    <w:p w14:paraId="3F8870F3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Dostarczone urządzenie musi być wolne od wad i zgodne z poziomem technologii istniejącym w momencie podpisania umowy.</w:t>
      </w:r>
    </w:p>
    <w:p w14:paraId="70620340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Wykonawca zrealizuje usunięcie awarii urządzenia, wymagającej naprawy przez serwis, w terminie maksymalnie do 14 dni roboczych od dnia zgłoszenia.</w:t>
      </w:r>
    </w:p>
    <w:p w14:paraId="7B239A71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Jeżeli naprawa uszkodzonego urządzenia nie będzie możliwa w wyznaczonym terminie, wówczas Wykonawca jest zobowiązany do dostarczenia, w terminie nie dłuższym niż 14 dni kalendarzowych od dnia powiadomienia Wykonawcy o usterce, urządzenia zastępczego posiadającego co najmniej takie same parametry i funkcjonalność, jak urządzenie naprawiane.</w:t>
      </w:r>
    </w:p>
    <w:p w14:paraId="1FE8EC58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Wykonawca w ramach gwarancji jest zobowiązany do odebrania uszkodzonego urządzenia i dostarczenia naprawionego urządzenia na własny koszt.</w:t>
      </w:r>
    </w:p>
    <w:p w14:paraId="45BFB938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W przypadku gdy czas naprawy, licząc od dnia powiadomienia Wykonawcy </w:t>
      </w:r>
      <w:r w:rsidRPr="00DE4433">
        <w:rPr>
          <w:rFonts w:eastAsia="Times New Roman" w:cstheme="minorHAnsi"/>
          <w:lang w:eastAsia="pl-PL"/>
        </w:rPr>
        <w:br/>
        <w:t>o konieczności dokonania naprawy (faksem, e-mailem) przekroczy 180 dni, Wykonawca dostarczy, zainstaluje i uruchomi na własny koszt nowe urządzenie o co najmniej takich samych parametrach, jak urządzenie naprawiane.</w:t>
      </w:r>
    </w:p>
    <w:p w14:paraId="67317D99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Nowe urządzenie, o którym mowa w pkt. 8 musi być dostarczone do Placówki SCS, zainstalowane i uruchomione najpóźniej w ciągu 14 dni roboczych od upływu terminu naprawy gwarancyjnej.</w:t>
      </w:r>
    </w:p>
    <w:p w14:paraId="70AC31C4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Gwarancja na każdy naprawiony element urządzenia zostanie przedłużona o czas naprawy.</w:t>
      </w:r>
    </w:p>
    <w:p w14:paraId="18FE2E95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Wykonawca ponosi odpowiedzialność z tytułu przypadkowej utraty lub uszkodzenia urządzenia w czasie od jego przyjęcia do naprawy do momentu przekazania sprawnego urządzenia Zamawiającemu. </w:t>
      </w:r>
    </w:p>
    <w:p w14:paraId="6A4DBFB3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O każdej zmianie adresu poczty elektronicznej lub numerów faksów i telefonów Wykonawca zobowiązany jest powiadomić Zamawiającego w formie pisemnej. Powiadomienie o powyższych zmianach nie stanowi zmiany umowy wymagającej sporządzenia aneksu.</w:t>
      </w:r>
    </w:p>
    <w:p w14:paraId="43C0315C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 okresie gwarancji Wykonawca zapewni bezpłatne telefoniczne konsultacje dotyczące bieżącego użytkowania oraz diagnozowania drobnych napraw.</w:t>
      </w:r>
    </w:p>
    <w:p w14:paraId="3F326F83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 xml:space="preserve">Wykonawca bezpłatnie zapewni aktualizację sterowników i oprogramowania koniecznego do obsługi urządzeń co najmniej w okresie gwarancji, w terminie maksymalnie do 14 dni roboczych od dnia zgłoszenia. </w:t>
      </w:r>
    </w:p>
    <w:p w14:paraId="0CECCD4F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W ramach serwisu, w okresie obowiązywania gwarancji, Wykonawca wykona przeglądy urządzenia, realizowane zgodnie z zaleceniami producenta, jednak nie rzadziej niż raz na pół roku. Z każdego przeglądu zostanie sporządzony protokół potwierdzający prawidłowe działanie urządzenia.</w:t>
      </w:r>
    </w:p>
    <w:p w14:paraId="738D0592" w14:textId="77777777" w:rsidR="00364879" w:rsidRPr="00DE4433" w:rsidRDefault="00364879" w:rsidP="00364879">
      <w:pPr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eastAsia="Times New Roman" w:cstheme="minorHAnsi"/>
          <w:lang w:eastAsia="pl-PL"/>
        </w:rPr>
      </w:pPr>
      <w:r w:rsidRPr="00DE4433">
        <w:rPr>
          <w:rFonts w:eastAsia="Times New Roman" w:cstheme="minorHAnsi"/>
          <w:lang w:eastAsia="pl-PL"/>
        </w:rPr>
        <w:t>Usługi serwisowe winny być prowadzone z należytą starannością z uwzględnieniem ogólnie przyjętych i stosowanych standardów i procedur, przy tego rodzaju usług, a także zaleceń lub procedur wydanych producentów sprzętu. Usługi serwisowe będą wykonywane tylko przez przeszkolonych pracowników Wykonawcy.</w:t>
      </w:r>
    </w:p>
    <w:p w14:paraId="041BA2E3" w14:textId="77777777" w:rsidR="00364879" w:rsidRPr="00DE4433" w:rsidRDefault="00364879" w:rsidP="0036487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4480DC" w14:textId="77777777" w:rsidR="00364879" w:rsidRPr="00DE4433" w:rsidRDefault="00364879" w:rsidP="0036487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1039B5" w14:textId="77777777" w:rsidR="00364879" w:rsidRPr="00DE4433" w:rsidRDefault="00364879" w:rsidP="00364879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sectPr w:rsidR="00364879" w:rsidRPr="00DE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0278" w14:textId="77777777" w:rsidR="00D85955" w:rsidRDefault="00D85955">
      <w:pPr>
        <w:spacing w:after="0" w:line="240" w:lineRule="auto"/>
      </w:pPr>
      <w:r>
        <w:separator/>
      </w:r>
    </w:p>
  </w:endnote>
  <w:endnote w:type="continuationSeparator" w:id="0">
    <w:p w14:paraId="3E9C07C2" w14:textId="77777777" w:rsidR="00D85955" w:rsidRDefault="00D8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1B96" w14:textId="77777777" w:rsidR="00D85955" w:rsidRDefault="00D85955">
      <w:pPr>
        <w:spacing w:after="0" w:line="240" w:lineRule="auto"/>
      </w:pPr>
      <w:r>
        <w:separator/>
      </w:r>
    </w:p>
  </w:footnote>
  <w:footnote w:type="continuationSeparator" w:id="0">
    <w:p w14:paraId="39469248" w14:textId="77777777" w:rsidR="00D85955" w:rsidRDefault="00D85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2DD"/>
    <w:multiLevelType w:val="hybridMultilevel"/>
    <w:tmpl w:val="DCCE65B8"/>
    <w:lvl w:ilvl="0" w:tplc="C41857A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8F6EED"/>
    <w:multiLevelType w:val="hybridMultilevel"/>
    <w:tmpl w:val="B40E0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73C77"/>
    <w:multiLevelType w:val="hybridMultilevel"/>
    <w:tmpl w:val="F6FE03F6"/>
    <w:lvl w:ilvl="0" w:tplc="5A3868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4BC2"/>
    <w:multiLevelType w:val="multilevel"/>
    <w:tmpl w:val="22A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B6E80"/>
    <w:multiLevelType w:val="hybridMultilevel"/>
    <w:tmpl w:val="7CC29E2C"/>
    <w:lvl w:ilvl="0" w:tplc="940C060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EB6ACF"/>
    <w:multiLevelType w:val="hybridMultilevel"/>
    <w:tmpl w:val="AD4CB2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79"/>
    <w:rsid w:val="00153DD7"/>
    <w:rsid w:val="00364879"/>
    <w:rsid w:val="00497934"/>
    <w:rsid w:val="006307CB"/>
    <w:rsid w:val="00727805"/>
    <w:rsid w:val="00A06C34"/>
    <w:rsid w:val="00BF519B"/>
    <w:rsid w:val="00C964FF"/>
    <w:rsid w:val="00D85955"/>
    <w:rsid w:val="00DD305E"/>
    <w:rsid w:val="00E241B2"/>
    <w:rsid w:val="00E268BD"/>
    <w:rsid w:val="00F31E5C"/>
    <w:rsid w:val="00F354EF"/>
    <w:rsid w:val="00F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581D"/>
  <w15:chartTrackingRefBased/>
  <w15:docId w15:val="{5573EE51-F776-4276-AA08-D36C74E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8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487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6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1301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Dolińska Wioleta</dc:creator>
  <cp:keywords/>
  <dc:description/>
  <cp:lastModifiedBy>Dolińska Wioleta</cp:lastModifiedBy>
  <cp:revision>10</cp:revision>
  <dcterms:created xsi:type="dcterms:W3CDTF">2026-05-25T10:02:00Z</dcterms:created>
  <dcterms:modified xsi:type="dcterms:W3CDTF">2026-06-10T07:19:00Z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UxC4dwLulzfINJ8nQH+xvX5LNGipWa4BRSZhPgxsCvku13vFNNubIKSVCIIV4moOVFE0j9Rf5qW4bTEBqwfTPA==</vt:lpwstr>
  </property>
  <property fmtid="{D5CDD505-2E9C-101B-9397-08002B2CF9AE}" pid="4" name="MFClassificationDate">
    <vt:lpwstr>2026-05-25T12:04:04.2502646+02:00</vt:lpwstr>
  </property>
  <property fmtid="{D5CDD505-2E9C-101B-9397-08002B2CF9AE}" pid="5" name="MFClassifiedBySID">
    <vt:lpwstr>UxC4dwLulzfINJ8nQH+xvX5LNGipWa4BRSZhPgxsCvm42mrIC/DSDv0ggS+FjUN/2v1BBotkLlY5aAiEhoi6ubOfItH2NwT+2IoXWVY+DV2OQNLuN9I2cUHcsmN6f7Yr</vt:lpwstr>
  </property>
  <property fmtid="{D5CDD505-2E9C-101B-9397-08002B2CF9AE}" pid="6" name="MFGRNItemId">
    <vt:lpwstr>GRN-2550d4e5-b3cc-4ae5-9f76-242f16aebe1b</vt:lpwstr>
  </property>
  <property fmtid="{D5CDD505-2E9C-101B-9397-08002B2CF9AE}" pid="7" name="MFHash">
    <vt:lpwstr>6ySFHcGWs9fBexW2y/Qt9z9WE9Ga9F3zXnb1uSRwt+g=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