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widowControl w:val="0"/>
        <w:spacing w:line="1" w:lineRule="exact"/>
      </w:pPr>
      <w:r>
        <mc:AlternateContent>
          <mc:Choice Requires="wps">
            <w:drawing>
              <wp:anchor simplePos="0" relativeHeight="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wrapNone/>
                <wp:docPr id="1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Move="1" noResize="1" noRot="1"/>
                      </wps:cNvSpPr>
                      <wps:spPr>
                        <a:xfrm>
                          <a:ext cx="7556500" cy="10693400"/>
                        </a:xfrm>
                        <a:prstGeom prst="rect"/>
                        <a:solidFill>
                          <a:srgbClr val="FEFEFE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595.pt;height:842.pt;z-index:-251658240;mso-position-horizontal-relative:page;mso-position-vertical-relative:page;z-index:-251658752" fillcolor="#FEFEFE" stroked="f"/>
            </w:pict>
          </mc:Fallback>
        </mc:AlternateConten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080" w:line="240" w:lineRule="auto"/>
        <w:ind w:left="0" w:right="0" w:firstLine="0"/>
        <w:jc w:val="center"/>
        <w:rPr>
          <w:sz w:val="22"/>
          <w:szCs w:val="22"/>
        </w:rPr>
      </w:pPr>
      <w:r>
        <w:rPr>
          <w:rStyle w:val="CharStyle3"/>
          <w:sz w:val="22"/>
          <w:szCs w:val="22"/>
        </w:rPr>
        <w:t>5 lutego 2025 r.</w:t>
      </w:r>
    </w:p>
    <w:p>
      <w:pPr>
        <w:pStyle w:val="Style5"/>
        <w:keepNext/>
        <w:keepLines/>
        <w:widowControl w:val="0"/>
        <w:shd w:val="clear" w:color="auto" w:fill="auto"/>
        <w:bidi w:val="0"/>
        <w:spacing w:before="0" w:after="40" w:line="240" w:lineRule="auto"/>
        <w:ind w:right="0" w:firstLine="0"/>
        <w:jc w:val="both"/>
      </w:pPr>
      <w:bookmarkStart w:id="0" w:name="bookmark0"/>
      <w:r>
        <w:rPr>
          <w:rStyle w:val="CharStyle6"/>
          <w:b/>
          <w:bCs/>
        </w:rPr>
        <w:t>Sz. P.</w:t>
      </w:r>
      <w:bookmarkEnd w:id="0"/>
    </w:p>
    <w:p>
      <w:pPr>
        <w:pStyle w:val="Style5"/>
        <w:keepNext/>
        <w:keepLines/>
        <w:widowControl w:val="0"/>
        <w:shd w:val="clear" w:color="auto" w:fill="auto"/>
        <w:bidi w:val="0"/>
        <w:spacing w:before="0" w:after="40" w:line="240" w:lineRule="auto"/>
        <w:ind w:right="0" w:firstLine="0"/>
        <w:jc w:val="both"/>
      </w:pPr>
      <w:r>
        <w:rPr>
          <w:rStyle w:val="CharStyle6"/>
          <w:b/>
          <w:bCs/>
        </w:rPr>
        <w:t>Paulina Hennig-Kloska</w:t>
      </w:r>
    </w:p>
    <w:p>
      <w:pPr>
        <w:pStyle w:val="Style5"/>
        <w:keepNext/>
        <w:keepLines/>
        <w:widowControl w:val="0"/>
        <w:shd w:val="clear" w:color="auto" w:fill="auto"/>
        <w:bidi w:val="0"/>
        <w:spacing w:before="0" w:after="400" w:line="240" w:lineRule="auto"/>
        <w:ind w:right="0" w:firstLine="0"/>
        <w:jc w:val="both"/>
      </w:pPr>
      <w:r>
        <w:rPr>
          <w:rStyle w:val="CharStyle6"/>
          <w:b/>
          <w:bCs/>
        </w:rPr>
        <w:t>Minister Klimatu i Środowiska</w:t>
      </w:r>
    </w:p>
    <w:p>
      <w:pPr>
        <w:pStyle w:val="Style7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both"/>
      </w:pPr>
      <w:bookmarkStart w:id="4" w:name="bookmark4"/>
      <w:r>
        <w:rPr>
          <w:rStyle w:val="CharStyle8"/>
          <w:i/>
          <w:iCs/>
        </w:rPr>
        <w:t>Szanowna Pani Minister,</w:t>
      </w:r>
      <w:bookmarkEnd w:id="4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rStyle w:val="CharStyle3"/>
        </w:rPr>
        <w:t xml:space="preserve">Na podstawie </w:t>
      </w:r>
      <w:r>
        <w:rPr>
          <w:rStyle w:val="CharStyle3"/>
          <w:i/>
          <w:iCs/>
        </w:rPr>
        <w:t>ustawy z dnia 11 lipca 2014 r. o petycjach</w:t>
      </w:r>
      <w:r>
        <w:rPr>
          <w:rStyle w:val="CharStyle3"/>
        </w:rPr>
        <w:t>, składam niniejszą petycję dotyczącą możliwości i zasadności zmiany prawa w celu wsparcia gmin poprzez dodatkowe działania i instrumenty, w tym prawne, mające na celu uszczelnienie systemu odpadowego, tj. ułatwienia gminom egzekucji opłat za odpady.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both"/>
      </w:pPr>
      <w:r>
        <w:rPr>
          <w:rStyle w:val="CharStyle3"/>
        </w:rPr>
        <w:t>Gminy od lat mają problem z weryfikacją „deklaracji śmieciowych”, w których często zaniżana jest liczba mieszkańców posesji. Choć ich sprawdzenie wydaje się z pozoru łatwe, to na przeszkodzie stoją przepisy dotyczące ochrony danych osobowych. Przedmiotowy temat jest szczególnie ważny dla gmin i miast, które ze względu na nieprecyzyjne przepisy i brak szczegółowych zasad weryfikacji danych, wykazanych przez mieszkańców w deklaracjach o wysokości opłaty za gospodarowanie odpadami komunalnymi, mają znaczne problemy z finansowaniem i bilansowaniem się systemu odpadowego. Problem dotyczy głównie art. 6o ust. 1a ustawy o czystości i porządku w gminie, którego zapisy są różnie interpretowane przez radców prawnych w samorządach jak również podważane częściowo przez UODO. Szacuje się, że w znacznej części gmin w całym kraju, opłat za odpady może unikać od 10 do nawet 20 proc. mieszkańców poszczególnych samorządów.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both"/>
      </w:pPr>
      <w:r>
        <w:rPr>
          <w:rStyle w:val="CharStyle3"/>
        </w:rPr>
        <w:t>Znaczna część mieszkańców Czerwionki-Leszczyn w której pełnię funkcję radnego, podobnie jak setek innych gmin w Polsce, uiszczających rzetelnie i uczciwie opłaty za gospodarowanie odpadami komunalnymi na rzecz gminy, muszą również dopłacać do gminnego systemu odpadowego za nieuczciwych mieszkańców z powodu ww. procederu. Ze względu na uchylanie się od prawidłowych opłat przez średnio kilka/kilkanaście procent mieszkańców zobowiązanych do ponoszenia opłat zgodnie z obowiązującymi przepisami prawa, należy bezwzględnie wzmocnić mechanizmy kontrolne w zakresie rozszerzenia dostępu przez gminy do pozyskiwania niezbędnych danych na potrzeby weryfikacji deklaracji odpadowych. Przedmiotowy problem dla gmin przybiera na sile, a jego skutki są coraz bardziej dotkliwe dla samorządów, ich mieszkańców i budżetów gmin ze względu na wzrastającą liczbę niepłacących uczciwie osób, niebilansowanie się gminnych systemów odpadowych i podwyżek opłaty dla wszystkich uczciwie płacących za odpady, czyli tzw. efekt błędnego koła.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40" w:line="240" w:lineRule="auto"/>
        <w:ind w:left="0" w:right="0" w:firstLine="0"/>
        <w:jc w:val="both"/>
      </w:pPr>
      <w:r>
        <w:rPr>
          <w:rStyle w:val="CharStyle3"/>
        </w:rPr>
        <w:t xml:space="preserve">W związku z powyższym, proszę Panią Minister o podjęcie konkretnych kroków i działań, mających na celu niezwłoczne rozwiązanie tego problemu. Jednym z bardziej racjonalnych rozwiązań opisanej sytuacji, może być zmiana przepisów prawa, tj. uszczegółowienie i wprowadzenie nowych, precyzyjnych i konkretnych zapisów do art. 6o </w:t>
      </w:r>
      <w:r>
        <w:rPr>
          <w:rStyle w:val="CharStyle3"/>
          <w:i/>
          <w:iCs/>
        </w:rPr>
        <w:t>ustawy o utrzymaniu czystości i porządku w gminach</w:t>
      </w:r>
      <w:r>
        <w:rPr>
          <w:rStyle w:val="CharStyle3"/>
        </w:rPr>
        <w:t>, w zakresie określenia źródeł pozyskiwania danych, odpowiedniego zakresu danych, konkretnego sposobu i mechanizmu weryfikacji deklaracji śmieciowych. Zasadnym jest również w aspekcie uwag, stanowiska i zastrzeżeń UODO, dookreślić w przepisach na jakiej podstawie prawnej będzie dochodziło do pozyskiwania danych z konkretnych zasobów, rejestrów (czy w trybie administracyjnym, na wniosek organu, czy w sposób automatyczny/bezwnioskowo). Na potrzeby ustalenia wysokości opłaty za gospodarowanie odpadami komunalnymi, wystarczające jest jedynie ustalenie samej liczby osób zamieszkałych pod danym adresem, a nie ich danych osobowych.</w:t>
      </w:r>
      <w:r>
        <w:br w:type="page"/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both"/>
      </w:pPr>
      <w:r>
        <w:rPr>
          <w:rStyle w:val="CharStyle3"/>
        </w:rPr>
        <w:t>Przy tej okazji, skłaniałbym się również, wnioskując o analizę powyższego przypadku, o skorzystanie z wcześniej funkcjonujących rozwiązań prawnych dla zbliżonych celów, tj. konieczności doprecyzowania przepisów o wskazanie podmiotów oraz konkretnych zasobów (rejestrów, ewidencji, systemów) z których będzie dochodziło do pozyskiwania danych osób fizycznych w celu weryfikacji deklaracji śmieciowych.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rStyle w:val="CharStyle3"/>
        </w:rPr>
        <w:t xml:space="preserve">W sytuacji gdy pozyskiwanie i przetwarzanie danych jest niezbędne do wypełnienia obowiązku prawnego ciążącego na gminie oraz do wykonania zadania realizowanego w interesie publicznym lub w ramach sprawowania władzy publicznej powierzonej jednostce samorządu terytorialnego, można np. skorzystać z rozwiązań funkcjonujących na bazie </w:t>
      </w:r>
      <w:r>
        <w:rPr>
          <w:rStyle w:val="CharStyle3"/>
          <w:i/>
          <w:iCs/>
        </w:rPr>
        <w:t>ustawy z dnia 5 sierpnia 2022 r. o dodatku węglowym</w:t>
      </w:r>
      <w:r>
        <w:rPr>
          <w:rStyle w:val="CharStyle3"/>
        </w:rPr>
        <w:t>. W Art. 2. ust 15a. wykazano m.in., iż „Dokonując weryfikacji wniosku o wypłatę dodatku węglowego, wójt, burmistrz albo prezydent miasta bierze pod uwagę w szczególności: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294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rStyle w:val="CharStyle3"/>
        </w:rPr>
        <w:t>informacje uzyskane w związku z postępowaniem o przyznanie: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289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rStyle w:val="CharStyle3"/>
        </w:rPr>
        <w:t>świadczeń rodzinnych oraz dodatków do zasiłku rodzinnego, o których mowa odpowiednio w art. 2 i art. 8 ustawy z dnia 28 listopada 2003 r. o świadczeniach rodzinnych (Dz. U. z 2024 r. poz. 323 i 858),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298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rStyle w:val="CharStyle3"/>
        </w:rPr>
        <w:t>świadczenia wychowawczego, o którym mowa w art. 4 ustawy z dnia 11 lutego 2016 r. o pomocy państwa w wychowywaniu dzieci (Dz. U. z 2024 r. poz. 421 i 858),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279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rStyle w:val="CharStyle3"/>
        </w:rPr>
        <w:t>dodatku osłonowego, o którym mowa w art. 2 ust. 1 ustawy z dnia 17 grudnia 2021 r. o dodatku osłonowym (Dz. U. z 2024 r. poz. 953),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298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rStyle w:val="CharStyle3"/>
        </w:rPr>
        <w:t>dodatku mieszkaniowego, o którym mowa w art. 2 ustawy z dnia 21 czerwca 2001 r. o dodatkach mieszkaniowych (Dz. U. z 2023 r. poz. 1335);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289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rStyle w:val="CharStyle3"/>
        </w:rPr>
        <w:t>dane zgromadzone w rejestrze PESEL oraz rejestrze mieszkańców, o których mowa odpowiednio w art. 6 ust. 1 i art. 6a ust. 1 ustawy z dnia 24 września 2010 r. o ewidencji ludności (Dz. U. z 2024 r. poz. 736 i 854).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322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rStyle w:val="CharStyle3"/>
        </w:rPr>
        <w:t>b. Jeżeli podczas weryfikacji wniosku o wypłatę dodatku węglowego wystąpią wątpliwości dotyczące gospodarstwa domowego wnioskodawcy, wójt, burmistrz albo prezydent miasta może przeprowadzić wywiad środowiskowy, który ma na celu ustalenie faktycznego stanu danego gospodarstwa domowego (…);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both"/>
      </w:pPr>
      <w:r>
        <w:rPr>
          <w:rStyle w:val="CharStyle3"/>
        </w:rPr>
        <w:t>15e. Niewyrażenie zgody na przeprowadzenie wywiadu środowiskowego, o którym mowa w ust. 15b, stanowi podstawę do odmowy przyznania dodatku węglowego.” (w omawianym przypadku do naliczenia wyższej opłaty).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both"/>
      </w:pPr>
      <w:r>
        <w:rPr>
          <w:rStyle w:val="CharStyle3"/>
        </w:rPr>
        <w:t xml:space="preserve">Powyższe przepisy prawne, mogłyby zatem być również inspiracją do zmian legislacyjnych w zakresie uszczegółowienia zapisów projektowanej zmiany art. 6o </w:t>
      </w:r>
      <w:r>
        <w:rPr>
          <w:rStyle w:val="CharStyle3"/>
          <w:i/>
          <w:iCs/>
        </w:rPr>
        <w:t>ustawy o utrzymaniu czystości i porządku w gminach</w:t>
      </w:r>
      <w:r>
        <w:rPr>
          <w:rStyle w:val="CharStyle3"/>
        </w:rPr>
        <w:t xml:space="preserve"> dla celów weryfikacji deklaracji składanych przez właścicieli nieruchomości w związku z obowiązkiem uiszczenia opłaty za gospodarowanie odpadami komunalnymi.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both"/>
      </w:pPr>
      <w:r>
        <w:rPr>
          <w:rStyle w:val="CharStyle3"/>
        </w:rPr>
        <w:t>W imieniu własnym oraz wielu samorządowców zwracam się z prośbą o szybkie i bezpośrednie podjęcie konkretnych działań, takich jak zmiana przepisów prawa, w taki sposób aby zwiększyć katalog skutecznych narzędzi umożliwiających weryfikację wiarygodności składanych przez mieszkańców gminy tzw. deklaracji śmieciowych co do ilości członków gospodarstw domowych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440" w:line="240" w:lineRule="auto"/>
        <w:ind w:left="0" w:right="0" w:firstLine="0"/>
        <w:jc w:val="both"/>
      </w:pPr>
      <w:r>
        <w:rPr>
          <w:rStyle w:val="CharStyle3"/>
        </w:rPr>
        <w:t xml:space="preserve">Wobec powyższego, mając na względzie dobro mieszkańców, przedstawicieli wspólnot samorządowych, jak również dbałość o racjonalność gminnych budżetów, oczekuję natychmiastowej reakcji władzy ustawodawczej i legislatorów poprzez aktualizację przepisów </w:t>
      </w:r>
      <w:r>
        <w:rPr>
          <w:rStyle w:val="CharStyle3"/>
          <w:i/>
          <w:iCs/>
        </w:rPr>
        <w:t>ustawy o utrzymaniu czystości i porządku w gminach</w:t>
      </w:r>
      <w:r>
        <w:rPr>
          <w:rStyle w:val="CharStyle3"/>
        </w:rPr>
        <w:t>. Jestem przekonany, że dzięki odpowiednim działaniom, możemy wspólnie wyeliminować tę trudną i problematyczną sytuację dla znacznej części gmin w Polsce.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both"/>
      </w:pPr>
      <w:r>
        <w:rPr>
          <w:rStyle w:val="CharStyle3"/>
          <w:i/>
          <w:iCs/>
        </w:rPr>
        <w:t>Z poważaniem,</w:t>
      </w:r>
    </w:p>
    <w:sectPr>
      <w:footnotePr>
        <w:pos w:val="pageBottom"/>
        <w:numFmt w:val="decimal"/>
        <w:numRestart w:val="continuous"/>
      </w:footnotePr>
      <w:pgSz w:w="11900" w:h="16840"/>
      <w:pgMar w:top="2238" w:right="1381" w:bottom="3190" w:left="1379" w:header="1810" w:footer="2762" w:gutter="0"/>
      <w:pgNumType w:start="1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2"/>
      <w:numFmt w:val="decimal"/>
      <w:lvlText w:val="%1)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</w:abstractNum>
  <w:abstractNum w:abstractNumId="2">
    <w:multiLevelType w:val="multilevel"/>
    <w:lvl w:ilvl="0">
      <w:start w:val="1"/>
      <w:numFmt w:val="lowerLetter"/>
      <w:lvlText w:val="%1)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</w:abstractNum>
  <w:num w:numId="1">
    <w:abstractNumId w:val="0"/>
  </w:num>
  <w:num w:numId="3">
    <w:abstractNumId w:val="2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pl-PL" w:eastAsia="pl-PL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customStyle="1" w:styleId="CharStyle3">
    <w:name w:val="Tekst treści_"/>
    <w:basedOn w:val="DefaultParagraphFont"/>
    <w:link w:val="Styl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6">
    <w:name w:val="Nagłówek #1_"/>
    <w:basedOn w:val="DefaultParagraphFont"/>
    <w:link w:val="Style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CharStyle8">
    <w:name w:val="Nagłówek #2_"/>
    <w:basedOn w:val="DefaultParagraphFont"/>
    <w:link w:val="Style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paragraph" w:customStyle="1" w:styleId="Style2">
    <w:name w:val="Tekst treści"/>
    <w:basedOn w:val="Normal"/>
    <w:link w:val="CharStyle3"/>
    <w:pPr>
      <w:widowControl w:val="0"/>
      <w:shd w:val="clear" w:color="auto" w:fill="auto"/>
      <w:spacing w:after="22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5">
    <w:name w:val="Nagłówek #1"/>
    <w:basedOn w:val="Normal"/>
    <w:link w:val="CharStyle6"/>
    <w:pPr>
      <w:widowControl w:val="0"/>
      <w:shd w:val="clear" w:color="auto" w:fill="auto"/>
      <w:spacing w:after="220"/>
      <w:ind w:left="4980"/>
      <w:outlineLvl w:val="0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Style7">
    <w:name w:val="Nagłówek #2"/>
    <w:basedOn w:val="Normal"/>
    <w:link w:val="CharStyle8"/>
    <w:pPr>
      <w:widowControl w:val="0"/>
      <w:shd w:val="clear" w:color="auto" w:fill="auto"/>
      <w:spacing w:after="260"/>
      <w:outlineLvl w:val="1"/>
    </w:pPr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/Relationships>
</file>

<file path=docProps/core.xml><?xml version="1.0" encoding="utf-8"?>
<cp:coreProperties xmlns:cp="http://schemas.openxmlformats.org/package/2006/metadata/core-properties" xmlns:dc="http://purl.org/dc/elements/1.1/">
  <dc:title/>
  <dc:subject/>
  <dc:creator>LUXTORPEDA Czrwionka</dc:creator>
  <cp:keywords/>
</cp:coreProperties>
</file>