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122C" w14:textId="31128B32" w:rsidR="00F76DF1" w:rsidRPr="00945C85" w:rsidRDefault="00733578" w:rsidP="00945C85">
      <w:pPr>
        <w:jc w:val="right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>Zestawienie</w:t>
      </w:r>
      <w:r w:rsidR="00A2283F" w:rsidRPr="004A2C75">
        <w:rPr>
          <w:rFonts w:ascii="Verdana" w:hAnsi="Verdana"/>
          <w:sz w:val="20"/>
          <w:szCs w:val="20"/>
        </w:rPr>
        <w:t xml:space="preserve"> – środki oszczędnościowe</w:t>
      </w:r>
    </w:p>
    <w:p w14:paraId="7C62E08C" w14:textId="75057AFF" w:rsidR="00A2283F" w:rsidRPr="004A2C75" w:rsidRDefault="00F76DF1" w:rsidP="00F76DF1">
      <w:pPr>
        <w:jc w:val="right"/>
        <w:rPr>
          <w:rFonts w:ascii="Verdana" w:hAnsi="Verdana"/>
          <w:color w:val="ED7D31" w:themeColor="accent2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1C6E8F" wp14:editId="14CA334D">
                <wp:simplePos x="0" y="0"/>
                <wp:positionH relativeFrom="page">
                  <wp:posOffset>213995</wp:posOffset>
                </wp:positionH>
                <wp:positionV relativeFrom="paragraph">
                  <wp:posOffset>27940</wp:posOffset>
                </wp:positionV>
                <wp:extent cx="6629400" cy="0"/>
                <wp:effectExtent l="0" t="0" r="19050" b="19050"/>
                <wp:wrapTopAndBottom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D1C4" id="Łącznik prostoliniowy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.85pt,2.2pt" to="538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" strokecolor="gray">
                <w10:wrap type="topAndBottom" anchorx="page"/>
              </v:line>
            </w:pict>
          </mc:Fallback>
        </mc:AlternateContent>
      </w:r>
      <w:r w:rsidR="009D0B2B">
        <w:rPr>
          <w:rFonts w:ascii="Verdana" w:hAnsi="Verdana"/>
          <w:color w:val="ED7D31" w:themeColor="accent2"/>
          <w:sz w:val="20"/>
          <w:szCs w:val="20"/>
        </w:rPr>
        <w:t>L</w:t>
      </w:r>
      <w:r w:rsidR="00383BB2">
        <w:rPr>
          <w:rFonts w:ascii="Verdana" w:hAnsi="Verdana"/>
          <w:color w:val="ED7D31" w:themeColor="accent2"/>
          <w:sz w:val="20"/>
          <w:szCs w:val="20"/>
        </w:rPr>
        <w:t xml:space="preserve">uty </w:t>
      </w:r>
      <w:r w:rsidR="00A2283F" w:rsidRPr="004A2C75">
        <w:rPr>
          <w:rFonts w:ascii="Verdana" w:hAnsi="Verdana"/>
          <w:color w:val="ED7D31" w:themeColor="accent2"/>
          <w:sz w:val="20"/>
          <w:szCs w:val="20"/>
        </w:rPr>
        <w:t>20</w:t>
      </w:r>
      <w:r w:rsidR="00945C85">
        <w:rPr>
          <w:rFonts w:ascii="Verdana" w:hAnsi="Verdana"/>
          <w:color w:val="ED7D31" w:themeColor="accent2"/>
          <w:sz w:val="20"/>
          <w:szCs w:val="20"/>
        </w:rPr>
        <w:t>23</w:t>
      </w:r>
    </w:p>
    <w:p w14:paraId="784D4E65" w14:textId="77777777" w:rsidR="00A2283F" w:rsidRPr="004A2C75" w:rsidRDefault="00733578" w:rsidP="00F76DF1">
      <w:pPr>
        <w:jc w:val="right"/>
        <w:rPr>
          <w:rFonts w:ascii="Verdana" w:hAnsi="Verdana"/>
          <w:color w:val="ED7D31" w:themeColor="accent2"/>
          <w:sz w:val="20"/>
          <w:szCs w:val="20"/>
        </w:rPr>
      </w:pPr>
      <w:r w:rsidRPr="004A2C75">
        <w:rPr>
          <w:rFonts w:ascii="Verdana" w:hAnsi="Verdana"/>
          <w:color w:val="ED7D31" w:themeColor="accent2"/>
          <w:sz w:val="20"/>
          <w:szCs w:val="20"/>
        </w:rPr>
        <w:t xml:space="preserve">Niniejsze zestawienie nie jest wiążące dla Trybunału </w:t>
      </w:r>
      <w:r w:rsidR="00F76DF1">
        <w:rPr>
          <w:rFonts w:ascii="Verdana" w:hAnsi="Verdana"/>
          <w:color w:val="ED7D31" w:themeColor="accent2"/>
          <w:sz w:val="20"/>
          <w:szCs w:val="20"/>
        </w:rPr>
        <w:br/>
      </w:r>
      <w:r w:rsidRPr="004A2C75">
        <w:rPr>
          <w:rFonts w:ascii="Verdana" w:hAnsi="Verdana"/>
          <w:color w:val="ED7D31" w:themeColor="accent2"/>
          <w:sz w:val="20"/>
          <w:szCs w:val="20"/>
        </w:rPr>
        <w:t>i nie ma charakteru wyczerpującego</w:t>
      </w:r>
    </w:p>
    <w:p w14:paraId="48C57C7D" w14:textId="77777777" w:rsidR="004A2C75" w:rsidRDefault="004A2C75" w:rsidP="00F76DF1">
      <w:pPr>
        <w:rPr>
          <w:rFonts w:ascii="Verdana" w:hAnsi="Verdana"/>
          <w:color w:val="2E74B5" w:themeColor="accent5" w:themeShade="BF"/>
          <w:sz w:val="48"/>
          <w:szCs w:val="48"/>
        </w:rPr>
      </w:pPr>
    </w:p>
    <w:p w14:paraId="5B45B4BB" w14:textId="77777777" w:rsidR="001E0059" w:rsidRPr="004A2C75" w:rsidRDefault="001E0059" w:rsidP="00F76DF1">
      <w:pPr>
        <w:rPr>
          <w:rFonts w:ascii="Verdana" w:hAnsi="Verdana"/>
          <w:color w:val="2E74B5" w:themeColor="accent5" w:themeShade="BF"/>
          <w:sz w:val="48"/>
          <w:szCs w:val="48"/>
        </w:rPr>
      </w:pPr>
      <w:r w:rsidRPr="004A2C75">
        <w:rPr>
          <w:rFonts w:ascii="Verdana" w:hAnsi="Verdana"/>
          <w:color w:val="2E74B5" w:themeColor="accent5" w:themeShade="BF"/>
          <w:sz w:val="48"/>
          <w:szCs w:val="48"/>
        </w:rPr>
        <w:t xml:space="preserve">Środki oszczędnościowe </w:t>
      </w:r>
    </w:p>
    <w:p w14:paraId="1C33444D" w14:textId="77777777" w:rsidR="00A86229" w:rsidRPr="004A2C75" w:rsidRDefault="00F76DF1" w:rsidP="00F76DF1">
      <w:pPr>
        <w:rPr>
          <w:rFonts w:ascii="Verdana" w:hAnsi="Verdana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1ED229" wp14:editId="2135AE1B">
                <wp:simplePos x="0" y="0"/>
                <wp:positionH relativeFrom="column">
                  <wp:posOffset>-4445</wp:posOffset>
                </wp:positionH>
                <wp:positionV relativeFrom="paragraph">
                  <wp:posOffset>131445</wp:posOffset>
                </wp:positionV>
                <wp:extent cx="5756910" cy="0"/>
                <wp:effectExtent l="0" t="19050" r="34290" b="19050"/>
                <wp:wrapNone/>
                <wp:docPr id="10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AEAE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31889" id="Lin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35pt" to="452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" strokecolor="#eaeaea" strokeweight="3pt"/>
            </w:pict>
          </mc:Fallback>
        </mc:AlternateContent>
      </w:r>
    </w:p>
    <w:p w14:paraId="75CFF3B1" w14:textId="7126C33F" w:rsidR="00A86229" w:rsidRPr="004A2C75" w:rsidRDefault="001E0059" w:rsidP="00F76DF1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2C75">
        <w:rPr>
          <w:rFonts w:ascii="Verdana" w:hAnsi="Verdana"/>
          <w:sz w:val="20"/>
          <w:szCs w:val="20"/>
        </w:rPr>
        <w:t xml:space="preserve">Wielu skarżących do Europejskiego Trybunału Praw Człowieka powołuje się na </w:t>
      </w:r>
      <w:hyperlink r:id="rId7" w:history="1">
        <w:r w:rsidRPr="00E90A62">
          <w:rPr>
            <w:b/>
            <w:bCs/>
            <w:color w:val="0070C0"/>
            <w:u w:val="single"/>
          </w:rPr>
          <w:t>Europejską Konwe</w:t>
        </w:r>
        <w:r w:rsidR="0062128A" w:rsidRPr="00E90A62">
          <w:rPr>
            <w:b/>
            <w:bCs/>
            <w:color w:val="0070C0"/>
            <w:u w:val="single"/>
          </w:rPr>
          <w:t>ncję Praw Człowieka</w:t>
        </w:r>
      </w:hyperlink>
      <w:r w:rsidR="00A2283F" w:rsidRPr="004A2C75">
        <w:rPr>
          <w:rFonts w:ascii="Verdana" w:hAnsi="Verdana"/>
          <w:sz w:val="20"/>
          <w:szCs w:val="20"/>
        </w:rPr>
        <w:t>, aby zakwestionować</w:t>
      </w:r>
      <w:r w:rsidR="0062128A" w:rsidRPr="004A2C75">
        <w:rPr>
          <w:rFonts w:ascii="Verdana" w:hAnsi="Verdana"/>
          <w:sz w:val="20"/>
          <w:szCs w:val="20"/>
        </w:rPr>
        <w:t xml:space="preserve"> środki </w:t>
      </w:r>
      <w:r w:rsidR="00A2283F" w:rsidRPr="004A2C75">
        <w:rPr>
          <w:rFonts w:ascii="Verdana" w:hAnsi="Verdana"/>
          <w:sz w:val="20"/>
          <w:szCs w:val="20"/>
        </w:rPr>
        <w:t>stosowane</w:t>
      </w:r>
      <w:r w:rsidR="0062128A" w:rsidRPr="004A2C75">
        <w:rPr>
          <w:rFonts w:ascii="Verdana" w:hAnsi="Verdana"/>
          <w:sz w:val="20"/>
          <w:szCs w:val="20"/>
        </w:rPr>
        <w:t xml:space="preserve"> przez władze państwowe w odpowiedzi na kryzys finansowy. Skargi te zazwyczaj opierają się o Artykuł 1 (</w:t>
      </w:r>
      <w:r w:rsidR="007C7B8A" w:rsidRPr="004A2C75">
        <w:rPr>
          <w:rFonts w:ascii="Verdana" w:hAnsi="Verdana"/>
          <w:sz w:val="20"/>
          <w:szCs w:val="20"/>
        </w:rPr>
        <w:t xml:space="preserve">ochrona własności) Protokołu nr 1 do </w:t>
      </w:r>
      <w:r w:rsidR="00A06EC5" w:rsidRPr="004A2C75">
        <w:rPr>
          <w:rFonts w:ascii="Verdana" w:hAnsi="Verdana"/>
          <w:sz w:val="20"/>
          <w:szCs w:val="20"/>
        </w:rPr>
        <w:t>Konwencj</w:t>
      </w:r>
      <w:r w:rsidR="004B5DE9" w:rsidRPr="004A2C75">
        <w:rPr>
          <w:rFonts w:ascii="Verdana" w:hAnsi="Verdana"/>
          <w:sz w:val="20"/>
          <w:szCs w:val="20"/>
        </w:rPr>
        <w:t>i, który stanowi</w:t>
      </w:r>
      <w:r w:rsidR="00A86229" w:rsidRPr="004A2C75">
        <w:rPr>
          <w:rFonts w:ascii="Verdana" w:hAnsi="Verdana"/>
          <w:sz w:val="20"/>
          <w:szCs w:val="20"/>
        </w:rPr>
        <w:t>,</w:t>
      </w:r>
      <w:r w:rsidR="004B5DE9" w:rsidRPr="004A2C75">
        <w:rPr>
          <w:rFonts w:ascii="Verdana" w:hAnsi="Verdana"/>
          <w:sz w:val="20"/>
          <w:szCs w:val="20"/>
        </w:rPr>
        <w:t xml:space="preserve"> iż Państwo jest</w:t>
      </w:r>
      <w:r w:rsidR="00A86229" w:rsidRPr="004A2C75">
        <w:rPr>
          <w:rFonts w:ascii="Verdana" w:hAnsi="Verdana"/>
          <w:sz w:val="20"/>
          <w:szCs w:val="20"/>
        </w:rPr>
        <w:t xml:space="preserve"> uprawnione „</w:t>
      </w:r>
      <w:r w:rsidR="00A86229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wydawania takich ustaw, jakie uzna za konieczne dla uregulowania sposobu korzystania z własności zgodnie z interesem powszechnym lub w celu zapewnienia uiszczania podatków bądź innych należności lub kar pieniężnych”. Inne przepisy Konwencji również znajdują zastosowanie. </w:t>
      </w:r>
    </w:p>
    <w:p w14:paraId="45C4D692" w14:textId="77777777" w:rsidR="00D32AE1" w:rsidRPr="004A2C75" w:rsidRDefault="00D32AE1" w:rsidP="00F76DF1">
      <w:pPr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B686FE3" w14:textId="77777777" w:rsidR="00D32AE1" w:rsidRPr="004A2C75" w:rsidRDefault="00D32AE1" w:rsidP="00F76DF1">
      <w:pPr>
        <w:spacing w:after="240"/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</w:pPr>
      <w:r w:rsidRPr="004A2C75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Ochrona własności (Artykuł 1 Protokołu nr 1) </w:t>
      </w:r>
    </w:p>
    <w:p w14:paraId="609930ED" w14:textId="47E44954" w:rsidR="00D32AE1" w:rsidRPr="004A2C75" w:rsidRDefault="00D32AE1" w:rsidP="00E90A62">
      <w:pPr>
        <w:widowControl w:val="0"/>
        <w:autoSpaceDE w:val="0"/>
        <w:autoSpaceDN w:val="0"/>
        <w:adjustRightInd w:val="0"/>
        <w:rPr>
          <w:rFonts w:ascii="Verdana" w:eastAsia="Times New Roman" w:hAnsi="Verdana" w:cs="Times New Roman"/>
          <w:b/>
          <w:color w:val="2E74B5" w:themeColor="accent5" w:themeShade="BF"/>
          <w:sz w:val="20"/>
          <w:szCs w:val="20"/>
          <w:u w:val="single"/>
          <w:lang w:eastAsia="pl-PL"/>
        </w:rPr>
      </w:pPr>
      <w:hyperlink r:id="rId8" w:anchor="{%22itemid%22:[%22003-3724123-4246566%22]}" w:history="1">
        <w:proofErr w:type="spellStart"/>
        <w:r w:rsidRPr="00E90A62">
          <w:rPr>
            <w:b/>
            <w:bCs/>
            <w:color w:val="0070C0"/>
            <w:u w:val="single"/>
          </w:rPr>
          <w:t>Valkov</w:t>
        </w:r>
        <w:proofErr w:type="spellEnd"/>
        <w:r w:rsidRPr="00E90A62">
          <w:rPr>
            <w:b/>
            <w:bCs/>
            <w:color w:val="0070C0"/>
            <w:u w:val="single"/>
          </w:rPr>
          <w:t xml:space="preserve"> i Inni przeciwko Bułgarii</w:t>
        </w:r>
      </w:hyperlink>
      <w:r w:rsidRPr="004A2C75">
        <w:rPr>
          <w:rFonts w:ascii="Verdana" w:eastAsia="Times New Roman" w:hAnsi="Verdana" w:cs="Times New Roman"/>
          <w:b/>
          <w:color w:val="2E74B5" w:themeColor="accent5" w:themeShade="BF"/>
          <w:sz w:val="20"/>
          <w:szCs w:val="20"/>
          <w:u w:val="single"/>
          <w:lang w:eastAsia="pl-PL"/>
        </w:rPr>
        <w:t xml:space="preserve"> </w:t>
      </w:r>
    </w:p>
    <w:p w14:paraId="6FF6EFA7" w14:textId="77777777" w:rsidR="00D32AE1" w:rsidRPr="004A2C75" w:rsidRDefault="00D32AE1" w:rsidP="00F76DF1">
      <w:pPr>
        <w:rPr>
          <w:rFonts w:ascii="Verdana" w:eastAsia="Times New Roman" w:hAnsi="Verdana" w:cs="Times New Roman"/>
          <w:color w:val="767171" w:themeColor="background2" w:themeShade="80"/>
          <w:sz w:val="20"/>
          <w:szCs w:val="20"/>
          <w:lang w:eastAsia="pl-PL"/>
        </w:rPr>
      </w:pPr>
      <w:r w:rsidRPr="004A2C75">
        <w:rPr>
          <w:rFonts w:ascii="Verdana" w:eastAsia="Times New Roman" w:hAnsi="Verdana" w:cs="Times New Roman"/>
          <w:color w:val="767171" w:themeColor="background2" w:themeShade="80"/>
          <w:sz w:val="20"/>
          <w:szCs w:val="20"/>
          <w:lang w:eastAsia="pl-PL"/>
        </w:rPr>
        <w:t xml:space="preserve">25 października 2011 (wyrok) </w:t>
      </w:r>
    </w:p>
    <w:p w14:paraId="6F54C7A9" w14:textId="77777777" w:rsidR="00623C50" w:rsidRPr="004A2C75" w:rsidRDefault="001F1CA7" w:rsidP="00F76DF1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A2C75">
        <w:rPr>
          <w:rFonts w:ascii="Verdana" w:eastAsia="Times New Roman" w:hAnsi="Verdana" w:cs="Times New Roman"/>
          <w:sz w:val="20"/>
          <w:szCs w:val="20"/>
          <w:lang w:eastAsia="pl-PL"/>
        </w:rPr>
        <w:t>Skarżący –</w:t>
      </w:r>
      <w:r w:rsidR="00D32AE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emeryci</w:t>
      </w:r>
      <w:r w:rsidRPr="004A2C7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32AE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którzy odeszli na emeryturę pomiędzy 1</w:t>
      </w:r>
      <w:r w:rsidR="00A75088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979 a 2002 r. </w:t>
      </w:r>
      <w:r w:rsidR="00934977" w:rsidRPr="004A2C75">
        <w:rPr>
          <w:rFonts w:ascii="Verdana" w:eastAsia="Times New Roman" w:hAnsi="Verdana" w:cs="Times New Roman"/>
          <w:sz w:val="20"/>
          <w:szCs w:val="20"/>
          <w:lang w:eastAsia="pl-PL"/>
        </w:rPr>
        <w:t>kwestionowali maksymaln</w:t>
      </w:r>
      <w:r w:rsidR="006A7E4A">
        <w:rPr>
          <w:rFonts w:ascii="Verdana" w:eastAsia="Times New Roman" w:hAnsi="Verdana" w:cs="Times New Roman"/>
          <w:sz w:val="20"/>
          <w:szCs w:val="20"/>
          <w:lang w:eastAsia="pl-PL"/>
        </w:rPr>
        <w:t>ą wysokość emerytury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>, któr</w:t>
      </w:r>
      <w:r w:rsidR="006A7E4A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A7E4A">
        <w:rPr>
          <w:rFonts w:ascii="Verdana" w:eastAsia="Times New Roman" w:hAnsi="Verdana" w:cs="Times New Roman"/>
          <w:sz w:val="20"/>
          <w:szCs w:val="20"/>
          <w:lang w:eastAsia="pl-PL"/>
        </w:rPr>
        <w:t>znajdowała zastosowanie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wartość miesięcznego świadczenia emerytalnego osiągnęła kwotę maksymalną określoną w ustawie. W szczególności zakwestionowali cel </w:t>
      </w:r>
      <w:r w:rsidR="00934977" w:rsidRPr="004A2C75">
        <w:rPr>
          <w:rFonts w:ascii="Verdana" w:eastAsia="Times New Roman" w:hAnsi="Verdana" w:cs="Times New Roman"/>
          <w:sz w:val="20"/>
          <w:szCs w:val="20"/>
          <w:lang w:eastAsia="pl-PL"/>
        </w:rPr>
        <w:t>maksymalne</w:t>
      </w:r>
      <w:r w:rsidR="006A7E4A">
        <w:rPr>
          <w:rFonts w:ascii="Verdana" w:eastAsia="Times New Roman" w:hAnsi="Verdana" w:cs="Times New Roman"/>
          <w:sz w:val="20"/>
          <w:szCs w:val="20"/>
          <w:lang w:eastAsia="pl-PL"/>
        </w:rPr>
        <w:t>j wysokości emerytury</w:t>
      </w:r>
      <w:r w:rsidR="00934977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twierdząc,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iż został</w:t>
      </w:r>
      <w:r w:rsidR="00AE2BE4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on</w:t>
      </w:r>
      <w:r w:rsidR="00AE2BE4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wprowadzon</w:t>
      </w:r>
      <w:r w:rsidR="00AE2BE4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934977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ze względu na przekonanie, że społeczeństwo </w:t>
      </w:r>
      <w:r w:rsidR="00756A41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Bułgarii nie będzie akceptowało bardzo wysokich emerytur, a nie ze względu na zapewnienie finansowej </w:t>
      </w:r>
      <w:r w:rsidR="0001091D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rentowności systemu emerytalnego. Skarżący podnieśli również zarzut dyskryminacji zarówno </w:t>
      </w:r>
      <w:r w:rsidR="00DF45C7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względem </w:t>
      </w:r>
      <w:r w:rsidR="0001091D" w:rsidRPr="004A2C75">
        <w:rPr>
          <w:rFonts w:ascii="Verdana" w:eastAsia="Times New Roman" w:hAnsi="Verdana" w:cs="Times New Roman"/>
          <w:sz w:val="20"/>
          <w:szCs w:val="20"/>
          <w:lang w:eastAsia="pl-PL"/>
        </w:rPr>
        <w:t>emerytów, których świadczenia spadły poniżej limitu, jak i urzę</w:t>
      </w:r>
      <w:r w:rsidR="00623C50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dników wysokiego szczebla co do świadczeń których limity zostały </w:t>
      </w:r>
      <w:r w:rsidR="00DF45C7" w:rsidRPr="004A2C75">
        <w:rPr>
          <w:rFonts w:ascii="Verdana" w:eastAsia="Times New Roman" w:hAnsi="Verdana" w:cs="Times New Roman"/>
          <w:sz w:val="20"/>
          <w:szCs w:val="20"/>
          <w:lang w:eastAsia="pl-PL"/>
        </w:rPr>
        <w:t>zniesione</w:t>
      </w:r>
      <w:r w:rsidR="00623C50" w:rsidRPr="004A2C7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227C911D" w14:textId="77777777" w:rsidR="00733578" w:rsidRPr="004A2C75" w:rsidRDefault="0027448B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E74B5" w:themeColor="accent5" w:themeShade="BF"/>
          <w:sz w:val="20"/>
          <w:szCs w:val="20"/>
        </w:rPr>
      </w:pPr>
      <w:r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Trybunał orzekł, iż </w:t>
      </w:r>
      <w:r w:rsidRPr="004A2C75">
        <w:rPr>
          <w:rFonts w:ascii="Verdana" w:eastAsia="Times New Roman" w:hAnsi="Verdana" w:cs="Times New Roman"/>
          <w:b/>
          <w:color w:val="2E74B5" w:themeColor="accent5" w:themeShade="BF"/>
          <w:sz w:val="20"/>
          <w:szCs w:val="20"/>
          <w:lang w:eastAsia="pl-PL"/>
        </w:rPr>
        <w:t xml:space="preserve">nie doszło do naruszenia Artykułu 1 Protokołu </w:t>
      </w:r>
      <w:r w:rsidR="00DF45C7" w:rsidRPr="004A2C75">
        <w:rPr>
          <w:rFonts w:ascii="Verdana" w:eastAsia="Times New Roman" w:hAnsi="Verdana" w:cs="Times New Roman"/>
          <w:b/>
          <w:color w:val="2E74B5" w:themeColor="accent5" w:themeShade="BF"/>
          <w:sz w:val="20"/>
          <w:szCs w:val="20"/>
          <w:lang w:eastAsia="pl-PL"/>
        </w:rPr>
        <w:t xml:space="preserve">nr </w:t>
      </w:r>
      <w:r w:rsidRPr="004A2C75">
        <w:rPr>
          <w:rFonts w:ascii="Verdana" w:eastAsia="Times New Roman" w:hAnsi="Verdana" w:cs="Times New Roman"/>
          <w:b/>
          <w:color w:val="2E74B5" w:themeColor="accent5" w:themeShade="BF"/>
          <w:sz w:val="20"/>
          <w:szCs w:val="20"/>
          <w:lang w:eastAsia="pl-PL"/>
        </w:rPr>
        <w:t xml:space="preserve">1 </w:t>
      </w:r>
      <w:r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do Konwencji, stwierdzając, </w:t>
      </w:r>
      <w:r w:rsidR="00733578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>że</w:t>
      </w:r>
      <w:r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 kwestia maksymalnej kwoty świadczenia emerytalnego </w:t>
      </w:r>
      <w:r w:rsidR="003F75D0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jest regulacją polityki socjalnej Bułgarii. Po pierwsze Trybunał zauważa, iż limitowanie świadczeń emerytalnych ma uzasadniony cel w interesie publicznym oraz oczywiście odbija się na oszczędnościach w bułgarskim systemie emerytalnym. Co więcej względy </w:t>
      </w:r>
      <w:r w:rsidR="00A17A15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społeczne bułgarskiej władzy ustawodawczej oraz sądowej zostały racjonalnie uzasadnione. </w:t>
      </w:r>
      <w:r w:rsidR="00934977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Według badań Banku Światowego oraz </w:t>
      </w:r>
      <w:r w:rsidR="00E04B76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>OECD systemy</w:t>
      </w:r>
      <w:r w:rsidR="00F74B2A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 emerytalne </w:t>
      </w:r>
      <w:r w:rsidR="00E04B76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państw </w:t>
      </w:r>
      <w:r w:rsidR="00174C7D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są zróżnicowane, a ustanawianie pułapów maksymalnych nie jest </w:t>
      </w:r>
      <w:r w:rsidR="00F74B2A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>obecne</w:t>
      </w:r>
      <w:r w:rsidR="00174C7D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 jedynie w Bułgarii</w:t>
      </w:r>
      <w:r w:rsidR="00F74B2A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. </w:t>
      </w:r>
      <w:r w:rsidR="006C7FC9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Trybunał podkreślił również, iż </w:t>
      </w:r>
      <w:r w:rsidR="004B1554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stosowanie danego systemu emerytalnego zależy wyłącznie od władz państwowych, ponieważ one same, lepiej niż sąd międzynarodowy, potrafią dokonać oceny lokalnych potrzeb i warunków. </w:t>
      </w:r>
      <w:r w:rsidR="009D3F96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Podczas badania, czy władze zachowały odpowiednią równowagę pomiędzy ogólnym interesem społecznym a potrzebami skarżących, Trybunał zaobserwował, iż w przypadku skarżących </w:t>
      </w:r>
      <w:r w:rsidR="00A02821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większość </w:t>
      </w:r>
      <w:r w:rsidR="00345337" w:rsidRPr="004A2C75">
        <w:rPr>
          <w:rFonts w:ascii="Verdana" w:eastAsia="Times New Roman" w:hAnsi="Verdana" w:cs="Times New Roman"/>
          <w:color w:val="2E74B5" w:themeColor="accent5" w:themeShade="BF"/>
          <w:sz w:val="20"/>
          <w:szCs w:val="20"/>
          <w:lang w:eastAsia="pl-PL"/>
        </w:rPr>
        <w:t xml:space="preserve">składek zostało wpłaconych podczas obowiązywania innego systemu gospodarczego, kiedy to fundusz emerytalny był nieodłączną częścią budżetu państwa. </w:t>
      </w:r>
      <w:r w:rsidR="00F32A5B" w:rsidRPr="004A2C75">
        <w:rPr>
          <w:rFonts w:ascii="Verdana" w:hAnsi="Verdana" w:cs="Times"/>
          <w:color w:val="2E74B5" w:themeColor="accent5" w:themeShade="BF"/>
          <w:sz w:val="20"/>
          <w:szCs w:val="20"/>
        </w:rPr>
        <w:t>Ponadto</w:t>
      </w:r>
      <w:r w:rsidR="00345337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maksymalny</w:t>
      </w:r>
      <w:r w:rsidR="00F32A5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pułap emerytalny był utrzymywany w okresie, kiedy bułgarski system finansowy przechodził kom</w:t>
      </w:r>
      <w:r w:rsidR="00BA7309" w:rsidRPr="004A2C75">
        <w:rPr>
          <w:rFonts w:ascii="Verdana" w:hAnsi="Verdana" w:cs="Times"/>
          <w:color w:val="2E74B5" w:themeColor="accent5" w:themeShade="BF"/>
          <w:sz w:val="20"/>
          <w:szCs w:val="20"/>
        </w:rPr>
        <w:t>pleksow</w:t>
      </w:r>
      <w:r w:rsidR="00345337" w:rsidRPr="004A2C75">
        <w:rPr>
          <w:rFonts w:ascii="Verdana" w:hAnsi="Verdana" w:cs="Times"/>
          <w:color w:val="2E74B5" w:themeColor="accent5" w:themeShade="BF"/>
          <w:sz w:val="20"/>
          <w:szCs w:val="20"/>
        </w:rPr>
        <w:t>ą</w:t>
      </w:r>
      <w:r w:rsidR="00BA7309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</w:t>
      </w:r>
      <w:r w:rsidR="00F32A5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reformę w </w:t>
      </w:r>
      <w:r w:rsidR="001A3227" w:rsidRPr="004A2C75">
        <w:rPr>
          <w:rFonts w:ascii="Verdana" w:hAnsi="Verdana" w:cs="Times"/>
          <w:color w:val="2E74B5" w:themeColor="accent5" w:themeShade="BF"/>
          <w:sz w:val="20"/>
          <w:szCs w:val="20"/>
        </w:rPr>
        <w:t>ramach przejścia z gospodarki pa</w:t>
      </w:r>
      <w:r w:rsidR="008C38F2" w:rsidRPr="004A2C75">
        <w:rPr>
          <w:rFonts w:ascii="Verdana" w:hAnsi="Verdana" w:cs="Times"/>
          <w:color w:val="2E74B5" w:themeColor="accent5" w:themeShade="BF"/>
          <w:sz w:val="20"/>
          <w:szCs w:val="20"/>
        </w:rPr>
        <w:t>ń</w:t>
      </w:r>
      <w:r w:rsidR="00F32A5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stwowej i centralnie planowanej do </w:t>
      </w:r>
      <w:r w:rsidR="00BA7309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własności prywatnej i gospodarki rynkowej. Utrzymanie </w:t>
      </w:r>
      <w:r w:rsidR="00AE5CAB" w:rsidRPr="004A2C75">
        <w:rPr>
          <w:rFonts w:ascii="Verdana" w:hAnsi="Verdana" w:cs="Times"/>
          <w:color w:val="2E74B5" w:themeColor="accent5" w:themeShade="BF"/>
          <w:sz w:val="20"/>
          <w:szCs w:val="20"/>
        </w:rPr>
        <w:t>limitu może</w:t>
      </w:r>
      <w:r w:rsidR="00A6222E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być postrzegane jako</w:t>
      </w:r>
      <w:r w:rsidR="00AE5CA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środek tymczasowy towarzyszący ogólnemu przekształcaniu się systemu emerytalnego. W tym aspekcie Trybunał przypomniał, iż już wcześniej </w:t>
      </w:r>
      <w:r w:rsidR="00345337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uznał, że państwa mają </w:t>
      </w:r>
      <w:r w:rsidR="00AE5CA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szeroki zakres uznania przy </w:t>
      </w:r>
      <w:r w:rsidR="00AE5CAB" w:rsidRPr="004A2C75">
        <w:rPr>
          <w:rFonts w:ascii="Verdana" w:hAnsi="Verdana" w:cs="Times"/>
          <w:color w:val="2E74B5" w:themeColor="accent5" w:themeShade="BF"/>
          <w:sz w:val="20"/>
          <w:szCs w:val="20"/>
        </w:rPr>
        <w:lastRenderedPageBreak/>
        <w:t xml:space="preserve">przyjmowaniu aktów prawnych dotyczących zmiany reżimu politycznego lub ekonomicznego. Ponadto skarżący musieli znieść rozsądną obniżkę, </w:t>
      </w:r>
      <w:r w:rsidR="00345337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a </w:t>
      </w:r>
      <w:r w:rsidR="00AE5CA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nie całkowitą utratę świadczeń emerytalnych. Skarżący będąc w przedziale </w:t>
      </w:r>
      <w:r w:rsidR="00F16F6A" w:rsidRPr="004A2C75">
        <w:rPr>
          <w:rFonts w:ascii="Verdana" w:hAnsi="Verdana" w:cs="Times"/>
          <w:color w:val="2E74B5" w:themeColor="accent5" w:themeShade="BF"/>
          <w:sz w:val="20"/>
          <w:szCs w:val="20"/>
        </w:rPr>
        <w:t>pobierających najwyższe świadczenia</w:t>
      </w:r>
      <w:r w:rsidR="00AE5CAB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spośród ponad dwóch milionów emerytów, nie mogą zostać uznani za</w:t>
      </w:r>
      <w:r w:rsidR="001E2796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nadmiernie i nieproporcjonalnie obciążonych </w:t>
      </w:r>
      <w:r w:rsidR="00AE2BE4">
        <w:rPr>
          <w:rFonts w:ascii="Verdana" w:hAnsi="Verdana" w:cs="Times"/>
          <w:color w:val="2E74B5" w:themeColor="accent5" w:themeShade="BF"/>
          <w:sz w:val="20"/>
          <w:szCs w:val="20"/>
        </w:rPr>
        <w:t>w związku z maksymalną</w:t>
      </w:r>
      <w:r w:rsidR="001E2796" w:rsidRPr="004A2C75">
        <w:rPr>
          <w:rFonts w:ascii="Verdana" w:hAnsi="Verdana" w:cs="Times"/>
          <w:color w:val="2E74B5" w:themeColor="accent5" w:themeShade="BF"/>
          <w:sz w:val="20"/>
          <w:szCs w:val="20"/>
        </w:rPr>
        <w:t xml:space="preserve"> </w:t>
      </w:r>
      <w:r w:rsidR="00AE2BE4">
        <w:rPr>
          <w:rFonts w:ascii="Verdana" w:hAnsi="Verdana" w:cs="Times"/>
          <w:color w:val="2E74B5" w:themeColor="accent5" w:themeShade="BF"/>
          <w:sz w:val="20"/>
          <w:szCs w:val="20"/>
        </w:rPr>
        <w:t>wysokością emerytury</w:t>
      </w:r>
      <w:r w:rsidR="00AE5CAB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. Co więcej system świadczeń publicznych opiera się na zasadzie solidarności pomiędzy </w:t>
      </w:r>
      <w:r w:rsidR="00CB6A5A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płacącymi składki</w:t>
      </w:r>
      <w:r w:rsidR="00AE5CAB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a beneficjen</w:t>
      </w:r>
      <w:r w:rsidR="004E419F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tami. Ostatecznie, wysokość limitu zmieniała się stopniowo, </w:t>
      </w:r>
      <w:r w:rsidR="00CB6A5A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co spowodowało</w:t>
      </w:r>
      <w:r w:rsidR="004E419F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iż maksymalna </w:t>
      </w:r>
      <w:r w:rsidR="00CB6A5A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kwota emerytury </w:t>
      </w:r>
      <w:r w:rsidR="004E419F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wzrastała w przeciągu lat. W rezultacie, jako ogólna tendencja, kilku emeryt</w:t>
      </w:r>
      <w:r w:rsidR="00733578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ów zostało dotkniętych limitem.</w:t>
      </w:r>
    </w:p>
    <w:p w14:paraId="1FD7BC9C" w14:textId="77777777" w:rsidR="007B0678" w:rsidRPr="004A2C75" w:rsidRDefault="002512AE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2E74B5" w:themeColor="accent5" w:themeShade="BF"/>
          <w:sz w:val="20"/>
          <w:szCs w:val="20"/>
        </w:rPr>
      </w:pPr>
      <w:r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</w:t>
      </w:r>
      <w:r w:rsidR="004E419F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W </w:t>
      </w:r>
      <w:r w:rsidR="00CB6A5A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niniejszej</w:t>
      </w:r>
      <w:r w:rsidR="004E419F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sprawie Trybunał </w:t>
      </w:r>
      <w:r w:rsidR="00CB6A5A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orzekł</w:t>
      </w:r>
      <w:r w:rsidR="007B0678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również, iż </w:t>
      </w:r>
      <w:r w:rsidR="007B0678" w:rsidRPr="004A2C75">
        <w:rPr>
          <w:rFonts w:ascii="Verdana" w:hAnsi="Verdana" w:cs="Verdana"/>
          <w:b/>
          <w:color w:val="2E74B5" w:themeColor="accent5" w:themeShade="BF"/>
          <w:sz w:val="20"/>
          <w:szCs w:val="20"/>
        </w:rPr>
        <w:t>nie doszło do naruszenia Artykułu 14</w:t>
      </w:r>
      <w:r w:rsidR="007B0678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(zakaz dyskryminacji) Konwencji </w:t>
      </w:r>
      <w:r w:rsidR="007B0678" w:rsidRPr="004A2C75">
        <w:rPr>
          <w:rFonts w:ascii="Verdana" w:hAnsi="Verdana" w:cs="Verdana"/>
          <w:b/>
          <w:color w:val="2E74B5" w:themeColor="accent5" w:themeShade="BF"/>
          <w:sz w:val="20"/>
          <w:szCs w:val="20"/>
        </w:rPr>
        <w:t xml:space="preserve">w </w:t>
      </w:r>
      <w:r w:rsidR="00CB6A5A" w:rsidRPr="004A2C75">
        <w:rPr>
          <w:rFonts w:ascii="Verdana" w:hAnsi="Verdana" w:cs="Verdana"/>
          <w:b/>
          <w:color w:val="2E74B5" w:themeColor="accent5" w:themeShade="BF"/>
          <w:sz w:val="20"/>
          <w:szCs w:val="20"/>
        </w:rPr>
        <w:t>związku z  Artykułem</w:t>
      </w:r>
      <w:r w:rsidR="007B0678" w:rsidRPr="004A2C75">
        <w:rPr>
          <w:rFonts w:ascii="Verdana" w:hAnsi="Verdana" w:cs="Verdana"/>
          <w:b/>
          <w:color w:val="2E74B5" w:themeColor="accent5" w:themeShade="BF"/>
          <w:sz w:val="20"/>
          <w:szCs w:val="20"/>
        </w:rPr>
        <w:t xml:space="preserve"> 1 Protokołu</w:t>
      </w:r>
      <w:r w:rsidR="00CB6A5A" w:rsidRPr="004A2C75">
        <w:rPr>
          <w:rFonts w:ascii="Verdana" w:hAnsi="Verdana" w:cs="Verdana"/>
          <w:b/>
          <w:color w:val="2E74B5" w:themeColor="accent5" w:themeShade="BF"/>
          <w:sz w:val="20"/>
          <w:szCs w:val="20"/>
        </w:rPr>
        <w:t xml:space="preserve"> nr 1</w:t>
      </w:r>
      <w:r w:rsidR="00CB6A5A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. </w:t>
      </w:r>
      <w:r w:rsidR="007B0678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Biorąc powyższe pod uwagę Trybunał stwierdził, iż nie jest jego rolą porównywać skarżących z emerytami takimi jak Prezydent czy Wiceprezydent Republiki, co do których limit nie miał zastosowania. Był</w:t>
      </w:r>
      <w:r w:rsidR="00BC65DF">
        <w:rPr>
          <w:rFonts w:ascii="Verdana" w:hAnsi="Verdana" w:cs="Verdana"/>
          <w:color w:val="2E74B5" w:themeColor="accent5" w:themeShade="BF"/>
          <w:sz w:val="20"/>
          <w:szCs w:val="20"/>
        </w:rPr>
        <w:t>a</w:t>
      </w:r>
      <w:r w:rsidR="007B0678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to raczej </w:t>
      </w:r>
      <w:r w:rsidRPr="004A2C75">
        <w:rPr>
          <w:rFonts w:ascii="Verdana" w:hAnsi="Verdana" w:cs="Verdana"/>
          <w:color w:val="2E74B5" w:themeColor="accent5" w:themeShade="BF"/>
          <w:sz w:val="20"/>
          <w:szCs w:val="20"/>
        </w:rPr>
        <w:t>polityczn</w:t>
      </w:r>
      <w:r w:rsidR="00BC65DF">
        <w:rPr>
          <w:rFonts w:ascii="Verdana" w:hAnsi="Verdana" w:cs="Verdana"/>
          <w:color w:val="2E74B5" w:themeColor="accent5" w:themeShade="BF"/>
          <w:sz w:val="20"/>
          <w:szCs w:val="20"/>
        </w:rPr>
        <w:t>a</w:t>
      </w:r>
      <w:r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o</w:t>
      </w:r>
      <w:r w:rsidR="00BC65DF">
        <w:rPr>
          <w:rFonts w:ascii="Verdana" w:hAnsi="Verdana" w:cs="Verdana"/>
          <w:color w:val="2E74B5" w:themeColor="accent5" w:themeShade="BF"/>
          <w:sz w:val="20"/>
          <w:szCs w:val="20"/>
        </w:rPr>
        <w:t>cena</w:t>
      </w:r>
      <w:r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zarezerwowan</w:t>
      </w:r>
      <w:r w:rsidR="00BC65DF">
        <w:rPr>
          <w:rFonts w:ascii="Verdana" w:hAnsi="Verdana" w:cs="Verdana"/>
          <w:color w:val="2E74B5" w:themeColor="accent5" w:themeShade="BF"/>
          <w:sz w:val="20"/>
          <w:szCs w:val="20"/>
        </w:rPr>
        <w:t>a</w:t>
      </w:r>
      <w:r w:rsidR="007B0678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w szczególności dla władz krajowych. </w:t>
      </w:r>
    </w:p>
    <w:p w14:paraId="326B738E" w14:textId="3504A399" w:rsidR="001E0059" w:rsidRPr="004A2C75" w:rsidRDefault="007B0678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4A2C75">
        <w:rPr>
          <w:rFonts w:ascii="Verdana" w:hAnsi="Verdana" w:cs="Verdana"/>
          <w:i/>
          <w:color w:val="000000" w:themeColor="text1"/>
          <w:sz w:val="20"/>
          <w:szCs w:val="20"/>
        </w:rPr>
        <w:t>Zobacz również</w:t>
      </w:r>
      <w:r w:rsidR="002512AE" w:rsidRPr="004A2C75">
        <w:rPr>
          <w:rFonts w:ascii="Verdana" w:hAnsi="Verdana" w:cs="Verdana"/>
          <w:color w:val="000000" w:themeColor="text1"/>
          <w:sz w:val="20"/>
          <w:szCs w:val="20"/>
        </w:rPr>
        <w:t>:</w:t>
      </w:r>
      <w:r w:rsidRPr="004A2C75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hyperlink r:id="rId9" w:history="1">
        <w:proofErr w:type="spellStart"/>
        <w:r w:rsidRPr="00E90A62">
          <w:rPr>
            <w:b/>
            <w:bCs/>
            <w:color w:val="0070C0"/>
            <w:u w:val="single"/>
          </w:rPr>
          <w:t>Frimu</w:t>
        </w:r>
        <w:proofErr w:type="spellEnd"/>
        <w:r w:rsidRPr="00E90A62">
          <w:rPr>
            <w:b/>
            <w:bCs/>
            <w:color w:val="0070C0"/>
            <w:u w:val="single"/>
          </w:rPr>
          <w:t xml:space="preserve"> i Inni przeciwko Rumuni</w:t>
        </w:r>
      </w:hyperlink>
      <w:r w:rsidRPr="004A2C75">
        <w:rPr>
          <w:rFonts w:ascii="Verdana" w:hAnsi="Verdana" w:cs="Verdana"/>
          <w:color w:val="000000" w:themeColor="text1"/>
          <w:sz w:val="20"/>
          <w:szCs w:val="20"/>
        </w:rPr>
        <w:t>, decyzja (częściowa) w sprawie dopuszczalności z 7 stycznia 2012</w:t>
      </w:r>
      <w:r w:rsidR="00F549E2" w:rsidRPr="004A2C75">
        <w:rPr>
          <w:rFonts w:ascii="Verdana" w:hAnsi="Verdana" w:cs="Verdana"/>
          <w:color w:val="000000" w:themeColor="text1"/>
          <w:sz w:val="20"/>
          <w:szCs w:val="20"/>
        </w:rPr>
        <w:t>r.</w:t>
      </w:r>
      <w:r w:rsidRPr="004A2C75">
        <w:rPr>
          <w:rFonts w:ascii="Verdana" w:hAnsi="Verdana" w:cs="Verdana"/>
          <w:color w:val="000000" w:themeColor="text1"/>
          <w:sz w:val="20"/>
          <w:szCs w:val="20"/>
        </w:rPr>
        <w:t xml:space="preserve">; </w:t>
      </w:r>
      <w:hyperlink r:id="rId10" w:history="1">
        <w:r w:rsidRPr="00E90A62">
          <w:rPr>
            <w:b/>
            <w:bCs/>
            <w:color w:val="0070C0"/>
            <w:u w:val="single"/>
          </w:rPr>
          <w:t>Panfile przeciwko Rumuni</w:t>
        </w:r>
      </w:hyperlink>
      <w:r w:rsidRPr="004A2C75">
        <w:rPr>
          <w:rFonts w:ascii="Verdana" w:hAnsi="Verdana" w:cs="Verdana"/>
          <w:color w:val="000000" w:themeColor="text1"/>
          <w:sz w:val="20"/>
          <w:szCs w:val="20"/>
        </w:rPr>
        <w:t>, decyzja w sprawie dopuszczalności z 20 marca 2012</w:t>
      </w:r>
      <w:r w:rsidR="00F549E2" w:rsidRPr="004A2C75">
        <w:rPr>
          <w:rFonts w:ascii="Verdana" w:hAnsi="Verdana" w:cs="Verdana"/>
          <w:color w:val="000000" w:themeColor="text1"/>
          <w:sz w:val="20"/>
          <w:szCs w:val="20"/>
        </w:rPr>
        <w:t>r</w:t>
      </w:r>
      <w:r w:rsidRPr="004A2C75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</w:p>
    <w:p w14:paraId="5F3CE1FB" w14:textId="2FBBAC40" w:rsidR="006C2D24" w:rsidRPr="004A2C75" w:rsidRDefault="006C2D24" w:rsidP="00E90A62">
      <w:pPr>
        <w:widowControl w:val="0"/>
        <w:autoSpaceDE w:val="0"/>
        <w:autoSpaceDN w:val="0"/>
        <w:adjustRightInd w:val="0"/>
        <w:rPr>
          <w:rFonts w:ascii="Verdana" w:hAnsi="Verdana"/>
          <w:b/>
          <w:color w:val="2E74B5" w:themeColor="accent5" w:themeShade="BF"/>
          <w:sz w:val="20"/>
          <w:szCs w:val="20"/>
          <w:u w:val="single"/>
        </w:rPr>
      </w:pPr>
      <w:hyperlink r:id="rId11" w:history="1">
        <w:proofErr w:type="spellStart"/>
        <w:r w:rsidRPr="00E90A62">
          <w:rPr>
            <w:b/>
            <w:bCs/>
            <w:color w:val="0070C0"/>
            <w:u w:val="single"/>
          </w:rPr>
          <w:t>Koufaki</w:t>
        </w:r>
        <w:proofErr w:type="spellEnd"/>
        <w:r w:rsidRPr="00E90A62">
          <w:rPr>
            <w:b/>
            <w:bCs/>
            <w:color w:val="0070C0"/>
            <w:u w:val="single"/>
          </w:rPr>
          <w:t xml:space="preserve"> i ADEDY przeciwko Grecji</w:t>
        </w:r>
      </w:hyperlink>
      <w:r w:rsidRPr="004A2C75">
        <w:rPr>
          <w:rFonts w:ascii="Verdana" w:hAnsi="Verdana"/>
          <w:b/>
          <w:color w:val="2E74B5" w:themeColor="accent5" w:themeShade="BF"/>
          <w:sz w:val="20"/>
          <w:szCs w:val="20"/>
          <w:u w:val="single"/>
        </w:rPr>
        <w:t xml:space="preserve"> </w:t>
      </w:r>
    </w:p>
    <w:p w14:paraId="3DB63A64" w14:textId="77777777" w:rsidR="006C2D24" w:rsidRPr="004A2C75" w:rsidRDefault="006C2D24" w:rsidP="00F76DF1">
      <w:pPr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>7 maj 2013</w:t>
      </w:r>
      <w:r w:rsidR="003B785A"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r. </w:t>
      </w: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(</w:t>
      </w:r>
      <w:r w:rsidR="0031666C"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decyzja w sprawie dopuszczalności) </w:t>
      </w:r>
    </w:p>
    <w:p w14:paraId="12EAF0DD" w14:textId="77777777" w:rsidR="00223E41" w:rsidRPr="004A2C75" w:rsidRDefault="003B785A" w:rsidP="00F76DF1">
      <w:pPr>
        <w:jc w:val="both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>W</w:t>
      </w:r>
      <w:r w:rsidR="0031666C" w:rsidRPr="004A2C75">
        <w:rPr>
          <w:rFonts w:ascii="Verdana" w:hAnsi="Verdana"/>
          <w:sz w:val="20"/>
          <w:szCs w:val="20"/>
        </w:rPr>
        <w:t xml:space="preserve"> 2010</w:t>
      </w:r>
      <w:r w:rsidRPr="004A2C75">
        <w:rPr>
          <w:rFonts w:ascii="Verdana" w:hAnsi="Verdana"/>
          <w:sz w:val="20"/>
          <w:szCs w:val="20"/>
        </w:rPr>
        <w:t>r.</w:t>
      </w:r>
      <w:r w:rsidR="0031666C" w:rsidRPr="004A2C75">
        <w:rPr>
          <w:rFonts w:ascii="Verdana" w:hAnsi="Verdana"/>
          <w:sz w:val="20"/>
          <w:szCs w:val="20"/>
        </w:rPr>
        <w:t xml:space="preserve"> Rząd Grecki przyjął ser</w:t>
      </w:r>
      <w:r w:rsidR="00DB0762" w:rsidRPr="004A2C75">
        <w:rPr>
          <w:rFonts w:ascii="Verdana" w:hAnsi="Verdana"/>
          <w:sz w:val="20"/>
          <w:szCs w:val="20"/>
        </w:rPr>
        <w:t xml:space="preserve">ię środków oszczędnościowych, w </w:t>
      </w:r>
      <w:r w:rsidR="0031666C" w:rsidRPr="004A2C75">
        <w:rPr>
          <w:rFonts w:ascii="Verdana" w:hAnsi="Verdana"/>
          <w:sz w:val="20"/>
          <w:szCs w:val="20"/>
        </w:rPr>
        <w:t xml:space="preserve">tym redukcję wynagrodzenia, dodatków, </w:t>
      </w:r>
      <w:r w:rsidR="00C447ED" w:rsidRPr="004A2C75">
        <w:rPr>
          <w:rFonts w:ascii="Verdana" w:hAnsi="Verdana"/>
          <w:sz w:val="20"/>
          <w:szCs w:val="20"/>
        </w:rPr>
        <w:t>premii</w:t>
      </w:r>
      <w:r w:rsidR="0031666C" w:rsidRPr="004A2C75">
        <w:rPr>
          <w:rFonts w:ascii="Verdana" w:hAnsi="Verdana"/>
          <w:sz w:val="20"/>
          <w:szCs w:val="20"/>
        </w:rPr>
        <w:t xml:space="preserve"> </w:t>
      </w:r>
      <w:r w:rsidR="009C5500" w:rsidRPr="004A2C75">
        <w:rPr>
          <w:rFonts w:ascii="Verdana" w:hAnsi="Verdana"/>
          <w:sz w:val="20"/>
          <w:szCs w:val="20"/>
        </w:rPr>
        <w:t xml:space="preserve">oraz świadczenia </w:t>
      </w:r>
      <w:r w:rsidR="0096029D" w:rsidRPr="004A2C75">
        <w:rPr>
          <w:rFonts w:ascii="Verdana" w:hAnsi="Verdana"/>
          <w:sz w:val="20"/>
          <w:szCs w:val="20"/>
        </w:rPr>
        <w:t>emerytalnego</w:t>
      </w:r>
      <w:r w:rsidR="007B0678" w:rsidRPr="004A2C75">
        <w:rPr>
          <w:rFonts w:ascii="Verdana" w:hAnsi="Verdana"/>
          <w:sz w:val="20"/>
          <w:szCs w:val="20"/>
        </w:rPr>
        <w:t xml:space="preserve"> urzędników publicznych</w:t>
      </w:r>
      <w:r w:rsidR="0096029D" w:rsidRPr="004A2C75">
        <w:rPr>
          <w:rFonts w:ascii="Verdana" w:hAnsi="Verdana"/>
          <w:sz w:val="20"/>
          <w:szCs w:val="20"/>
        </w:rPr>
        <w:t xml:space="preserve">, </w:t>
      </w:r>
      <w:r w:rsidR="008A1F41" w:rsidRPr="004A2C75">
        <w:rPr>
          <w:rFonts w:ascii="Verdana" w:hAnsi="Verdana"/>
          <w:sz w:val="20"/>
          <w:szCs w:val="20"/>
        </w:rPr>
        <w:t>w celu redukcji wydatków publicznych oraz reakcji na kryzys finansowy i ekonomiczny</w:t>
      </w:r>
      <w:r w:rsidR="00EF5DB1" w:rsidRPr="004A2C75">
        <w:rPr>
          <w:rFonts w:ascii="Verdana" w:hAnsi="Verdana"/>
          <w:sz w:val="20"/>
          <w:szCs w:val="20"/>
        </w:rPr>
        <w:t>,</w:t>
      </w:r>
      <w:r w:rsidR="008A1F41" w:rsidRPr="004A2C75">
        <w:rPr>
          <w:rFonts w:ascii="Verdana" w:hAnsi="Verdana"/>
          <w:sz w:val="20"/>
          <w:szCs w:val="20"/>
        </w:rPr>
        <w:t xml:space="preserve"> z którym kraj ten się zmagał. W lipcu 2010 skarżący </w:t>
      </w:r>
      <w:r w:rsidR="00EF5DB1" w:rsidRPr="004A2C75">
        <w:rPr>
          <w:rFonts w:ascii="Verdana" w:hAnsi="Verdana"/>
          <w:sz w:val="20"/>
          <w:szCs w:val="20"/>
        </w:rPr>
        <w:t>p</w:t>
      </w:r>
      <w:r w:rsidR="008A1F41" w:rsidRPr="004A2C75">
        <w:rPr>
          <w:rFonts w:ascii="Verdana" w:hAnsi="Verdana"/>
          <w:sz w:val="20"/>
          <w:szCs w:val="20"/>
        </w:rPr>
        <w:t xml:space="preserve">odjęli sprawę przed Naczelnym Sądem Administracyjnym: pierwsza skarżąca zwróciła się do sądu </w:t>
      </w:r>
      <w:r w:rsidR="00EF5DB1" w:rsidRPr="004A2C75">
        <w:rPr>
          <w:rFonts w:ascii="Verdana" w:hAnsi="Verdana"/>
          <w:sz w:val="20"/>
          <w:szCs w:val="20"/>
        </w:rPr>
        <w:t xml:space="preserve">w </w:t>
      </w:r>
      <w:r w:rsidR="0085258E" w:rsidRPr="004A2C75">
        <w:rPr>
          <w:rFonts w:ascii="Verdana" w:hAnsi="Verdana"/>
          <w:sz w:val="20"/>
          <w:szCs w:val="20"/>
        </w:rPr>
        <w:t>sprawie</w:t>
      </w:r>
      <w:r w:rsidR="00EF5DB1" w:rsidRPr="004A2C75">
        <w:rPr>
          <w:rFonts w:ascii="Verdana" w:hAnsi="Verdana"/>
          <w:sz w:val="20"/>
          <w:szCs w:val="20"/>
        </w:rPr>
        <w:t xml:space="preserve"> unieważnienia</w:t>
      </w:r>
      <w:r w:rsidR="00BC65DF">
        <w:rPr>
          <w:rFonts w:ascii="Verdana" w:hAnsi="Verdana"/>
          <w:sz w:val="20"/>
          <w:szCs w:val="20"/>
        </w:rPr>
        <w:t xml:space="preserve"> ograniczenia</w:t>
      </w:r>
      <w:r w:rsidR="00EF5DB1" w:rsidRPr="004A2C75">
        <w:rPr>
          <w:rFonts w:ascii="Verdana" w:hAnsi="Verdana"/>
          <w:sz w:val="20"/>
          <w:szCs w:val="20"/>
        </w:rPr>
        <w:t xml:space="preserve"> </w:t>
      </w:r>
      <w:r w:rsidR="007B0678" w:rsidRPr="004A2C75">
        <w:rPr>
          <w:rFonts w:ascii="Verdana" w:hAnsi="Verdana"/>
          <w:sz w:val="20"/>
          <w:szCs w:val="20"/>
        </w:rPr>
        <w:t xml:space="preserve">jej </w:t>
      </w:r>
      <w:r w:rsidR="0085258E" w:rsidRPr="004A2C75">
        <w:rPr>
          <w:rFonts w:ascii="Verdana" w:hAnsi="Verdana"/>
          <w:sz w:val="20"/>
          <w:szCs w:val="20"/>
        </w:rPr>
        <w:t>wynagrodzenia</w:t>
      </w:r>
      <w:r w:rsidR="007B0678" w:rsidRPr="004A2C75">
        <w:rPr>
          <w:rFonts w:ascii="Verdana" w:hAnsi="Verdana"/>
          <w:sz w:val="20"/>
          <w:szCs w:val="20"/>
        </w:rPr>
        <w:t xml:space="preserve">; drugi skarżący </w:t>
      </w:r>
      <w:r w:rsidR="00E25193" w:rsidRPr="004A2C75">
        <w:rPr>
          <w:rFonts w:ascii="Verdana" w:hAnsi="Verdana"/>
          <w:sz w:val="20"/>
          <w:szCs w:val="20"/>
        </w:rPr>
        <w:t>Konfederacja Związków Zawodowych Funkcjonariuszy Publicznych</w:t>
      </w:r>
      <w:r w:rsidR="007B0678" w:rsidRPr="004A2C75">
        <w:rPr>
          <w:rFonts w:ascii="Verdana" w:hAnsi="Verdana"/>
          <w:sz w:val="20"/>
          <w:szCs w:val="20"/>
        </w:rPr>
        <w:t xml:space="preserve"> </w:t>
      </w:r>
      <w:r w:rsidR="00991B64" w:rsidRPr="004A2C75">
        <w:rPr>
          <w:rFonts w:ascii="Verdana" w:hAnsi="Verdana"/>
          <w:sz w:val="20"/>
          <w:szCs w:val="20"/>
        </w:rPr>
        <w:t xml:space="preserve">wniósł o kontrolę sądową </w:t>
      </w:r>
      <w:r w:rsidR="007B0678" w:rsidRPr="004A2C75">
        <w:rPr>
          <w:rFonts w:ascii="Verdana" w:hAnsi="Verdana"/>
          <w:sz w:val="20"/>
          <w:szCs w:val="20"/>
        </w:rPr>
        <w:t xml:space="preserve">ze względu </w:t>
      </w:r>
      <w:r w:rsidR="00991B64" w:rsidRPr="004A2C75">
        <w:rPr>
          <w:rFonts w:ascii="Verdana" w:hAnsi="Verdana"/>
          <w:sz w:val="20"/>
          <w:szCs w:val="20"/>
        </w:rPr>
        <w:t>na szkodliwy wpływ</w:t>
      </w:r>
      <w:r w:rsidR="007B0678" w:rsidRPr="004A2C75">
        <w:rPr>
          <w:rFonts w:ascii="Verdana" w:hAnsi="Verdana"/>
          <w:sz w:val="20"/>
          <w:szCs w:val="20"/>
        </w:rPr>
        <w:t xml:space="preserve"> </w:t>
      </w:r>
      <w:r w:rsidR="00991B64" w:rsidRPr="004A2C75">
        <w:rPr>
          <w:rFonts w:ascii="Verdana" w:hAnsi="Verdana"/>
          <w:sz w:val="20"/>
          <w:szCs w:val="20"/>
        </w:rPr>
        <w:t xml:space="preserve"> zastosowanych </w:t>
      </w:r>
      <w:r w:rsidR="007B0678" w:rsidRPr="004A2C75">
        <w:rPr>
          <w:rFonts w:ascii="Verdana" w:hAnsi="Verdana"/>
          <w:sz w:val="20"/>
          <w:szCs w:val="20"/>
        </w:rPr>
        <w:t xml:space="preserve">środków </w:t>
      </w:r>
      <w:r w:rsidR="00991B64" w:rsidRPr="004A2C75">
        <w:rPr>
          <w:rFonts w:ascii="Verdana" w:hAnsi="Verdana"/>
          <w:sz w:val="20"/>
          <w:szCs w:val="20"/>
        </w:rPr>
        <w:t>na</w:t>
      </w:r>
      <w:r w:rsidR="007B0678" w:rsidRPr="004A2C75">
        <w:rPr>
          <w:rFonts w:ascii="Verdana" w:hAnsi="Verdana"/>
          <w:sz w:val="20"/>
          <w:szCs w:val="20"/>
        </w:rPr>
        <w:t xml:space="preserve"> </w:t>
      </w:r>
      <w:r w:rsidR="00991B64" w:rsidRPr="004A2C75">
        <w:rPr>
          <w:rFonts w:ascii="Verdana" w:hAnsi="Verdana"/>
          <w:sz w:val="20"/>
          <w:szCs w:val="20"/>
        </w:rPr>
        <w:t>sytuację finansową</w:t>
      </w:r>
      <w:r w:rsidR="00503441" w:rsidRPr="004A2C75">
        <w:rPr>
          <w:rFonts w:ascii="Verdana" w:hAnsi="Verdana"/>
          <w:sz w:val="20"/>
          <w:szCs w:val="20"/>
        </w:rPr>
        <w:t xml:space="preserve"> jego członków. 20 stycznia 2012 Naczelny Sąd Administracyjny odrzucił skargi. </w:t>
      </w:r>
    </w:p>
    <w:p w14:paraId="5A26FC4A" w14:textId="77777777" w:rsidR="00B71245" w:rsidRPr="004A2C75" w:rsidRDefault="00503441" w:rsidP="00F76DF1">
      <w:pPr>
        <w:jc w:val="both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Trybunał uznał skargi za niedopuszczalne jako </w:t>
      </w:r>
      <w:r w:rsidR="000B61BF" w:rsidRPr="004A2C75">
        <w:rPr>
          <w:rFonts w:ascii="Verdana" w:hAnsi="Verdana"/>
          <w:color w:val="2E74B5" w:themeColor="accent5" w:themeShade="BF"/>
          <w:sz w:val="20"/>
          <w:szCs w:val="20"/>
        </w:rPr>
        <w:t>oczywiście</w:t>
      </w: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</w:t>
      </w:r>
      <w:r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>bezzasadne</w:t>
      </w: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. W szczególności przyjął, iż redukcja wynagrodzenia pierwszej skarżącej z 2,435.83 Euro do 1,885.79 Euro </w:t>
      </w:r>
      <w:r w:rsidR="0081061D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nie 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>narażała na ryzyko zagrożenia</w:t>
      </w:r>
      <w:r w:rsidR="0081061D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jej egzystencji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niezgodne z Artykułem 1 Protokołu nr  1</w:t>
      </w:r>
      <w:r w:rsidR="00E71604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</w:t>
      </w: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W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związku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z tym i w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szczególnej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sytuacji kryzysu, w jakim doszło do zarzuconych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działań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, nie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można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było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uważać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spornej ingerencji za nadmierne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obciążenie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>skarżącej</w:t>
      </w:r>
      <w:r w:rsidR="00223E4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. </w:t>
      </w:r>
      <w:r w:rsidR="00E71604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W odniesieniu do drugiego skarżącego  zlikwidowanie </w:t>
      </w:r>
      <w:r w:rsidR="0089618B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trzynastej i czternastej miesięcznej</w:t>
      </w:r>
      <w:r w:rsidR="00223E41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wypłaty świadczenia emerytalnego</w:t>
      </w:r>
      <w:r w:rsidR="0089618B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</w:t>
      </w:r>
      <w:r w:rsidR="00223E41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zostało zrekompensowane dodatkiem. Rozwiązanie zastępcze nie czyni kwestionowanych przepisów nieuzasadnionymi. </w:t>
      </w:r>
      <w:r w:rsidR="00303B5F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Tak długo jak władza ustawodawcza nie przekroczyła granic marginesu uznania, nie należy do Trybunału, aby oceniać czy wybrano najlepsze środki </w:t>
      </w:r>
      <w:r w:rsidR="007C0F8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odnoszące się do problemu, czy można było </w:t>
      </w:r>
      <w:r w:rsidR="00223E41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skorzystać z władzy w inny sposób. </w:t>
      </w:r>
      <w:r w:rsidR="007C0F8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</w:t>
      </w:r>
    </w:p>
    <w:p w14:paraId="24A990F4" w14:textId="77777777" w:rsidR="00B71245" w:rsidRPr="004A2C75" w:rsidRDefault="00B71245" w:rsidP="00F76DF1">
      <w:pPr>
        <w:rPr>
          <w:rFonts w:ascii="Verdana" w:hAnsi="Verdana"/>
          <w:b/>
          <w:color w:val="2E74B5" w:themeColor="accent5" w:themeShade="BF"/>
          <w:sz w:val="20"/>
          <w:szCs w:val="20"/>
          <w:u w:val="single"/>
        </w:rPr>
      </w:pPr>
    </w:p>
    <w:p w14:paraId="182AB3F7" w14:textId="2346ACE1" w:rsidR="00EF76BE" w:rsidRPr="004A2C75" w:rsidRDefault="00EF76BE" w:rsidP="00E90A62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  <w:u w:val="single"/>
        </w:rPr>
      </w:pPr>
      <w:hyperlink r:id="rId12" w:history="1">
        <w:r w:rsidRPr="00E90A62">
          <w:rPr>
            <w:b/>
            <w:bCs/>
            <w:color w:val="0070C0"/>
            <w:u w:val="single"/>
          </w:rPr>
          <w:t>N.K.M. przeciwko Węgrom (nr 66529/11)</w:t>
        </w:r>
      </w:hyperlink>
      <w:r w:rsidRPr="004A2C75">
        <w:rPr>
          <w:rFonts w:ascii="Verdana" w:hAnsi="Verdana"/>
          <w:b/>
          <w:color w:val="2E74B5" w:themeColor="accent5" w:themeShade="BF"/>
          <w:sz w:val="20"/>
          <w:szCs w:val="20"/>
          <w:u w:val="single"/>
        </w:rPr>
        <w:t xml:space="preserve"> </w:t>
      </w:r>
    </w:p>
    <w:p w14:paraId="3946BD9C" w14:textId="77777777" w:rsidR="00EF76BE" w:rsidRPr="004A2C75" w:rsidRDefault="00223E41" w:rsidP="00F76DF1">
      <w:pPr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>14 maj</w:t>
      </w:r>
      <w:r w:rsidR="00EF76BE"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2013</w:t>
      </w:r>
      <w:r w:rsidR="00B71245" w:rsidRPr="004A2C75">
        <w:rPr>
          <w:rFonts w:ascii="Verdana" w:hAnsi="Verdana"/>
          <w:color w:val="767171" w:themeColor="background2" w:themeShade="80"/>
          <w:sz w:val="20"/>
          <w:szCs w:val="20"/>
        </w:rPr>
        <w:t>r.</w:t>
      </w:r>
      <w:r w:rsidR="00EF76BE"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(wyrok)</w:t>
      </w:r>
    </w:p>
    <w:p w14:paraId="69E4C9F5" w14:textId="77777777" w:rsidR="00661CDA" w:rsidRPr="004A2C75" w:rsidRDefault="00EE2AEA" w:rsidP="00F76DF1">
      <w:pPr>
        <w:jc w:val="both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>Sprawa ta dotyczy urzędniczki państwowej</w:t>
      </w:r>
      <w:r w:rsidR="00EF76BE" w:rsidRPr="004A2C75">
        <w:rPr>
          <w:rFonts w:ascii="Verdana" w:hAnsi="Verdana"/>
          <w:sz w:val="20"/>
          <w:szCs w:val="20"/>
        </w:rPr>
        <w:t>,</w:t>
      </w:r>
      <w:r w:rsidRPr="004A2C75">
        <w:rPr>
          <w:rFonts w:ascii="Verdana" w:hAnsi="Verdana"/>
          <w:sz w:val="20"/>
          <w:szCs w:val="20"/>
        </w:rPr>
        <w:t xml:space="preserve"> która</w:t>
      </w:r>
      <w:r w:rsidR="002C563C" w:rsidRPr="004A2C75">
        <w:rPr>
          <w:rFonts w:ascii="Verdana" w:hAnsi="Verdana"/>
          <w:sz w:val="20"/>
          <w:szCs w:val="20"/>
        </w:rPr>
        <w:t xml:space="preserve"> </w:t>
      </w:r>
      <w:r w:rsidR="00661CDA" w:rsidRPr="004A2C75">
        <w:rPr>
          <w:rFonts w:ascii="Verdana" w:hAnsi="Verdana"/>
          <w:sz w:val="20"/>
          <w:szCs w:val="20"/>
        </w:rPr>
        <w:t>zarzucał</w:t>
      </w:r>
      <w:r w:rsidRPr="004A2C75">
        <w:rPr>
          <w:rFonts w:ascii="Verdana" w:hAnsi="Verdana"/>
          <w:sz w:val="20"/>
          <w:szCs w:val="20"/>
        </w:rPr>
        <w:t>a</w:t>
      </w:r>
      <w:r w:rsidR="00661CDA" w:rsidRPr="004A2C75">
        <w:rPr>
          <w:rFonts w:ascii="Verdana" w:hAnsi="Verdana"/>
          <w:sz w:val="20"/>
          <w:szCs w:val="20"/>
        </w:rPr>
        <w:t>, iż nałożenie 98% podatku na część kwoty jej odprawy na podstawie ustawy, która weszła w życie dziesięć tygodni przed zwolnieniem skarżącej było równoznaczne z nieuzasadnionym pozbawieniem skarżącej jej własności, przy jednoczesnym braku jakiegokolwiek środka odwoławczego</w:t>
      </w:r>
      <w:r w:rsidRPr="004A2C75">
        <w:rPr>
          <w:rFonts w:ascii="Verdana" w:hAnsi="Verdana"/>
          <w:sz w:val="20"/>
          <w:szCs w:val="20"/>
        </w:rPr>
        <w:t xml:space="preserve">. </w:t>
      </w:r>
    </w:p>
    <w:p w14:paraId="0924B65E" w14:textId="77777777" w:rsidR="00A604B3" w:rsidRPr="004A2C75" w:rsidRDefault="00EE2AEA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Times"/>
          <w:color w:val="2E74B5" w:themeColor="accent5" w:themeShade="BF"/>
          <w:sz w:val="20"/>
          <w:szCs w:val="20"/>
        </w:rPr>
      </w:pP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Trybunał uznał, iż w przedmiotowej sprawie </w:t>
      </w:r>
      <w:r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 xml:space="preserve">doszło do naruszenia Artykułu 1 </w:t>
      </w:r>
      <w:r w:rsidR="00884AE1"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>Protokołu</w:t>
      </w:r>
      <w:r w:rsidR="00BE3CC9"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 xml:space="preserve"> nr</w:t>
      </w:r>
      <w:r w:rsidR="00884AE1"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 xml:space="preserve"> 1</w:t>
      </w:r>
      <w:r w:rsidR="00884AE1" w:rsidRPr="004A2C75">
        <w:rPr>
          <w:rFonts w:ascii="Verdana" w:hAnsi="Verdana"/>
          <w:color w:val="2E74B5" w:themeColor="accent5" w:themeShade="BF"/>
          <w:sz w:val="20"/>
          <w:szCs w:val="20"/>
        </w:rPr>
        <w:t>. Pomimo szerokiego marginesu oceny, jakim dysponowało państwo węgierskie w kwestiach podatkowych, Trybunał uznał, iż środki jakie wprowadziło nie</w:t>
      </w:r>
      <w:r w:rsidR="00FA417D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</w:t>
      </w:r>
      <w:r w:rsidR="00884AE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były proporcjonalne do celu </w:t>
      </w:r>
      <w:r w:rsidR="00666946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jakim jest ochrona </w:t>
      </w:r>
      <w:r w:rsidR="00FA417D" w:rsidRPr="004A2C75">
        <w:rPr>
          <w:rFonts w:ascii="Verdana" w:hAnsi="Verdana"/>
          <w:color w:val="2E74B5" w:themeColor="accent5" w:themeShade="BF"/>
          <w:sz w:val="20"/>
          <w:szCs w:val="20"/>
        </w:rPr>
        <w:t>budżetu pańs</w:t>
      </w:r>
      <w:r w:rsidR="00B7124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twa przed zawyżonymi odprawami. </w:t>
      </w:r>
      <w:r w:rsidR="00FA417D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Skarżącej nie zapewniono okresu przejściowego, podczas którego mogłaby dostosować się do nowego systemu zwolnień. Co więcej </w:t>
      </w:r>
      <w:r w:rsidR="00222CB1" w:rsidRPr="004A2C75">
        <w:rPr>
          <w:rFonts w:ascii="Verdana" w:hAnsi="Verdana"/>
          <w:color w:val="2E74B5" w:themeColor="accent5" w:themeShade="BF"/>
          <w:sz w:val="20"/>
          <w:szCs w:val="20"/>
        </w:rPr>
        <w:t>została ona pozbawiona prawa</w:t>
      </w:r>
      <w:r w:rsidR="00BE3CC9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. Co więcej pozbawiając skarżącą prawa, które służyło szczególnemu interesowi </w:t>
      </w:r>
      <w:r w:rsidR="00BE3CC9" w:rsidRPr="004A2C75">
        <w:rPr>
          <w:rFonts w:ascii="Verdana" w:hAnsi="Verdana"/>
          <w:color w:val="2E74B5" w:themeColor="accent5" w:themeShade="BF"/>
          <w:sz w:val="20"/>
          <w:szCs w:val="20"/>
        </w:rPr>
        <w:lastRenderedPageBreak/>
        <w:t xml:space="preserve">społecznemu w zakresie reintegracji rynku pracy, władze węgierskie naraziły ją na poniesienie nadmiernego obciążenia. </w:t>
      </w:r>
    </w:p>
    <w:p w14:paraId="3C0562EF" w14:textId="708F4793" w:rsidR="0007478F" w:rsidRPr="00E90A62" w:rsidRDefault="0007478F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r w:rsidRPr="00E90A62">
        <w:rPr>
          <w:b/>
          <w:bCs/>
          <w:color w:val="0070C0"/>
          <w:u w:val="single"/>
        </w:rPr>
        <w:fldChar w:fldCharType="begin"/>
      </w:r>
      <w:r w:rsidRPr="00E90A62">
        <w:rPr>
          <w:b/>
          <w:bCs/>
          <w:color w:val="0070C0"/>
          <w:u w:val="single"/>
        </w:rPr>
        <w:instrText>HYPERLINK "http://hudoc.echr.coe.int/sites/eng-press/pages/search.aspx?i=003-4554859-5501215"</w:instrText>
      </w:r>
      <w:r w:rsidRPr="00E90A62">
        <w:rPr>
          <w:b/>
          <w:bCs/>
          <w:color w:val="0070C0"/>
          <w:u w:val="single"/>
        </w:rPr>
      </w:r>
      <w:r w:rsidRPr="00E90A62">
        <w:rPr>
          <w:b/>
          <w:bCs/>
          <w:color w:val="0070C0"/>
          <w:u w:val="single"/>
        </w:rPr>
        <w:fldChar w:fldCharType="separate"/>
      </w:r>
      <w:r w:rsidR="00A604B3" w:rsidRPr="00E90A62">
        <w:rPr>
          <w:b/>
          <w:bCs/>
          <w:color w:val="0070C0"/>
          <w:u w:val="single"/>
        </w:rPr>
        <w:t xml:space="preserve">Da </w:t>
      </w:r>
      <w:proofErr w:type="spellStart"/>
      <w:r w:rsidR="00A604B3" w:rsidRPr="00E90A62">
        <w:rPr>
          <w:b/>
          <w:bCs/>
          <w:color w:val="0070C0"/>
          <w:u w:val="single"/>
        </w:rPr>
        <w:t>Conceição</w:t>
      </w:r>
      <w:proofErr w:type="spellEnd"/>
      <w:r w:rsidR="00A604B3" w:rsidRPr="00E90A62">
        <w:rPr>
          <w:b/>
          <w:bCs/>
          <w:color w:val="0070C0"/>
          <w:u w:val="single"/>
        </w:rPr>
        <w:t xml:space="preserve"> </w:t>
      </w:r>
      <w:proofErr w:type="spellStart"/>
      <w:r w:rsidR="00A604B3" w:rsidRPr="00E90A62">
        <w:rPr>
          <w:b/>
          <w:bCs/>
          <w:color w:val="0070C0"/>
          <w:u w:val="single"/>
        </w:rPr>
        <w:t>Mateus</w:t>
      </w:r>
      <w:proofErr w:type="spellEnd"/>
      <w:r w:rsidR="00A604B3" w:rsidRPr="00E90A62">
        <w:rPr>
          <w:b/>
          <w:bCs/>
          <w:color w:val="0070C0"/>
          <w:u w:val="single"/>
        </w:rPr>
        <w:t xml:space="preserve"> przeciwko Portugalii</w:t>
      </w:r>
    </w:p>
    <w:p w14:paraId="6074D903" w14:textId="6AE84FAB" w:rsidR="00BE3CC9" w:rsidRPr="004A2C75" w:rsidRDefault="00B71245" w:rsidP="00F76D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r w:rsidRPr="00E90A62">
        <w:rPr>
          <w:b/>
          <w:bCs/>
          <w:color w:val="0070C0"/>
          <w:u w:val="single"/>
        </w:rPr>
        <w:t>oraz</w:t>
      </w:r>
      <w:r w:rsidR="00A604B3" w:rsidRPr="00E90A62">
        <w:rPr>
          <w:b/>
          <w:bCs/>
          <w:color w:val="0070C0"/>
          <w:u w:val="single"/>
        </w:rPr>
        <w:t xml:space="preserve"> Santos </w:t>
      </w:r>
      <w:proofErr w:type="spellStart"/>
      <w:r w:rsidR="00A604B3" w:rsidRPr="00E90A62">
        <w:rPr>
          <w:b/>
          <w:bCs/>
          <w:color w:val="0070C0"/>
          <w:u w:val="single"/>
        </w:rPr>
        <w:t>Januário</w:t>
      </w:r>
      <w:proofErr w:type="spellEnd"/>
      <w:r w:rsidR="00A604B3" w:rsidRPr="00E90A62">
        <w:rPr>
          <w:b/>
          <w:bCs/>
          <w:color w:val="0070C0"/>
          <w:u w:val="single"/>
        </w:rPr>
        <w:t xml:space="preserve"> przeciwko Portugal</w:t>
      </w:r>
      <w:r w:rsidR="00BE3CC9" w:rsidRPr="00E90A62">
        <w:rPr>
          <w:b/>
          <w:bCs/>
          <w:color w:val="0070C0"/>
          <w:u w:val="single"/>
        </w:rPr>
        <w:t>ii</w:t>
      </w:r>
      <w:r w:rsidR="0007478F" w:rsidRPr="00E90A62">
        <w:rPr>
          <w:b/>
          <w:bCs/>
          <w:color w:val="0070C0"/>
          <w:u w:val="single"/>
        </w:rPr>
        <w:fldChar w:fldCharType="end"/>
      </w:r>
      <w:r w:rsidR="00BE3CC9" w:rsidRPr="004A2C75">
        <w:rPr>
          <w:rFonts w:ascii="Verdana" w:hAnsi="Verdana" w:cs="Verdana"/>
          <w:b/>
          <w:bCs/>
          <w:color w:val="0B5CAE"/>
          <w:sz w:val="20"/>
          <w:szCs w:val="20"/>
          <w:u w:val="single"/>
        </w:rPr>
        <w:t xml:space="preserve"> </w:t>
      </w:r>
    </w:p>
    <w:p w14:paraId="7DB63003" w14:textId="77777777" w:rsidR="00222CB1" w:rsidRPr="004A2C75" w:rsidRDefault="00A604B3" w:rsidP="00F76D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r w:rsidRPr="004A2C75">
        <w:rPr>
          <w:rFonts w:ascii="Verdana" w:hAnsi="Verdana" w:cs="Verdana"/>
          <w:bCs/>
          <w:color w:val="767171" w:themeColor="background2" w:themeShade="80"/>
          <w:sz w:val="20"/>
          <w:szCs w:val="20"/>
        </w:rPr>
        <w:t>8 października 2013</w:t>
      </w:r>
      <w:r w:rsidR="00B71245" w:rsidRPr="004A2C75">
        <w:rPr>
          <w:rFonts w:ascii="Verdana" w:hAnsi="Verdana" w:cs="Verdana"/>
          <w:bCs/>
          <w:color w:val="767171" w:themeColor="background2" w:themeShade="80"/>
          <w:sz w:val="20"/>
          <w:szCs w:val="20"/>
        </w:rPr>
        <w:t>r.</w:t>
      </w:r>
      <w:r w:rsidRPr="004A2C75">
        <w:rPr>
          <w:rFonts w:ascii="Verdana" w:hAnsi="Verdana" w:cs="Verdana"/>
          <w:bCs/>
          <w:color w:val="767171" w:themeColor="background2" w:themeShade="80"/>
          <w:sz w:val="20"/>
          <w:szCs w:val="20"/>
        </w:rPr>
        <w:t xml:space="preserve"> (decyzja w sprawie dopuszczalności)</w:t>
      </w:r>
      <w:r w:rsidRPr="004A2C75">
        <w:rPr>
          <w:rFonts w:ascii="Verdana" w:hAnsi="Verdana" w:cs="Verdana"/>
          <w:b/>
          <w:bCs/>
          <w:color w:val="767171" w:themeColor="background2" w:themeShade="80"/>
          <w:sz w:val="20"/>
          <w:szCs w:val="20"/>
          <w:u w:val="single"/>
        </w:rPr>
        <w:t xml:space="preserve"> </w:t>
      </w:r>
    </w:p>
    <w:p w14:paraId="515CE0D2" w14:textId="77777777" w:rsidR="001D0F76" w:rsidRPr="004A2C75" w:rsidRDefault="004972EE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Sprawy te dotyczą </w:t>
      </w:r>
      <w:r w:rsidR="008B0FA1" w:rsidRPr="004A2C75">
        <w:rPr>
          <w:rFonts w:ascii="Verdana" w:hAnsi="Verdana" w:cs="Verdana"/>
          <w:bCs/>
          <w:color w:val="000000" w:themeColor="text1"/>
          <w:sz w:val="20"/>
          <w:szCs w:val="20"/>
        </w:rPr>
        <w:t>redukcji wypłacanego świadczenia emerytalnego</w:t>
      </w:r>
      <w:r w:rsidR="00EF227C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w sektorze publicznym w 201</w:t>
      </w:r>
      <w:r w:rsidR="00B71245" w:rsidRPr="004A2C75">
        <w:rPr>
          <w:rFonts w:ascii="Verdana" w:hAnsi="Verdana" w:cs="Verdana"/>
          <w:bCs/>
          <w:color w:val="000000" w:themeColor="text1"/>
          <w:sz w:val="20"/>
          <w:szCs w:val="20"/>
        </w:rPr>
        <w:t>2 r.</w:t>
      </w: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, co było wynikiem obniżenia wydatków rządu Portugalskiego. </w:t>
      </w:r>
      <w:r w:rsidR="00EF227C" w:rsidRPr="004A2C75">
        <w:rPr>
          <w:rFonts w:ascii="Verdana" w:hAnsi="Verdana" w:cs="Times New Roman"/>
          <w:sz w:val="20"/>
          <w:szCs w:val="20"/>
        </w:rPr>
        <w:t>S</w:t>
      </w:r>
      <w:r w:rsidR="008B0FA1" w:rsidRPr="004A2C75">
        <w:rPr>
          <w:rFonts w:ascii="Verdana" w:hAnsi="Verdana" w:cs="Times New Roman"/>
          <w:sz w:val="20"/>
          <w:szCs w:val="20"/>
        </w:rPr>
        <w:t>karżący wskazali na wpływ obniżenia wysokości świadczeń na ich sytuację finansową i warunki życia.</w:t>
      </w:r>
    </w:p>
    <w:p w14:paraId="7329AA55" w14:textId="77777777" w:rsidR="008B0FA1" w:rsidRPr="004A2C75" w:rsidRDefault="008B0FA1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Times"/>
          <w:color w:val="2E74B5" w:themeColor="accent5" w:themeShade="BF"/>
          <w:sz w:val="20"/>
          <w:szCs w:val="20"/>
        </w:rPr>
      </w:pPr>
      <w:r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>Trybunał zdecydował rozpatrzyć skargi w kontekście Artykułu 1 Protokołu 1. Stwierdził, iż w przypadkach gdy dana osoba była upoważniona z mocy prawa do pobrania emerytury Artykuł 1 Protokołu 1 zezwalał państwu członkowskiemu na obniżenie świadczenia emerytalnego</w:t>
      </w:r>
      <w:r w:rsidR="004E2996"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 xml:space="preserve"> gdy leżało to w interesie publicznym, tak długo jak została zachowana sprawiedliwa równowaga pomiędzy ogólnym interesem społeczeństwa a ochroną praw osoby indywidualnej. Główną kwestią w tych skargach było zachowanie sprawiedliwej równowagi. Trybunał zauważył, iż pomimo tego, że ograniczone zostały dodatki świąteczne, kontynuowano wypłatę podstawowej pensji miesięczne</w:t>
      </w:r>
      <w:r w:rsidR="007B0CE5"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>j w normalnej stawce w 2012 r</w:t>
      </w:r>
      <w:r w:rsidR="004E2996"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>. Ponadto ograniczenie pensji było środkiem tymczasowym i trwało jedynie przez trzy lata między 2012 a 2014</w:t>
      </w:r>
      <w:r w:rsidR="007B0CE5"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>r</w:t>
      </w:r>
      <w:r w:rsidR="004E2996"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>.</w:t>
      </w:r>
      <w:r w:rsidR="0094000E" w:rsidRPr="004A2C75">
        <w:rPr>
          <w:rFonts w:ascii="Verdana" w:hAnsi="Verdana" w:cs="Verdana"/>
          <w:bCs/>
          <w:color w:val="2E74B5" w:themeColor="accent5" w:themeShade="BF"/>
          <w:sz w:val="20"/>
          <w:szCs w:val="20"/>
        </w:rPr>
        <w:t xml:space="preserve"> Ingerencja w prawo skarżących do niezaburzonego korzystania z prawa własności była ograniczona zarówno czasowo jak i wartościowo, Portugalia działała w zakresie pola manewru jakim dysponowała („margines swobodnego uznania”) w kwestii decyzji o środkach polityki gospodarczej oraz społecznej. </w:t>
      </w:r>
      <w:r w:rsidR="00F15D4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W świetle </w:t>
      </w:r>
      <w:r w:rsidR="0094000E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szczególnych problemów finansowych</w:t>
      </w:r>
      <w:r w:rsidR="00F15D4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, z którymi zmagała się Portugalia w przedmiotowym czasie i biorąc pod uwagę ograniczoną i tymczasową naturę redukcji w wypłacanych pensjach, Trybunał stwierdził, iż została zachowana sprawiedliwa równowaga pomiędzy interesem ogółu a prawami skarżących. </w:t>
      </w:r>
      <w:r w:rsidR="0094000E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W rezultacie</w:t>
      </w:r>
      <w:r w:rsidR="00F15D4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stwierdzono, iż skargi są </w:t>
      </w:r>
      <w:r w:rsidR="0094000E" w:rsidRPr="004A2C75">
        <w:rPr>
          <w:rFonts w:ascii="Verdana" w:hAnsi="Verdana" w:cs="Verdana"/>
          <w:color w:val="2E74B5" w:themeColor="accent5" w:themeShade="BF"/>
          <w:sz w:val="20"/>
          <w:szCs w:val="20"/>
        </w:rPr>
        <w:t>oczywiście</w:t>
      </w:r>
      <w:r w:rsidR="00F15D4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bezzasadne a Trybunał uznał je za </w:t>
      </w:r>
      <w:r w:rsidR="00F15D49" w:rsidRPr="004A2C75">
        <w:rPr>
          <w:rFonts w:ascii="Verdana" w:hAnsi="Verdana" w:cs="Verdana"/>
          <w:b/>
          <w:color w:val="2E74B5" w:themeColor="accent5" w:themeShade="BF"/>
          <w:sz w:val="20"/>
          <w:szCs w:val="20"/>
        </w:rPr>
        <w:t>niedopuszczalne.</w:t>
      </w:r>
      <w:r w:rsidR="00F15D49" w:rsidRPr="004A2C75">
        <w:rPr>
          <w:rFonts w:ascii="Verdana" w:hAnsi="Verdana" w:cs="Verdana"/>
          <w:color w:val="2E74B5" w:themeColor="accent5" w:themeShade="BF"/>
          <w:sz w:val="20"/>
          <w:szCs w:val="20"/>
        </w:rPr>
        <w:t xml:space="preserve"> </w:t>
      </w:r>
    </w:p>
    <w:p w14:paraId="20787B1D" w14:textId="597A7A21" w:rsidR="00F15D49" w:rsidRPr="004A2C75" w:rsidRDefault="00F15D49" w:rsidP="00F76D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hyperlink r:id="rId13" w:history="1">
        <w:proofErr w:type="spellStart"/>
        <w:r w:rsidRPr="00DD26AB">
          <w:rPr>
            <w:b/>
            <w:bCs/>
            <w:color w:val="0070C0"/>
            <w:u w:val="single"/>
          </w:rPr>
          <w:t>Savickas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przeciwko Litwie </w:t>
        </w:r>
        <w:r w:rsidR="000C127D" w:rsidRPr="00DD26AB">
          <w:rPr>
            <w:b/>
            <w:bCs/>
            <w:color w:val="0070C0"/>
            <w:u w:val="single"/>
          </w:rPr>
          <w:t>oraz</w:t>
        </w:r>
        <w:r w:rsidR="005501EA" w:rsidRPr="00DD26AB">
          <w:rPr>
            <w:b/>
            <w:bCs/>
            <w:color w:val="0070C0"/>
            <w:u w:val="single"/>
          </w:rPr>
          <w:t xml:space="preserve"> pięć innych skarg</w:t>
        </w:r>
      </w:hyperlink>
      <w:r w:rsidR="005501EA" w:rsidRPr="004A2C75">
        <w:rPr>
          <w:rFonts w:ascii="Verdana" w:hAnsi="Verdana" w:cs="Verdana"/>
          <w:b/>
          <w:bCs/>
          <w:color w:val="0B5CAE"/>
          <w:sz w:val="20"/>
          <w:szCs w:val="20"/>
          <w:u w:val="single"/>
        </w:rPr>
        <w:t xml:space="preserve"> </w:t>
      </w:r>
    </w:p>
    <w:p w14:paraId="4917C14E" w14:textId="77777777" w:rsidR="00661CDA" w:rsidRPr="004A2C75" w:rsidRDefault="00F15D49" w:rsidP="00F76DF1">
      <w:pPr>
        <w:rPr>
          <w:rFonts w:ascii="Verdana" w:hAnsi="Verdana"/>
          <w:color w:val="767171" w:themeColor="background2" w:themeShade="80"/>
          <w:sz w:val="20"/>
          <w:szCs w:val="20"/>
        </w:rPr>
      </w:pP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>15 październik 2013</w:t>
      </w:r>
      <w:r w:rsidR="007B0CE5" w:rsidRPr="004A2C75">
        <w:rPr>
          <w:rFonts w:ascii="Verdana" w:hAnsi="Verdana"/>
          <w:color w:val="767171" w:themeColor="background2" w:themeShade="80"/>
          <w:sz w:val="20"/>
          <w:szCs w:val="20"/>
        </w:rPr>
        <w:t>r.</w:t>
      </w: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(decyzja w sprawie dopuszczalności) </w:t>
      </w:r>
    </w:p>
    <w:p w14:paraId="2F5FA8E6" w14:textId="77777777" w:rsidR="003D0C73" w:rsidRPr="004A2C75" w:rsidRDefault="00F15D49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 w:cs="Times"/>
          <w:color w:val="000000"/>
          <w:sz w:val="20"/>
          <w:szCs w:val="20"/>
        </w:rPr>
      </w:pPr>
      <w:r w:rsidRPr="004A2C75">
        <w:rPr>
          <w:rFonts w:ascii="Verdana" w:hAnsi="Verdana"/>
          <w:color w:val="000000" w:themeColor="text1"/>
          <w:sz w:val="20"/>
          <w:szCs w:val="20"/>
        </w:rPr>
        <w:t xml:space="preserve">Sprawa ta dotyczyła głównie długości postępowań sądowych wszczętych </w:t>
      </w:r>
      <w:r w:rsidR="000C127D" w:rsidRPr="004A2C75">
        <w:rPr>
          <w:rFonts w:ascii="Verdana" w:hAnsi="Verdana"/>
          <w:color w:val="000000" w:themeColor="text1"/>
          <w:sz w:val="20"/>
          <w:szCs w:val="20"/>
        </w:rPr>
        <w:t xml:space="preserve">przez sędziów </w:t>
      </w:r>
      <w:r w:rsidRPr="004A2C75">
        <w:rPr>
          <w:rFonts w:ascii="Verdana" w:hAnsi="Verdana"/>
          <w:color w:val="000000" w:themeColor="text1"/>
          <w:sz w:val="20"/>
          <w:szCs w:val="20"/>
        </w:rPr>
        <w:t xml:space="preserve">litewskich, których pensje zostały zredukowane jako część serii środków oszczędnościowych. Troje skarżących podnosiło również, iż </w:t>
      </w:r>
      <w:r w:rsidR="003D0C73" w:rsidRPr="004A2C75">
        <w:rPr>
          <w:rFonts w:ascii="Verdana" w:hAnsi="Verdana"/>
          <w:color w:val="000000" w:themeColor="text1"/>
          <w:sz w:val="20"/>
          <w:szCs w:val="20"/>
        </w:rPr>
        <w:t>zgodnie z obowiązującym prawem władze litewskie nie miały obowiązku wypłaty niewypłaconych</w:t>
      </w:r>
      <w:r w:rsidR="000C127D" w:rsidRPr="004A2C75">
        <w:rPr>
          <w:rFonts w:ascii="Verdana" w:hAnsi="Verdana"/>
          <w:color w:val="000000" w:themeColor="text1"/>
          <w:sz w:val="20"/>
          <w:szCs w:val="20"/>
        </w:rPr>
        <w:t xml:space="preserve"> wcześniej</w:t>
      </w:r>
      <w:r w:rsidR="003D0C73" w:rsidRPr="004A2C75">
        <w:rPr>
          <w:rFonts w:ascii="Verdana" w:hAnsi="Verdana"/>
          <w:color w:val="000000" w:themeColor="text1"/>
          <w:sz w:val="20"/>
          <w:szCs w:val="20"/>
        </w:rPr>
        <w:t xml:space="preserve"> pensji w całości i ograniczyli się do okresu trzech lat w trakcie których pensje mogły zostać wypłacone. </w:t>
      </w:r>
      <w:r w:rsidR="000C127D" w:rsidRPr="004A2C75">
        <w:rPr>
          <w:rFonts w:ascii="Verdana" w:hAnsi="Verdana"/>
          <w:color w:val="000000" w:themeColor="text1"/>
          <w:sz w:val="20"/>
          <w:szCs w:val="20"/>
        </w:rPr>
        <w:t xml:space="preserve">Twierdzili oni, iż zostali pozbawieni swojej własności. </w:t>
      </w:r>
    </w:p>
    <w:p w14:paraId="03DF580D" w14:textId="77777777" w:rsidR="00B92435" w:rsidRPr="004A2C75" w:rsidRDefault="003D0C73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Times"/>
          <w:color w:val="2E74B5" w:themeColor="accent5" w:themeShade="BF"/>
          <w:sz w:val="20"/>
          <w:szCs w:val="20"/>
        </w:rPr>
      </w:pP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Trybunał 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>uznał</w:t>
      </w:r>
      <w:r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, iż władze litewskie nie posunęły się za daleko w przyjmowaniu i utrzymaniu tymczasowych redukcji pensji sędziów i stwierdził, iż skarga 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z Artykułu 1 Protokołu 1 jest </w:t>
      </w:r>
      <w:r w:rsidR="00B92435"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>niedopuszcza</w:t>
      </w:r>
      <w:r w:rsidR="000630C8">
        <w:rPr>
          <w:rFonts w:ascii="Verdana" w:hAnsi="Verdana"/>
          <w:b/>
          <w:color w:val="2E74B5" w:themeColor="accent5" w:themeShade="BF"/>
          <w:sz w:val="20"/>
          <w:szCs w:val="20"/>
        </w:rPr>
        <w:t>l</w:t>
      </w:r>
      <w:r w:rsidR="00B92435" w:rsidRPr="004A2C75">
        <w:rPr>
          <w:rFonts w:ascii="Verdana" w:hAnsi="Verdana"/>
          <w:b/>
          <w:color w:val="2E74B5" w:themeColor="accent5" w:themeShade="BF"/>
          <w:sz w:val="20"/>
          <w:szCs w:val="20"/>
        </w:rPr>
        <w:t>na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jako 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>oczywiście bezzasadne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. Zauważył w szczególności, iż  środki oszczędnościowe zostały usprawiedliwione w odniesieniu do istnienia 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>szczególnie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trudnej sytuacji ekonomicznej i finansowej na Litwie. Co więcej, zgodnie z Litewskim Trybunałem Konstytucyjnym redukcja pensji urzędników publicznych byłą konieczna 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>w celu sfinansowania, edukacji, opieki zd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>r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>o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wotnej, 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społecznej </w:t>
      </w:r>
      <w:r w:rsidR="00B92435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i innych potrzeb społeczeństwa. Trybunał </w:t>
      </w:r>
      <w:r w:rsidR="000C127D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był przekonany, iż decydując się na obniżenie pensji urzędników publicznych władze Litewskie miały na uwadze interes publiczny. Trybunał stwierdził również, iż obniżka wynagrodzeń w sektorze publicznym nie odnosiła się szczególnie tylko do wymiaru sprawiedliwości. Wręcz przeciwnie redukcja ta była jedynie częścią znacznie szerszego programu dotyczącego zastosowania środków oszczędnościowych mających wpływ na wynagrodzenie w całym sektorze publicznym. W każdym przypadku redukcja wynagrodzenia sędziów nie była </w:t>
      </w:r>
      <w:r w:rsidR="00A441A1" w:rsidRPr="004A2C75">
        <w:rPr>
          <w:rFonts w:ascii="Verdana" w:hAnsi="Verdana"/>
          <w:color w:val="2E74B5" w:themeColor="accent5" w:themeShade="BF"/>
          <w:sz w:val="20"/>
          <w:szCs w:val="20"/>
        </w:rPr>
        <w:t>nieproporcjonalna i nie stanowiła zagrożenia dla ich egzystencji. Mając na uwadze, iż przepisy dotyczące redukcji wynagrodzenia niestety nie zawierały konkretnego zapisu dotyczącego ograniczenia w czasie środków oszczędnościowych Trybunał zauważył, iż w chwili przedłożenia skargi sądy litewskie i władza ustawodawcza uznały środki za tymczasowe, mające funkcjonować do momentu poprawy sytuacj</w:t>
      </w:r>
      <w:r w:rsidR="00A75088" w:rsidRPr="004A2C75">
        <w:rPr>
          <w:rFonts w:ascii="Verdana" w:hAnsi="Verdana"/>
          <w:color w:val="2E74B5" w:themeColor="accent5" w:themeShade="BF"/>
          <w:sz w:val="20"/>
          <w:szCs w:val="20"/>
        </w:rPr>
        <w:t>i gospodarczej kraju w 2003 r</w:t>
      </w:r>
      <w:r w:rsidR="00A441A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. Skarżący otrzymali rekompensatę z tytułu utraconego wynagrodzenia w drodze decyzji sądowej, w </w:t>
      </w:r>
      <w:r w:rsidR="00A441A1" w:rsidRPr="004A2C75">
        <w:rPr>
          <w:rFonts w:ascii="Verdana" w:hAnsi="Verdana"/>
          <w:color w:val="2E74B5" w:themeColor="accent5" w:themeShade="BF"/>
          <w:sz w:val="20"/>
          <w:szCs w:val="20"/>
        </w:rPr>
        <w:lastRenderedPageBreak/>
        <w:t>oparciu o</w:t>
      </w:r>
      <w:r w:rsidR="00A75088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 przepis</w:t>
      </w:r>
      <w:r w:rsidR="008C6C63">
        <w:rPr>
          <w:rFonts w:ascii="Verdana" w:hAnsi="Verdana"/>
          <w:color w:val="2E74B5" w:themeColor="accent5" w:themeShade="BF"/>
          <w:sz w:val="20"/>
          <w:szCs w:val="20"/>
        </w:rPr>
        <w:t>y ustawy 2000</w:t>
      </w:r>
      <w:r w:rsidR="00A441A1" w:rsidRPr="004A2C75">
        <w:rPr>
          <w:rFonts w:ascii="Verdana" w:hAnsi="Verdana"/>
          <w:color w:val="2E74B5" w:themeColor="accent5" w:themeShade="BF"/>
          <w:sz w:val="20"/>
          <w:szCs w:val="20"/>
        </w:rPr>
        <w:t xml:space="preserve">. Mając na uwadze powyższe Trybunał nie uznał jakoby tymczasowa redukcja wynagrodzenia sędziów sprawiła, iż zostali oni nadmiernie obciążeni lub wpłynęła na ich niezależność, czy zdolność do wykonywania zawodu. </w:t>
      </w:r>
    </w:p>
    <w:p w14:paraId="2A418BB1" w14:textId="2FBF52CB" w:rsidR="00EA4AFA" w:rsidRPr="00DD26AB" w:rsidRDefault="00EA4AFA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hyperlink r:id="rId14" w:history="1">
        <w:r w:rsidRPr="00DD26AB">
          <w:rPr>
            <w:b/>
            <w:bCs/>
            <w:color w:val="0070C0"/>
            <w:u w:val="single"/>
          </w:rPr>
          <w:t xml:space="preserve">da Silva </w:t>
        </w:r>
        <w:proofErr w:type="spellStart"/>
        <w:r w:rsidRPr="00DD26AB">
          <w:rPr>
            <w:b/>
            <w:bCs/>
            <w:color w:val="0070C0"/>
            <w:u w:val="single"/>
          </w:rPr>
          <w:t>Carvalho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Rico przeciwko Portugalii</w:t>
        </w:r>
      </w:hyperlink>
    </w:p>
    <w:p w14:paraId="2F98DC25" w14:textId="77777777" w:rsidR="00EA4AFA" w:rsidRPr="004A2C75" w:rsidRDefault="00EA4AFA" w:rsidP="00F76DF1">
      <w:pPr>
        <w:rPr>
          <w:rFonts w:ascii="Verdana" w:hAnsi="Verdana"/>
          <w:color w:val="767171" w:themeColor="background2" w:themeShade="80"/>
          <w:sz w:val="20"/>
          <w:szCs w:val="20"/>
        </w:rPr>
      </w:pP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>1 września 2015</w:t>
      </w:r>
      <w:r w:rsidR="00A75088" w:rsidRPr="004A2C75">
        <w:rPr>
          <w:rFonts w:ascii="Verdana" w:hAnsi="Verdana"/>
          <w:color w:val="767171" w:themeColor="background2" w:themeShade="80"/>
          <w:sz w:val="20"/>
          <w:szCs w:val="20"/>
        </w:rPr>
        <w:t>r.</w:t>
      </w: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(decyzja w sprawie dopuszczalności)</w:t>
      </w:r>
    </w:p>
    <w:p w14:paraId="16423EED" w14:textId="77777777" w:rsidR="00EA4AFA" w:rsidRPr="004A2C75" w:rsidRDefault="00EA4AFA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 w:themeColor="text1"/>
          <w:sz w:val="20"/>
          <w:szCs w:val="20"/>
        </w:rPr>
      </w:pP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Przedmiotowa sprawa dotyczyła redukcji świadczeń emerytalnych </w:t>
      </w:r>
      <w:r w:rsidR="00B42642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ze względu na 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środki oszczędnościowe podjęte w Portugali</w:t>
      </w:r>
      <w:r w:rsidR="00B42642" w:rsidRPr="004A2C75">
        <w:rPr>
          <w:rFonts w:ascii="Verdana" w:hAnsi="Verdana" w:cs="Verdana"/>
          <w:bCs/>
          <w:color w:val="000000" w:themeColor="text1"/>
          <w:sz w:val="20"/>
          <w:szCs w:val="20"/>
        </w:rPr>
        <w:t>i,</w:t>
      </w:r>
      <w:r w:rsidR="00635358" w:rsidRPr="004A2C75">
        <w:rPr>
          <w:rFonts w:ascii="Verdana" w:hAnsi="Verdana" w:cs="Verdana"/>
          <w:b/>
          <w:bCs/>
          <w:color w:val="0B5CAE"/>
          <w:sz w:val="20"/>
          <w:szCs w:val="20"/>
        </w:rPr>
        <w:t xml:space="preserve"> 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mianowicie </w:t>
      </w:r>
      <w:r w:rsidR="00A55505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nadzwyczajnej składki solidarnościowej 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(„CES”</w:t>
      </w:r>
      <w:r w:rsidR="00A55505" w:rsidRPr="004A2C75">
        <w:rPr>
          <w:rFonts w:ascii="Verdana" w:hAnsi="Verdana" w:cs="Verdana"/>
          <w:bCs/>
          <w:color w:val="000000" w:themeColor="text1"/>
          <w:sz w:val="20"/>
          <w:szCs w:val="20"/>
        </w:rPr>
        <w:t>). Skarżąca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, emeryt</w:t>
      </w:r>
      <w:r w:rsidR="00A55505" w:rsidRPr="004A2C75">
        <w:rPr>
          <w:rFonts w:ascii="Verdana" w:hAnsi="Verdana" w:cs="Verdana"/>
          <w:bCs/>
          <w:color w:val="000000" w:themeColor="text1"/>
          <w:sz w:val="20"/>
          <w:szCs w:val="20"/>
        </w:rPr>
        <w:t>ka należąca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do systemu świadczeń sektora publicznego podnosił, iż środki te naruszyły jego prawo do ochrony wła</w:t>
      </w:r>
      <w:r w:rsidR="00A55505" w:rsidRPr="004A2C75">
        <w:rPr>
          <w:rFonts w:ascii="Verdana" w:hAnsi="Verdana" w:cs="Verdana"/>
          <w:bCs/>
          <w:color w:val="000000" w:themeColor="text1"/>
          <w:sz w:val="20"/>
          <w:szCs w:val="20"/>
        </w:rPr>
        <w:t>sności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,</w:t>
      </w:r>
      <w:r w:rsidR="00A55505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powołując się w szczególności na fakt, iż 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CES</w:t>
      </w:r>
      <w:r w:rsidR="00A55505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nie był już środkiem tymczasowym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jako, iż został zastosowany wz</w:t>
      </w:r>
      <w:r w:rsidR="00A7508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ględem skarżącej już w 2013 r</w:t>
      </w:r>
      <w:r w:rsidR="00635358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. </w:t>
      </w:r>
    </w:p>
    <w:p w14:paraId="0674C884" w14:textId="77777777" w:rsidR="00AC56D5" w:rsidRPr="000630C8" w:rsidRDefault="00635358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Times"/>
          <w:color w:val="0070C0"/>
          <w:sz w:val="20"/>
          <w:szCs w:val="20"/>
        </w:rPr>
      </w:pPr>
      <w:r w:rsidRPr="000630C8">
        <w:rPr>
          <w:rFonts w:ascii="Verdana" w:hAnsi="Verdana" w:cs="Verdana"/>
          <w:bCs/>
          <w:color w:val="0070C0"/>
          <w:sz w:val="20"/>
          <w:szCs w:val="20"/>
        </w:rPr>
        <w:t xml:space="preserve">Trybunał uznał skargę za </w:t>
      </w:r>
      <w:r w:rsidRPr="000630C8">
        <w:rPr>
          <w:rFonts w:ascii="Verdana" w:hAnsi="Verdana" w:cs="Verdana"/>
          <w:b/>
          <w:bCs/>
          <w:color w:val="0070C0"/>
          <w:sz w:val="20"/>
          <w:szCs w:val="20"/>
        </w:rPr>
        <w:t>niedopuszczalną</w:t>
      </w:r>
      <w:r w:rsidRPr="000630C8">
        <w:rPr>
          <w:rFonts w:ascii="Verdana" w:hAnsi="Verdana" w:cs="Verdana"/>
          <w:bCs/>
          <w:color w:val="0070C0"/>
          <w:sz w:val="20"/>
          <w:szCs w:val="20"/>
        </w:rPr>
        <w:t xml:space="preserve"> jako </w:t>
      </w:r>
      <w:r w:rsidR="00A55505" w:rsidRPr="000630C8">
        <w:rPr>
          <w:rFonts w:ascii="Verdana" w:hAnsi="Verdana" w:cs="Verdana"/>
          <w:bCs/>
          <w:color w:val="0070C0"/>
          <w:sz w:val="20"/>
          <w:szCs w:val="20"/>
        </w:rPr>
        <w:t>oczywiście</w:t>
      </w:r>
      <w:r w:rsidRPr="000630C8">
        <w:rPr>
          <w:rFonts w:ascii="Verdana" w:hAnsi="Verdana" w:cs="Verdana"/>
          <w:bCs/>
          <w:color w:val="0070C0"/>
          <w:sz w:val="20"/>
          <w:szCs w:val="20"/>
        </w:rPr>
        <w:t xml:space="preserve"> bezzasadną. Biorąc pod uwagę ogólny interes publiczny Portug</w:t>
      </w:r>
      <w:r w:rsidR="00A55505" w:rsidRPr="000630C8">
        <w:rPr>
          <w:rFonts w:ascii="Verdana" w:hAnsi="Verdana" w:cs="Verdana"/>
          <w:bCs/>
          <w:color w:val="0070C0"/>
          <w:sz w:val="20"/>
          <w:szCs w:val="20"/>
        </w:rPr>
        <w:t>alii</w:t>
      </w:r>
      <w:r w:rsidRPr="000630C8">
        <w:rPr>
          <w:rFonts w:ascii="Verdana" w:hAnsi="Verdana" w:cs="Verdana"/>
          <w:bCs/>
          <w:color w:val="0070C0"/>
          <w:sz w:val="20"/>
          <w:szCs w:val="20"/>
        </w:rPr>
        <w:t xml:space="preserve"> w przedmiotowym czasie oraz ograniczony </w:t>
      </w:r>
      <w:r w:rsidR="00887194" w:rsidRPr="000630C8">
        <w:rPr>
          <w:rFonts w:ascii="Verdana" w:hAnsi="Verdana" w:cs="Verdana"/>
          <w:bCs/>
          <w:color w:val="0070C0"/>
          <w:sz w:val="20"/>
          <w:szCs w:val="20"/>
        </w:rPr>
        <w:t>i</w:t>
      </w:r>
      <w:r w:rsidRPr="000630C8">
        <w:rPr>
          <w:rFonts w:ascii="Verdana" w:hAnsi="Verdana" w:cs="Verdana"/>
          <w:bCs/>
          <w:color w:val="0070C0"/>
          <w:sz w:val="20"/>
          <w:szCs w:val="20"/>
        </w:rPr>
        <w:t xml:space="preserve"> tymczasowy charakter stosowania CES względem świadczenia skarżącej, stwierdził iż środki podjęte w Portugalii były proporcjonalne do </w:t>
      </w:r>
      <w:r w:rsidR="00A55505" w:rsidRPr="000630C8">
        <w:rPr>
          <w:rFonts w:ascii="Verdana" w:hAnsi="Verdana" w:cs="Verdana"/>
          <w:bCs/>
          <w:color w:val="0070C0"/>
          <w:sz w:val="20"/>
          <w:szCs w:val="20"/>
        </w:rPr>
        <w:t>uzasadnionego celu jakim było osiągnięcie ożywienia gospodarczego</w:t>
      </w:r>
      <w:r w:rsidRPr="000630C8">
        <w:rPr>
          <w:rFonts w:ascii="Verdana" w:hAnsi="Verdana" w:cs="Verdana"/>
          <w:bCs/>
          <w:color w:val="0070C0"/>
          <w:sz w:val="20"/>
          <w:szCs w:val="20"/>
        </w:rPr>
        <w:t>.</w:t>
      </w:r>
      <w:r w:rsidR="00A55505" w:rsidRPr="000630C8">
        <w:rPr>
          <w:rFonts w:ascii="Verdana" w:hAnsi="Verdana" w:cs="Verdana"/>
          <w:bCs/>
          <w:color w:val="0070C0"/>
          <w:sz w:val="20"/>
          <w:szCs w:val="20"/>
        </w:rPr>
        <w:t xml:space="preserve"> Ingerencja w prawo do własności skarżącej została przewidziana prze prawo, CES był przewidziany w ustawach budżetowych na lata 2013 i 2014 oraz uznany za zgodny z prawem przez Trybunał Konstytucyjny w</w:t>
      </w:r>
      <w:r w:rsidR="00A75088" w:rsidRPr="000630C8">
        <w:rPr>
          <w:rFonts w:ascii="Verdana" w:hAnsi="Verdana" w:cs="Verdana"/>
          <w:bCs/>
          <w:color w:val="0070C0"/>
          <w:sz w:val="20"/>
          <w:szCs w:val="20"/>
        </w:rPr>
        <w:t xml:space="preserve"> orzeczeniach z 2013 i 2014 r</w:t>
      </w:r>
      <w:r w:rsidR="00A55505" w:rsidRPr="000630C8">
        <w:rPr>
          <w:rFonts w:ascii="Verdana" w:hAnsi="Verdana" w:cs="Verdana"/>
          <w:bCs/>
          <w:color w:val="0070C0"/>
          <w:sz w:val="20"/>
          <w:szCs w:val="20"/>
        </w:rPr>
        <w:t xml:space="preserve">. </w:t>
      </w:r>
      <w:r w:rsidRPr="000630C8">
        <w:rPr>
          <w:rFonts w:ascii="Verdana" w:hAnsi="Verdana" w:cs="Verdana"/>
          <w:color w:val="0070C0"/>
          <w:sz w:val="20"/>
          <w:szCs w:val="20"/>
        </w:rPr>
        <w:t>Co więcej zast</w:t>
      </w:r>
      <w:r w:rsidR="00A55505" w:rsidRPr="000630C8">
        <w:rPr>
          <w:rFonts w:ascii="Verdana" w:hAnsi="Verdana" w:cs="Verdana"/>
          <w:color w:val="0070C0"/>
          <w:sz w:val="20"/>
          <w:szCs w:val="20"/>
        </w:rPr>
        <w:t xml:space="preserve">osowanie CES do świadczeń emerytalnych przewidziane w ustawach budżetowych z 2013 </w:t>
      </w:r>
      <w:r w:rsidR="00A75088" w:rsidRPr="000630C8">
        <w:rPr>
          <w:rFonts w:ascii="Verdana" w:hAnsi="Verdana" w:cs="Verdana"/>
          <w:color w:val="0070C0"/>
          <w:sz w:val="20"/>
          <w:szCs w:val="20"/>
        </w:rPr>
        <w:t>i 2014 r.</w:t>
      </w:r>
      <w:r w:rsidR="000B7878" w:rsidRPr="000630C8">
        <w:rPr>
          <w:rFonts w:ascii="Verdana" w:hAnsi="Verdana" w:cs="Verdana"/>
          <w:color w:val="0070C0"/>
          <w:sz w:val="20"/>
          <w:szCs w:val="20"/>
        </w:rPr>
        <w:t xml:space="preserve"> mające</w:t>
      </w:r>
      <w:r w:rsidR="00A55505" w:rsidRPr="000630C8">
        <w:rPr>
          <w:rFonts w:ascii="Verdana" w:hAnsi="Verdana" w:cs="Verdana"/>
          <w:color w:val="0070C0"/>
          <w:sz w:val="20"/>
          <w:szCs w:val="20"/>
        </w:rPr>
        <w:t xml:space="preserve"> na celu ograniczenie wydatków </w:t>
      </w:r>
      <w:r w:rsidR="00A55505" w:rsidRPr="000630C8">
        <w:rPr>
          <w:rFonts w:ascii="Verdana" w:hAnsi="Verdana" w:cs="Verdana"/>
          <w:bCs/>
          <w:color w:val="0070C0"/>
          <w:sz w:val="20"/>
          <w:szCs w:val="20"/>
        </w:rPr>
        <w:t>publicznych i poprawę sytuacji gospodarczej</w:t>
      </w:r>
      <w:r w:rsidR="000B7878" w:rsidRPr="000630C8">
        <w:rPr>
          <w:rFonts w:ascii="Verdana" w:hAnsi="Verdana" w:cs="Verdana"/>
          <w:bCs/>
          <w:color w:val="0070C0"/>
          <w:sz w:val="20"/>
          <w:szCs w:val="20"/>
        </w:rPr>
        <w:t xml:space="preserve"> zostało przyjęte w nadzwyczajnej sytuacji ekonomicznej jako środek przejściowy, zatem wyraźnie leżało w interesie publicznym zgodnie ze znaczeniem Artykułu 1 Protokołu nr 1. Trybunał uznał, iż środki wprowadzone w odniesieniu do świadczeń emerytalnych zachowały odpowiednią równowagę pomiędzy interesem publicznym a ochroną podstawowych praw skarżącej. Sama skarżąca nie doznała znacznego pozbawienia jej przychodu, łączna strata wynosiła 4.6% całkowitych rocznych świadczeń społecznych, które otrzymywała. Ponadto Trybunał Konstytucy</w:t>
      </w:r>
      <w:r w:rsidR="00A75088" w:rsidRPr="000630C8">
        <w:rPr>
          <w:rFonts w:ascii="Verdana" w:hAnsi="Verdana" w:cs="Verdana"/>
          <w:bCs/>
          <w:color w:val="0070C0"/>
          <w:sz w:val="20"/>
          <w:szCs w:val="20"/>
        </w:rPr>
        <w:t>jny orzekł w 2013 oraz 2014 r.</w:t>
      </w:r>
      <w:r w:rsidR="000B7878" w:rsidRPr="000630C8">
        <w:rPr>
          <w:rFonts w:ascii="Verdana" w:hAnsi="Verdana" w:cs="Verdana"/>
          <w:bCs/>
          <w:color w:val="0070C0"/>
          <w:sz w:val="20"/>
          <w:szCs w:val="20"/>
        </w:rPr>
        <w:t xml:space="preserve">, iż podjęte środki były proporcjonalne i nie istniały inne, alternatywne rozwiązania, które mogłyby realizować te same cele publiczne, a jednocześnie wpływać na osoby uprawnione do pobierania świadczeń socjalnych </w:t>
      </w:r>
      <w:r w:rsidR="009055C8" w:rsidRPr="000630C8">
        <w:rPr>
          <w:rFonts w:ascii="Verdana" w:hAnsi="Verdana" w:cs="Verdana"/>
          <w:bCs/>
          <w:color w:val="0070C0"/>
          <w:sz w:val="20"/>
          <w:szCs w:val="20"/>
        </w:rPr>
        <w:t>w tak ograniczonym stopniu. Mając na uwadze swobodę państwa („margines swobodnego uznania”) w kwestiach decydowania o ogólnych środkach polityki gospodarczej oraz społecznej państwa, nie należało do Trybunału rozstrzygniecie, czy można było zastosować środki alternatywne w celu zmniejszenia deficytu budżetowego państwa i przezwyciężenia kryzysu finansowego.</w:t>
      </w:r>
      <w:r w:rsidR="009055C8" w:rsidRPr="000630C8">
        <w:rPr>
          <w:rFonts w:ascii="Verdana" w:hAnsi="Verdana" w:cs="Verdana"/>
          <w:color w:val="0070C0"/>
          <w:sz w:val="20"/>
          <w:szCs w:val="20"/>
        </w:rPr>
        <w:t xml:space="preserve"> </w:t>
      </w:r>
    </w:p>
    <w:p w14:paraId="493D2F31" w14:textId="396B4B0C" w:rsidR="00AC56D5" w:rsidRPr="00DD26AB" w:rsidRDefault="00AC56D5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hyperlink r:id="rId15" w:history="1">
        <w:proofErr w:type="spellStart"/>
        <w:r w:rsidRPr="00DD26AB">
          <w:rPr>
            <w:b/>
            <w:bCs/>
            <w:color w:val="0070C0"/>
            <w:u w:val="single"/>
          </w:rPr>
          <w:t>Mamatas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i Inni przeciwko Grecji</w:t>
        </w:r>
      </w:hyperlink>
    </w:p>
    <w:p w14:paraId="4B485054" w14:textId="77777777" w:rsidR="00AC56D5" w:rsidRPr="00EF4DD8" w:rsidRDefault="00AC56D5" w:rsidP="00F76DF1">
      <w:pPr>
        <w:rPr>
          <w:rFonts w:ascii="Verdana" w:hAnsi="Verdana"/>
          <w:color w:val="767171" w:themeColor="background2" w:themeShade="80"/>
          <w:sz w:val="20"/>
          <w:szCs w:val="20"/>
        </w:rPr>
      </w:pPr>
      <w:r w:rsidRPr="00EF4DD8">
        <w:rPr>
          <w:rFonts w:ascii="Verdana" w:hAnsi="Verdana"/>
          <w:color w:val="767171" w:themeColor="background2" w:themeShade="80"/>
          <w:sz w:val="20"/>
          <w:szCs w:val="20"/>
        </w:rPr>
        <w:t>21 lipca 2016</w:t>
      </w:r>
      <w:r w:rsidR="00EF4DD8">
        <w:rPr>
          <w:rFonts w:ascii="Verdana" w:hAnsi="Verdana"/>
          <w:color w:val="767171" w:themeColor="background2" w:themeShade="80"/>
          <w:sz w:val="20"/>
          <w:szCs w:val="20"/>
        </w:rPr>
        <w:t>r.</w:t>
      </w:r>
      <w:r w:rsidRPr="00EF4DD8">
        <w:rPr>
          <w:rFonts w:ascii="Verdana" w:hAnsi="Verdana"/>
          <w:color w:val="767171" w:themeColor="background2" w:themeShade="80"/>
          <w:sz w:val="20"/>
          <w:szCs w:val="20"/>
        </w:rPr>
        <w:t xml:space="preserve"> (wyrok) </w:t>
      </w:r>
    </w:p>
    <w:p w14:paraId="303E8514" w14:textId="77777777" w:rsidR="00F86AAF" w:rsidRPr="004A2C75" w:rsidRDefault="00AC56D5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 w:themeColor="text1"/>
          <w:sz w:val="20"/>
          <w:szCs w:val="20"/>
        </w:rPr>
      </w:pP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Sprawa ta dotyczyła </w:t>
      </w:r>
      <w:r w:rsidR="00DE1577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przymusowego udziału skarżących, którzy byli osobami fizycznym posiadającymi państwowe papiery wartościowe, </w:t>
      </w:r>
      <w:r w:rsidR="00EB3D9D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w programie redukcji Greckiego długu publicznego poprzez wymianę obligacji na inne </w:t>
      </w:r>
      <w:r w:rsidR="006E4F47" w:rsidRPr="004A2C75">
        <w:rPr>
          <w:rFonts w:ascii="Verdana" w:hAnsi="Verdana" w:cs="Verdana"/>
          <w:bCs/>
          <w:color w:val="000000" w:themeColor="text1"/>
          <w:sz w:val="20"/>
          <w:szCs w:val="20"/>
        </w:rPr>
        <w:t>instrumenty dłużne o mniejszej wartości</w:t>
      </w:r>
      <w:r w:rsidR="006E4F47" w:rsidRPr="004A2C75">
        <w:rPr>
          <w:rStyle w:val="Odwoanieprzypisudolnego"/>
          <w:rFonts w:ascii="Verdana" w:hAnsi="Verdana" w:cs="Verdana"/>
          <w:bCs/>
          <w:color w:val="000000" w:themeColor="text1"/>
          <w:sz w:val="20"/>
          <w:szCs w:val="20"/>
        </w:rPr>
        <w:footnoteReference w:id="1"/>
      </w:r>
      <w:r w:rsidR="006E4F47" w:rsidRPr="004A2C75">
        <w:rPr>
          <w:rFonts w:ascii="Verdana" w:hAnsi="Verdana" w:cs="Verdana"/>
          <w:bCs/>
          <w:color w:val="000000" w:themeColor="text1"/>
          <w:sz w:val="20"/>
          <w:szCs w:val="20"/>
        </w:rPr>
        <w:t>. Skarżący zarzucili w szczególności,</w:t>
      </w:r>
      <w:r w:rsidR="009055C8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iż wymiana ich obligacji zgodn</w:t>
      </w:r>
      <w:r w:rsidR="006E4F47" w:rsidRPr="004A2C75">
        <w:rPr>
          <w:rFonts w:ascii="Verdana" w:hAnsi="Verdana" w:cs="Verdana"/>
          <w:bCs/>
          <w:color w:val="000000" w:themeColor="text1"/>
          <w:sz w:val="20"/>
          <w:szCs w:val="20"/>
        </w:rPr>
        <w:t>i</w:t>
      </w:r>
      <w:r w:rsidR="009055C8" w:rsidRPr="004A2C75">
        <w:rPr>
          <w:rFonts w:ascii="Verdana" w:hAnsi="Verdana" w:cs="Verdana"/>
          <w:bCs/>
          <w:color w:val="000000" w:themeColor="text1"/>
          <w:sz w:val="20"/>
          <w:szCs w:val="20"/>
        </w:rPr>
        <w:t>e</w:t>
      </w:r>
      <w:r w:rsidR="006E4F47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z wymogami ustawy nr 4050/2012 o przepisach zmieniających emisje państwowe lub </w:t>
      </w:r>
      <w:r w:rsidR="000A4D06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gwarancje papierów wartościowych, de facto stanowiła </w:t>
      </w:r>
      <w:r w:rsidR="00F86AAF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wywłaszczenie, które pozbawiło skarżących ich własności, lub alternatywnie, ingerencję w ich prawo do poszanowania własności. Niektórzy ze skarżących zarzucali również, iż doznali dyskryminacji </w:t>
      </w:r>
      <w:r w:rsidR="00A936E3" w:rsidRPr="004A2C75">
        <w:rPr>
          <w:rFonts w:ascii="Verdana" w:hAnsi="Verdana" w:cs="Verdana"/>
          <w:bCs/>
          <w:color w:val="000000" w:themeColor="text1"/>
          <w:sz w:val="20"/>
          <w:szCs w:val="20"/>
        </w:rPr>
        <w:t>wobec innych</w:t>
      </w:r>
      <w:r w:rsidR="00F86AAF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wierzyciel</w:t>
      </w:r>
      <w:r w:rsidR="00A936E3" w:rsidRPr="004A2C75">
        <w:rPr>
          <w:rFonts w:ascii="Verdana" w:hAnsi="Verdana" w:cs="Verdana"/>
          <w:bCs/>
          <w:color w:val="000000" w:themeColor="text1"/>
          <w:sz w:val="20"/>
          <w:szCs w:val="20"/>
        </w:rPr>
        <w:t>i</w:t>
      </w:r>
      <w:r w:rsidR="00F86AAF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, w szczególności posiadający </w:t>
      </w:r>
      <w:r w:rsidR="00A936E3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obligacje </w:t>
      </w:r>
      <w:r w:rsidR="00F86AAF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o łącznej wartości kilku miliardów euro.</w:t>
      </w:r>
    </w:p>
    <w:p w14:paraId="69840C95" w14:textId="77777777" w:rsidR="00635358" w:rsidRPr="002001B7" w:rsidRDefault="00F86AAF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Times"/>
          <w:color w:val="0070C0"/>
          <w:sz w:val="20"/>
          <w:szCs w:val="20"/>
        </w:rPr>
      </w:pPr>
      <w:r w:rsidRPr="000630C8">
        <w:rPr>
          <w:rFonts w:ascii="Verdana" w:hAnsi="Verdana" w:cs="Verdana"/>
          <w:bCs/>
          <w:color w:val="0070C0"/>
          <w:sz w:val="20"/>
          <w:szCs w:val="20"/>
        </w:rPr>
        <w:t>Trybunał uzna</w:t>
      </w:r>
      <w:r w:rsidRPr="002001B7">
        <w:rPr>
          <w:rFonts w:ascii="Verdana" w:hAnsi="Verdana" w:cs="Verdana"/>
          <w:bCs/>
          <w:color w:val="0070C0"/>
          <w:sz w:val="20"/>
          <w:szCs w:val="20"/>
        </w:rPr>
        <w:t xml:space="preserve">ł, iż </w:t>
      </w:r>
      <w:r w:rsidRPr="002001B7">
        <w:rPr>
          <w:rFonts w:ascii="Verdana" w:hAnsi="Verdana" w:cs="Verdana"/>
          <w:b/>
          <w:bCs/>
          <w:color w:val="0070C0"/>
          <w:sz w:val="20"/>
          <w:szCs w:val="20"/>
        </w:rPr>
        <w:t>nie doszło do naruszenia Artykułu 1 Protokołu 1</w:t>
      </w:r>
      <w:r w:rsidRPr="002001B7">
        <w:rPr>
          <w:rFonts w:ascii="Verdana" w:hAnsi="Verdana" w:cs="Verdana"/>
          <w:bCs/>
          <w:color w:val="0070C0"/>
          <w:sz w:val="20"/>
          <w:szCs w:val="20"/>
        </w:rPr>
        <w:t xml:space="preserve">. </w:t>
      </w:r>
      <w:r w:rsidR="00465765" w:rsidRPr="002001B7">
        <w:rPr>
          <w:rFonts w:ascii="Verdana" w:hAnsi="Verdana" w:cs="Verdana"/>
          <w:bCs/>
          <w:color w:val="0070C0"/>
          <w:sz w:val="20"/>
          <w:szCs w:val="20"/>
        </w:rPr>
        <w:t xml:space="preserve">Zaznaczył w </w:t>
      </w:r>
      <w:r w:rsidR="00465765" w:rsidRPr="002001B7">
        <w:rPr>
          <w:rFonts w:ascii="Verdana" w:hAnsi="Verdana" w:cs="Verdana"/>
          <w:bCs/>
          <w:color w:val="0070C0"/>
          <w:sz w:val="20"/>
          <w:szCs w:val="20"/>
        </w:rPr>
        <w:lastRenderedPageBreak/>
        <w:t>szczególności, iż wspomniany przymusowy udział</w:t>
      </w:r>
      <w:r w:rsidR="008C6C63">
        <w:rPr>
          <w:rFonts w:ascii="Verdana" w:hAnsi="Verdana" w:cs="Verdana"/>
          <w:bCs/>
          <w:color w:val="0070C0"/>
          <w:sz w:val="20"/>
          <w:szCs w:val="20"/>
        </w:rPr>
        <w:t xml:space="preserve"> w wymianie obligacji</w:t>
      </w:r>
      <w:r w:rsidR="00465765" w:rsidRPr="002001B7">
        <w:rPr>
          <w:rFonts w:ascii="Verdana" w:hAnsi="Verdana" w:cs="Verdana"/>
          <w:bCs/>
          <w:color w:val="0070C0"/>
          <w:sz w:val="20"/>
          <w:szCs w:val="20"/>
        </w:rPr>
        <w:t xml:space="preserve"> stanowił ingerencję w prawo skarżących do poszanowania własności w zakresie Artykułu 1 Protokołu 1 niemniej jednak owa ingerencja realizowana była w interesie publicznym, to znaczy w</w:t>
      </w:r>
      <w:r w:rsidR="00AA29B2" w:rsidRPr="002001B7">
        <w:rPr>
          <w:rFonts w:ascii="Verdana" w:hAnsi="Verdana" w:cs="Verdana"/>
          <w:bCs/>
          <w:color w:val="0070C0"/>
          <w:sz w:val="20"/>
          <w:szCs w:val="20"/>
        </w:rPr>
        <w:t xml:space="preserve"> celu zachowania</w:t>
      </w:r>
      <w:r w:rsidR="00465765" w:rsidRPr="002001B7">
        <w:rPr>
          <w:rFonts w:ascii="Verdana" w:hAnsi="Verdana" w:cs="Verdana"/>
          <w:bCs/>
          <w:color w:val="0070C0"/>
          <w:sz w:val="20"/>
          <w:szCs w:val="20"/>
        </w:rPr>
        <w:t xml:space="preserve"> stabilno</w:t>
      </w:r>
      <w:r w:rsidR="00AA29B2" w:rsidRPr="002001B7">
        <w:rPr>
          <w:rFonts w:ascii="Verdana" w:hAnsi="Verdana" w:cs="Verdana"/>
          <w:bCs/>
          <w:color w:val="0070C0"/>
          <w:sz w:val="20"/>
          <w:szCs w:val="20"/>
        </w:rPr>
        <w:t xml:space="preserve">ści </w:t>
      </w:r>
      <w:r w:rsidR="00644B1E" w:rsidRPr="002001B7">
        <w:rPr>
          <w:rFonts w:ascii="Verdana" w:hAnsi="Verdana" w:cs="Verdana"/>
          <w:bCs/>
          <w:color w:val="0070C0"/>
          <w:sz w:val="20"/>
          <w:szCs w:val="20"/>
        </w:rPr>
        <w:t xml:space="preserve">ekonomicznej oraz restrukturyzacji długu krajowego w czasie, kiedy Grecja zmagała się z poważnym kryzysem gospodarczym. Trybunał orzekł, iż skarżący nie doznali szczególnego, czy nadmiernego obciążenia, w szczególności ze względu </w:t>
      </w:r>
      <w:r w:rsidR="002956D0" w:rsidRPr="002001B7">
        <w:rPr>
          <w:rFonts w:ascii="Verdana" w:hAnsi="Verdana" w:cs="Verdana"/>
          <w:bCs/>
          <w:color w:val="0070C0"/>
          <w:sz w:val="20"/>
          <w:szCs w:val="20"/>
        </w:rPr>
        <w:t xml:space="preserve">na szeroki margines uznania, jakim dysponują kraje w tej kwestii oraz na zmniejszenie wartości obligacji, na które i tak wpłynęła redukcja wypłacalności kraju, który prawdopodobnie nie byłby w stanie wywiązać się ze swoich zobowiązań </w:t>
      </w:r>
      <w:r w:rsidR="009D4FB1" w:rsidRPr="002001B7">
        <w:rPr>
          <w:rFonts w:ascii="Verdana" w:hAnsi="Verdana" w:cs="Verdana"/>
          <w:bCs/>
          <w:color w:val="0070C0"/>
          <w:sz w:val="20"/>
          <w:szCs w:val="20"/>
        </w:rPr>
        <w:t>zawartych w klauzulach starych papierach wartościowych przed wejściem w życie nowego prawa. Trybunał uznał również, iż klauzule wspólnego działania oraz restrukturyzacja długu publicznego stanowiły odpowiedni i konieczny środek redukcji długu publicznego i uchronienia kraju od bankructwa oraz że inwestowanie w papiery wartościowe nigdy nie było pozbawione ryzyka, a skarżący powinni być świadomi wahań na rynku finansowym i ryzyka ewentualnego spadku wartości obligacji zważając na deficyt i ogromne zadłużenie kraju je</w:t>
      </w:r>
      <w:r w:rsidR="00A75088" w:rsidRPr="002001B7">
        <w:rPr>
          <w:rFonts w:ascii="Verdana" w:hAnsi="Verdana" w:cs="Verdana"/>
          <w:bCs/>
          <w:color w:val="0070C0"/>
          <w:sz w:val="20"/>
          <w:szCs w:val="20"/>
        </w:rPr>
        <w:t>szcze przed kryzysem z 2009 r</w:t>
      </w:r>
      <w:r w:rsidR="009D4FB1" w:rsidRPr="002001B7">
        <w:rPr>
          <w:rFonts w:ascii="Verdana" w:hAnsi="Verdana" w:cs="Verdana"/>
          <w:bCs/>
          <w:color w:val="0070C0"/>
          <w:sz w:val="20"/>
          <w:szCs w:val="20"/>
        </w:rPr>
        <w:t xml:space="preserve">. Trybunał orzekł również, iż </w:t>
      </w:r>
      <w:r w:rsidR="009D4FB1" w:rsidRPr="002001B7">
        <w:rPr>
          <w:rFonts w:ascii="Verdana" w:hAnsi="Verdana" w:cs="Verdana"/>
          <w:b/>
          <w:bCs/>
          <w:color w:val="0070C0"/>
          <w:sz w:val="20"/>
          <w:szCs w:val="20"/>
        </w:rPr>
        <w:t>nie doszło do naruszenia Artykułu 14</w:t>
      </w:r>
      <w:r w:rsidR="009D4FB1" w:rsidRPr="002001B7">
        <w:rPr>
          <w:rFonts w:ascii="Verdana" w:hAnsi="Verdana" w:cs="Verdana"/>
          <w:bCs/>
          <w:color w:val="0070C0"/>
          <w:sz w:val="20"/>
          <w:szCs w:val="20"/>
        </w:rPr>
        <w:t xml:space="preserve"> (zakaz dyskryminacji) Konwencji </w:t>
      </w:r>
      <w:r w:rsidR="009D4FB1" w:rsidRPr="002001B7">
        <w:rPr>
          <w:rFonts w:ascii="Verdana" w:hAnsi="Verdana" w:cs="Verdana"/>
          <w:b/>
          <w:bCs/>
          <w:color w:val="0070C0"/>
          <w:sz w:val="20"/>
          <w:szCs w:val="20"/>
        </w:rPr>
        <w:t xml:space="preserve">w związku z Artykułem 1 </w:t>
      </w:r>
      <w:r w:rsidR="00634938" w:rsidRPr="002001B7">
        <w:rPr>
          <w:rFonts w:ascii="Verdana" w:hAnsi="Verdana" w:cs="Verdana"/>
          <w:b/>
          <w:bCs/>
          <w:color w:val="0070C0"/>
          <w:sz w:val="20"/>
          <w:szCs w:val="20"/>
        </w:rPr>
        <w:t>Protokołu nr 1</w:t>
      </w:r>
      <w:r w:rsidR="00634938" w:rsidRPr="002001B7">
        <w:rPr>
          <w:rFonts w:ascii="Verdana" w:hAnsi="Verdana" w:cs="Verdana"/>
          <w:bCs/>
          <w:color w:val="0070C0"/>
          <w:sz w:val="20"/>
          <w:szCs w:val="20"/>
        </w:rPr>
        <w:t xml:space="preserve"> w sprawie skarżących, stwierdzając, iż procedura wymiany obligacji nie była dyskryminująca, w szczególności ze względu na trudną pozycję osób posiadających obligacje na tak niestabilnym rynku, trudność wyznaczenia precyzyjnych kryteriów </w:t>
      </w:r>
      <w:r w:rsidR="005364EC" w:rsidRPr="002001B7">
        <w:rPr>
          <w:rFonts w:ascii="Verdana" w:hAnsi="Verdana" w:cs="Verdana"/>
          <w:bCs/>
          <w:color w:val="0070C0"/>
          <w:sz w:val="20"/>
          <w:szCs w:val="20"/>
        </w:rPr>
        <w:t xml:space="preserve">rozróżnienia przez posiadaczy obligacji, ryzyko całej operacji z </w:t>
      </w:r>
      <w:r w:rsidR="00F37940" w:rsidRPr="002001B7">
        <w:rPr>
          <w:rFonts w:ascii="Verdana" w:hAnsi="Verdana" w:cs="Verdana"/>
          <w:bCs/>
          <w:color w:val="0070C0"/>
          <w:sz w:val="20"/>
          <w:szCs w:val="20"/>
        </w:rPr>
        <w:t>katastrofalnymi skutkami dla gospodarki oraz potrzeba szybkiego</w:t>
      </w:r>
      <w:r w:rsidR="00A936E3" w:rsidRPr="002001B7">
        <w:rPr>
          <w:rFonts w:ascii="Verdana" w:hAnsi="Verdana" w:cs="Verdana"/>
          <w:bCs/>
          <w:color w:val="0070C0"/>
          <w:sz w:val="20"/>
          <w:szCs w:val="20"/>
        </w:rPr>
        <w:t xml:space="preserve"> działania w celu restrukturyza</w:t>
      </w:r>
      <w:r w:rsidR="00F37940" w:rsidRPr="002001B7">
        <w:rPr>
          <w:rFonts w:ascii="Verdana" w:hAnsi="Verdana" w:cs="Verdana"/>
          <w:bCs/>
          <w:color w:val="0070C0"/>
          <w:sz w:val="20"/>
          <w:szCs w:val="20"/>
        </w:rPr>
        <w:t>c</w:t>
      </w:r>
      <w:r w:rsidR="00A936E3" w:rsidRPr="002001B7">
        <w:rPr>
          <w:rFonts w:ascii="Verdana" w:hAnsi="Verdana" w:cs="Verdana"/>
          <w:bCs/>
          <w:color w:val="0070C0"/>
          <w:sz w:val="20"/>
          <w:szCs w:val="20"/>
        </w:rPr>
        <w:t>j</w:t>
      </w:r>
      <w:r w:rsidR="00F37940" w:rsidRPr="002001B7">
        <w:rPr>
          <w:rFonts w:ascii="Verdana" w:hAnsi="Verdana" w:cs="Verdana"/>
          <w:bCs/>
          <w:color w:val="0070C0"/>
          <w:sz w:val="20"/>
          <w:szCs w:val="20"/>
        </w:rPr>
        <w:t xml:space="preserve">i długu. </w:t>
      </w:r>
    </w:p>
    <w:p w14:paraId="09E39270" w14:textId="25B1E5F1" w:rsidR="00F37940" w:rsidRPr="002001B7" w:rsidRDefault="00F37940" w:rsidP="00F76D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hyperlink r:id="rId16" w:history="1">
        <w:proofErr w:type="spellStart"/>
        <w:r w:rsidRPr="00DD26AB">
          <w:rPr>
            <w:b/>
            <w:bCs/>
            <w:color w:val="0070C0"/>
            <w:u w:val="single"/>
          </w:rPr>
          <w:t>Mockiene</w:t>
        </w:r>
        <w:proofErr w:type="spellEnd"/>
        <w:r w:rsidRPr="00DD26AB">
          <w:rPr>
            <w:b/>
            <w:bCs/>
            <w:color w:val="0070C0"/>
            <w:u w:val="single"/>
          </w:rPr>
          <w:t>̇ przeciwko Litwie</w:t>
        </w:r>
      </w:hyperlink>
      <w:r w:rsidRPr="002001B7">
        <w:rPr>
          <w:rFonts w:ascii="Verdana" w:hAnsi="Verdana" w:cs="Verdana"/>
          <w:b/>
          <w:bCs/>
          <w:color w:val="0B5CAE"/>
          <w:sz w:val="20"/>
          <w:szCs w:val="20"/>
          <w:u w:val="single"/>
        </w:rPr>
        <w:t xml:space="preserve"> </w:t>
      </w:r>
    </w:p>
    <w:p w14:paraId="7A759226" w14:textId="77777777" w:rsidR="00F15D49" w:rsidRPr="004A2C75" w:rsidRDefault="00A936E3" w:rsidP="00F76DF1">
      <w:pPr>
        <w:rPr>
          <w:rFonts w:ascii="Verdana" w:hAnsi="Verdana"/>
          <w:color w:val="767171" w:themeColor="background2" w:themeShade="80"/>
          <w:sz w:val="20"/>
          <w:szCs w:val="20"/>
        </w:rPr>
      </w:pP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>4 lipca 2017 (decyzja w sprawie</w:t>
      </w:r>
      <w:r w:rsidR="00F37940"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dopuszczalności)</w:t>
      </w:r>
    </w:p>
    <w:p w14:paraId="0B74B63E" w14:textId="77777777" w:rsidR="00B05940" w:rsidRPr="004A2C75" w:rsidRDefault="00F37940" w:rsidP="00F76DF1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4A2C75">
        <w:rPr>
          <w:rFonts w:ascii="Verdana" w:hAnsi="Verdana"/>
          <w:color w:val="000000" w:themeColor="text1"/>
          <w:sz w:val="20"/>
          <w:szCs w:val="20"/>
        </w:rPr>
        <w:t>Sprawa ta dotyczy redukcji świadczeń s</w:t>
      </w:r>
      <w:r w:rsidR="00DD62B9" w:rsidRPr="004A2C75">
        <w:rPr>
          <w:rFonts w:ascii="Verdana" w:hAnsi="Verdana"/>
          <w:color w:val="000000" w:themeColor="text1"/>
          <w:sz w:val="20"/>
          <w:szCs w:val="20"/>
        </w:rPr>
        <w:t>połecznych</w:t>
      </w:r>
      <w:r w:rsidRPr="004A2C75">
        <w:rPr>
          <w:rFonts w:ascii="Verdana" w:hAnsi="Verdana"/>
          <w:color w:val="000000" w:themeColor="text1"/>
          <w:sz w:val="20"/>
          <w:szCs w:val="20"/>
        </w:rPr>
        <w:t xml:space="preserve"> podczas kryzysu go</w:t>
      </w:r>
      <w:r w:rsidR="00A936E3" w:rsidRPr="004A2C75">
        <w:rPr>
          <w:rFonts w:ascii="Verdana" w:hAnsi="Verdana"/>
          <w:color w:val="000000" w:themeColor="text1"/>
          <w:sz w:val="20"/>
          <w:szCs w:val="20"/>
        </w:rPr>
        <w:t>spodarczego na L</w:t>
      </w:r>
      <w:r w:rsidR="00E45E3F" w:rsidRPr="004A2C75">
        <w:rPr>
          <w:rFonts w:ascii="Verdana" w:hAnsi="Verdana"/>
          <w:color w:val="000000" w:themeColor="text1"/>
          <w:sz w:val="20"/>
          <w:szCs w:val="20"/>
        </w:rPr>
        <w:t>itwie. Skarż</w:t>
      </w:r>
      <w:r w:rsidR="00A936E3" w:rsidRPr="004A2C75">
        <w:rPr>
          <w:rFonts w:ascii="Verdana" w:hAnsi="Verdana"/>
          <w:color w:val="000000" w:themeColor="text1"/>
          <w:sz w:val="20"/>
          <w:szCs w:val="20"/>
        </w:rPr>
        <w:t>ąca, była urzędniczka Departamen</w:t>
      </w:r>
      <w:r w:rsidR="00E45E3F" w:rsidRPr="004A2C75">
        <w:rPr>
          <w:rFonts w:ascii="Verdana" w:hAnsi="Verdana"/>
          <w:color w:val="000000" w:themeColor="text1"/>
          <w:sz w:val="20"/>
          <w:szCs w:val="20"/>
        </w:rPr>
        <w:t xml:space="preserve">tu Więziennictwa, zarzucała, iż jej </w:t>
      </w:r>
      <w:r w:rsidR="00B05940" w:rsidRPr="004A2C75">
        <w:rPr>
          <w:rFonts w:ascii="Verdana" w:hAnsi="Verdana"/>
          <w:color w:val="000000" w:themeColor="text1"/>
          <w:sz w:val="20"/>
          <w:szCs w:val="20"/>
        </w:rPr>
        <w:t>świadczenie emerytalne zostało zredukowane o 15%  gdy na Litwie obowiązywała nowa ustawa, od stycznia 2010 do grudnia 2013</w:t>
      </w:r>
      <w:r w:rsidR="002001B7">
        <w:rPr>
          <w:rFonts w:ascii="Verdana" w:hAnsi="Verdana"/>
          <w:color w:val="000000" w:themeColor="text1"/>
          <w:sz w:val="20"/>
          <w:szCs w:val="20"/>
        </w:rPr>
        <w:t>r</w:t>
      </w:r>
      <w:r w:rsidR="00A936E3" w:rsidRPr="004A2C75">
        <w:rPr>
          <w:rFonts w:ascii="Verdana" w:hAnsi="Verdana"/>
          <w:color w:val="000000" w:themeColor="text1"/>
          <w:sz w:val="20"/>
          <w:szCs w:val="20"/>
        </w:rPr>
        <w:t xml:space="preserve">. Skarżyła również, iż została </w:t>
      </w:r>
      <w:r w:rsidR="00B05940" w:rsidRPr="004A2C75">
        <w:rPr>
          <w:rFonts w:ascii="Verdana" w:hAnsi="Verdana"/>
          <w:color w:val="000000" w:themeColor="text1"/>
          <w:sz w:val="20"/>
          <w:szCs w:val="20"/>
        </w:rPr>
        <w:t xml:space="preserve">dyskryminowana, ponieważ ci, którzy otrzymali emerytury mieli prawo do rekompensaty z tytułu redukcji świadczeń, podczas gdy ona takiej możliwości nie miała. </w:t>
      </w:r>
    </w:p>
    <w:p w14:paraId="17801482" w14:textId="77777777" w:rsidR="00805378" w:rsidRPr="006B17FF" w:rsidRDefault="00B05940" w:rsidP="00F76DF1">
      <w:pPr>
        <w:jc w:val="both"/>
        <w:rPr>
          <w:rFonts w:ascii="Verdana" w:hAnsi="Verdana"/>
          <w:color w:val="0070C0"/>
          <w:sz w:val="20"/>
          <w:szCs w:val="20"/>
        </w:rPr>
      </w:pPr>
      <w:r w:rsidRPr="006B17FF">
        <w:rPr>
          <w:rFonts w:ascii="Verdana" w:hAnsi="Verdana"/>
          <w:color w:val="0070C0"/>
          <w:sz w:val="20"/>
          <w:szCs w:val="20"/>
        </w:rPr>
        <w:t xml:space="preserve">Trybunał uznał skargi za </w:t>
      </w:r>
      <w:r w:rsidRPr="006B17FF">
        <w:rPr>
          <w:rFonts w:ascii="Verdana" w:hAnsi="Verdana"/>
          <w:b/>
          <w:color w:val="0070C0"/>
          <w:sz w:val="20"/>
          <w:szCs w:val="20"/>
        </w:rPr>
        <w:t>niedopuszczalne</w:t>
      </w:r>
      <w:r w:rsidRPr="006B17FF">
        <w:rPr>
          <w:rFonts w:ascii="Verdana" w:hAnsi="Verdana"/>
          <w:color w:val="0070C0"/>
          <w:sz w:val="20"/>
          <w:szCs w:val="20"/>
        </w:rPr>
        <w:t xml:space="preserve"> jako </w:t>
      </w:r>
      <w:r w:rsidR="00A936E3" w:rsidRPr="006B17FF">
        <w:rPr>
          <w:rFonts w:ascii="Verdana" w:hAnsi="Verdana"/>
          <w:color w:val="0070C0"/>
          <w:sz w:val="20"/>
          <w:szCs w:val="20"/>
        </w:rPr>
        <w:t>oczywiście</w:t>
      </w:r>
      <w:r w:rsidRPr="006B17FF">
        <w:rPr>
          <w:rFonts w:ascii="Verdana" w:hAnsi="Verdana"/>
          <w:color w:val="0070C0"/>
          <w:sz w:val="20"/>
          <w:szCs w:val="20"/>
        </w:rPr>
        <w:t xml:space="preserve"> bezzasadne. W tym przypadku nie było podstaw aby stwierdzić, iż władze litewskie nie dały rady ustanowić sprawiedliwej równowagi pomiędzy podstawowymi prawami skarżącej a ogólnym interesem społeczeństwa. Trybunał wziął pod uwagę w szczególności poważne problemy gospodarcze, z którymi zmagała się Litwa podczas światowego kryzysu gospodarczego,  jak również ograniczony zakres oraz tymczasowy charakter </w:t>
      </w:r>
      <w:r w:rsidR="00805378" w:rsidRPr="006B17FF">
        <w:rPr>
          <w:rFonts w:ascii="Verdana" w:hAnsi="Verdana"/>
          <w:color w:val="0070C0"/>
          <w:sz w:val="20"/>
          <w:szCs w:val="20"/>
        </w:rPr>
        <w:t xml:space="preserve">redukcji świadczenia emerytalnego, który był częścią szerszego programu środków oszczędnościowych. Trybunał stwierdził również, iż nowe </w:t>
      </w:r>
      <w:r w:rsidR="00A75088" w:rsidRPr="006B17FF">
        <w:rPr>
          <w:rFonts w:ascii="Verdana" w:hAnsi="Verdana"/>
          <w:color w:val="0070C0"/>
          <w:sz w:val="20"/>
          <w:szCs w:val="20"/>
        </w:rPr>
        <w:t>przepisy wprowadzone w 2010 r.</w:t>
      </w:r>
      <w:r w:rsidR="00805378" w:rsidRPr="006B17FF">
        <w:rPr>
          <w:rFonts w:ascii="Verdana" w:hAnsi="Verdana"/>
          <w:color w:val="0070C0"/>
          <w:sz w:val="20"/>
          <w:szCs w:val="20"/>
        </w:rPr>
        <w:t xml:space="preserve"> nie były dyskryminujące. W tym zakresie, zauważył on w szczególności, iż emerytury urzędnicze były uznaniowe oraz zależały od zasobów finansowych Państwa, podczas gdy świadczenia emerytalne były konstytucyjnym obowiązkiem państwa powiązanym z indywidualnym składkami ubezpieczenia społecznego. Te dwie grupy beneficjentów nie są porównywalne, co znaczy iż żadne różnice w traktowaniu pomiędzy nimi nie mogły stanowić dyskryminacji. </w:t>
      </w:r>
    </w:p>
    <w:p w14:paraId="279F8A9B" w14:textId="77777777" w:rsidR="00661CDA" w:rsidRPr="004A2C75" w:rsidRDefault="00805378" w:rsidP="00F76DF1">
      <w:pPr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 xml:space="preserve"> </w:t>
      </w:r>
    </w:p>
    <w:p w14:paraId="2E952BCF" w14:textId="4F06F38E" w:rsidR="00805378" w:rsidRPr="006A60BA" w:rsidRDefault="002C563C" w:rsidP="00F76D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r w:rsidRPr="004A2C75">
        <w:rPr>
          <w:rFonts w:ascii="Verdana" w:hAnsi="Verdana"/>
          <w:sz w:val="20"/>
          <w:szCs w:val="20"/>
        </w:rPr>
        <w:t xml:space="preserve"> </w:t>
      </w:r>
      <w:hyperlink r:id="rId17" w:history="1">
        <w:r w:rsidR="00A936E3" w:rsidRPr="00DD26AB">
          <w:rPr>
            <w:b/>
            <w:bCs/>
            <w:color w:val="0070C0"/>
            <w:u w:val="single"/>
          </w:rPr>
          <w:t xml:space="preserve">P. </w:t>
        </w:r>
        <w:proofErr w:type="spellStart"/>
        <w:r w:rsidR="00A936E3" w:rsidRPr="00DD26AB">
          <w:rPr>
            <w:b/>
            <w:bCs/>
            <w:color w:val="0070C0"/>
            <w:u w:val="single"/>
          </w:rPr>
          <w:t>Plaisier</w:t>
        </w:r>
        <w:proofErr w:type="spellEnd"/>
        <w:r w:rsidR="00A936E3" w:rsidRPr="00DD26AB">
          <w:rPr>
            <w:b/>
            <w:bCs/>
            <w:color w:val="0070C0"/>
            <w:u w:val="single"/>
          </w:rPr>
          <w:t xml:space="preserve"> B.V. przeciwko Holandii oraz dwie inne skargi</w:t>
        </w:r>
      </w:hyperlink>
      <w:r w:rsidR="00A936E3" w:rsidRPr="006A60BA">
        <w:rPr>
          <w:rFonts w:ascii="Verdana" w:hAnsi="Verdana" w:cs="Verdana"/>
          <w:b/>
          <w:bCs/>
          <w:color w:val="0B5CAE"/>
          <w:sz w:val="20"/>
          <w:szCs w:val="20"/>
          <w:u w:val="single"/>
        </w:rPr>
        <w:t xml:space="preserve"> </w:t>
      </w:r>
    </w:p>
    <w:p w14:paraId="2BBE7353" w14:textId="77777777" w:rsidR="00EF76BE" w:rsidRPr="004A2C75" w:rsidRDefault="00805378" w:rsidP="00F76DF1">
      <w:pPr>
        <w:jc w:val="both"/>
        <w:rPr>
          <w:rFonts w:ascii="Verdana" w:hAnsi="Verdana"/>
          <w:color w:val="767171" w:themeColor="background2" w:themeShade="80"/>
          <w:sz w:val="20"/>
          <w:szCs w:val="20"/>
        </w:rPr>
      </w:pP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14 </w:t>
      </w:r>
      <w:r w:rsidR="00A936E3" w:rsidRPr="004A2C75">
        <w:rPr>
          <w:rFonts w:ascii="Verdana" w:hAnsi="Verdana"/>
          <w:color w:val="767171" w:themeColor="background2" w:themeShade="80"/>
          <w:sz w:val="20"/>
          <w:szCs w:val="20"/>
        </w:rPr>
        <w:t>listopada</w:t>
      </w: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2017</w:t>
      </w:r>
      <w:r w:rsidR="006A60BA">
        <w:rPr>
          <w:rFonts w:ascii="Verdana" w:hAnsi="Verdana"/>
          <w:color w:val="767171" w:themeColor="background2" w:themeShade="80"/>
          <w:sz w:val="20"/>
          <w:szCs w:val="20"/>
        </w:rPr>
        <w:t>r.</w:t>
      </w: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 (decyzja </w:t>
      </w:r>
      <w:r w:rsidR="00A936E3" w:rsidRPr="004A2C75">
        <w:rPr>
          <w:rFonts w:ascii="Verdana" w:hAnsi="Verdana"/>
          <w:color w:val="767171" w:themeColor="background2" w:themeShade="80"/>
          <w:sz w:val="20"/>
          <w:szCs w:val="20"/>
        </w:rPr>
        <w:t>w sprawie dopuszczalności</w:t>
      </w:r>
      <w:r w:rsidRPr="004A2C75">
        <w:rPr>
          <w:rFonts w:ascii="Verdana" w:hAnsi="Verdana"/>
          <w:color w:val="767171" w:themeColor="background2" w:themeShade="80"/>
          <w:sz w:val="20"/>
          <w:szCs w:val="20"/>
        </w:rPr>
        <w:t xml:space="preserve">) </w:t>
      </w:r>
    </w:p>
    <w:p w14:paraId="445B09CC" w14:textId="77777777" w:rsidR="00805378" w:rsidRPr="004A2C75" w:rsidRDefault="00805378" w:rsidP="00F76DF1">
      <w:pPr>
        <w:jc w:val="both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 xml:space="preserve">Trzy przedsiębiorstwa, skarżyły dodatkowy podatek, który pracodawcy byli zobowiązani płacić od wynagrodzeń powyżej 150,000 euro, który był częścią środków oszczędnościowych przyjętych podczas kryzysu gospodarczego. </w:t>
      </w:r>
      <w:r w:rsidR="004907AA" w:rsidRPr="004A2C75">
        <w:rPr>
          <w:rFonts w:ascii="Verdana" w:hAnsi="Verdana"/>
          <w:sz w:val="20"/>
          <w:szCs w:val="20"/>
        </w:rPr>
        <w:t>Zarzucili oni, iż podatek przyjęty w 2013</w:t>
      </w:r>
      <w:r w:rsidR="00A75088" w:rsidRPr="004A2C75">
        <w:rPr>
          <w:rFonts w:ascii="Verdana" w:hAnsi="Verdana"/>
          <w:sz w:val="20"/>
          <w:szCs w:val="20"/>
        </w:rPr>
        <w:t xml:space="preserve"> r.</w:t>
      </w:r>
      <w:r w:rsidR="004907AA" w:rsidRPr="004A2C75">
        <w:rPr>
          <w:rFonts w:ascii="Verdana" w:hAnsi="Verdana"/>
          <w:sz w:val="20"/>
          <w:szCs w:val="20"/>
        </w:rPr>
        <w:t xml:space="preserve"> a stosowany do wynagrodzeń z 2012 był nieprzewid</w:t>
      </w:r>
      <w:r w:rsidR="00854B3A">
        <w:rPr>
          <w:rFonts w:ascii="Verdana" w:hAnsi="Verdana"/>
          <w:sz w:val="20"/>
          <w:szCs w:val="20"/>
        </w:rPr>
        <w:t xml:space="preserve">ywalny, </w:t>
      </w:r>
      <w:r w:rsidR="004907AA" w:rsidRPr="004A2C75">
        <w:rPr>
          <w:rFonts w:ascii="Verdana" w:hAnsi="Verdana"/>
          <w:sz w:val="20"/>
          <w:szCs w:val="20"/>
        </w:rPr>
        <w:t xml:space="preserve">niesprawiedliwy i dyskryminujący. </w:t>
      </w:r>
    </w:p>
    <w:p w14:paraId="7393BE5C" w14:textId="77777777" w:rsidR="004907AA" w:rsidRDefault="004907AA" w:rsidP="00F76DF1">
      <w:pPr>
        <w:jc w:val="both"/>
        <w:rPr>
          <w:rFonts w:ascii="Verdana" w:hAnsi="Verdana"/>
          <w:color w:val="0070C0"/>
          <w:sz w:val="20"/>
          <w:szCs w:val="20"/>
        </w:rPr>
      </w:pPr>
      <w:r w:rsidRPr="006A60BA">
        <w:rPr>
          <w:rFonts w:ascii="Verdana" w:hAnsi="Verdana"/>
          <w:color w:val="0070C0"/>
          <w:sz w:val="20"/>
          <w:szCs w:val="20"/>
        </w:rPr>
        <w:t xml:space="preserve">Trybunał uznał skargę za </w:t>
      </w:r>
      <w:r w:rsidRPr="006A60BA">
        <w:rPr>
          <w:rFonts w:ascii="Verdana" w:hAnsi="Verdana"/>
          <w:b/>
          <w:color w:val="0070C0"/>
          <w:sz w:val="20"/>
          <w:szCs w:val="20"/>
        </w:rPr>
        <w:t>niedopuszc</w:t>
      </w:r>
      <w:r w:rsidR="00A936E3" w:rsidRPr="006A60BA">
        <w:rPr>
          <w:rFonts w:ascii="Verdana" w:hAnsi="Verdana"/>
          <w:b/>
          <w:color w:val="0070C0"/>
          <w:sz w:val="20"/>
          <w:szCs w:val="20"/>
        </w:rPr>
        <w:t>z</w:t>
      </w:r>
      <w:r w:rsidRPr="006A60BA">
        <w:rPr>
          <w:rFonts w:ascii="Verdana" w:hAnsi="Verdana"/>
          <w:b/>
          <w:color w:val="0070C0"/>
          <w:sz w:val="20"/>
          <w:szCs w:val="20"/>
        </w:rPr>
        <w:t>alną</w:t>
      </w:r>
      <w:r w:rsidRPr="006A60BA">
        <w:rPr>
          <w:rFonts w:ascii="Verdana" w:hAnsi="Verdana"/>
          <w:color w:val="0070C0"/>
          <w:sz w:val="20"/>
          <w:szCs w:val="20"/>
        </w:rPr>
        <w:t xml:space="preserve"> jako </w:t>
      </w:r>
      <w:r w:rsidR="00A936E3" w:rsidRPr="006A60BA">
        <w:rPr>
          <w:rFonts w:ascii="Verdana" w:hAnsi="Verdana"/>
          <w:color w:val="0070C0"/>
          <w:sz w:val="20"/>
          <w:szCs w:val="20"/>
        </w:rPr>
        <w:t>oczywiście</w:t>
      </w:r>
      <w:r w:rsidRPr="006A60BA">
        <w:rPr>
          <w:rFonts w:ascii="Verdana" w:hAnsi="Verdana"/>
          <w:color w:val="0070C0"/>
          <w:sz w:val="20"/>
          <w:szCs w:val="20"/>
        </w:rPr>
        <w:t xml:space="preserve"> bezzasadną. Stwierdził, iż decyzje</w:t>
      </w:r>
      <w:r w:rsidR="00A936E3" w:rsidRPr="006A60BA">
        <w:rPr>
          <w:rFonts w:ascii="Verdana" w:hAnsi="Verdana"/>
          <w:color w:val="0070C0"/>
          <w:sz w:val="20"/>
          <w:szCs w:val="20"/>
        </w:rPr>
        <w:t xml:space="preserve"> podjęte przez rząd Holandii</w:t>
      </w:r>
      <w:r w:rsidRPr="006A60BA">
        <w:rPr>
          <w:rFonts w:ascii="Verdana" w:hAnsi="Verdana"/>
          <w:color w:val="0070C0"/>
          <w:sz w:val="20"/>
          <w:szCs w:val="20"/>
        </w:rPr>
        <w:t xml:space="preserve"> </w:t>
      </w:r>
      <w:r w:rsidR="00A936E3" w:rsidRPr="006A60BA">
        <w:rPr>
          <w:rFonts w:ascii="Verdana" w:hAnsi="Verdana"/>
          <w:color w:val="0070C0"/>
          <w:sz w:val="20"/>
          <w:szCs w:val="20"/>
        </w:rPr>
        <w:t>n</w:t>
      </w:r>
      <w:r w:rsidRPr="006A60BA">
        <w:rPr>
          <w:rFonts w:ascii="Verdana" w:hAnsi="Verdana"/>
          <w:color w:val="0070C0"/>
          <w:sz w:val="20"/>
          <w:szCs w:val="20"/>
        </w:rPr>
        <w:t xml:space="preserve">ie wykraczały poza margines swobodnego uznania przyznany władzom w kwestiach podatkowych oraz nie naruszały równowagi pomiędzy </w:t>
      </w:r>
      <w:r w:rsidRPr="006A60BA">
        <w:rPr>
          <w:rFonts w:ascii="Verdana" w:hAnsi="Verdana"/>
          <w:color w:val="0070C0"/>
          <w:sz w:val="20"/>
          <w:szCs w:val="20"/>
        </w:rPr>
        <w:lastRenderedPageBreak/>
        <w:t xml:space="preserve">interesem ogółu a ochroną praw przedsiębiorstw. Trybunał zauważył w szczególności, iż zaakceptował różne środki oszczędnościowe stosowane przez państwa </w:t>
      </w:r>
      <w:r w:rsidR="00A936E3" w:rsidRPr="006A60BA">
        <w:rPr>
          <w:rFonts w:ascii="Verdana" w:hAnsi="Verdana"/>
          <w:color w:val="0070C0"/>
          <w:sz w:val="20"/>
          <w:szCs w:val="20"/>
        </w:rPr>
        <w:t>a</w:t>
      </w:r>
      <w:r w:rsidRPr="006A60BA">
        <w:rPr>
          <w:rFonts w:ascii="Verdana" w:hAnsi="Verdana"/>
          <w:color w:val="0070C0"/>
          <w:sz w:val="20"/>
          <w:szCs w:val="20"/>
        </w:rPr>
        <w:t xml:space="preserve"> kroki podjęte przez władze h</w:t>
      </w:r>
      <w:r w:rsidR="00A936E3" w:rsidRPr="006A60BA">
        <w:rPr>
          <w:rFonts w:ascii="Verdana" w:hAnsi="Verdana"/>
          <w:color w:val="0070C0"/>
          <w:sz w:val="20"/>
          <w:szCs w:val="20"/>
        </w:rPr>
        <w:t>olenderskie również były częścią celu do którego dążył kraj</w:t>
      </w:r>
      <w:r w:rsidRPr="006A60BA">
        <w:rPr>
          <w:rFonts w:ascii="Verdana" w:hAnsi="Verdana"/>
          <w:color w:val="0070C0"/>
          <w:sz w:val="20"/>
          <w:szCs w:val="20"/>
        </w:rPr>
        <w:t xml:space="preserve">, </w:t>
      </w:r>
      <w:r w:rsidR="00A936E3" w:rsidRPr="006A60BA">
        <w:rPr>
          <w:rFonts w:ascii="Verdana" w:hAnsi="Verdana"/>
          <w:color w:val="0070C0"/>
          <w:sz w:val="20"/>
          <w:szCs w:val="20"/>
        </w:rPr>
        <w:t>mianowicie</w:t>
      </w:r>
      <w:r w:rsidRPr="006A60BA">
        <w:rPr>
          <w:rFonts w:ascii="Verdana" w:hAnsi="Verdana"/>
          <w:color w:val="0070C0"/>
          <w:sz w:val="20"/>
          <w:szCs w:val="20"/>
        </w:rPr>
        <w:t xml:space="preserve"> wypełnieni</w:t>
      </w:r>
      <w:r w:rsidR="00A936E3" w:rsidRPr="006A60BA">
        <w:rPr>
          <w:rFonts w:ascii="Verdana" w:hAnsi="Verdana"/>
          <w:color w:val="0070C0"/>
          <w:sz w:val="20"/>
          <w:szCs w:val="20"/>
        </w:rPr>
        <w:t>a</w:t>
      </w:r>
      <w:r w:rsidRPr="006A60BA">
        <w:rPr>
          <w:rFonts w:ascii="Verdana" w:hAnsi="Verdana"/>
          <w:color w:val="0070C0"/>
          <w:sz w:val="20"/>
          <w:szCs w:val="20"/>
        </w:rPr>
        <w:t xml:space="preserve"> zobowiązań wynikających z przepisów budżetowych Unii Europejskiej. </w:t>
      </w:r>
    </w:p>
    <w:p w14:paraId="05FAB4CE" w14:textId="77777777" w:rsidR="00677A5C" w:rsidRDefault="00677A5C" w:rsidP="00F76DF1">
      <w:pPr>
        <w:jc w:val="both"/>
        <w:rPr>
          <w:rFonts w:ascii="Verdana" w:hAnsi="Verdana"/>
          <w:color w:val="0070C0"/>
          <w:sz w:val="20"/>
          <w:szCs w:val="20"/>
        </w:rPr>
      </w:pPr>
    </w:p>
    <w:p w14:paraId="7DF6ED2B" w14:textId="1F4B81FA" w:rsidR="00677A5C" w:rsidRPr="0051213E" w:rsidRDefault="00677A5C" w:rsidP="00DD26AB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color w:val="0070C0"/>
          <w:sz w:val="20"/>
          <w:szCs w:val="20"/>
          <w:u w:val="single"/>
        </w:rPr>
      </w:pPr>
      <w:hyperlink r:id="rId18" w:history="1">
        <w:proofErr w:type="spellStart"/>
        <w:r w:rsidRPr="00DD26AB">
          <w:rPr>
            <w:b/>
            <w:bCs/>
            <w:color w:val="0070C0"/>
            <w:u w:val="single"/>
          </w:rPr>
          <w:t>Aielli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i Inni </w:t>
        </w:r>
        <w:r w:rsidR="00CD1B6E">
          <w:rPr>
            <w:b/>
            <w:bCs/>
            <w:color w:val="0070C0"/>
            <w:u w:val="single"/>
          </w:rPr>
          <w:t>o</w:t>
        </w:r>
        <w:r w:rsidRPr="00DD26AB">
          <w:rPr>
            <w:b/>
            <w:bCs/>
            <w:color w:val="0070C0"/>
            <w:u w:val="single"/>
          </w:rPr>
          <w:t xml:space="preserve">raz </w:t>
        </w:r>
        <w:proofErr w:type="spellStart"/>
        <w:r w:rsidRPr="00DD26AB">
          <w:rPr>
            <w:b/>
            <w:bCs/>
            <w:color w:val="0070C0"/>
            <w:u w:val="single"/>
          </w:rPr>
          <w:t>Arboit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i Inni przeciwko Włochom</w:t>
        </w:r>
      </w:hyperlink>
      <w:r w:rsidRPr="0051213E"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 </w:t>
      </w:r>
    </w:p>
    <w:p w14:paraId="04F57C84" w14:textId="77777777" w:rsidR="00B04800" w:rsidRPr="00DE29D2" w:rsidRDefault="00677A5C" w:rsidP="00F76DF1">
      <w:pPr>
        <w:jc w:val="both"/>
        <w:rPr>
          <w:rFonts w:ascii="Verdana" w:hAnsi="Verdana"/>
          <w:color w:val="767171" w:themeColor="background2" w:themeShade="80"/>
          <w:sz w:val="20"/>
          <w:szCs w:val="20"/>
        </w:rPr>
      </w:pPr>
      <w:r w:rsidRPr="00DE29D2">
        <w:rPr>
          <w:rFonts w:ascii="Verdana" w:hAnsi="Verdana"/>
          <w:color w:val="767171" w:themeColor="background2" w:themeShade="80"/>
          <w:sz w:val="20"/>
          <w:szCs w:val="20"/>
        </w:rPr>
        <w:t xml:space="preserve">10 lipca 2018r. (decyzja o niedopuszczalności) </w:t>
      </w:r>
    </w:p>
    <w:p w14:paraId="58B68B06" w14:textId="77777777" w:rsidR="00B04800" w:rsidRPr="0051213E" w:rsidRDefault="007A55CB" w:rsidP="00F76DF1">
      <w:pPr>
        <w:pStyle w:val="Bezodstpw"/>
        <w:jc w:val="both"/>
        <w:rPr>
          <w:rFonts w:ascii="Verdana" w:hAnsi="Verdana"/>
          <w:sz w:val="20"/>
          <w:szCs w:val="20"/>
        </w:rPr>
      </w:pPr>
      <w:r w:rsidRPr="0051213E">
        <w:rPr>
          <w:rStyle w:val="tlid-translation"/>
          <w:rFonts w:ascii="Verdana" w:hAnsi="Verdana"/>
          <w:sz w:val="20"/>
          <w:szCs w:val="20"/>
        </w:rPr>
        <w:t xml:space="preserve">Sprawa dotyczyła reformy podwyższenia krajowych emerytur i rent </w:t>
      </w:r>
      <w:r w:rsidR="00B04800" w:rsidRPr="0051213E">
        <w:rPr>
          <w:rStyle w:val="tlid-translation"/>
          <w:rFonts w:ascii="Verdana" w:hAnsi="Verdana"/>
          <w:sz w:val="20"/>
          <w:szCs w:val="20"/>
        </w:rPr>
        <w:t>w latach</w:t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 2012 i 2013 </w:t>
      </w:r>
      <w:r w:rsidR="00B04800" w:rsidRPr="0051213E">
        <w:rPr>
          <w:rStyle w:val="tlid-translation"/>
          <w:rFonts w:ascii="Verdana" w:hAnsi="Verdana"/>
          <w:sz w:val="20"/>
          <w:szCs w:val="20"/>
        </w:rPr>
        <w:br/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w </w:t>
      </w:r>
      <w:r w:rsidR="00F3765B" w:rsidRPr="0051213E">
        <w:rPr>
          <w:rStyle w:val="tlid-translation"/>
          <w:rFonts w:ascii="Verdana" w:hAnsi="Verdana"/>
          <w:sz w:val="20"/>
          <w:szCs w:val="20"/>
        </w:rPr>
        <w:t>sytuacji</w:t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 kryzysu deficytu budżetowego i jego konsekwencji. Skarżący, którzy byli emerytami i rencistami otrzymującymi </w:t>
      </w:r>
      <w:r w:rsidR="00F3765B" w:rsidRPr="0051213E">
        <w:rPr>
          <w:rStyle w:val="tlid-translation"/>
          <w:rFonts w:ascii="Verdana" w:hAnsi="Verdana"/>
          <w:sz w:val="20"/>
          <w:szCs w:val="20"/>
        </w:rPr>
        <w:t>uposażenie w ponad t</w:t>
      </w:r>
      <w:r w:rsidRPr="0051213E">
        <w:rPr>
          <w:rStyle w:val="tlid-translation"/>
          <w:rFonts w:ascii="Verdana" w:hAnsi="Verdana"/>
          <w:sz w:val="20"/>
          <w:szCs w:val="20"/>
        </w:rPr>
        <w:t>rzykrotn</w:t>
      </w:r>
      <w:r w:rsidR="00F3765B" w:rsidRPr="0051213E">
        <w:rPr>
          <w:rStyle w:val="tlid-translation"/>
          <w:rFonts w:ascii="Verdana" w:hAnsi="Verdana"/>
          <w:sz w:val="20"/>
          <w:szCs w:val="20"/>
        </w:rPr>
        <w:t>ej wysokości</w:t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  emerytur</w:t>
      </w:r>
      <w:r w:rsidR="00F3765B" w:rsidRPr="0051213E">
        <w:rPr>
          <w:rStyle w:val="tlid-translation"/>
          <w:rFonts w:ascii="Verdana" w:hAnsi="Verdana"/>
          <w:sz w:val="20"/>
          <w:szCs w:val="20"/>
        </w:rPr>
        <w:t>y</w:t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 minimaln</w:t>
      </w:r>
      <w:r w:rsidR="00F3765B" w:rsidRPr="0051213E">
        <w:rPr>
          <w:rStyle w:val="tlid-translation"/>
          <w:rFonts w:ascii="Verdana" w:hAnsi="Verdana"/>
          <w:sz w:val="20"/>
          <w:szCs w:val="20"/>
        </w:rPr>
        <w:t>ej</w:t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, skarżyli się na ponowne </w:t>
      </w:r>
      <w:r w:rsidR="00F3765B" w:rsidRPr="0051213E">
        <w:rPr>
          <w:rStyle w:val="tlid-translation"/>
          <w:rFonts w:ascii="Verdana" w:hAnsi="Verdana"/>
          <w:sz w:val="20"/>
          <w:szCs w:val="20"/>
        </w:rPr>
        <w:t>przeliczenie</w:t>
      </w:r>
      <w:r w:rsidRPr="0051213E">
        <w:rPr>
          <w:rStyle w:val="tlid-translation"/>
          <w:rFonts w:ascii="Verdana" w:hAnsi="Verdana"/>
          <w:sz w:val="20"/>
          <w:szCs w:val="20"/>
        </w:rPr>
        <w:t xml:space="preserve"> ich emerytur.</w:t>
      </w:r>
    </w:p>
    <w:p w14:paraId="6E00526C" w14:textId="77777777" w:rsidR="004907AA" w:rsidRDefault="007A55CB" w:rsidP="00F76DF1">
      <w:pPr>
        <w:pStyle w:val="Bezodstpw"/>
        <w:jc w:val="both"/>
        <w:rPr>
          <w:rStyle w:val="tlid-translation"/>
          <w:rFonts w:ascii="Verdana" w:hAnsi="Verdana"/>
          <w:color w:val="0070C0"/>
          <w:sz w:val="20"/>
          <w:szCs w:val="20"/>
        </w:rPr>
      </w:pP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Trybunał uznał skargę za niedopuszczalną jako oczywiście bezzasadną. Zauważył </w:t>
      </w:r>
      <w:r w:rsidR="00F3765B" w:rsidRPr="0051213E">
        <w:rPr>
          <w:rStyle w:val="tlid-translation"/>
          <w:rFonts w:ascii="Verdana" w:hAnsi="Verdana"/>
          <w:color w:val="0070C0"/>
          <w:sz w:val="20"/>
          <w:szCs w:val="20"/>
        </w:rPr>
        <w:br/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>w szczególności, że włoski ustawodawca był zobowiązany do interwencji w trudn</w:t>
      </w:r>
      <w:r w:rsidR="00F3765B" w:rsidRPr="0051213E">
        <w:rPr>
          <w:rStyle w:val="tlid-translation"/>
          <w:rFonts w:ascii="Verdana" w:hAnsi="Verdana"/>
          <w:color w:val="0070C0"/>
          <w:sz w:val="20"/>
          <w:szCs w:val="20"/>
        </w:rPr>
        <w:t>ej</w:t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 </w:t>
      </w:r>
      <w:r w:rsidR="00F3765B" w:rsidRPr="0051213E">
        <w:rPr>
          <w:rStyle w:val="tlid-translation"/>
          <w:rFonts w:ascii="Verdana" w:hAnsi="Verdana"/>
          <w:color w:val="0070C0"/>
          <w:sz w:val="20"/>
          <w:szCs w:val="20"/>
        </w:rPr>
        <w:t>sytuacji</w:t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 gospodarcz</w:t>
      </w:r>
      <w:r w:rsidR="00F3765B" w:rsidRPr="0051213E">
        <w:rPr>
          <w:rStyle w:val="tlid-translation"/>
          <w:rFonts w:ascii="Verdana" w:hAnsi="Verdana"/>
          <w:color w:val="0070C0"/>
          <w:sz w:val="20"/>
          <w:szCs w:val="20"/>
        </w:rPr>
        <w:t>ej</w:t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. Przedmiotowy dekret legislacyjny miał na celu zapewnienie redystrybucji na rzecz niższych emerytur przy jednoczesnym zachowaniu stabilności systemu zabezpieczenia społecznego dla przyszłych pokoleń. </w:t>
      </w:r>
      <w:r w:rsidR="00866D65">
        <w:rPr>
          <w:rStyle w:val="tlid-translation"/>
          <w:rFonts w:ascii="Verdana" w:hAnsi="Verdana"/>
          <w:color w:val="0070C0"/>
          <w:sz w:val="20"/>
          <w:szCs w:val="20"/>
        </w:rPr>
        <w:t>P</w:t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ole manewru włoskiego rządu </w:t>
      </w:r>
      <w:r w:rsidR="00866D65">
        <w:rPr>
          <w:rStyle w:val="tlid-translation"/>
          <w:rFonts w:ascii="Verdana" w:hAnsi="Verdana"/>
          <w:color w:val="0070C0"/>
          <w:sz w:val="20"/>
          <w:szCs w:val="20"/>
        </w:rPr>
        <w:t xml:space="preserve">było ograniczone </w:t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ze względu na ograniczone zasoby i ryzyko, że Komisja Europejska może podjąć działania na rzecz nadmiernego deficytu budżetowego. Podsumowując, Trybunał uznał, że skutki reformy nie były tak poważne, że groziłyby </w:t>
      </w:r>
      <w:r w:rsidR="00866D65">
        <w:rPr>
          <w:rStyle w:val="tlid-translation"/>
          <w:rFonts w:ascii="Verdana" w:hAnsi="Verdana"/>
          <w:color w:val="0070C0"/>
          <w:sz w:val="20"/>
          <w:szCs w:val="20"/>
        </w:rPr>
        <w:t>powstaniem w przypadku</w:t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 xml:space="preserve"> skarżących trudności w pokryciu kosztów utrzymania </w:t>
      </w:r>
      <w:r w:rsidR="00866D65">
        <w:rPr>
          <w:rStyle w:val="tlid-translation"/>
          <w:rFonts w:ascii="Verdana" w:hAnsi="Verdana"/>
          <w:color w:val="0070C0"/>
          <w:sz w:val="20"/>
          <w:szCs w:val="20"/>
        </w:rPr>
        <w:br/>
      </w:r>
      <w:r w:rsidRPr="0051213E">
        <w:rPr>
          <w:rStyle w:val="tlid-translation"/>
          <w:rFonts w:ascii="Verdana" w:hAnsi="Verdana"/>
          <w:color w:val="0070C0"/>
          <w:sz w:val="20"/>
          <w:szCs w:val="20"/>
        </w:rPr>
        <w:t>w stopniu, który byłby niezgodny z art. 1 protokołu nr 1.</w:t>
      </w:r>
    </w:p>
    <w:p w14:paraId="6C21C466" w14:textId="77777777" w:rsidR="00DE29D2" w:rsidRPr="00DE29D2" w:rsidRDefault="00DE29D2" w:rsidP="00DE29D2">
      <w:pPr>
        <w:pStyle w:val="Bezodstpw"/>
        <w:jc w:val="both"/>
        <w:rPr>
          <w:rFonts w:ascii="Verdana" w:hAnsi="Verdana"/>
          <w:color w:val="0070C0"/>
          <w:sz w:val="20"/>
          <w:szCs w:val="20"/>
        </w:rPr>
      </w:pPr>
    </w:p>
    <w:p w14:paraId="66786C19" w14:textId="2BF03CDD" w:rsidR="00DE29D2" w:rsidRPr="00DE29D2" w:rsidRDefault="00DE29D2" w:rsidP="00DE29D2">
      <w:pPr>
        <w:pStyle w:val="Bezodstpw"/>
        <w:jc w:val="both"/>
        <w:rPr>
          <w:rFonts w:ascii="Verdana" w:hAnsi="Verdana"/>
          <w:b/>
          <w:bCs/>
          <w:color w:val="0070C0"/>
          <w:sz w:val="20"/>
          <w:szCs w:val="20"/>
          <w:u w:val="single"/>
        </w:rPr>
      </w:pPr>
      <w:hyperlink r:id="rId19" w:history="1">
        <w:proofErr w:type="spellStart"/>
        <w:r w:rsidRPr="00DE29D2">
          <w:rPr>
            <w:b/>
            <w:bCs/>
            <w:color w:val="0070C0"/>
            <w:u w:val="single"/>
          </w:rPr>
          <w:t>Žegarac</w:t>
        </w:r>
        <w:proofErr w:type="spellEnd"/>
        <w:r w:rsidRPr="00DE29D2">
          <w:rPr>
            <w:b/>
            <w:bCs/>
            <w:color w:val="0070C0"/>
            <w:u w:val="single"/>
          </w:rPr>
          <w:t xml:space="preserve"> i Inni przeciwko Serbii</w:t>
        </w:r>
      </w:hyperlink>
    </w:p>
    <w:p w14:paraId="34D7DC6A" w14:textId="77777777" w:rsidR="00DE29D2" w:rsidRPr="00DE29D2" w:rsidRDefault="00DE29D2" w:rsidP="00DE29D2">
      <w:pPr>
        <w:pStyle w:val="Bezodstpw"/>
        <w:jc w:val="both"/>
        <w:rPr>
          <w:rFonts w:ascii="Verdana" w:hAnsi="Verdana"/>
          <w:color w:val="767171" w:themeColor="background2" w:themeShade="80"/>
          <w:sz w:val="20"/>
          <w:szCs w:val="20"/>
        </w:rPr>
      </w:pPr>
      <w:r w:rsidRPr="00DE29D2">
        <w:rPr>
          <w:rFonts w:ascii="Verdana" w:hAnsi="Verdana"/>
          <w:color w:val="767171" w:themeColor="background2" w:themeShade="80"/>
          <w:sz w:val="20"/>
          <w:szCs w:val="20"/>
        </w:rPr>
        <w:t>17 stycznia 2023 roku (decyzja w sprawie dopuszczalności)</w:t>
      </w:r>
    </w:p>
    <w:p w14:paraId="582FA679" w14:textId="77777777" w:rsidR="00DE29D2" w:rsidRPr="00DE29D2" w:rsidRDefault="00DE29D2" w:rsidP="00DE29D2">
      <w:pPr>
        <w:pStyle w:val="Bezodstpw"/>
        <w:jc w:val="both"/>
        <w:rPr>
          <w:rFonts w:ascii="Verdana" w:hAnsi="Verdana"/>
          <w:sz w:val="20"/>
          <w:szCs w:val="20"/>
        </w:rPr>
      </w:pPr>
      <w:r w:rsidRPr="00DE29D2">
        <w:rPr>
          <w:rFonts w:ascii="Verdana" w:hAnsi="Verdana"/>
          <w:sz w:val="20"/>
          <w:szCs w:val="20"/>
        </w:rPr>
        <w:t>Niniejsza sprawa dotyczyła przede wszystkim 11 skarg na fakt obniżenia wypłacanych skarżącym emerytur pomiędzy listopadem 2014 a wrześniem 2018. Obniżka nastąpiła w wyniku zmian legislacyjnych przeprowadzonych przez Rząd Serbii w ramach wprowadzania bardziej obszernych środków oszczędnościowych. Akt prawny regulujący kwestię obniżania emerytur został uchylony po tym jak deficyt budżetowy osiągnął satysfakcjonująco niski poziom.</w:t>
      </w:r>
    </w:p>
    <w:p w14:paraId="20E04354" w14:textId="71714575" w:rsidR="00DE29D2" w:rsidRPr="0051213E" w:rsidRDefault="00DE29D2" w:rsidP="00DE29D2">
      <w:pPr>
        <w:pStyle w:val="Bezodstpw"/>
        <w:jc w:val="both"/>
        <w:rPr>
          <w:rFonts w:ascii="Verdana" w:hAnsi="Verdana"/>
          <w:color w:val="0070C0"/>
          <w:sz w:val="20"/>
          <w:szCs w:val="20"/>
        </w:rPr>
      </w:pPr>
      <w:r w:rsidRPr="00DE29D2">
        <w:rPr>
          <w:rFonts w:ascii="Verdana" w:hAnsi="Verdana"/>
          <w:color w:val="0070C0"/>
          <w:sz w:val="20"/>
          <w:szCs w:val="20"/>
        </w:rPr>
        <w:t xml:space="preserve">Trybunał uznał za </w:t>
      </w:r>
      <w:r w:rsidRPr="00DE29D2">
        <w:rPr>
          <w:rFonts w:ascii="Verdana" w:hAnsi="Verdana"/>
          <w:b/>
          <w:bCs/>
          <w:color w:val="0070C0"/>
          <w:sz w:val="20"/>
          <w:szCs w:val="20"/>
        </w:rPr>
        <w:t>niedopuszczalne</w:t>
      </w:r>
      <w:r w:rsidRPr="00DE29D2">
        <w:rPr>
          <w:rFonts w:ascii="Verdana" w:hAnsi="Verdana"/>
          <w:color w:val="0070C0"/>
          <w:sz w:val="20"/>
          <w:szCs w:val="20"/>
        </w:rPr>
        <w:t xml:space="preserve">, jako w sposób oczywisty nieuzasadnione, osiem skarg z tytułu Artykułu 1 Protokołu 1 do Konwencji. Orzekł w szczególności, iż obniżenie wysokości emerytur było ograniczone do osób, którym przysługiwały wyższe świadczenia emerytalne; zostało zastosowane jedynie tymczasowo - całkowity okres obowiązywania trwał odrobinę poniżej czterech lat - oraz, że środek ten służył do zbalansowania budżetu państwa. Wobec tego, działania Władz osiągnęły według Trybunału sprawiedliwą równowagę pomiędzy zapewnieniem stabilności finansowej systemu świadczeń emerytalnych - co współgrało z ogólnym dobrem społecznym - a zapewnieniem ochrony praw majątkowych skarżących, w celu zapobieżenia ponoszeniu przez nich niewspółmiernych, indywidualnych ciężarów. Trybunał zdecydował jednocześnie o </w:t>
      </w:r>
      <w:r w:rsidRPr="00DE29D2">
        <w:rPr>
          <w:rFonts w:ascii="Verdana" w:hAnsi="Verdana"/>
          <w:b/>
          <w:bCs/>
          <w:color w:val="0070C0"/>
          <w:sz w:val="20"/>
          <w:szCs w:val="20"/>
        </w:rPr>
        <w:t>skreśleniu</w:t>
      </w:r>
      <w:r w:rsidRPr="00DE29D2">
        <w:rPr>
          <w:rFonts w:ascii="Verdana" w:hAnsi="Verdana"/>
          <w:color w:val="0070C0"/>
          <w:sz w:val="20"/>
          <w:szCs w:val="20"/>
        </w:rPr>
        <w:t xml:space="preserve"> pozostałych trzech skarg </w:t>
      </w:r>
      <w:r w:rsidRPr="00DE29D2">
        <w:rPr>
          <w:rFonts w:ascii="Verdana" w:hAnsi="Verdana"/>
          <w:b/>
          <w:bCs/>
          <w:color w:val="0070C0"/>
          <w:sz w:val="20"/>
          <w:szCs w:val="20"/>
        </w:rPr>
        <w:t>z ich listy spraw</w:t>
      </w:r>
      <w:r w:rsidRPr="00DE29D2">
        <w:rPr>
          <w:rFonts w:ascii="Verdana" w:hAnsi="Verdana"/>
          <w:color w:val="0070C0"/>
          <w:sz w:val="20"/>
          <w:szCs w:val="20"/>
        </w:rPr>
        <w:t xml:space="preserve">. W jednej z </w:t>
      </w:r>
      <w:r>
        <w:rPr>
          <w:rFonts w:ascii="Verdana" w:hAnsi="Verdana"/>
          <w:color w:val="0070C0"/>
          <w:sz w:val="20"/>
          <w:szCs w:val="20"/>
        </w:rPr>
        <w:t>nich</w:t>
      </w:r>
      <w:r w:rsidRPr="00DE29D2">
        <w:rPr>
          <w:rFonts w:ascii="Verdana" w:hAnsi="Verdana"/>
          <w:color w:val="0070C0"/>
          <w:sz w:val="20"/>
          <w:szCs w:val="20"/>
        </w:rPr>
        <w:t xml:space="preserve">, Trybunał nie otrzymał informacji zwrotnej na przesłane pisma, natomiast w </w:t>
      </w:r>
      <w:r>
        <w:rPr>
          <w:rFonts w:ascii="Verdana" w:hAnsi="Verdana"/>
          <w:color w:val="0070C0"/>
          <w:sz w:val="20"/>
          <w:szCs w:val="20"/>
        </w:rPr>
        <w:t>dwóch pozostałych</w:t>
      </w:r>
      <w:r w:rsidRPr="00DE29D2">
        <w:rPr>
          <w:rFonts w:ascii="Verdana" w:hAnsi="Verdana"/>
          <w:color w:val="0070C0"/>
          <w:sz w:val="20"/>
          <w:szCs w:val="20"/>
        </w:rPr>
        <w:t xml:space="preserve"> skarżący zmarli bez spadkobierców, którzy złożyliby wniosek o kontynuowanie postępowania przed Trybunałem.</w:t>
      </w:r>
    </w:p>
    <w:p w14:paraId="1D66F2FF" w14:textId="77777777" w:rsidR="004907AA" w:rsidRPr="004A2C75" w:rsidRDefault="004907AA" w:rsidP="00F76DF1">
      <w:pPr>
        <w:jc w:val="both"/>
        <w:rPr>
          <w:rFonts w:ascii="Verdana" w:hAnsi="Verdana"/>
          <w:sz w:val="20"/>
          <w:szCs w:val="20"/>
        </w:rPr>
      </w:pPr>
    </w:p>
    <w:p w14:paraId="1184DA8F" w14:textId="77777777" w:rsidR="003303D9" w:rsidRPr="000630C8" w:rsidRDefault="00F76DF1" w:rsidP="00F76DF1">
      <w:pPr>
        <w:spacing w:after="240"/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</w:pPr>
      <w:r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Prawo do </w:t>
      </w:r>
      <w:r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rzetelnego</w:t>
      </w:r>
      <w:r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 procesu </w:t>
      </w:r>
      <w:r w:rsidR="004907AA"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(</w:t>
      </w:r>
      <w:r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Artykuł 6 Konwencji</w:t>
      </w:r>
      <w:r w:rsidR="004907AA"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)</w:t>
      </w:r>
    </w:p>
    <w:p w14:paraId="30C16316" w14:textId="16B4F246" w:rsidR="004907AA" w:rsidRPr="00DD26AB" w:rsidRDefault="003303D9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hyperlink r:id="rId20" w:anchor="{%22itemid%22:[%22003-5058059-6221460%22]}" w:history="1">
        <w:proofErr w:type="spellStart"/>
        <w:r w:rsidRPr="00DD26AB">
          <w:rPr>
            <w:b/>
            <w:bCs/>
            <w:color w:val="0070C0"/>
            <w:u w:val="single"/>
          </w:rPr>
          <w:t>Adorisio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i Inni przeciwko Holandii</w:t>
        </w:r>
      </w:hyperlink>
      <w:r w:rsidRPr="00DD26AB">
        <w:rPr>
          <w:b/>
          <w:bCs/>
          <w:color w:val="0070C0"/>
          <w:u w:val="single"/>
        </w:rPr>
        <w:t xml:space="preserve"> </w:t>
      </w:r>
    </w:p>
    <w:p w14:paraId="0603133F" w14:textId="77777777" w:rsidR="004907AA" w:rsidRPr="004A2C75" w:rsidRDefault="004907AA" w:rsidP="00F76DF1">
      <w:pPr>
        <w:jc w:val="both"/>
        <w:rPr>
          <w:rFonts w:ascii="Verdana" w:hAnsi="Verdana"/>
          <w:sz w:val="20"/>
          <w:szCs w:val="20"/>
        </w:rPr>
      </w:pPr>
      <w:r w:rsidRPr="006A60BA">
        <w:rPr>
          <w:rFonts w:ascii="Verdana" w:hAnsi="Verdana"/>
          <w:color w:val="767171" w:themeColor="background2" w:themeShade="80"/>
          <w:sz w:val="20"/>
          <w:szCs w:val="20"/>
        </w:rPr>
        <w:t>17 marca 2015 (decyzja w sprawie dopuszczalności)</w:t>
      </w:r>
      <w:r w:rsidRPr="004A2C75">
        <w:rPr>
          <w:rFonts w:ascii="Verdana" w:hAnsi="Verdana"/>
          <w:sz w:val="20"/>
          <w:szCs w:val="20"/>
        </w:rPr>
        <w:t xml:space="preserve"> </w:t>
      </w:r>
    </w:p>
    <w:p w14:paraId="3F05F99B" w14:textId="77777777" w:rsidR="004907AA" w:rsidRPr="004A2C75" w:rsidRDefault="004907AA" w:rsidP="00F76DF1">
      <w:pPr>
        <w:jc w:val="both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 xml:space="preserve">Sprawa ta dotyczyła </w:t>
      </w:r>
      <w:r w:rsidR="00D878D8" w:rsidRPr="004A2C75">
        <w:rPr>
          <w:rFonts w:ascii="Verdana" w:hAnsi="Verdana"/>
          <w:sz w:val="20"/>
          <w:szCs w:val="20"/>
        </w:rPr>
        <w:t>przyspieszonego postępowania umożliwiającego posiadaczom papierów wartościowych zakwestionowanie zgodności z prawem wywłas</w:t>
      </w:r>
      <w:r w:rsidR="003303D9" w:rsidRPr="004A2C75">
        <w:rPr>
          <w:rFonts w:ascii="Verdana" w:hAnsi="Verdana"/>
          <w:sz w:val="20"/>
          <w:szCs w:val="20"/>
        </w:rPr>
        <w:t>z</w:t>
      </w:r>
      <w:r w:rsidR="00D878D8" w:rsidRPr="004A2C75">
        <w:rPr>
          <w:rFonts w:ascii="Verdana" w:hAnsi="Verdana"/>
          <w:sz w:val="20"/>
          <w:szCs w:val="20"/>
        </w:rPr>
        <w:t xml:space="preserve">czeń przez rząd holenderski aktywów, które ci posiadali w SNS </w:t>
      </w:r>
      <w:proofErr w:type="spellStart"/>
      <w:r w:rsidR="00D878D8" w:rsidRPr="004A2C75">
        <w:rPr>
          <w:rFonts w:ascii="Verdana" w:hAnsi="Verdana"/>
          <w:sz w:val="20"/>
          <w:szCs w:val="20"/>
        </w:rPr>
        <w:t>Reaal</w:t>
      </w:r>
      <w:proofErr w:type="spellEnd"/>
      <w:r w:rsidR="00D878D8" w:rsidRPr="004A2C75">
        <w:rPr>
          <w:rFonts w:ascii="Verdana" w:hAnsi="Verdana"/>
          <w:sz w:val="20"/>
          <w:szCs w:val="20"/>
        </w:rPr>
        <w:t xml:space="preserve"> konglomeracji bankowej i ubezp</w:t>
      </w:r>
      <w:r w:rsidR="00632231" w:rsidRPr="004A2C75">
        <w:rPr>
          <w:rFonts w:ascii="Verdana" w:hAnsi="Verdana"/>
          <w:sz w:val="20"/>
          <w:szCs w:val="20"/>
        </w:rPr>
        <w:t xml:space="preserve">ieczeniowej. SNS </w:t>
      </w:r>
      <w:proofErr w:type="spellStart"/>
      <w:r w:rsidR="00632231" w:rsidRPr="004A2C75">
        <w:rPr>
          <w:rFonts w:ascii="Verdana" w:hAnsi="Verdana"/>
          <w:sz w:val="20"/>
          <w:szCs w:val="20"/>
        </w:rPr>
        <w:t>Reaal</w:t>
      </w:r>
      <w:proofErr w:type="spellEnd"/>
      <w:r w:rsidR="00632231" w:rsidRPr="004A2C75">
        <w:rPr>
          <w:rFonts w:ascii="Verdana" w:hAnsi="Verdana"/>
          <w:sz w:val="20"/>
          <w:szCs w:val="20"/>
        </w:rPr>
        <w:t xml:space="preserve"> wpadł w kłopoty</w:t>
      </w:r>
      <w:r w:rsidR="00D878D8" w:rsidRPr="004A2C75">
        <w:rPr>
          <w:rFonts w:ascii="Verdana" w:hAnsi="Verdana"/>
          <w:sz w:val="20"/>
          <w:szCs w:val="20"/>
        </w:rPr>
        <w:t xml:space="preserve"> w wyniku kryzysu fina</w:t>
      </w:r>
      <w:r w:rsidR="00632231" w:rsidRPr="004A2C75">
        <w:rPr>
          <w:rFonts w:ascii="Verdana" w:hAnsi="Verdana"/>
          <w:sz w:val="20"/>
          <w:szCs w:val="20"/>
        </w:rPr>
        <w:t>n</w:t>
      </w:r>
      <w:r w:rsidR="00A75088" w:rsidRPr="004A2C75">
        <w:rPr>
          <w:rFonts w:ascii="Verdana" w:hAnsi="Verdana"/>
          <w:sz w:val="20"/>
          <w:szCs w:val="20"/>
        </w:rPr>
        <w:t>sowego z 2008 r.</w:t>
      </w:r>
      <w:r w:rsidR="003E4205" w:rsidRPr="004A2C75">
        <w:rPr>
          <w:rFonts w:ascii="Verdana" w:hAnsi="Verdana"/>
          <w:sz w:val="20"/>
          <w:szCs w:val="20"/>
        </w:rPr>
        <w:t xml:space="preserve"> a Rząd postanowił chronić </w:t>
      </w:r>
      <w:r w:rsidR="00542B95" w:rsidRPr="004A2C75">
        <w:rPr>
          <w:rFonts w:ascii="Verdana" w:hAnsi="Verdana"/>
          <w:sz w:val="20"/>
          <w:szCs w:val="20"/>
        </w:rPr>
        <w:t xml:space="preserve">krajowy sektor bankowy </w:t>
      </w:r>
      <w:r w:rsidR="00632231" w:rsidRPr="004A2C75">
        <w:rPr>
          <w:rFonts w:ascii="Verdana" w:hAnsi="Verdana"/>
          <w:sz w:val="20"/>
          <w:szCs w:val="20"/>
        </w:rPr>
        <w:t>oraz oszczędnośc</w:t>
      </w:r>
      <w:r w:rsidR="00542B95" w:rsidRPr="004A2C75">
        <w:rPr>
          <w:rFonts w:ascii="Verdana" w:hAnsi="Verdana"/>
          <w:sz w:val="20"/>
          <w:szCs w:val="20"/>
        </w:rPr>
        <w:t>i</w:t>
      </w:r>
      <w:r w:rsidR="00632231" w:rsidRPr="004A2C75">
        <w:rPr>
          <w:rFonts w:ascii="Verdana" w:hAnsi="Verdana"/>
          <w:sz w:val="20"/>
          <w:szCs w:val="20"/>
        </w:rPr>
        <w:t xml:space="preserve"> klientów poprzez nacjonalizacj</w:t>
      </w:r>
      <w:r w:rsidR="00542B95" w:rsidRPr="004A2C75">
        <w:rPr>
          <w:rFonts w:ascii="Verdana" w:hAnsi="Verdana"/>
          <w:sz w:val="20"/>
          <w:szCs w:val="20"/>
        </w:rPr>
        <w:t xml:space="preserve">e konglomeratu. Skarżący zarzucili, iż okres dziesięciu dni jaki mieli aby odwołać się od wywłaszczenia decyzją rządu był za krótki, iż nie mieli oni wystarczająco </w:t>
      </w:r>
      <w:r w:rsidR="00542B95" w:rsidRPr="004A2C75">
        <w:rPr>
          <w:rFonts w:ascii="Verdana" w:hAnsi="Verdana"/>
          <w:sz w:val="20"/>
          <w:szCs w:val="20"/>
        </w:rPr>
        <w:lastRenderedPageBreak/>
        <w:t>czasu aby przeanalizować oświadczenie Ministra Finansów (otrzymane późnym południem w dniu poprzedzającym rozprawę w  ich sprawie.) oraz iż otrzymali dostęp do niekompletnych wersji raportów dotyczących banku i jego aktywów</w:t>
      </w:r>
      <w:r w:rsidR="00542B95" w:rsidRPr="004A2C75">
        <w:rPr>
          <w:rStyle w:val="Odwoanieprzypisudolnego"/>
          <w:rFonts w:ascii="Verdana" w:hAnsi="Verdana"/>
          <w:sz w:val="20"/>
          <w:szCs w:val="20"/>
        </w:rPr>
        <w:footnoteReference w:id="2"/>
      </w:r>
      <w:r w:rsidR="00542B95" w:rsidRPr="004A2C75">
        <w:rPr>
          <w:rFonts w:ascii="Verdana" w:hAnsi="Verdana"/>
          <w:sz w:val="20"/>
          <w:szCs w:val="20"/>
        </w:rPr>
        <w:t xml:space="preserve">. </w:t>
      </w:r>
    </w:p>
    <w:p w14:paraId="63457F1B" w14:textId="77777777" w:rsidR="00E550FB" w:rsidRPr="004A2C75" w:rsidRDefault="00DE0F5A" w:rsidP="00F76DF1">
      <w:pPr>
        <w:jc w:val="both"/>
        <w:rPr>
          <w:rFonts w:ascii="Verdana" w:hAnsi="Verdana"/>
          <w:sz w:val="20"/>
          <w:szCs w:val="20"/>
        </w:rPr>
      </w:pPr>
      <w:r w:rsidRPr="006A60BA">
        <w:rPr>
          <w:rFonts w:ascii="Verdana" w:hAnsi="Verdana"/>
          <w:color w:val="0070C0"/>
          <w:sz w:val="20"/>
          <w:szCs w:val="20"/>
        </w:rPr>
        <w:t xml:space="preserve">Po rozpatrzeniu skargi Trybunał uznał ją za </w:t>
      </w:r>
      <w:r w:rsidRPr="006A60BA">
        <w:rPr>
          <w:rFonts w:ascii="Verdana" w:hAnsi="Verdana"/>
          <w:b/>
          <w:color w:val="0070C0"/>
          <w:sz w:val="20"/>
          <w:szCs w:val="20"/>
        </w:rPr>
        <w:t>niedopuszczalną</w:t>
      </w:r>
      <w:r w:rsidR="00542B95" w:rsidRPr="006A60BA">
        <w:rPr>
          <w:rFonts w:ascii="Verdana" w:hAnsi="Verdana"/>
          <w:color w:val="0070C0"/>
          <w:sz w:val="20"/>
          <w:szCs w:val="20"/>
        </w:rPr>
        <w:t>,</w:t>
      </w:r>
      <w:r w:rsidRPr="006A60BA">
        <w:rPr>
          <w:rFonts w:ascii="Verdana" w:hAnsi="Verdana"/>
          <w:color w:val="0070C0"/>
          <w:sz w:val="20"/>
          <w:szCs w:val="20"/>
        </w:rPr>
        <w:t xml:space="preserve"> stwierdzając iż ograniczenia czasowe nałożone na posiadaczy obligacji w toku postępowania w sprawie stwierdzenia niezgodności z prawem wywłaszczenia nie postawiły ich w niekorzystnej sytuacji </w:t>
      </w:r>
      <w:r w:rsidR="00E550FB" w:rsidRPr="006A60BA">
        <w:rPr>
          <w:rFonts w:ascii="Verdana" w:hAnsi="Verdana"/>
          <w:color w:val="0070C0"/>
          <w:sz w:val="20"/>
          <w:szCs w:val="20"/>
        </w:rPr>
        <w:t>oraz, że ograniczony dostęp do raportów finansowych dotyczących banku i jego</w:t>
      </w:r>
      <w:r w:rsidR="006A60BA">
        <w:rPr>
          <w:rFonts w:ascii="Verdana" w:hAnsi="Verdana"/>
          <w:color w:val="0070C0"/>
          <w:sz w:val="20"/>
          <w:szCs w:val="20"/>
        </w:rPr>
        <w:t xml:space="preserve"> aktywów był konieczny. Odnosz</w:t>
      </w:r>
      <w:r w:rsidR="00E550FB" w:rsidRPr="006A60BA">
        <w:rPr>
          <w:rFonts w:ascii="Verdana" w:hAnsi="Verdana"/>
          <w:color w:val="0070C0"/>
          <w:sz w:val="20"/>
          <w:szCs w:val="20"/>
        </w:rPr>
        <w:t>ąc się w</w:t>
      </w:r>
      <w:r w:rsidR="00632231" w:rsidRPr="006A60BA">
        <w:rPr>
          <w:rFonts w:ascii="Verdana" w:hAnsi="Verdana"/>
          <w:color w:val="0070C0"/>
          <w:sz w:val="20"/>
          <w:szCs w:val="20"/>
        </w:rPr>
        <w:t xml:space="preserve"> szczególności do dziesięcio</w:t>
      </w:r>
      <w:r w:rsidR="00E550FB" w:rsidRPr="006A60BA">
        <w:rPr>
          <w:rFonts w:ascii="Verdana" w:hAnsi="Verdana"/>
          <w:color w:val="0070C0"/>
          <w:sz w:val="20"/>
          <w:szCs w:val="20"/>
        </w:rPr>
        <w:t xml:space="preserve">dniowego terminu na wniesienie apelacji Trybunał przyjął, iż </w:t>
      </w:r>
      <w:r w:rsidR="00542B95" w:rsidRPr="006A60BA">
        <w:rPr>
          <w:rFonts w:ascii="Verdana" w:hAnsi="Verdana"/>
          <w:color w:val="0070C0"/>
          <w:sz w:val="20"/>
          <w:szCs w:val="20"/>
        </w:rPr>
        <w:t xml:space="preserve"> </w:t>
      </w:r>
      <w:r w:rsidR="00E550FB" w:rsidRPr="006A60BA">
        <w:rPr>
          <w:rFonts w:ascii="Verdana" w:hAnsi="Verdana"/>
          <w:color w:val="0070C0"/>
          <w:sz w:val="20"/>
          <w:szCs w:val="20"/>
        </w:rPr>
        <w:t xml:space="preserve">rząd holenderski musiał niezwłocznie zainterweniować w sprawie SNS </w:t>
      </w:r>
      <w:proofErr w:type="spellStart"/>
      <w:r w:rsidR="00E550FB" w:rsidRPr="006A60BA">
        <w:rPr>
          <w:rFonts w:ascii="Verdana" w:hAnsi="Verdana"/>
          <w:color w:val="0070C0"/>
          <w:sz w:val="20"/>
          <w:szCs w:val="20"/>
        </w:rPr>
        <w:t>Reaal</w:t>
      </w:r>
      <w:proofErr w:type="spellEnd"/>
      <w:r w:rsidR="00E550FB" w:rsidRPr="006A60BA">
        <w:rPr>
          <w:rFonts w:ascii="Verdana" w:hAnsi="Verdana"/>
          <w:color w:val="0070C0"/>
          <w:sz w:val="20"/>
          <w:szCs w:val="20"/>
        </w:rPr>
        <w:t xml:space="preserve"> w celu zapobiegnięcia poważnym szkodom dla gospodarki krajowej. Dziesięciodniowy termin na wniesienie odwołania był wprawdzie bardzo krótki</w:t>
      </w:r>
      <w:r w:rsidR="00632231" w:rsidRPr="006A60BA">
        <w:rPr>
          <w:rFonts w:ascii="Verdana" w:hAnsi="Verdana"/>
          <w:color w:val="0070C0"/>
          <w:sz w:val="20"/>
          <w:szCs w:val="20"/>
        </w:rPr>
        <w:t>,</w:t>
      </w:r>
      <w:r w:rsidR="00E550FB" w:rsidRPr="006A60BA">
        <w:rPr>
          <w:rFonts w:ascii="Verdana" w:hAnsi="Verdana"/>
          <w:color w:val="0070C0"/>
          <w:sz w:val="20"/>
          <w:szCs w:val="20"/>
        </w:rPr>
        <w:t xml:space="preserve"> aczkolwiek nie uniemożliwił skarżącym wniesienia skutecznego odwołania. Ponadto, w toku apelacji skarżący mieli możliwość przedłożyć dalsze dokumenty oraz materiały do dnia poprzedzającego rozprawę. Na rozprawie również posiadali możliwość przedstawienia dalszych argumentów, w tym także tych, na które do tej pory się nie powołali. W związku z powyższym Trybunał nie mógł stwierdzić, iż dziesięciodniowy termin do wniesienia apelacji był za krótki i sprawił, że postępowanie było niesprawiedliwe. </w:t>
      </w:r>
    </w:p>
    <w:p w14:paraId="7C2A19CE" w14:textId="77777777" w:rsidR="00542B95" w:rsidRPr="004A2C75" w:rsidRDefault="00E550FB" w:rsidP="00F76DF1">
      <w:pPr>
        <w:jc w:val="both"/>
        <w:rPr>
          <w:rFonts w:ascii="Verdana" w:hAnsi="Verdana"/>
          <w:color w:val="2E74B5" w:themeColor="accent5" w:themeShade="BF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 xml:space="preserve">  </w:t>
      </w:r>
    </w:p>
    <w:p w14:paraId="762CDC5C" w14:textId="77777777" w:rsidR="000630C8" w:rsidRDefault="000630C8" w:rsidP="00F76DF1">
      <w:pPr>
        <w:spacing w:after="240"/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</w:pPr>
    </w:p>
    <w:p w14:paraId="320E9E3F" w14:textId="77777777" w:rsidR="00632231" w:rsidRPr="006A60BA" w:rsidRDefault="000630C8" w:rsidP="00F76DF1">
      <w:pPr>
        <w:spacing w:after="240"/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</w:pPr>
      <w:r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Prawo do poszanowania życia prywatnego </w:t>
      </w:r>
      <w:r w:rsidR="006859B4"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(</w:t>
      </w:r>
      <w:r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Artykuł </w:t>
      </w:r>
      <w:r w:rsidR="006859B4"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8 </w:t>
      </w:r>
      <w:r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Konwencji</w:t>
      </w:r>
      <w:r w:rsidR="006859B4" w:rsidRPr="006A60BA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) </w:t>
      </w:r>
    </w:p>
    <w:p w14:paraId="75D9B538" w14:textId="047997B8" w:rsidR="006859B4" w:rsidRPr="00DD26AB" w:rsidRDefault="006859B4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hyperlink r:id="rId21" w:history="1">
        <w:r w:rsidRPr="00DD26AB">
          <w:rPr>
            <w:b/>
            <w:bCs/>
            <w:color w:val="0070C0"/>
            <w:u w:val="single"/>
          </w:rPr>
          <w:t>McDonald przeciwko Wielkiej Brytanii</w:t>
        </w:r>
      </w:hyperlink>
      <w:r w:rsidRPr="00DD26AB">
        <w:rPr>
          <w:b/>
          <w:bCs/>
          <w:color w:val="0070C0"/>
          <w:u w:val="single"/>
        </w:rPr>
        <w:t xml:space="preserve"> </w:t>
      </w:r>
    </w:p>
    <w:p w14:paraId="3C0A197C" w14:textId="77777777" w:rsidR="006859B4" w:rsidRPr="006A60BA" w:rsidRDefault="006859B4" w:rsidP="00F76DF1">
      <w:pPr>
        <w:jc w:val="both"/>
        <w:rPr>
          <w:rFonts w:ascii="Verdana" w:hAnsi="Verdana"/>
          <w:color w:val="767171" w:themeColor="background2" w:themeShade="80"/>
          <w:sz w:val="20"/>
          <w:szCs w:val="20"/>
        </w:rPr>
      </w:pPr>
      <w:r w:rsidRPr="006A60BA">
        <w:rPr>
          <w:rFonts w:ascii="Verdana" w:hAnsi="Verdana"/>
          <w:color w:val="767171" w:themeColor="background2" w:themeShade="80"/>
          <w:sz w:val="20"/>
          <w:szCs w:val="20"/>
        </w:rPr>
        <w:t>20 maj 2014</w:t>
      </w:r>
      <w:r w:rsidR="00A75088" w:rsidRPr="006A60BA">
        <w:rPr>
          <w:rFonts w:ascii="Verdana" w:hAnsi="Verdana"/>
          <w:color w:val="767171" w:themeColor="background2" w:themeShade="80"/>
          <w:sz w:val="20"/>
          <w:szCs w:val="20"/>
        </w:rPr>
        <w:t>r.</w:t>
      </w:r>
      <w:r w:rsidRPr="006A60BA">
        <w:rPr>
          <w:rFonts w:ascii="Verdana" w:hAnsi="Verdana"/>
          <w:color w:val="767171" w:themeColor="background2" w:themeShade="80"/>
          <w:sz w:val="20"/>
          <w:szCs w:val="20"/>
        </w:rPr>
        <w:t xml:space="preserve"> (wyrok)</w:t>
      </w:r>
    </w:p>
    <w:p w14:paraId="6A807280" w14:textId="77777777" w:rsidR="006859B4" w:rsidRPr="004A2C75" w:rsidRDefault="006859B4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olor w:val="000000" w:themeColor="text1"/>
          <w:sz w:val="20"/>
          <w:szCs w:val="20"/>
        </w:rPr>
      </w:pP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>Przedmiotowa sprawa dotyczy kobiety o ograniczonej sprawności, która skarżyła na redukcję przez władze lokalne kwoty przyznanej jej na cotygodniową opiekę. Redukcji dokonano na pod</w:t>
      </w:r>
      <w:r w:rsidR="00632231" w:rsidRPr="004A2C75">
        <w:rPr>
          <w:rFonts w:ascii="Verdana" w:hAnsi="Verdana" w:cs="Verdana"/>
          <w:bCs/>
          <w:color w:val="000000" w:themeColor="text1"/>
          <w:sz w:val="20"/>
          <w:szCs w:val="20"/>
        </w:rPr>
        <w:t>s</w:t>
      </w: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>tawie decyzji władz lokalnych, iż nocne potrzeby w zakresie toalety mogą zostać zaspokojone poprzez zastosowanie wkładów dla osób nietrzymających moczu oraz arkuszy absorpcyjnych, a nie opiekuna, który w porach nocnych pomagał kobiecie korzystać z</w:t>
      </w:r>
      <w:r w:rsidR="00632231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 przenośn</w:t>
      </w: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ej toalety.  Skarżąca zarzuciła, iż decyzja w sprawie redukcji zasiłku opiekuńczego na podstawie uznania, iż może korzystać ona z wkładów dla osób mających problemy z </w:t>
      </w:r>
      <w:r w:rsidR="00854B3A">
        <w:rPr>
          <w:rFonts w:ascii="Verdana" w:hAnsi="Verdana" w:cs="Verdana"/>
          <w:bCs/>
          <w:color w:val="000000" w:themeColor="text1"/>
          <w:sz w:val="20"/>
          <w:szCs w:val="20"/>
        </w:rPr>
        <w:t>nietrzymaniem moczu</w:t>
      </w:r>
      <w:r w:rsidRPr="004A2C75">
        <w:rPr>
          <w:rFonts w:ascii="Verdana" w:hAnsi="Verdana" w:cs="Verdana"/>
          <w:bCs/>
          <w:color w:val="000000" w:themeColor="text1"/>
          <w:sz w:val="20"/>
          <w:szCs w:val="20"/>
        </w:rPr>
        <w:t>, mimo iż problemu tego nie miała</w:t>
      </w:r>
      <w:r w:rsidR="000D053A" w:rsidRPr="004A2C75">
        <w:rPr>
          <w:rFonts w:ascii="Verdana" w:hAnsi="Verdana" w:cs="Verdana"/>
          <w:bCs/>
          <w:color w:val="000000" w:themeColor="text1"/>
          <w:sz w:val="20"/>
          <w:szCs w:val="20"/>
        </w:rPr>
        <w:t xml:space="preserve">, stanowiła nieuzasadnioną i dysproporcjonalną ingerencję w jej prawo do poszanowania życia prywatnego oraz znacznie ją poniżyło. </w:t>
      </w:r>
    </w:p>
    <w:p w14:paraId="5CB58B24" w14:textId="77777777" w:rsidR="00596711" w:rsidRPr="00595AFC" w:rsidRDefault="000D053A" w:rsidP="00F76DF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bCs/>
          <w:color w:val="0070C0"/>
          <w:sz w:val="20"/>
          <w:szCs w:val="20"/>
        </w:rPr>
      </w:pPr>
      <w:r w:rsidRPr="00595AFC">
        <w:rPr>
          <w:rFonts w:ascii="Verdana" w:hAnsi="Verdana" w:cs="Verdana"/>
          <w:bCs/>
          <w:color w:val="0070C0"/>
          <w:sz w:val="20"/>
          <w:szCs w:val="20"/>
        </w:rPr>
        <w:t xml:space="preserve">Trybunał 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>stwierdził, iż decyzja dotycząca zmniejszenia kwoty przyznanej skarżącej na opiekę wpły</w:t>
      </w:r>
      <w:r w:rsidR="00632231" w:rsidRPr="00595AFC">
        <w:rPr>
          <w:rFonts w:ascii="Verdana" w:hAnsi="Verdana" w:cs="Verdana"/>
          <w:bCs/>
          <w:color w:val="0070C0"/>
          <w:sz w:val="20"/>
          <w:szCs w:val="20"/>
        </w:rPr>
        <w:t>nę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 xml:space="preserve">ła na jej prawo do poszanowania życia prywatnego, jako iż wymagano od niej używania wkładów dla osób </w:t>
      </w:r>
      <w:r w:rsidR="00854B3A">
        <w:rPr>
          <w:rFonts w:ascii="Verdana" w:hAnsi="Verdana" w:cs="Verdana"/>
          <w:bCs/>
          <w:color w:val="0070C0"/>
          <w:sz w:val="20"/>
          <w:szCs w:val="20"/>
        </w:rPr>
        <w:t xml:space="preserve">mających </w:t>
      </w:r>
      <w:r w:rsidR="00DA2624">
        <w:rPr>
          <w:rFonts w:ascii="Verdana" w:hAnsi="Verdana" w:cs="Verdana"/>
          <w:bCs/>
          <w:color w:val="0070C0"/>
          <w:sz w:val="20"/>
          <w:szCs w:val="20"/>
        </w:rPr>
        <w:t>problemy z</w:t>
      </w:r>
      <w:r w:rsidR="00854B3A">
        <w:rPr>
          <w:rFonts w:ascii="Verdana" w:hAnsi="Verdana" w:cs="Verdana"/>
          <w:bCs/>
          <w:color w:val="0070C0"/>
          <w:sz w:val="20"/>
          <w:szCs w:val="20"/>
        </w:rPr>
        <w:t xml:space="preserve"> nietrzymaniem moczu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 xml:space="preserve">, gdy ona sama nie miała takiego problemu. Trybunał uznał, iż doszło do </w:t>
      </w:r>
      <w:r w:rsidR="00E1702C" w:rsidRPr="000E3BFB">
        <w:rPr>
          <w:rFonts w:ascii="Verdana" w:hAnsi="Verdana" w:cs="Verdana"/>
          <w:b/>
          <w:bCs/>
          <w:color w:val="0070C0"/>
          <w:sz w:val="20"/>
          <w:szCs w:val="20"/>
        </w:rPr>
        <w:t>naruszenia Artykułu 8 Konwencji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 xml:space="preserve"> w odniesieniu do okresu między 21 listopada 2008 a 4 listopada 2009</w:t>
      </w:r>
      <w:r w:rsidR="00A75088" w:rsidRPr="00595AFC">
        <w:rPr>
          <w:rFonts w:ascii="Verdana" w:hAnsi="Verdana" w:cs="Verdana"/>
          <w:bCs/>
          <w:color w:val="0070C0"/>
          <w:sz w:val="20"/>
          <w:szCs w:val="20"/>
        </w:rPr>
        <w:t xml:space="preserve"> 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>r</w:t>
      </w:r>
      <w:r w:rsidR="00A75088" w:rsidRPr="00595AFC">
        <w:rPr>
          <w:rFonts w:ascii="Verdana" w:hAnsi="Verdana" w:cs="Verdana"/>
          <w:bCs/>
          <w:color w:val="0070C0"/>
          <w:sz w:val="20"/>
          <w:szCs w:val="20"/>
        </w:rPr>
        <w:t>.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>, ponieważ ingerencja w prawa skarżącej była niezgodna z obowiązującym w tamtym czasie prawem krajowym. Jednakże Trybunał ustalił, iż od 4 listopada, decyzja władz lokalnych stanowiąca o nieprzyznaniu opieki na czas nocny w celu zaspokojenia potrzeb skarżącej była już zgodna z prawem krajowym. Ingerencja ta dążyła do prawego celu, mianowicie dobrobytu gospodarczego państwa i inter</w:t>
      </w:r>
      <w:r w:rsidR="00632231" w:rsidRPr="00595AFC">
        <w:rPr>
          <w:rFonts w:ascii="Verdana" w:hAnsi="Verdana" w:cs="Verdana"/>
          <w:bCs/>
          <w:color w:val="0070C0"/>
          <w:sz w:val="20"/>
          <w:szCs w:val="20"/>
        </w:rPr>
        <w:t>e</w:t>
      </w:r>
      <w:r w:rsidR="00E1702C" w:rsidRPr="00595AFC">
        <w:rPr>
          <w:rFonts w:ascii="Verdana" w:hAnsi="Verdana" w:cs="Verdana"/>
          <w:bCs/>
          <w:color w:val="0070C0"/>
          <w:sz w:val="20"/>
          <w:szCs w:val="20"/>
        </w:rPr>
        <w:t xml:space="preserve">sów innych beneficjentów systemu opiekuńczego. W tej sprawie </w:t>
      </w:r>
      <w:r w:rsidR="00AE01B4" w:rsidRPr="00595AFC">
        <w:rPr>
          <w:rFonts w:ascii="Verdana" w:hAnsi="Verdana" w:cs="Verdana"/>
          <w:bCs/>
          <w:color w:val="0070C0"/>
          <w:sz w:val="20"/>
          <w:szCs w:val="20"/>
        </w:rPr>
        <w:t>powstało pytanie, czy ingerencja ta była „konieczna w demokratycznym społeczeństwie”, zwłaszcza w kontekście dobrobytu ekonomiczne</w:t>
      </w:r>
      <w:r w:rsidR="00D7410D" w:rsidRPr="00595AFC">
        <w:rPr>
          <w:rFonts w:ascii="Verdana" w:hAnsi="Verdana" w:cs="Verdana"/>
          <w:bCs/>
          <w:color w:val="0070C0"/>
          <w:sz w:val="20"/>
          <w:szCs w:val="20"/>
        </w:rPr>
        <w:t xml:space="preserve">go państwa. Rozważając tę kwestię Trybunał miał na uwadze, iż państwo posiada znaczną swobodę uznania („szeroki margines uznania”) w sprawach dotyczących polityki socjalnej, ekonomicznej i zdrowotnej, w szczególności przy podejmowaniu decyzji w zakresie przydzielenia środków z ograniczonych zasobów. Do Trybunału nie należało zastępowanie 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oceny merytorycznej zaskarżonego aktu, poczynionej przez kompetentny organ państwowy własną oceną. W tym zakresie Trybunał stwierdził, iż zarówno władze 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lastRenderedPageBreak/>
        <w:t>lokalne (poprzez regularną ocenę opieki) o</w:t>
      </w:r>
      <w:r w:rsidR="00632231" w:rsidRPr="00595AFC">
        <w:rPr>
          <w:rFonts w:ascii="Verdana" w:hAnsi="Verdana" w:cs="Verdana"/>
          <w:bCs/>
          <w:color w:val="0070C0"/>
          <w:sz w:val="20"/>
          <w:szCs w:val="20"/>
        </w:rPr>
        <w:t>raz sądy krajowe (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w tym Sąd Apelacyjny oraz Sąd Najwyższy) zrównoważyły potrzebę skarżącej do opieki ze społeczną odpowiedzialnością za dobro innych osób korzystających ze świadczeń opiekuńczych. W związku z powyższym pomimo bardzo trudnej </w:t>
      </w:r>
      <w:r w:rsidR="00DA2624" w:rsidRPr="00595AFC">
        <w:rPr>
          <w:rFonts w:ascii="Verdana" w:hAnsi="Verdana" w:cs="Verdana"/>
          <w:bCs/>
          <w:color w:val="0070C0"/>
          <w:sz w:val="20"/>
          <w:szCs w:val="20"/>
        </w:rPr>
        <w:t>sytuacji, z jaką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 musiała zmierzyć się skarżąca Trybunał Europejski orzekł, </w:t>
      </w:r>
      <w:r w:rsidR="00A75088" w:rsidRPr="00595AFC">
        <w:rPr>
          <w:rFonts w:ascii="Verdana" w:hAnsi="Verdana" w:cs="Verdana"/>
          <w:bCs/>
          <w:color w:val="0070C0"/>
          <w:sz w:val="20"/>
          <w:szCs w:val="20"/>
        </w:rPr>
        <w:t>iż od dnia 4 listopada 2009 r.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 ingerencja w prawo do poszanowania życia prywatnego skarżącej była zarów</w:t>
      </w:r>
      <w:r w:rsidR="00632231" w:rsidRPr="00595AFC">
        <w:rPr>
          <w:rFonts w:ascii="Verdana" w:hAnsi="Verdana" w:cs="Verdana"/>
          <w:bCs/>
          <w:color w:val="0070C0"/>
          <w:sz w:val="20"/>
          <w:szCs w:val="20"/>
        </w:rPr>
        <w:t>n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o </w:t>
      </w:r>
      <w:r w:rsidR="00380022">
        <w:rPr>
          <w:rFonts w:ascii="Verdana" w:hAnsi="Verdana" w:cs="Verdana"/>
          <w:bCs/>
          <w:color w:val="0070C0"/>
          <w:sz w:val="20"/>
          <w:szCs w:val="20"/>
        </w:rPr>
        <w:t>usprawiedliwiona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 jak i uzasadniona jako „konieczna w demokratycznym społeczeństwie” oraz odrzucił tę część skargi uznając ją za </w:t>
      </w:r>
      <w:r w:rsidR="00596711" w:rsidRPr="000E3BFB">
        <w:rPr>
          <w:rFonts w:ascii="Verdana" w:hAnsi="Verdana" w:cs="Verdana"/>
          <w:b/>
          <w:bCs/>
          <w:color w:val="0070C0"/>
          <w:sz w:val="20"/>
          <w:szCs w:val="20"/>
        </w:rPr>
        <w:t>niedopuszczalną</w:t>
      </w:r>
      <w:r w:rsidR="00596711" w:rsidRPr="00595AFC">
        <w:rPr>
          <w:rFonts w:ascii="Verdana" w:hAnsi="Verdana" w:cs="Verdana"/>
          <w:bCs/>
          <w:color w:val="0070C0"/>
          <w:sz w:val="20"/>
          <w:szCs w:val="20"/>
        </w:rPr>
        <w:t xml:space="preserve">. </w:t>
      </w:r>
    </w:p>
    <w:p w14:paraId="3BA7BA79" w14:textId="77777777" w:rsidR="000D053A" w:rsidRPr="000E3BFB" w:rsidRDefault="00F76DF1" w:rsidP="00F76DF1">
      <w:pPr>
        <w:spacing w:after="240"/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</w:pPr>
      <w:r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Zakaz dyskryminacji </w:t>
      </w:r>
      <w:r w:rsidR="00596711"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(</w:t>
      </w:r>
      <w:r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Artykuł </w:t>
      </w:r>
      <w:r w:rsidR="00596711"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14 </w:t>
      </w:r>
      <w:r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>Konwencji</w:t>
      </w:r>
      <w:r w:rsidR="00596711"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) </w:t>
      </w:r>
    </w:p>
    <w:p w14:paraId="2CA977FE" w14:textId="3273F628" w:rsidR="00785847" w:rsidRPr="00DD26AB" w:rsidRDefault="006C00BA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hyperlink r:id="rId22" w:history="1">
        <w:proofErr w:type="spellStart"/>
        <w:r w:rsidRPr="00DD26AB">
          <w:rPr>
            <w:b/>
            <w:bCs/>
            <w:color w:val="0070C0"/>
            <w:u w:val="single"/>
          </w:rPr>
          <w:t>Valkov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i Inni przeciwko Bułgarii</w:t>
        </w:r>
      </w:hyperlink>
      <w:r w:rsidRPr="00DD26AB">
        <w:rPr>
          <w:b/>
          <w:bCs/>
          <w:color w:val="0070C0"/>
          <w:u w:val="single"/>
        </w:rPr>
        <w:t xml:space="preserve"> </w:t>
      </w:r>
    </w:p>
    <w:p w14:paraId="7C6D2269" w14:textId="77777777" w:rsidR="00785847" w:rsidRPr="004A2C75" w:rsidRDefault="00785847" w:rsidP="00F76DF1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/>
          <w:sz w:val="20"/>
          <w:szCs w:val="20"/>
        </w:rPr>
      </w:pPr>
      <w:r w:rsidRPr="004A2C75">
        <w:rPr>
          <w:rFonts w:ascii="Verdana" w:hAnsi="Verdana" w:cs="Verdana"/>
          <w:color w:val="6D6D6D"/>
          <w:sz w:val="20"/>
          <w:szCs w:val="20"/>
        </w:rPr>
        <w:t xml:space="preserve">25 </w:t>
      </w:r>
      <w:r w:rsidR="006C00BA" w:rsidRPr="004A2C75">
        <w:rPr>
          <w:rFonts w:ascii="Verdana" w:hAnsi="Verdana" w:cs="Verdana"/>
          <w:color w:val="6D6D6D"/>
          <w:sz w:val="20"/>
          <w:szCs w:val="20"/>
        </w:rPr>
        <w:t>październik 2011 (wyrok</w:t>
      </w:r>
      <w:r w:rsidRPr="004A2C75">
        <w:rPr>
          <w:rFonts w:ascii="Verdana" w:hAnsi="Verdana" w:cs="Verdana"/>
          <w:color w:val="6D6D6D"/>
          <w:sz w:val="20"/>
          <w:szCs w:val="20"/>
        </w:rPr>
        <w:t xml:space="preserve">) </w:t>
      </w:r>
    </w:p>
    <w:p w14:paraId="01CE1FDE" w14:textId="77777777" w:rsidR="00785847" w:rsidRPr="004A2C75" w:rsidRDefault="00785847" w:rsidP="00F76DF1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/>
          <w:sz w:val="20"/>
          <w:szCs w:val="20"/>
        </w:rPr>
      </w:pPr>
      <w:r w:rsidRPr="004A2C75">
        <w:rPr>
          <w:rFonts w:ascii="Verdana" w:hAnsi="Verdana" w:cs="Verdana"/>
          <w:color w:val="000000"/>
          <w:sz w:val="20"/>
          <w:szCs w:val="20"/>
        </w:rPr>
        <w:t>Patrz wyżej w sekcji „ochrona własności”</w:t>
      </w:r>
    </w:p>
    <w:p w14:paraId="5BA935BA" w14:textId="6A4F4483" w:rsidR="00785847" w:rsidRPr="00DD26AB" w:rsidRDefault="006C00BA" w:rsidP="00F76DF1">
      <w:pPr>
        <w:widowControl w:val="0"/>
        <w:autoSpaceDE w:val="0"/>
        <w:autoSpaceDN w:val="0"/>
        <w:adjustRightInd w:val="0"/>
        <w:rPr>
          <w:b/>
          <w:bCs/>
          <w:color w:val="0070C0"/>
          <w:u w:val="single"/>
        </w:rPr>
      </w:pPr>
      <w:hyperlink r:id="rId23" w:history="1">
        <w:proofErr w:type="spellStart"/>
        <w:r w:rsidRPr="00DD26AB">
          <w:rPr>
            <w:b/>
            <w:bCs/>
            <w:color w:val="0070C0"/>
            <w:u w:val="single"/>
          </w:rPr>
          <w:t>Mamatas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 i Inni przeciwko Grecji</w:t>
        </w:r>
      </w:hyperlink>
      <w:r w:rsidR="00785847" w:rsidRPr="00DD26AB">
        <w:rPr>
          <w:b/>
          <w:bCs/>
          <w:color w:val="0070C0"/>
          <w:u w:val="single"/>
        </w:rPr>
        <w:t xml:space="preserve"> </w:t>
      </w:r>
    </w:p>
    <w:p w14:paraId="057F159D" w14:textId="77777777" w:rsidR="00785847" w:rsidRPr="004A2C75" w:rsidRDefault="006C00BA" w:rsidP="00F76DF1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/>
          <w:sz w:val="20"/>
          <w:szCs w:val="20"/>
        </w:rPr>
      </w:pPr>
      <w:r w:rsidRPr="004A2C75">
        <w:rPr>
          <w:rFonts w:ascii="Verdana" w:hAnsi="Verdana" w:cs="Verdana"/>
          <w:color w:val="6D6D6D"/>
          <w:sz w:val="20"/>
          <w:szCs w:val="20"/>
        </w:rPr>
        <w:t>21 lica 2016 (wyrok</w:t>
      </w:r>
      <w:r w:rsidR="00785847" w:rsidRPr="004A2C75">
        <w:rPr>
          <w:rFonts w:ascii="Verdana" w:hAnsi="Verdana" w:cs="Verdana"/>
          <w:color w:val="6D6D6D"/>
          <w:sz w:val="20"/>
          <w:szCs w:val="20"/>
        </w:rPr>
        <w:t xml:space="preserve">) </w:t>
      </w:r>
    </w:p>
    <w:p w14:paraId="776CE7DF" w14:textId="77777777" w:rsidR="006C00BA" w:rsidRPr="004A2C75" w:rsidRDefault="006C00BA" w:rsidP="00F76DF1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000000"/>
          <w:sz w:val="20"/>
          <w:szCs w:val="20"/>
        </w:rPr>
      </w:pPr>
      <w:r w:rsidRPr="004A2C75">
        <w:rPr>
          <w:rFonts w:ascii="Verdana" w:hAnsi="Verdana" w:cs="Verdana"/>
          <w:color w:val="000000"/>
          <w:sz w:val="20"/>
          <w:szCs w:val="20"/>
        </w:rPr>
        <w:t>Patrz wyżej w sekcji „ochrona własności”</w:t>
      </w:r>
    </w:p>
    <w:p w14:paraId="28084CED" w14:textId="5EF4E47F" w:rsidR="00785847" w:rsidRPr="000E3BFB" w:rsidRDefault="00785847" w:rsidP="00F76DF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B5CAE"/>
          <w:sz w:val="20"/>
          <w:szCs w:val="20"/>
          <w:u w:val="single"/>
        </w:rPr>
      </w:pPr>
      <w:hyperlink r:id="rId24" w:history="1">
        <w:proofErr w:type="spellStart"/>
        <w:r w:rsidRPr="00DD26AB">
          <w:rPr>
            <w:b/>
            <w:bCs/>
            <w:color w:val="0070C0"/>
            <w:u w:val="single"/>
          </w:rPr>
          <w:t>Mockiene</w:t>
        </w:r>
        <w:proofErr w:type="spellEnd"/>
        <w:r w:rsidRPr="00DD26AB">
          <w:rPr>
            <w:b/>
            <w:bCs/>
            <w:color w:val="0070C0"/>
            <w:u w:val="single"/>
          </w:rPr>
          <w:t xml:space="preserve">̇ </w:t>
        </w:r>
        <w:r w:rsidR="006C00BA" w:rsidRPr="00DD26AB">
          <w:rPr>
            <w:b/>
            <w:bCs/>
            <w:color w:val="0070C0"/>
            <w:u w:val="single"/>
          </w:rPr>
          <w:t>przeciwko Litwie</w:t>
        </w:r>
      </w:hyperlink>
      <w:r w:rsidRPr="000E3BFB">
        <w:rPr>
          <w:rFonts w:ascii="Verdana" w:hAnsi="Verdana" w:cs="Verdana"/>
          <w:b/>
          <w:bCs/>
          <w:color w:val="0B5CAE"/>
          <w:sz w:val="20"/>
          <w:szCs w:val="20"/>
          <w:u w:val="single"/>
        </w:rPr>
        <w:t xml:space="preserve"> </w:t>
      </w:r>
    </w:p>
    <w:p w14:paraId="617BDDC3" w14:textId="77777777" w:rsidR="00785847" w:rsidRPr="004A2C75" w:rsidRDefault="00785847" w:rsidP="00F76DF1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/>
          <w:sz w:val="20"/>
          <w:szCs w:val="20"/>
        </w:rPr>
      </w:pPr>
      <w:r w:rsidRPr="004A2C75">
        <w:rPr>
          <w:rFonts w:ascii="Verdana" w:hAnsi="Verdana" w:cs="Verdana"/>
          <w:color w:val="6D6D6D"/>
          <w:sz w:val="20"/>
          <w:szCs w:val="20"/>
        </w:rPr>
        <w:t xml:space="preserve">4 </w:t>
      </w:r>
      <w:r w:rsidR="006C00BA" w:rsidRPr="004A2C75">
        <w:rPr>
          <w:rFonts w:ascii="Verdana" w:hAnsi="Verdana" w:cs="Verdana"/>
          <w:color w:val="6D6D6D"/>
          <w:sz w:val="20"/>
          <w:szCs w:val="20"/>
        </w:rPr>
        <w:t>lipca</w:t>
      </w:r>
      <w:r w:rsidRPr="004A2C75">
        <w:rPr>
          <w:rFonts w:ascii="Verdana" w:hAnsi="Verdana" w:cs="Verdana"/>
          <w:color w:val="6D6D6D"/>
          <w:sz w:val="20"/>
          <w:szCs w:val="20"/>
        </w:rPr>
        <w:t xml:space="preserve"> 2017 (</w:t>
      </w:r>
      <w:r w:rsidR="006C00BA" w:rsidRPr="004A2C75">
        <w:rPr>
          <w:rFonts w:ascii="Verdana" w:hAnsi="Verdana" w:cs="Verdana"/>
          <w:color w:val="6D6D6D"/>
          <w:sz w:val="20"/>
          <w:szCs w:val="20"/>
        </w:rPr>
        <w:t>decyzja w sprawie dopuszczalności</w:t>
      </w:r>
      <w:r w:rsidRPr="004A2C75">
        <w:rPr>
          <w:rFonts w:ascii="Verdana" w:hAnsi="Verdana" w:cs="Verdana"/>
          <w:color w:val="6D6D6D"/>
          <w:sz w:val="20"/>
          <w:szCs w:val="20"/>
        </w:rPr>
        <w:t xml:space="preserve">) </w:t>
      </w:r>
    </w:p>
    <w:p w14:paraId="67F76E7C" w14:textId="77777777" w:rsidR="00785847" w:rsidRPr="004A2C75" w:rsidRDefault="006C00BA" w:rsidP="00F76DF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0"/>
          <w:szCs w:val="20"/>
        </w:rPr>
      </w:pPr>
      <w:r w:rsidRPr="004A2C75">
        <w:rPr>
          <w:rFonts w:ascii="Verdana" w:hAnsi="Verdana" w:cs="Verdana"/>
          <w:color w:val="000000"/>
          <w:sz w:val="20"/>
          <w:szCs w:val="20"/>
        </w:rPr>
        <w:t>Patrz wyżej w sekcji „ochrona własności”</w:t>
      </w:r>
    </w:p>
    <w:p w14:paraId="1A56736D" w14:textId="77777777" w:rsidR="00555EEB" w:rsidRPr="000E3BFB" w:rsidRDefault="00F76DF1" w:rsidP="00F76DF1">
      <w:pPr>
        <w:spacing w:after="240"/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</w:pPr>
      <w:r w:rsidRPr="000E3BFB">
        <w:rPr>
          <w:rFonts w:ascii="Verdana" w:eastAsia="Times New Roman" w:hAnsi="Verdana" w:cs="Times New Roman"/>
          <w:color w:val="2E74B5" w:themeColor="accent5" w:themeShade="BF"/>
          <w:sz w:val="28"/>
          <w:szCs w:val="28"/>
          <w:lang w:eastAsia="pl-PL"/>
        </w:rPr>
        <w:t xml:space="preserve">Dalsza lektura </w:t>
      </w:r>
    </w:p>
    <w:p w14:paraId="0196D10D" w14:textId="77777777" w:rsidR="00555EEB" w:rsidRPr="004A2C75" w:rsidRDefault="000E3BFB" w:rsidP="00F76DF1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>Zobacz</w:t>
      </w:r>
      <w:r w:rsidR="00555EEB" w:rsidRPr="004A2C75">
        <w:rPr>
          <w:rFonts w:ascii="Verdana" w:hAnsi="Verdana"/>
          <w:sz w:val="20"/>
          <w:szCs w:val="20"/>
        </w:rPr>
        <w:t xml:space="preserve"> w szczególności:</w:t>
      </w:r>
    </w:p>
    <w:p w14:paraId="11DE98E5" w14:textId="38009B4F" w:rsidR="00555EEB" w:rsidRPr="004A2C75" w:rsidRDefault="00F177AF" w:rsidP="00F76DF1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 xml:space="preserve">- </w:t>
      </w:r>
      <w:r w:rsidR="000E3BFB">
        <w:rPr>
          <w:rFonts w:ascii="Verdana" w:hAnsi="Verdana"/>
          <w:sz w:val="20"/>
          <w:szCs w:val="20"/>
        </w:rPr>
        <w:t xml:space="preserve"> </w:t>
      </w:r>
      <w:hyperlink r:id="rId25" w:history="1">
        <w:r w:rsidRPr="00DD26AB">
          <w:rPr>
            <w:b/>
            <w:bCs/>
            <w:color w:val="0070C0"/>
            <w:u w:val="single"/>
          </w:rPr>
          <w:t>materiały</w:t>
        </w:r>
      </w:hyperlink>
      <w:r w:rsidRPr="004A2C75">
        <w:rPr>
          <w:rFonts w:ascii="Verdana" w:hAnsi="Verdana"/>
          <w:sz w:val="20"/>
          <w:szCs w:val="20"/>
        </w:rPr>
        <w:t xml:space="preserve"> i </w:t>
      </w:r>
      <w:hyperlink r:id="rId26" w:anchor="20130125_01_e" w:history="1">
        <w:r w:rsidRPr="00DD26AB">
          <w:rPr>
            <w:b/>
            <w:bCs/>
            <w:color w:val="0070C0"/>
            <w:u w:val="single"/>
          </w:rPr>
          <w:t>nagrani</w:t>
        </w:r>
        <w:r w:rsidR="00DD26AB" w:rsidRPr="00DD26AB">
          <w:rPr>
            <w:b/>
            <w:bCs/>
            <w:color w:val="0070C0"/>
            <w:u w:val="single"/>
          </w:rPr>
          <w:t>e</w:t>
        </w:r>
        <w:r w:rsidRPr="00DD26AB">
          <w:rPr>
            <w:b/>
            <w:bCs/>
            <w:color w:val="0070C0"/>
            <w:u w:val="single"/>
          </w:rPr>
          <w:t xml:space="preserve"> wideo</w:t>
        </w:r>
      </w:hyperlink>
      <w:r w:rsidRPr="004A2C75">
        <w:rPr>
          <w:rFonts w:ascii="Verdana" w:hAnsi="Verdana"/>
          <w:sz w:val="20"/>
          <w:szCs w:val="20"/>
        </w:rPr>
        <w:t xml:space="preserve"> z seminarium „Zastosowanie Europejskiej Konwencji Praw Człowieka w czasach kryzysu gospodarczego” przeprowadzonego podczas otwarcia roku sądowego</w:t>
      </w:r>
      <w:r w:rsidR="00A75088" w:rsidRPr="004A2C75">
        <w:rPr>
          <w:rFonts w:ascii="Verdana" w:hAnsi="Verdana"/>
          <w:sz w:val="20"/>
          <w:szCs w:val="20"/>
        </w:rPr>
        <w:t xml:space="preserve"> Trybunału 25 stycznia 2013 r</w:t>
      </w:r>
      <w:r w:rsidRPr="004A2C75">
        <w:rPr>
          <w:rFonts w:ascii="Verdana" w:hAnsi="Verdana"/>
          <w:sz w:val="20"/>
          <w:szCs w:val="20"/>
        </w:rPr>
        <w:t xml:space="preserve">. </w:t>
      </w:r>
    </w:p>
    <w:p w14:paraId="239C5360" w14:textId="7C871D34" w:rsidR="00F177AF" w:rsidRPr="004A2C75" w:rsidRDefault="00F177AF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A2C75">
        <w:rPr>
          <w:rFonts w:ascii="Verdana" w:hAnsi="Verdana"/>
          <w:sz w:val="20"/>
          <w:szCs w:val="20"/>
        </w:rPr>
        <w:t>-</w:t>
      </w:r>
      <w:r w:rsidR="000E3BFB">
        <w:rPr>
          <w:rFonts w:ascii="Verdana" w:hAnsi="Verdana"/>
          <w:sz w:val="20"/>
          <w:szCs w:val="20"/>
        </w:rPr>
        <w:t xml:space="preserve"> </w:t>
      </w:r>
      <w:r w:rsidRPr="004A2C75">
        <w:rPr>
          <w:rFonts w:ascii="Verdana" w:hAnsi="Verdana"/>
          <w:sz w:val="20"/>
          <w:szCs w:val="20"/>
        </w:rPr>
        <w:t xml:space="preserve">Komitet Rady Europu ds. Praw Człowieka, </w:t>
      </w:r>
      <w:hyperlink r:id="rId27" w:history="1">
        <w:r w:rsidR="000E3BFB" w:rsidRPr="00DD26AB">
          <w:rPr>
            <w:b/>
            <w:bCs/>
            <w:color w:val="0070C0"/>
            <w:u w:val="single"/>
          </w:rPr>
          <w:t>W</w:t>
        </w:r>
        <w:r w:rsidRPr="00DD26AB">
          <w:rPr>
            <w:b/>
            <w:bCs/>
            <w:color w:val="0070C0"/>
            <w:u w:val="single"/>
          </w:rPr>
          <w:t xml:space="preserve">pływ kryzysu gospodarczego i środków oszczędnościowych na prawa człowieka w Europie </w:t>
        </w:r>
        <w:r w:rsidR="00D508EA" w:rsidRPr="00DD26AB">
          <w:rPr>
            <w:b/>
            <w:bCs/>
            <w:color w:val="0070C0"/>
            <w:u w:val="single"/>
          </w:rPr>
          <w:t>–</w:t>
        </w:r>
        <w:r w:rsidRPr="00DD26AB">
          <w:rPr>
            <w:b/>
            <w:bCs/>
            <w:color w:val="0070C0"/>
            <w:u w:val="single"/>
          </w:rPr>
          <w:t xml:space="preserve"> </w:t>
        </w:r>
        <w:r w:rsidR="00D508EA" w:rsidRPr="00DD26AB">
          <w:rPr>
            <w:b/>
            <w:bCs/>
            <w:color w:val="0070C0"/>
            <w:u w:val="single"/>
          </w:rPr>
          <w:t>badanie wykonalności</w:t>
        </w:r>
      </w:hyperlink>
      <w:r w:rsidR="00D508EA" w:rsidRPr="004A2C75">
        <w:rPr>
          <w:rFonts w:ascii="Verdana" w:hAnsi="Verdana"/>
          <w:sz w:val="20"/>
          <w:szCs w:val="20"/>
        </w:rPr>
        <w:t xml:space="preserve">, CDDH(2015)R84 </w:t>
      </w:r>
      <w:proofErr w:type="spellStart"/>
      <w:r w:rsidR="00D508EA" w:rsidRPr="004A2C75">
        <w:rPr>
          <w:rFonts w:ascii="Verdana" w:hAnsi="Verdana"/>
          <w:sz w:val="20"/>
          <w:szCs w:val="20"/>
        </w:rPr>
        <w:t>Addendum</w:t>
      </w:r>
      <w:proofErr w:type="spellEnd"/>
      <w:r w:rsidR="00D508EA" w:rsidRPr="004A2C75">
        <w:rPr>
          <w:rFonts w:ascii="Verdana" w:hAnsi="Verdana"/>
          <w:sz w:val="20"/>
          <w:szCs w:val="20"/>
        </w:rPr>
        <w:t xml:space="preserve"> IV, 11 grudnia 2015</w:t>
      </w:r>
      <w:r w:rsidR="000E3BFB">
        <w:rPr>
          <w:rFonts w:ascii="Verdana" w:hAnsi="Verdana"/>
          <w:sz w:val="20"/>
          <w:szCs w:val="20"/>
        </w:rPr>
        <w:t>r.</w:t>
      </w:r>
    </w:p>
    <w:p w14:paraId="3F37421C" w14:textId="614FE119" w:rsidR="00D508EA" w:rsidRPr="004A2C75" w:rsidRDefault="000E3BFB" w:rsidP="00F76DF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hyperlink r:id="rId28" w:history="1">
        <w:r w:rsidR="00D508EA" w:rsidRPr="00DD26AB">
          <w:rPr>
            <w:b/>
            <w:bCs/>
            <w:color w:val="0070C0"/>
            <w:u w:val="single"/>
          </w:rPr>
          <w:t>Strona internetowa</w:t>
        </w:r>
      </w:hyperlink>
      <w:r w:rsidR="00D508EA" w:rsidRPr="004A2C75">
        <w:rPr>
          <w:rFonts w:ascii="Verdana" w:hAnsi="Verdana"/>
          <w:sz w:val="20"/>
          <w:szCs w:val="20"/>
        </w:rPr>
        <w:t xml:space="preserve"> Komisarza Praw Człowieka Rady Europy – praca tematyczna „Kryzys gospodarczy i prawa człowieka”. </w:t>
      </w:r>
    </w:p>
    <w:p w14:paraId="45EFFF28" w14:textId="77777777" w:rsidR="00F76DF1" w:rsidRPr="004A2C75" w:rsidRDefault="00F76DF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sectPr w:rsidR="00F76DF1" w:rsidRPr="004A2C75" w:rsidSect="00F76DF1">
      <w:headerReference w:type="default" r:id="rId29"/>
      <w:footerReference w:type="default" r:id="rId30"/>
      <w:headerReference w:type="first" r:id="rId3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3DDF" w14:textId="77777777" w:rsidR="006D21E0" w:rsidRDefault="006D21E0" w:rsidP="006E4F47">
      <w:r>
        <w:separator/>
      </w:r>
    </w:p>
  </w:endnote>
  <w:endnote w:type="continuationSeparator" w:id="0">
    <w:p w14:paraId="6E05E222" w14:textId="77777777" w:rsidR="006D21E0" w:rsidRDefault="006D21E0" w:rsidP="006E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182767"/>
      <w:docPartObj>
        <w:docPartGallery w:val="Page Numbers (Bottom of Page)"/>
        <w:docPartUnique/>
      </w:docPartObj>
    </w:sdtPr>
    <w:sdtEndPr/>
    <w:sdtContent>
      <w:p w14:paraId="2E5B00A4" w14:textId="5BFB594F" w:rsidR="000630C8" w:rsidRDefault="000630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FA1">
          <w:rPr>
            <w:noProof/>
          </w:rPr>
          <w:t>8</w:t>
        </w:r>
        <w:r>
          <w:fldChar w:fldCharType="end"/>
        </w:r>
      </w:p>
    </w:sdtContent>
  </w:sdt>
  <w:p w14:paraId="74344FF8" w14:textId="77777777" w:rsidR="000630C8" w:rsidRDefault="00063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FDB0" w14:textId="77777777" w:rsidR="006D21E0" w:rsidRDefault="006D21E0" w:rsidP="006E4F47">
      <w:r>
        <w:separator/>
      </w:r>
    </w:p>
  </w:footnote>
  <w:footnote w:type="continuationSeparator" w:id="0">
    <w:p w14:paraId="5ED66BDC" w14:textId="77777777" w:rsidR="006D21E0" w:rsidRDefault="006D21E0" w:rsidP="006E4F47">
      <w:r>
        <w:continuationSeparator/>
      </w:r>
    </w:p>
  </w:footnote>
  <w:footnote w:id="1">
    <w:p w14:paraId="20BB057F" w14:textId="77777777" w:rsidR="006E4F47" w:rsidRPr="00F76DF1" w:rsidRDefault="006E4F47" w:rsidP="00F76DF1">
      <w:pPr>
        <w:pStyle w:val="NormalnyWeb"/>
        <w:jc w:val="both"/>
        <w:rPr>
          <w:rFonts w:ascii="Verdana" w:hAnsi="Verdana"/>
          <w:sz w:val="16"/>
          <w:szCs w:val="16"/>
        </w:rPr>
      </w:pPr>
      <w:r w:rsidRPr="00F76DF1">
        <w:rPr>
          <w:rStyle w:val="Odwoanieprzypisudolnego"/>
          <w:rFonts w:ascii="Verdana" w:hAnsi="Verdana"/>
          <w:sz w:val="16"/>
          <w:szCs w:val="16"/>
        </w:rPr>
        <w:footnoteRef/>
      </w:r>
      <w:r w:rsidRPr="00F76DF1">
        <w:rPr>
          <w:rFonts w:ascii="Verdana" w:hAnsi="Verdana"/>
          <w:sz w:val="16"/>
          <w:szCs w:val="16"/>
        </w:rPr>
        <w:t xml:space="preserve"> </w:t>
      </w:r>
      <w:r w:rsidR="009055C8" w:rsidRPr="00F76DF1">
        <w:rPr>
          <w:rFonts w:ascii="Verdana" w:hAnsi="Verdana"/>
          <w:sz w:val="16"/>
          <w:szCs w:val="16"/>
        </w:rPr>
        <w:t xml:space="preserve">W 2012 roku nowa ustawa zmieniła warunki dotyczące obligacji skarbowych za sprawą klauzuli akcji zbiorowe, które uniemożliwiły posiadaczom obligacji zawieranie z państwem porozumienia za pomocą większości kwalifikowanej.  </w:t>
      </w:r>
      <w:r w:rsidR="00EF4DD8" w:rsidRPr="00F76DF1">
        <w:rPr>
          <w:rFonts w:ascii="Verdana" w:hAnsi="Verdana"/>
          <w:sz w:val="16"/>
          <w:szCs w:val="16"/>
        </w:rPr>
        <w:t>Większość</w:t>
      </w:r>
      <w:r w:rsidR="000B392B" w:rsidRPr="00F76DF1">
        <w:rPr>
          <w:rFonts w:ascii="Verdana" w:hAnsi="Verdana"/>
          <w:sz w:val="16"/>
          <w:szCs w:val="16"/>
        </w:rPr>
        <w:t xml:space="preserve"> ta została w tym przypadku uzyskana </w:t>
      </w:r>
      <w:r w:rsidR="00EF4DD8" w:rsidRPr="00F76DF1">
        <w:rPr>
          <w:rFonts w:ascii="Verdana" w:hAnsi="Verdana"/>
          <w:sz w:val="16"/>
          <w:szCs w:val="16"/>
        </w:rPr>
        <w:t>dzięki</w:t>
      </w:r>
      <w:r w:rsidR="000B392B" w:rsidRPr="00F76DF1">
        <w:rPr>
          <w:rFonts w:ascii="Verdana" w:hAnsi="Verdana"/>
          <w:sz w:val="16"/>
          <w:szCs w:val="16"/>
        </w:rPr>
        <w:t xml:space="preserve"> udziałowi w </w:t>
      </w:r>
      <w:r w:rsidR="00EF4DD8" w:rsidRPr="00F76DF1">
        <w:rPr>
          <w:rFonts w:ascii="Verdana" w:hAnsi="Verdana"/>
          <w:sz w:val="16"/>
          <w:szCs w:val="16"/>
        </w:rPr>
        <w:t>szczególności</w:t>
      </w:r>
      <w:r w:rsidR="000B392B" w:rsidRPr="00F76DF1">
        <w:rPr>
          <w:rFonts w:ascii="Verdana" w:hAnsi="Verdana"/>
          <w:sz w:val="16"/>
          <w:szCs w:val="16"/>
        </w:rPr>
        <w:t xml:space="preserve"> </w:t>
      </w:r>
      <w:r w:rsidR="00EF4DD8" w:rsidRPr="00F76DF1">
        <w:rPr>
          <w:rFonts w:ascii="Verdana" w:hAnsi="Verdana"/>
          <w:sz w:val="16"/>
          <w:szCs w:val="16"/>
        </w:rPr>
        <w:t>inwestorów</w:t>
      </w:r>
      <w:r w:rsidR="000B392B" w:rsidRPr="00F76DF1">
        <w:rPr>
          <w:rFonts w:ascii="Verdana" w:hAnsi="Verdana"/>
          <w:sz w:val="16"/>
          <w:szCs w:val="16"/>
        </w:rPr>
        <w:t xml:space="preserve"> instytucjonalnych (</w:t>
      </w:r>
      <w:r w:rsidR="00EF4DD8" w:rsidRPr="00F76DF1">
        <w:rPr>
          <w:rFonts w:ascii="Verdana" w:hAnsi="Verdana"/>
          <w:sz w:val="16"/>
          <w:szCs w:val="16"/>
        </w:rPr>
        <w:t>banków</w:t>
      </w:r>
      <w:r w:rsidR="000B392B" w:rsidRPr="00F76DF1">
        <w:rPr>
          <w:rFonts w:ascii="Verdana" w:hAnsi="Verdana"/>
          <w:sz w:val="16"/>
          <w:szCs w:val="16"/>
        </w:rPr>
        <w:t xml:space="preserve"> i instytucji kredytowych). Nowe warunki </w:t>
      </w:r>
      <w:r w:rsidR="00EF4DD8" w:rsidRPr="00F76DF1">
        <w:rPr>
          <w:rFonts w:ascii="Verdana" w:hAnsi="Verdana"/>
          <w:sz w:val="16"/>
          <w:szCs w:val="16"/>
        </w:rPr>
        <w:t>obowiązywały</w:t>
      </w:r>
      <w:r w:rsidR="000B392B" w:rsidRPr="00F76DF1">
        <w:rPr>
          <w:rFonts w:ascii="Verdana" w:hAnsi="Verdana"/>
          <w:sz w:val="16"/>
          <w:szCs w:val="16"/>
        </w:rPr>
        <w:t xml:space="preserve"> wszystkich posiadaczy, w tym, </w:t>
      </w:r>
      <w:r w:rsidR="00EF4DD8" w:rsidRPr="00F76DF1">
        <w:rPr>
          <w:rFonts w:ascii="Verdana" w:hAnsi="Verdana"/>
          <w:sz w:val="16"/>
          <w:szCs w:val="16"/>
        </w:rPr>
        <w:t>skarżących</w:t>
      </w:r>
      <w:r w:rsidR="000B392B" w:rsidRPr="00F76DF1">
        <w:rPr>
          <w:rFonts w:ascii="Verdana" w:hAnsi="Verdana"/>
          <w:sz w:val="16"/>
          <w:szCs w:val="16"/>
        </w:rPr>
        <w:t xml:space="preserve">, mimo ich odmowy. Stare obligacje zostały wymienione na nowe o </w:t>
      </w:r>
      <w:r w:rsidR="00EF4DD8" w:rsidRPr="00F76DF1">
        <w:rPr>
          <w:rFonts w:ascii="Verdana" w:hAnsi="Verdana"/>
          <w:sz w:val="16"/>
          <w:szCs w:val="16"/>
        </w:rPr>
        <w:t>wartości</w:t>
      </w:r>
      <w:r w:rsidR="000B392B" w:rsidRPr="00F76DF1">
        <w:rPr>
          <w:rFonts w:ascii="Verdana" w:hAnsi="Verdana"/>
          <w:sz w:val="16"/>
          <w:szCs w:val="16"/>
        </w:rPr>
        <w:t xml:space="preserve"> o 53,5 proc. </w:t>
      </w:r>
      <w:r w:rsidR="00EF4DD8" w:rsidRPr="00F76DF1">
        <w:rPr>
          <w:rFonts w:ascii="Verdana" w:hAnsi="Verdana"/>
          <w:sz w:val="16"/>
          <w:szCs w:val="16"/>
        </w:rPr>
        <w:t>niższej</w:t>
      </w:r>
      <w:r w:rsidR="000B392B" w:rsidRPr="00F76DF1">
        <w:rPr>
          <w:rFonts w:ascii="Verdana" w:hAnsi="Verdana"/>
          <w:sz w:val="16"/>
          <w:szCs w:val="16"/>
        </w:rPr>
        <w:t xml:space="preserve"> </w:t>
      </w:r>
      <w:r w:rsidR="00EF4DD8" w:rsidRPr="00F76DF1">
        <w:rPr>
          <w:rFonts w:ascii="Verdana" w:hAnsi="Verdana"/>
          <w:sz w:val="16"/>
          <w:szCs w:val="16"/>
        </w:rPr>
        <w:t>niż</w:t>
      </w:r>
      <w:r w:rsidR="000B392B" w:rsidRPr="00F76DF1">
        <w:rPr>
          <w:rFonts w:ascii="Verdana" w:hAnsi="Verdana"/>
          <w:sz w:val="16"/>
          <w:szCs w:val="16"/>
        </w:rPr>
        <w:t xml:space="preserve"> nominalna. </w:t>
      </w:r>
    </w:p>
  </w:footnote>
  <w:footnote w:id="2">
    <w:p w14:paraId="41CEA976" w14:textId="77777777" w:rsidR="00542B95" w:rsidRPr="00F76DF1" w:rsidRDefault="00542B95">
      <w:pPr>
        <w:pStyle w:val="Tekstprzypisudolnego"/>
        <w:rPr>
          <w:rFonts w:ascii="Verdana" w:hAnsi="Verdana" w:cs="Times New Roman"/>
          <w:sz w:val="16"/>
          <w:szCs w:val="16"/>
        </w:rPr>
      </w:pPr>
      <w:r w:rsidRPr="00F76DF1">
        <w:rPr>
          <w:rStyle w:val="Odwoanieprzypisudolnego"/>
          <w:rFonts w:ascii="Verdana" w:hAnsi="Verdana" w:cs="Times New Roman"/>
          <w:sz w:val="16"/>
          <w:szCs w:val="16"/>
        </w:rPr>
        <w:footnoteRef/>
      </w:r>
      <w:r w:rsidRPr="00F76DF1">
        <w:rPr>
          <w:rFonts w:ascii="Verdana" w:hAnsi="Verdana" w:cs="Times New Roman"/>
          <w:sz w:val="16"/>
          <w:szCs w:val="16"/>
        </w:rPr>
        <w:t xml:space="preserve"> </w:t>
      </w:r>
      <w:r w:rsidR="00E550FB" w:rsidRPr="00F76DF1">
        <w:rPr>
          <w:rFonts w:ascii="Verdana" w:hAnsi="Verdana" w:cs="Times New Roman"/>
          <w:sz w:val="16"/>
          <w:szCs w:val="16"/>
        </w:rPr>
        <w:t xml:space="preserve">Sprawa nie dotyczyła kwestii odszkodowania. </w:t>
      </w:r>
      <w:r w:rsidR="00510C84" w:rsidRPr="00F76DF1">
        <w:rPr>
          <w:rFonts w:ascii="Verdana" w:hAnsi="Verdana" w:cs="Times New Roman"/>
          <w:sz w:val="16"/>
          <w:szCs w:val="16"/>
        </w:rPr>
        <w:t xml:space="preserve">Postepowania odszkodowawcze wciąż toczyły się w </w:t>
      </w:r>
      <w:r w:rsidR="00595AFC" w:rsidRPr="00F76DF1">
        <w:rPr>
          <w:rFonts w:ascii="Verdana" w:hAnsi="Verdana" w:cs="Times New Roman"/>
          <w:sz w:val="16"/>
          <w:szCs w:val="16"/>
        </w:rPr>
        <w:t>Holandii</w:t>
      </w:r>
      <w:r w:rsidR="00510C84" w:rsidRPr="00F76DF1">
        <w:rPr>
          <w:rFonts w:ascii="Verdana" w:hAnsi="Verdana" w:cs="Times New Roman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720A" w14:textId="77777777" w:rsidR="00F76DF1" w:rsidRDefault="00F76DF1" w:rsidP="00F76DF1">
    <w:r w:rsidRPr="004A2C75">
      <w:rPr>
        <w:rFonts w:ascii="Verdana" w:hAnsi="Verdana"/>
        <w:sz w:val="20"/>
        <w:szCs w:val="20"/>
      </w:rPr>
      <w:t>Zestawienie – środki oszczędnościowe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E5EE" w14:textId="77777777" w:rsidR="00F76DF1" w:rsidRDefault="00F76DF1" w:rsidP="00F76DF1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61312" behindDoc="0" locked="0" layoutInCell="1" allowOverlap="1" wp14:anchorId="75D6F84F" wp14:editId="5300D653">
          <wp:simplePos x="0" y="0"/>
          <wp:positionH relativeFrom="page">
            <wp:posOffset>872490</wp:posOffset>
          </wp:positionH>
          <wp:positionV relativeFrom="paragraph">
            <wp:posOffset>-163830</wp:posOffset>
          </wp:positionV>
          <wp:extent cx="2391410" cy="888365"/>
          <wp:effectExtent l="0" t="0" r="889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41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BB6E0" w14:textId="77777777" w:rsidR="00F76DF1" w:rsidRDefault="00F76DF1" w:rsidP="00F76DF1">
    <w:pPr>
      <w:pStyle w:val="Nagwek"/>
      <w:jc w:val="right"/>
    </w:pPr>
    <w:r>
      <w:rPr>
        <w:rFonts w:ascii="Times New Roman" w:hAnsi="Times New Roman"/>
        <w:noProof/>
        <w:lang w:eastAsia="pl-PL"/>
      </w:rPr>
      <w:drawing>
        <wp:inline distT="0" distB="0" distL="0" distR="0" wp14:anchorId="622B1015" wp14:editId="2914DEFB">
          <wp:extent cx="1409700" cy="3657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379EE" w14:textId="77777777" w:rsidR="00F76DF1" w:rsidRDefault="00F76D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AC8"/>
    <w:rsid w:val="000033DF"/>
    <w:rsid w:val="0001091D"/>
    <w:rsid w:val="000244A1"/>
    <w:rsid w:val="000630C8"/>
    <w:rsid w:val="0007470D"/>
    <w:rsid w:val="0007478F"/>
    <w:rsid w:val="000A4D06"/>
    <w:rsid w:val="000B392B"/>
    <w:rsid w:val="000B61BF"/>
    <w:rsid w:val="000B7878"/>
    <w:rsid w:val="000C127D"/>
    <w:rsid w:val="000D053A"/>
    <w:rsid w:val="000E3BFB"/>
    <w:rsid w:val="00174C7D"/>
    <w:rsid w:val="001803B2"/>
    <w:rsid w:val="001A3227"/>
    <w:rsid w:val="001D0F76"/>
    <w:rsid w:val="001E0059"/>
    <w:rsid w:val="001E2796"/>
    <w:rsid w:val="001F1CA7"/>
    <w:rsid w:val="002001B7"/>
    <w:rsid w:val="00222CB1"/>
    <w:rsid w:val="00223E41"/>
    <w:rsid w:val="002512AE"/>
    <w:rsid w:val="00253FA1"/>
    <w:rsid w:val="0027448B"/>
    <w:rsid w:val="002956D0"/>
    <w:rsid w:val="002C563C"/>
    <w:rsid w:val="00303B5F"/>
    <w:rsid w:val="0031666C"/>
    <w:rsid w:val="003303D9"/>
    <w:rsid w:val="00345337"/>
    <w:rsid w:val="00380022"/>
    <w:rsid w:val="00383BB2"/>
    <w:rsid w:val="003B4DA6"/>
    <w:rsid w:val="003B5881"/>
    <w:rsid w:val="003B785A"/>
    <w:rsid w:val="003D0C73"/>
    <w:rsid w:val="003E4205"/>
    <w:rsid w:val="003F75D0"/>
    <w:rsid w:val="00453EF4"/>
    <w:rsid w:val="00465765"/>
    <w:rsid w:val="0047104D"/>
    <w:rsid w:val="004907AA"/>
    <w:rsid w:val="004972EE"/>
    <w:rsid w:val="004A2C75"/>
    <w:rsid w:val="004B1554"/>
    <w:rsid w:val="004B5DE9"/>
    <w:rsid w:val="004E2996"/>
    <w:rsid w:val="004E419F"/>
    <w:rsid w:val="00503441"/>
    <w:rsid w:val="00510C84"/>
    <w:rsid w:val="0051213E"/>
    <w:rsid w:val="005364EC"/>
    <w:rsid w:val="00542B95"/>
    <w:rsid w:val="005501EA"/>
    <w:rsid w:val="00555EEB"/>
    <w:rsid w:val="00575130"/>
    <w:rsid w:val="00577CBC"/>
    <w:rsid w:val="00595AFC"/>
    <w:rsid w:val="00596711"/>
    <w:rsid w:val="0060545B"/>
    <w:rsid w:val="0062128A"/>
    <w:rsid w:val="00623C50"/>
    <w:rsid w:val="00632231"/>
    <w:rsid w:val="00634938"/>
    <w:rsid w:val="00635358"/>
    <w:rsid w:val="00644B1E"/>
    <w:rsid w:val="00661CDA"/>
    <w:rsid w:val="00666946"/>
    <w:rsid w:val="00677A5C"/>
    <w:rsid w:val="006859B4"/>
    <w:rsid w:val="006A60BA"/>
    <w:rsid w:val="006A7E4A"/>
    <w:rsid w:val="006B17FF"/>
    <w:rsid w:val="006C00BA"/>
    <w:rsid w:val="006C2D24"/>
    <w:rsid w:val="006C7FC9"/>
    <w:rsid w:val="006D21E0"/>
    <w:rsid w:val="006E4F47"/>
    <w:rsid w:val="00733578"/>
    <w:rsid w:val="00756A41"/>
    <w:rsid w:val="00785847"/>
    <w:rsid w:val="007A55CB"/>
    <w:rsid w:val="007B0678"/>
    <w:rsid w:val="007B0CE5"/>
    <w:rsid w:val="007C0F89"/>
    <w:rsid w:val="007C7B8A"/>
    <w:rsid w:val="00805378"/>
    <w:rsid w:val="0081061D"/>
    <w:rsid w:val="0085258E"/>
    <w:rsid w:val="00854B3A"/>
    <w:rsid w:val="0086049A"/>
    <w:rsid w:val="00866D65"/>
    <w:rsid w:val="00884AE1"/>
    <w:rsid w:val="00887194"/>
    <w:rsid w:val="0089618B"/>
    <w:rsid w:val="008A1F41"/>
    <w:rsid w:val="008B0FA1"/>
    <w:rsid w:val="008C38F2"/>
    <w:rsid w:val="008C6C63"/>
    <w:rsid w:val="009055C8"/>
    <w:rsid w:val="00925C99"/>
    <w:rsid w:val="00934977"/>
    <w:rsid w:val="0094000E"/>
    <w:rsid w:val="00945C85"/>
    <w:rsid w:val="009513A0"/>
    <w:rsid w:val="0096029D"/>
    <w:rsid w:val="00991B64"/>
    <w:rsid w:val="009C5500"/>
    <w:rsid w:val="009D0B2B"/>
    <w:rsid w:val="009D3F96"/>
    <w:rsid w:val="009D4FB1"/>
    <w:rsid w:val="00A02821"/>
    <w:rsid w:val="00A06EC5"/>
    <w:rsid w:val="00A17A15"/>
    <w:rsid w:val="00A2283F"/>
    <w:rsid w:val="00A441A1"/>
    <w:rsid w:val="00A55505"/>
    <w:rsid w:val="00A604B3"/>
    <w:rsid w:val="00A6222E"/>
    <w:rsid w:val="00A75088"/>
    <w:rsid w:val="00A84A20"/>
    <w:rsid w:val="00A86229"/>
    <w:rsid w:val="00A936E3"/>
    <w:rsid w:val="00AA29B2"/>
    <w:rsid w:val="00AC56D5"/>
    <w:rsid w:val="00AE01B4"/>
    <w:rsid w:val="00AE2BE4"/>
    <w:rsid w:val="00AE5CAB"/>
    <w:rsid w:val="00AF7187"/>
    <w:rsid w:val="00B04800"/>
    <w:rsid w:val="00B05940"/>
    <w:rsid w:val="00B411A5"/>
    <w:rsid w:val="00B42642"/>
    <w:rsid w:val="00B71245"/>
    <w:rsid w:val="00B86AC8"/>
    <w:rsid w:val="00B92435"/>
    <w:rsid w:val="00BA6D29"/>
    <w:rsid w:val="00BA7309"/>
    <w:rsid w:val="00BB5A96"/>
    <w:rsid w:val="00BC65DF"/>
    <w:rsid w:val="00BE3CC9"/>
    <w:rsid w:val="00C447ED"/>
    <w:rsid w:val="00C77104"/>
    <w:rsid w:val="00C96B0E"/>
    <w:rsid w:val="00CB6A5A"/>
    <w:rsid w:val="00CD1B6E"/>
    <w:rsid w:val="00D237F8"/>
    <w:rsid w:val="00D32AE1"/>
    <w:rsid w:val="00D508EA"/>
    <w:rsid w:val="00D7410D"/>
    <w:rsid w:val="00D878D8"/>
    <w:rsid w:val="00DA2624"/>
    <w:rsid w:val="00DB0762"/>
    <w:rsid w:val="00DD26AB"/>
    <w:rsid w:val="00DD62B9"/>
    <w:rsid w:val="00DE0F5A"/>
    <w:rsid w:val="00DE1577"/>
    <w:rsid w:val="00DE29D2"/>
    <w:rsid w:val="00DF45C7"/>
    <w:rsid w:val="00E03F40"/>
    <w:rsid w:val="00E04B76"/>
    <w:rsid w:val="00E1702C"/>
    <w:rsid w:val="00E25193"/>
    <w:rsid w:val="00E45E3F"/>
    <w:rsid w:val="00E550FB"/>
    <w:rsid w:val="00E71604"/>
    <w:rsid w:val="00E90A62"/>
    <w:rsid w:val="00EA4AFA"/>
    <w:rsid w:val="00EB3D9D"/>
    <w:rsid w:val="00EE2AEA"/>
    <w:rsid w:val="00EF227C"/>
    <w:rsid w:val="00EF4DD8"/>
    <w:rsid w:val="00EF5DB1"/>
    <w:rsid w:val="00EF76BE"/>
    <w:rsid w:val="00F15D49"/>
    <w:rsid w:val="00F16F6A"/>
    <w:rsid w:val="00F177AF"/>
    <w:rsid w:val="00F30CA6"/>
    <w:rsid w:val="00F32A5B"/>
    <w:rsid w:val="00F3765B"/>
    <w:rsid w:val="00F37940"/>
    <w:rsid w:val="00F549E2"/>
    <w:rsid w:val="00F74B2A"/>
    <w:rsid w:val="00F76DF1"/>
    <w:rsid w:val="00F86AAF"/>
    <w:rsid w:val="00FA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C4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CHRPara">
    <w:name w:val="ECHR_Para"/>
    <w:aliases w:val="Ju_Para,Left,First line:  0 cm"/>
    <w:basedOn w:val="Normalny"/>
    <w:link w:val="JuParaCar"/>
    <w:uiPriority w:val="99"/>
    <w:qFormat/>
    <w:rsid w:val="008B0FA1"/>
    <w:pPr>
      <w:ind w:firstLine="284"/>
      <w:jc w:val="both"/>
    </w:pPr>
    <w:rPr>
      <w:rFonts w:eastAsiaTheme="minorEastAsia"/>
      <w:szCs w:val="22"/>
      <w:lang w:val="fr-FR" w:eastAsia="fr-FR"/>
    </w:rPr>
  </w:style>
  <w:style w:type="character" w:customStyle="1" w:styleId="JuParaCar">
    <w:name w:val="Ju_Para Car"/>
    <w:link w:val="ECHRPara"/>
    <w:uiPriority w:val="99"/>
    <w:rsid w:val="008B0FA1"/>
    <w:rPr>
      <w:rFonts w:eastAsiaTheme="minorEastAsia"/>
      <w:szCs w:val="22"/>
      <w:lang w:val="fr-FR" w:eastAsia="fr-F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E4F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F47"/>
  </w:style>
  <w:style w:type="character" w:styleId="Odwoanieprzypisudolnego">
    <w:name w:val="footnote reference"/>
    <w:basedOn w:val="Domylnaczcionkaakapitu"/>
    <w:uiPriority w:val="99"/>
    <w:unhideWhenUsed/>
    <w:rsid w:val="006E4F4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3E41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tlid-translation">
    <w:name w:val="tlid-translation"/>
    <w:basedOn w:val="Domylnaczcionkaakapitu"/>
    <w:rsid w:val="007A55CB"/>
  </w:style>
  <w:style w:type="paragraph" w:styleId="Bezodstpw">
    <w:name w:val="No Spacing"/>
    <w:uiPriority w:val="1"/>
    <w:qFormat/>
    <w:rsid w:val="00B04800"/>
  </w:style>
  <w:style w:type="paragraph" w:styleId="Nagwek">
    <w:name w:val="header"/>
    <w:basedOn w:val="Normalny"/>
    <w:link w:val="NagwekZnak"/>
    <w:uiPriority w:val="99"/>
    <w:unhideWhenUsed/>
    <w:rsid w:val="003B4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DA6"/>
  </w:style>
  <w:style w:type="paragraph" w:styleId="Stopka">
    <w:name w:val="footer"/>
    <w:basedOn w:val="Normalny"/>
    <w:link w:val="StopkaZnak"/>
    <w:uiPriority w:val="99"/>
    <w:unhideWhenUsed/>
    <w:rsid w:val="003B4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DA6"/>
  </w:style>
  <w:style w:type="paragraph" w:styleId="Tekstdymka">
    <w:name w:val="Balloon Text"/>
    <w:basedOn w:val="Normalny"/>
    <w:link w:val="TekstdymkaZnak"/>
    <w:uiPriority w:val="99"/>
    <w:semiHidden/>
    <w:unhideWhenUsed/>
    <w:rsid w:val="00F76D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DF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F76DF1"/>
    <w:pPr>
      <w:widowControl w:val="0"/>
      <w:autoSpaceDE w:val="0"/>
      <w:autoSpaceDN w:val="0"/>
      <w:ind w:left="860"/>
      <w:jc w:val="both"/>
    </w:pPr>
    <w:rPr>
      <w:rFonts w:ascii="Verdana" w:eastAsia="Verdana" w:hAnsi="Verdana" w:cs="Verdana"/>
      <w:sz w:val="20"/>
      <w:szCs w:val="20"/>
      <w:lang w:eastAsia="pl-PL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6DF1"/>
    <w:rPr>
      <w:rFonts w:ascii="Verdana" w:eastAsia="Verdana" w:hAnsi="Verdana" w:cs="Verdana"/>
      <w:sz w:val="20"/>
      <w:szCs w:val="20"/>
      <w:lang w:eastAsia="pl-PL" w:bidi="en-US"/>
    </w:rPr>
  </w:style>
  <w:style w:type="character" w:styleId="Hipercze">
    <w:name w:val="Hyperlink"/>
    <w:basedOn w:val="Domylnaczcionkaakapitu"/>
    <w:uiPriority w:val="99"/>
    <w:unhideWhenUsed/>
    <w:rsid w:val="00DE29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9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513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doc.echr.coe.int/eng?i=003-4560754-5509332" TargetMode="External"/><Relationship Id="rId18" Type="http://schemas.openxmlformats.org/officeDocument/2006/relationships/hyperlink" Target="https://hudoc.echr.coe.int/eng-press?i=003-6150061-7956013" TargetMode="External"/><Relationship Id="rId26" Type="http://schemas.openxmlformats.org/officeDocument/2006/relationships/hyperlink" Target="https://static.coe.int/webtv/video_ech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udoc.echr.coe.int/eng-press?i=003-4764284-5797158" TargetMode="External"/><Relationship Id="rId7" Type="http://schemas.openxmlformats.org/officeDocument/2006/relationships/hyperlink" Target="https://www.echr.coe.int/Documents/Convention_POL.pdf" TargetMode="External"/><Relationship Id="rId12" Type="http://schemas.openxmlformats.org/officeDocument/2006/relationships/hyperlink" Target="http://hudoc.echr.coe.int/sites/eng/pages/search.aspx?i=003-4355148-5224362" TargetMode="External"/><Relationship Id="rId17" Type="http://schemas.openxmlformats.org/officeDocument/2006/relationships/hyperlink" Target="https://hudoc.echr.coe.int/eng-press?i=003-5936153-7585063" TargetMode="External"/><Relationship Id="rId25" Type="http://schemas.openxmlformats.org/officeDocument/2006/relationships/hyperlink" Target="http://www.echr.coe.int/Documents/Dialogue_2013_ENG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udoc.echr.coe.int/eng?i=003-5800462-7380920" TargetMode="External"/><Relationship Id="rId20" Type="http://schemas.openxmlformats.org/officeDocument/2006/relationships/hyperlink" Target="https://hudoc.echr.coe.int/en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udoc.echr.coe.int/sites/eng/pages/search.aspx?i=002-7627" TargetMode="External"/><Relationship Id="rId24" Type="http://schemas.openxmlformats.org/officeDocument/2006/relationships/hyperlink" Target="https://hudoc.echr.coe.int/eng?i=003-5800462-738092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udoc.echr.coe.int/eng-press?i=003-5444603-6823781" TargetMode="External"/><Relationship Id="rId23" Type="http://schemas.openxmlformats.org/officeDocument/2006/relationships/hyperlink" Target="https://hudoc.echr.coe.int/eng-press?i=003-5444603-6823781" TargetMode="External"/><Relationship Id="rId28" Type="http://schemas.openxmlformats.org/officeDocument/2006/relationships/hyperlink" Target="https://www.coe.int/en/web/commissioner/thematic-work/economic-crisis" TargetMode="External"/><Relationship Id="rId10" Type="http://schemas.openxmlformats.org/officeDocument/2006/relationships/hyperlink" Target="http://hudoc.echr.coe.int/eng?i=001-110242" TargetMode="External"/><Relationship Id="rId19" Type="http://schemas.openxmlformats.org/officeDocument/2006/relationships/hyperlink" Target="https://hudoc.echr.coe.int/eng-press?i=003-7565300-10396902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109212" TargetMode="External"/><Relationship Id="rId14" Type="http://schemas.openxmlformats.org/officeDocument/2006/relationships/hyperlink" Target="https://hudoc.echr.coe.int/eng-press?i=003-5179864-6408738" TargetMode="External"/><Relationship Id="rId22" Type="http://schemas.openxmlformats.org/officeDocument/2006/relationships/hyperlink" Target="https://hudoc.echr.coe.int/eng?i=003-3724123-4246566" TargetMode="External"/><Relationship Id="rId27" Type="http://schemas.openxmlformats.org/officeDocument/2006/relationships/hyperlink" Target="http://www.coe.int/t/dghl/standardsetting/cddh/CDDH-DOCUMENTS/CDDH(2015)R84%20Addendum%20IV_EN.pdf" TargetMode="External"/><Relationship Id="rId30" Type="http://schemas.openxmlformats.org/officeDocument/2006/relationships/footer" Target="footer1.xml"/><Relationship Id="rId8" Type="http://schemas.openxmlformats.org/officeDocument/2006/relationships/hyperlink" Target="https://hudoc.echr.coe.int/en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005B66-AFFD-4B8B-BC91-8371F176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4317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2020-07-22T13:28:00Z</dcterms:created>
  <dcterms:modified xsi:type="dcterms:W3CDTF">2025-08-21T14:56:00Z</dcterms:modified>
</cp:coreProperties>
</file>