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8A0" w:rsidRDefault="0077025D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(...), data (...)r.</w:t>
      </w:r>
    </w:p>
    <w:p w:rsidR="007248A0" w:rsidRDefault="0077025D">
      <w:pPr>
        <w:tabs>
          <w:tab w:val="center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1" w:name="ezdSprawaZnak"/>
      <w:r>
        <w:rPr>
          <w:sz w:val="24"/>
          <w:szCs w:val="24"/>
        </w:rPr>
        <w:t>GPB-III.7721.(...).2023</w:t>
      </w:r>
      <w:bookmarkEnd w:id="1"/>
    </w:p>
    <w:p w:rsidR="007248A0" w:rsidRDefault="0077025D">
      <w:pPr>
        <w:snapToGrid w:val="0"/>
        <w:rPr>
          <w:sz w:val="24"/>
          <w:szCs w:val="24"/>
        </w:rPr>
      </w:pPr>
      <w:r>
        <w:rPr>
          <w:sz w:val="24"/>
          <w:szCs w:val="24"/>
        </w:rPr>
        <w:tab/>
        <w:t>AD</w:t>
      </w:r>
    </w:p>
    <w:p w:rsidR="007248A0" w:rsidRDefault="007248A0">
      <w:pPr>
        <w:pStyle w:val="Tekstpodstawowywcity31"/>
        <w:snapToGrid w:val="0"/>
        <w:spacing w:line="360" w:lineRule="auto"/>
        <w:ind w:left="0"/>
        <w:jc w:val="center"/>
        <w:rPr>
          <w:rFonts w:ascii="Times New Roman" w:hAnsi="Times New Roman" w:cs="Times New Roman"/>
          <w:szCs w:val="24"/>
        </w:rPr>
      </w:pPr>
    </w:p>
    <w:p w:rsidR="007248A0" w:rsidRDefault="0077025D">
      <w:pPr>
        <w:pStyle w:val="Tekstpodstawowywcity31"/>
        <w:snapToGrid w:val="0"/>
        <w:spacing w:line="360" w:lineRule="auto"/>
        <w:ind w:left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color w:val="000000"/>
          <w:szCs w:val="24"/>
          <w:lang w:eastAsia="pl-PL"/>
        </w:rPr>
        <w:t xml:space="preserve">Decyzja Nr (...)/2023 </w:t>
      </w:r>
    </w:p>
    <w:p w:rsidR="007248A0" w:rsidRDefault="0077025D">
      <w:pPr>
        <w:pStyle w:val="Tekstpodstawowywcity31"/>
        <w:snapToGrid w:val="0"/>
        <w:spacing w:line="360" w:lineRule="auto"/>
        <w:ind w:left="0"/>
        <w:jc w:val="both"/>
        <w:rPr>
          <w:color w:val="000000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Cs w:val="24"/>
          <w:lang w:eastAsia="pl-PL"/>
        </w:rPr>
        <w:tab/>
        <w:t xml:space="preserve">Na podstawie art. 54 § 3 ustawy z dnia 30 sierpnia 2002 roku – Prawo o postępowaniu przed sądami administracyjnymi (tekst jednolity Dz. U. z 2023 roku poz. 259) oraz na podstawie </w:t>
      </w:r>
      <w:r>
        <w:rPr>
          <w:rFonts w:ascii="Times New Roman" w:hAnsi="Times New Roman" w:cs="Times New Roman"/>
          <w:color w:val="000000"/>
          <w:szCs w:val="24"/>
          <w:lang w:eastAsia="pl-PL"/>
        </w:rPr>
        <w:t>art. 138 § 1 pkt 2 ustawy z dnia 14 czerwca 1960 r. - Kodeks postępowania administracyjnego (tj. Dz.U. z 2023 r., poz. 775), zwanej dalej Kpa,</w:t>
      </w:r>
    </w:p>
    <w:p w:rsidR="007248A0" w:rsidRDefault="0077025D">
      <w:pPr>
        <w:pStyle w:val="Tekstpodstawowywcity31"/>
        <w:snapToGrid w:val="0"/>
        <w:spacing w:line="360" w:lineRule="auto"/>
        <w:ind w:left="0"/>
        <w:jc w:val="center"/>
        <w:rPr>
          <w:b/>
          <w:bCs/>
          <w:color w:val="000000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szCs w:val="24"/>
          <w:lang w:eastAsia="pl-PL"/>
        </w:rPr>
        <w:t xml:space="preserve">po rozpatrzeniu </w:t>
      </w:r>
    </w:p>
    <w:p w:rsidR="007248A0" w:rsidRDefault="0077025D">
      <w:pPr>
        <w:pStyle w:val="Tekstpodstawowywcity31"/>
        <w:snapToGrid w:val="0"/>
        <w:spacing w:line="360" w:lineRule="auto"/>
        <w:ind w:left="0"/>
        <w:jc w:val="both"/>
        <w:rPr>
          <w:color w:val="000000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Cs w:val="24"/>
          <w:lang w:eastAsia="pl-PL"/>
        </w:rPr>
        <w:t>skargi wniesionej do (...) przez (...) na decyzję Wojewody (...) nr (...) z dnia (...) 2023 r. u</w:t>
      </w:r>
      <w:r>
        <w:rPr>
          <w:rFonts w:ascii="Times New Roman" w:hAnsi="Times New Roman" w:cs="Times New Roman"/>
          <w:color w:val="000000"/>
          <w:szCs w:val="24"/>
          <w:lang w:eastAsia="pl-PL"/>
        </w:rPr>
        <w:t>trzymującą w mocy decyzję Starosty (...) nr (...) z dnia (...) 2023 r. o odmowie zatwierdzenia projektu zagospodarowania terenu oraz projektu architektoniczno – budowlanego i wydania pozwolenia na budowę wolnostojącej elektrowni fotowoltaicznej „(...)” o m</w:t>
      </w:r>
      <w:r>
        <w:rPr>
          <w:rFonts w:ascii="Times New Roman" w:hAnsi="Times New Roman" w:cs="Times New Roman"/>
          <w:color w:val="000000"/>
          <w:szCs w:val="24"/>
          <w:lang w:eastAsia="pl-PL"/>
        </w:rPr>
        <w:t>ocy 6,8 MW wraz z instalacjami i urządzeniami technicznymi oraz niezbędną infrastrukturą techniczną, na działkach o nr ewid. (...), (...), (...), (...), (...), (...), (...), (...), (...), (...), (...), (...) obr. (...), (….), sprostowaną postanowieniem Woj</w:t>
      </w:r>
      <w:r>
        <w:rPr>
          <w:rFonts w:ascii="Times New Roman" w:hAnsi="Times New Roman" w:cs="Times New Roman"/>
          <w:color w:val="000000"/>
          <w:szCs w:val="24"/>
          <w:lang w:eastAsia="pl-PL"/>
        </w:rPr>
        <w:t>ewody (...) nr (….) z dnia (...) 2023 r.</w:t>
      </w:r>
    </w:p>
    <w:p w:rsidR="007248A0" w:rsidRDefault="0077025D">
      <w:pPr>
        <w:pStyle w:val="Tekstpodstawowywcity31"/>
        <w:snapToGrid w:val="0"/>
        <w:spacing w:line="360" w:lineRule="auto"/>
        <w:ind w:left="0"/>
        <w:jc w:val="center"/>
        <w:rPr>
          <w:b/>
          <w:bCs/>
          <w:color w:val="000000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szCs w:val="24"/>
          <w:lang w:eastAsia="pl-PL"/>
        </w:rPr>
        <w:t xml:space="preserve">orzekam </w:t>
      </w:r>
    </w:p>
    <w:p w:rsidR="007248A0" w:rsidRDefault="0077025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uwzględnić skargę w całości i uchylić własną decyzję nr (...) z dnia (...) 2023 r. sprostowaną postanowieniem Wojewody(….) nr (….) z dnia (.) 2023 r.,</w:t>
      </w:r>
    </w:p>
    <w:p w:rsidR="007248A0" w:rsidRDefault="0077025D">
      <w:pPr>
        <w:snapToGri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2) uchylić w całości poprzedzającą ją decyzję Staros</w:t>
      </w:r>
      <w:r>
        <w:rPr>
          <w:color w:val="000000"/>
          <w:sz w:val="24"/>
          <w:szCs w:val="24"/>
          <w:lang w:eastAsia="pl-PL"/>
        </w:rPr>
        <w:t>ty (...) nr (...) z dnia (...) 2023 r. o odmowie zatwierdzenia projektu zagospodarowania terenu oraz projektu architektoniczno – budowlanego i wydania pozwolenia na budowę wolnostojącej elektrowni fotowoltaicznej „(...)” o mocy 6,8 MW wraz z instalacjami i</w:t>
      </w:r>
      <w:r>
        <w:rPr>
          <w:color w:val="000000"/>
          <w:sz w:val="24"/>
          <w:szCs w:val="24"/>
          <w:lang w:eastAsia="pl-PL"/>
        </w:rPr>
        <w:t xml:space="preserve"> urządzeniami technicznymi oraz niezbędną infrastrukturą techniczną, na działkach o nr ewid. </w:t>
      </w:r>
      <w:r>
        <w:rPr>
          <w:color w:val="000000"/>
          <w:sz w:val="24"/>
          <w:szCs w:val="24"/>
          <w:lang w:eastAsia="pl-PL"/>
        </w:rPr>
        <w:t>(...), (...), (...), (...), (...), (...), (...), (...), (...), (...), (...), (...) obr. (...), (….)</w:t>
      </w:r>
      <w:r>
        <w:rPr>
          <w:color w:val="000000"/>
          <w:sz w:val="24"/>
          <w:szCs w:val="24"/>
          <w:lang w:eastAsia="pl-PL"/>
        </w:rPr>
        <w:t xml:space="preserve"> oraz</w:t>
      </w:r>
    </w:p>
    <w:p w:rsidR="007248A0" w:rsidRDefault="0077025D">
      <w:pPr>
        <w:snapToGri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3) zatwierdzić projekt zagospodarowania działki oraz proje</w:t>
      </w:r>
      <w:r>
        <w:rPr>
          <w:color w:val="000000"/>
          <w:sz w:val="24"/>
          <w:szCs w:val="24"/>
          <w:lang w:eastAsia="pl-PL"/>
        </w:rPr>
        <w:t xml:space="preserve">kt architektoniczno – budowlany i udzielić dla (...) pozwolenia na budowę wolnostojącej elektrowni fotowoltaicznej „(…)” mocy 6,8 MW wraz z instalacjami i urządzeniami technicznymi oraz niezbędną infrastrukturą techniczną, na działkach o nr ewid. </w:t>
      </w:r>
      <w:r>
        <w:rPr>
          <w:color w:val="000000"/>
          <w:sz w:val="24"/>
          <w:szCs w:val="24"/>
          <w:lang w:eastAsia="pl-PL"/>
        </w:rPr>
        <w:t xml:space="preserve"> (...), (</w:t>
      </w:r>
      <w:r>
        <w:rPr>
          <w:color w:val="000000"/>
          <w:sz w:val="24"/>
          <w:szCs w:val="24"/>
          <w:lang w:eastAsia="pl-PL"/>
        </w:rPr>
        <w:t>...), (...), (...), (...), (...), (...), (...), (...), (...), (...), (...) obr. (...), (….)</w:t>
      </w:r>
      <w:r>
        <w:rPr>
          <w:color w:val="000000"/>
          <w:sz w:val="24"/>
          <w:szCs w:val="24"/>
          <w:lang w:eastAsia="pl-PL"/>
        </w:rPr>
        <w:t xml:space="preserve"> wg projektu, który opracowali: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 xml:space="preserve">- (...) </w:t>
      </w:r>
      <w:r>
        <w:rPr>
          <w:sz w:val="24"/>
          <w:szCs w:val="24"/>
        </w:rPr>
        <w:t>posiadający uprawnienia budowlane nr (...) w specjalności konstrukcyjno - budowlanej do projektowania bez ograniczeń, wpisany</w:t>
      </w:r>
      <w:r>
        <w:rPr>
          <w:sz w:val="24"/>
          <w:szCs w:val="24"/>
        </w:rPr>
        <w:t xml:space="preserve"> na listę członków (...) Okręgowej Izby Inżynierów Budownictwa pod numerem (...);</w:t>
      </w:r>
    </w:p>
    <w:p w:rsidR="007248A0" w:rsidRDefault="0077025D">
      <w:pPr>
        <w:snapToGrid w:val="0"/>
        <w:spacing w:line="360" w:lineRule="auto"/>
        <w:jc w:val="both"/>
      </w:pPr>
      <w:r>
        <w:rPr>
          <w:sz w:val="24"/>
          <w:szCs w:val="24"/>
        </w:rPr>
        <w:lastRenderedPageBreak/>
        <w:t>- (...) posiadający uprawnienia budowlane nr (...) w specjalności konstrukcyjno - budowlanej do projektowania bez ograniczeń, wpisany na listę członków (...) Okręgowej Izby I</w:t>
      </w:r>
      <w:r>
        <w:rPr>
          <w:sz w:val="24"/>
          <w:szCs w:val="24"/>
        </w:rPr>
        <w:t>nżynierów Budownictwa pod numerem (...);</w:t>
      </w:r>
    </w:p>
    <w:p w:rsidR="007248A0" w:rsidRDefault="0077025D">
      <w:pPr>
        <w:snapToGrid w:val="0"/>
        <w:spacing w:line="360" w:lineRule="auto"/>
        <w:jc w:val="both"/>
      </w:pPr>
      <w:r>
        <w:rPr>
          <w:sz w:val="24"/>
          <w:szCs w:val="24"/>
        </w:rPr>
        <w:t>- (...) posiadający uprawnienia budowlane nr (...) do projektowania w specjalności instalacyjnej w zakresie sieci, instalacji i urządzeń elektrycznych i elektroenergetycznych bez ograniczeń, wpisany na listę członkó</w:t>
      </w:r>
      <w:r>
        <w:rPr>
          <w:sz w:val="24"/>
          <w:szCs w:val="24"/>
        </w:rPr>
        <w:t>w (...) Okręgowej Izby Inżynierów Budownictwa pod numerem (...)</w:t>
      </w:r>
    </w:p>
    <w:p w:rsidR="007248A0" w:rsidRDefault="0077025D">
      <w:pPr>
        <w:snapToGrid w:val="0"/>
        <w:spacing w:line="360" w:lineRule="auto"/>
        <w:jc w:val="both"/>
      </w:pPr>
      <w:r>
        <w:rPr>
          <w:sz w:val="24"/>
          <w:szCs w:val="24"/>
        </w:rPr>
        <w:t>- (...) posiadający uprawnienia budowlane nr (...) do projektowania w specjalności instalacyjnej w zakresie sieci, instalacji i urządzeń elektrycznych i elektroenergetycznych bez ograniczeń, w</w:t>
      </w:r>
      <w:r>
        <w:rPr>
          <w:sz w:val="24"/>
          <w:szCs w:val="24"/>
        </w:rPr>
        <w:t>pisany na listę członków (...) Okręgowej Izby Inżynierów Budownictwa pod numerem (...);</w:t>
      </w:r>
    </w:p>
    <w:p w:rsidR="007248A0" w:rsidRDefault="0077025D">
      <w:pPr>
        <w:snapToGrid w:val="0"/>
        <w:spacing w:line="360" w:lineRule="auto"/>
        <w:jc w:val="both"/>
      </w:pPr>
      <w:r>
        <w:rPr>
          <w:sz w:val="24"/>
          <w:szCs w:val="24"/>
        </w:rPr>
        <w:t xml:space="preserve">z zachowaniem następujących warunków: </w:t>
      </w:r>
    </w:p>
    <w:p w:rsidR="007248A0" w:rsidRDefault="0077025D">
      <w:pPr>
        <w:snapToGrid w:val="0"/>
        <w:spacing w:line="360" w:lineRule="auto"/>
        <w:jc w:val="both"/>
      </w:pPr>
      <w:r>
        <w:rPr>
          <w:sz w:val="24"/>
          <w:szCs w:val="24"/>
        </w:rPr>
        <w:t>1. budowę (roboty budowlane) można rozpocząć jedynie na podstawie decyzji o pozwoleniu na budowę (zgodnie z art. 28 ustawy - Praw</w:t>
      </w:r>
      <w:r>
        <w:rPr>
          <w:sz w:val="24"/>
          <w:szCs w:val="24"/>
        </w:rPr>
        <w:t>o budowlane);</w:t>
      </w:r>
    </w:p>
    <w:p w:rsidR="007248A0" w:rsidRDefault="0077025D">
      <w:pPr>
        <w:snapToGrid w:val="0"/>
        <w:spacing w:line="360" w:lineRule="auto"/>
        <w:jc w:val="both"/>
      </w:pPr>
      <w:r>
        <w:rPr>
          <w:sz w:val="24"/>
          <w:szCs w:val="24"/>
        </w:rPr>
        <w:t>2. budowę należy prowadzić zgodnie z zatwierdzonym projektem, obowiązującymi przepisami oraz sztuką budowlaną;</w:t>
      </w:r>
    </w:p>
    <w:p w:rsidR="007248A0" w:rsidRDefault="0077025D">
      <w:pPr>
        <w:snapToGrid w:val="0"/>
        <w:spacing w:line="360" w:lineRule="auto"/>
        <w:jc w:val="both"/>
      </w:pPr>
      <w:r>
        <w:rPr>
          <w:sz w:val="24"/>
          <w:szCs w:val="24"/>
        </w:rPr>
        <w:t>3. należy spełnić wymagania określone w uzgodnieniach, opiniach branżowych, postanowieniach i decyzjach wynikających z przepisów sz</w:t>
      </w:r>
      <w:r>
        <w:rPr>
          <w:sz w:val="24"/>
          <w:szCs w:val="24"/>
        </w:rPr>
        <w:t>czególnych;</w:t>
      </w:r>
    </w:p>
    <w:p w:rsidR="007248A0" w:rsidRDefault="0077025D">
      <w:pPr>
        <w:snapToGrid w:val="0"/>
        <w:spacing w:line="360" w:lineRule="auto"/>
        <w:jc w:val="both"/>
      </w:pPr>
      <w:r>
        <w:rPr>
          <w:sz w:val="24"/>
          <w:szCs w:val="24"/>
        </w:rPr>
        <w:t>4. w przypadku powstania w trakcie prowadzenia robót budowlanych odpadów (np. mas ziemnych) należy z nimi postępować zgodnie z zasadami określonymi ustawie z 14 grudnia 2012 r. o odpadach (tj. Dz. U. z 2022 r. poz. 699);</w:t>
      </w:r>
    </w:p>
    <w:p w:rsidR="007248A0" w:rsidRDefault="0077025D">
      <w:pPr>
        <w:snapToGrid w:val="0"/>
        <w:spacing w:line="360" w:lineRule="auto"/>
        <w:jc w:val="both"/>
      </w:pPr>
      <w:r>
        <w:rPr>
          <w:sz w:val="24"/>
          <w:szCs w:val="24"/>
        </w:rPr>
        <w:t>5. w trakcie przygotowa</w:t>
      </w:r>
      <w:r>
        <w:rPr>
          <w:sz w:val="24"/>
          <w:szCs w:val="24"/>
        </w:rPr>
        <w:t>nia i realizacji inwestycji zapewnić ochronę elementów środowiska: gleby, powietrza, zieleni i stosunków wodnych, zgodnie z ustawą o ochronie przyrody (Dz. U.  z 2023 r. poz. 1336) oraz zapewnić oszczędne korzystanie z terenu, zgodnie z ustawą Prawo ochron</w:t>
      </w:r>
      <w:r>
        <w:rPr>
          <w:sz w:val="24"/>
          <w:szCs w:val="24"/>
        </w:rPr>
        <w:t>y środowiska (Dz. U. z 2022 r. poz. 2556);</w:t>
      </w:r>
    </w:p>
    <w:p w:rsidR="007248A0" w:rsidRDefault="0077025D">
      <w:pPr>
        <w:snapToGrid w:val="0"/>
        <w:spacing w:line="360" w:lineRule="auto"/>
        <w:jc w:val="both"/>
      </w:pPr>
      <w:r>
        <w:rPr>
          <w:sz w:val="24"/>
          <w:szCs w:val="24"/>
        </w:rPr>
        <w:t>6. przy wykonywaniu robót budowlanych należy stosować wyroby dopuszczone do obrotu i stosowania w budownictwie, zgodnie z art. 10 ustawy - Prawo budowlane;</w:t>
      </w:r>
    </w:p>
    <w:p w:rsidR="007248A0" w:rsidRDefault="0077025D">
      <w:pPr>
        <w:snapToGrid w:val="0"/>
        <w:spacing w:line="360" w:lineRule="auto"/>
        <w:jc w:val="both"/>
      </w:pPr>
      <w:r>
        <w:rPr>
          <w:sz w:val="24"/>
          <w:szCs w:val="24"/>
        </w:rPr>
        <w:t xml:space="preserve">7. decyzja niniejsza wygasa w przypadkach określonych w </w:t>
      </w:r>
      <w:r>
        <w:rPr>
          <w:sz w:val="24"/>
          <w:szCs w:val="24"/>
        </w:rPr>
        <w:t>art. 37 ust. 1 ustawy - Prawo budowlane – jeżeli budowa nie została rozpoczęta przed upływem 3 lat od dnia, w którym decyzja stała się ostateczna lub budowa została przerwana na czas dłuższy niż 3 lata;</w:t>
      </w:r>
    </w:p>
    <w:p w:rsidR="007248A0" w:rsidRDefault="0077025D">
      <w:pPr>
        <w:snapToGrid w:val="0"/>
        <w:spacing w:line="360" w:lineRule="auto"/>
        <w:jc w:val="both"/>
      </w:pPr>
      <w:r>
        <w:rPr>
          <w:sz w:val="24"/>
          <w:szCs w:val="24"/>
        </w:rPr>
        <w:t>8. budowę należy prowadzić przestrzegając obowiązując</w:t>
      </w:r>
      <w:r>
        <w:rPr>
          <w:sz w:val="24"/>
          <w:szCs w:val="24"/>
        </w:rPr>
        <w:t>ych przepisów dotyczących bezpieczeństwa i higieny pracy;</w:t>
      </w:r>
    </w:p>
    <w:p w:rsidR="007248A0" w:rsidRDefault="0077025D">
      <w:pPr>
        <w:snapToGrid w:val="0"/>
        <w:spacing w:line="360" w:lineRule="auto"/>
        <w:jc w:val="both"/>
      </w:pPr>
      <w:r>
        <w:rPr>
          <w:sz w:val="24"/>
          <w:szCs w:val="24"/>
        </w:rPr>
        <w:t>9. kierownik budowy (robót) jest obowiązany prowadzić dziennik budowy oraz odpowiednio zabezpieczyć teren budowy;</w:t>
      </w:r>
    </w:p>
    <w:p w:rsidR="007248A0" w:rsidRDefault="0077025D">
      <w:pPr>
        <w:snapToGrid w:val="0"/>
        <w:spacing w:line="360" w:lineRule="auto"/>
        <w:jc w:val="both"/>
      </w:pPr>
      <w:r>
        <w:rPr>
          <w:sz w:val="24"/>
          <w:szCs w:val="24"/>
        </w:rPr>
        <w:t>10. w czasie wykonywania robót budowlanych należy przestrzegać praw osób trzecich wy</w:t>
      </w:r>
      <w:r>
        <w:rPr>
          <w:sz w:val="24"/>
          <w:szCs w:val="24"/>
        </w:rPr>
        <w:t>nikających z art. 36 ust. 1 pkt 1-4 oraz art. 42 ust. 2 i 3 ustawy - Prawo budowlane;</w:t>
      </w:r>
    </w:p>
    <w:p w:rsidR="007248A0" w:rsidRDefault="0077025D">
      <w:pPr>
        <w:snapToGrid w:val="0"/>
        <w:spacing w:line="360" w:lineRule="auto"/>
        <w:jc w:val="both"/>
      </w:pPr>
      <w:r>
        <w:rPr>
          <w:sz w:val="24"/>
          <w:szCs w:val="24"/>
        </w:rPr>
        <w:lastRenderedPageBreak/>
        <w:t>11. obowiązek ustanowienia inspektora nadzoru inwestorskiego w związku z § 4 rozporządzenia Ministra Infrastruktury z dnia 19 listopada 2001 r. w sprawie rodzajów obiektó</w:t>
      </w:r>
      <w:r>
        <w:rPr>
          <w:sz w:val="24"/>
          <w:szCs w:val="24"/>
        </w:rPr>
        <w:t>w budowlanych, przy których realizacji jest wymagane ustanowienie inspektora nadzoru inwestorskiego (Dz. U. nr 138, poz. 1554) );</w:t>
      </w:r>
    </w:p>
    <w:p w:rsidR="007248A0" w:rsidRDefault="0077025D">
      <w:pPr>
        <w:snapToGrid w:val="0"/>
        <w:spacing w:line="360" w:lineRule="auto"/>
        <w:jc w:val="both"/>
      </w:pPr>
      <w:r>
        <w:rPr>
          <w:sz w:val="24"/>
          <w:szCs w:val="24"/>
        </w:rPr>
        <w:t>12. obowiązek zawiadomienia organu nadzoru budowlanego o zakończeniu budowy, o którym mowa art. 54 ust.1 ustawy – Prawo budowl</w:t>
      </w:r>
      <w:r>
        <w:rPr>
          <w:sz w:val="24"/>
          <w:szCs w:val="24"/>
        </w:rPr>
        <w:t>ane.</w:t>
      </w:r>
    </w:p>
    <w:p w:rsidR="007248A0" w:rsidRDefault="0077025D">
      <w:pPr>
        <w:snapToGrid w:val="0"/>
        <w:spacing w:line="360" w:lineRule="auto"/>
        <w:jc w:val="both"/>
      </w:pPr>
      <w:r>
        <w:rPr>
          <w:sz w:val="24"/>
          <w:szCs w:val="24"/>
        </w:rPr>
        <w:t xml:space="preserve">4) wskazać, że uchylana </w:t>
      </w:r>
      <w:r>
        <w:rPr>
          <w:color w:val="000000"/>
          <w:sz w:val="24"/>
          <w:szCs w:val="24"/>
          <w:lang w:eastAsia="pl-PL"/>
        </w:rPr>
        <w:t>decyzja Wojewody (...) nr (...) z dnia (...) 2023 r. nie była wydana bez podstawy prawnej oraz z rażącym naruszeniem prawa.</w:t>
      </w:r>
    </w:p>
    <w:p w:rsidR="007248A0" w:rsidRDefault="0077025D">
      <w:pPr>
        <w:pStyle w:val="Tekstpodstawowywcity31"/>
        <w:snapToGrid w:val="0"/>
        <w:spacing w:line="360" w:lineRule="auto"/>
        <w:ind w:left="0"/>
        <w:jc w:val="center"/>
        <w:rPr>
          <w:b/>
          <w:bCs/>
          <w:color w:val="000000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szCs w:val="24"/>
          <w:lang w:eastAsia="pl-PL"/>
        </w:rPr>
        <w:t xml:space="preserve">Uzasadnienie </w:t>
      </w:r>
    </w:p>
    <w:p w:rsidR="007248A0" w:rsidRDefault="0077025D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 New Roman"/>
          <w:color w:val="000000"/>
          <w:szCs w:val="24"/>
          <w:lang w:eastAsia="pl-PL"/>
        </w:rPr>
        <w:tab/>
        <w:t>W dniu (...) 2023 r. do Starostwa Powiatowego w (...) wpłynął wniosek inwestora o wydani</w:t>
      </w:r>
      <w:r>
        <w:rPr>
          <w:rFonts w:ascii="Times New Roman" w:hAnsi="Times New Roman" w:cs="Times New Roman"/>
          <w:color w:val="000000"/>
          <w:szCs w:val="24"/>
          <w:lang w:eastAsia="pl-PL"/>
        </w:rPr>
        <w:t>e pozwolenia na budowę</w:t>
      </w:r>
      <w:r>
        <w:rPr>
          <w:rFonts w:ascii="Times New Roman" w:hAnsi="Times New Roman" w:cs="Times New Roman"/>
        </w:rPr>
        <w:t xml:space="preserve"> wolnostojącej elektrowni fotowoltaicznej „(...)” o mocy 6,8 MW wraz z instalacjami i urządzeniami technicznymi oraz niezbędną infrastrukturą techniczną, na działkach o nr ewid. </w:t>
      </w:r>
      <w:r>
        <w:rPr>
          <w:rFonts w:ascii="Times New Roman" w:hAnsi="Times New Roman" w:cs="Times New Roman"/>
          <w:color w:val="000000"/>
          <w:szCs w:val="24"/>
          <w:lang w:eastAsia="pl-PL"/>
        </w:rPr>
        <w:t xml:space="preserve"> (...), (...), (...), (...), (...), (...), (...), (...),</w:t>
      </w:r>
      <w:r>
        <w:rPr>
          <w:rFonts w:ascii="Times New Roman" w:hAnsi="Times New Roman" w:cs="Times New Roman"/>
          <w:color w:val="000000"/>
          <w:szCs w:val="24"/>
          <w:lang w:eastAsia="pl-PL"/>
        </w:rPr>
        <w:t xml:space="preserve"> (...), (...), (...), (...) obr. (...), (….).</w:t>
      </w:r>
    </w:p>
    <w:p w:rsidR="007248A0" w:rsidRDefault="0077025D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 New Roman"/>
        </w:rPr>
        <w:tab/>
        <w:t xml:space="preserve">Pismem z dnia (...) 2023 r. organ I instancji wezwał inwestora do uzupełnienia braków formalnych wniosku zgodnie z art. 64 § 2 Kpa. </w:t>
      </w:r>
    </w:p>
    <w:p w:rsidR="007248A0" w:rsidRDefault="0077025D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 New Roman"/>
        </w:rPr>
        <w:tab/>
        <w:t>Pismem z dnia (...) 2023 r. Starosta (...) zawiadomił strony o wszczęciu po</w:t>
      </w:r>
      <w:r>
        <w:rPr>
          <w:rFonts w:ascii="Times New Roman" w:hAnsi="Times New Roman" w:cs="Times New Roman"/>
        </w:rPr>
        <w:t>stępowania w sprawie przedmiotowego wniosku i poinformował o możliwości zapoznania się ze zgromadzoną dokumentacją oraz wniesienia ewentualnych uwag i wniosków. Z prawa swego skorzystał Pan (...), który w dniu (...) 2023 r. zapoznał się z dokumentacją proj</w:t>
      </w:r>
      <w:r>
        <w:rPr>
          <w:rFonts w:ascii="Times New Roman" w:hAnsi="Times New Roman" w:cs="Times New Roman"/>
        </w:rPr>
        <w:t xml:space="preserve">ektową oraz Pan (.), który w dniu (...) 2023 r. zapoznał się z dokumentacją projektową. </w:t>
      </w:r>
    </w:p>
    <w:p w:rsidR="007248A0" w:rsidRDefault="0077025D">
      <w:pPr>
        <w:pStyle w:val="Tekstpodstawowywcity31"/>
        <w:snapToGrid w:val="0"/>
        <w:spacing w:line="360" w:lineRule="auto"/>
        <w:ind w:left="0"/>
        <w:jc w:val="both"/>
        <w:rPr>
          <w:b/>
          <w:bCs/>
          <w:color w:val="000000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Cs w:val="24"/>
          <w:lang w:eastAsia="pl-PL"/>
        </w:rPr>
        <w:tab/>
        <w:t>Postanowieniem nr (...) z dnia (...) 2023 r. Starosta (...) nałożył obowiązek uzupełnienia projektu zagospodarowania działki oraz projektu architektoniczno – budowlan</w:t>
      </w:r>
      <w:r>
        <w:rPr>
          <w:rFonts w:ascii="Times New Roman" w:hAnsi="Times New Roman" w:cs="Times New Roman"/>
          <w:color w:val="000000"/>
          <w:szCs w:val="24"/>
          <w:lang w:eastAsia="pl-PL"/>
        </w:rPr>
        <w:t>ego m.in. doprowadzenie do zgodności z ustawą z dnia 7 lipca 1994 r. Prawo budowlane, ustawą z dnia 28 marca 2003 r. o transporcie kolejowym (t.j. Dz. U. 2021. 1984 ze zm.), rozporządzeniem Ministra Rozwoju z dnia 11 września 2020 r. w sprawie szczegółoweg</w:t>
      </w:r>
      <w:r>
        <w:rPr>
          <w:rFonts w:ascii="Times New Roman" w:hAnsi="Times New Roman" w:cs="Times New Roman"/>
          <w:color w:val="000000"/>
          <w:szCs w:val="24"/>
          <w:lang w:eastAsia="pl-PL"/>
        </w:rPr>
        <w:t>o zakresu i formy projektu budowlanego (Dz. U. z 2020 r. poz. 1609 ze zm.) oraz wykazanie zgodności projektowanej inwestycji z obowiązującymi dla danego terenu (20 PU, 35 P-U) ustaleniami uchwały nr (...) Rady Miejskiej w (...) z dnia (...) 2020 r. w spraw</w:t>
      </w:r>
      <w:r>
        <w:rPr>
          <w:rFonts w:ascii="Times New Roman" w:hAnsi="Times New Roman" w:cs="Times New Roman"/>
          <w:color w:val="000000"/>
          <w:szCs w:val="24"/>
          <w:lang w:eastAsia="pl-PL"/>
        </w:rPr>
        <w:t>ie uchwalenia miejscowego planu zagospodarowania przestrzennego dla wybranych terenów w obszarze miasta (…), przy ulicach: (...), (...), (...) i (...) – zwanej dalej MPZP.</w:t>
      </w:r>
    </w:p>
    <w:p w:rsidR="007248A0" w:rsidRDefault="0077025D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 New Roman"/>
          <w:color w:val="000000"/>
          <w:szCs w:val="24"/>
          <w:lang w:eastAsia="pl-PL"/>
        </w:rPr>
        <w:tab/>
      </w:r>
      <w:r>
        <w:rPr>
          <w:rFonts w:ascii="Times New Roman" w:hAnsi="Times New Roman" w:cs="Times New Roman"/>
        </w:rPr>
        <w:t>W dniu (...) 2023 r. do Starostwa (...) wpłynęła odpowiedź na ww. postanowienie wra</w:t>
      </w:r>
      <w:r>
        <w:rPr>
          <w:rFonts w:ascii="Times New Roman" w:hAnsi="Times New Roman" w:cs="Times New Roman"/>
        </w:rPr>
        <w:t>z z uzupełnioną dokumentacją projektową.</w:t>
      </w:r>
    </w:p>
    <w:p w:rsidR="007248A0" w:rsidRDefault="0077025D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 New Roman"/>
        </w:rPr>
        <w:lastRenderedPageBreak/>
        <w:tab/>
        <w:t>Pismem z dnia (...) 2023 r. Starosta (...), zgodnie z art. 10 Kpa, zawiadomił strony o możliwości zapoznania się ze zgromadzonymi aktami oraz wypowiedzeniu się co do zgromadzonych dowodów i zgłoszonych żądań.</w:t>
      </w:r>
    </w:p>
    <w:p w:rsidR="007248A0" w:rsidRDefault="0077025D">
      <w:pPr>
        <w:pStyle w:val="Tekstpodstawowywcity31"/>
        <w:snapToGrid w:val="0"/>
        <w:spacing w:line="360" w:lineRule="auto"/>
        <w:ind w:left="0"/>
        <w:jc w:val="both"/>
        <w:rPr>
          <w:rFonts w:ascii="Times New Roman" w:hAnsi="Times New Roman"/>
          <w:szCs w:val="24"/>
          <w:lang w:eastAsia="pl-PL"/>
        </w:rPr>
      </w:pPr>
      <w:r>
        <w:rPr>
          <w:rFonts w:ascii="Times New Roman" w:hAnsi="Times New Roman" w:cs="Times New Roman"/>
          <w:szCs w:val="24"/>
          <w:lang w:eastAsia="pl-PL"/>
        </w:rPr>
        <w:tab/>
        <w:t>Star</w:t>
      </w:r>
      <w:r>
        <w:rPr>
          <w:rFonts w:ascii="Times New Roman" w:hAnsi="Times New Roman" w:cs="Times New Roman"/>
          <w:szCs w:val="24"/>
          <w:lang w:eastAsia="pl-PL"/>
        </w:rPr>
        <w:t>osta (...) decyzją nr (...) z dnia (...) 2023 r. odmówił zatwierdzenia projektu zagospodarowania terenu oraz projektu architektoniczno – budowlanego i wydania pozwolenia na budowę wolnostojącej elektrowni fotowoltaicznej „(...)” o mocy do 6,8 MW wraz z ins</w:t>
      </w:r>
      <w:r>
        <w:rPr>
          <w:rFonts w:ascii="Times New Roman" w:hAnsi="Times New Roman" w:cs="Times New Roman"/>
          <w:szCs w:val="24"/>
          <w:lang w:eastAsia="pl-PL"/>
        </w:rPr>
        <w:t xml:space="preserve">talacjami i urządzeniami technicznymi oraz niezbędną infrastrukturą techniczną, na działkach o nr ewid. </w:t>
      </w:r>
      <w:r>
        <w:rPr>
          <w:rFonts w:ascii="Times New Roman" w:hAnsi="Times New Roman" w:cs="Times New Roman"/>
          <w:color w:val="000000"/>
          <w:szCs w:val="24"/>
          <w:lang w:eastAsia="pl-PL"/>
        </w:rPr>
        <w:t xml:space="preserve"> (...), (...), (...), (...), (...), (...), (...), (...), (...), (...), (...), (...) obr. (...), (….).</w:t>
      </w:r>
    </w:p>
    <w:p w:rsidR="007248A0" w:rsidRDefault="0077025D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 New Roman"/>
          <w:szCs w:val="24"/>
          <w:lang w:eastAsia="pl-PL"/>
        </w:rPr>
        <w:tab/>
      </w:r>
      <w:r>
        <w:rPr>
          <w:rFonts w:ascii="Times New Roman" w:hAnsi="Times New Roman" w:cs="Times New Roman"/>
        </w:rPr>
        <w:t>Od ww. decyzji, w ustawowo przewidzianym terminie</w:t>
      </w:r>
      <w:r>
        <w:rPr>
          <w:rFonts w:ascii="Times New Roman" w:hAnsi="Times New Roman" w:cs="Times New Roman"/>
        </w:rPr>
        <w:t xml:space="preserve">, odwołania złożyli (...), (...), (...) oraz (...) reprezentowana przez radcę prawnego(...). </w:t>
      </w:r>
    </w:p>
    <w:p w:rsidR="007248A0" w:rsidRDefault="0077025D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 New Roman"/>
          <w:szCs w:val="24"/>
          <w:lang w:eastAsia="pl-PL"/>
        </w:rPr>
        <w:tab/>
        <w:t>Skarżący  (...) oraz (...) wnieśli o uchylenie zaskarżonej decyzji i orzeczenie co do istoty sprawy. W treści odwołań wskazali, iż organ I instancji błędnie uzna</w:t>
      </w:r>
      <w:r>
        <w:rPr>
          <w:rFonts w:ascii="Times New Roman" w:hAnsi="Times New Roman" w:cs="Times New Roman"/>
          <w:szCs w:val="24"/>
          <w:lang w:eastAsia="pl-PL"/>
        </w:rPr>
        <w:t xml:space="preserve">ł, iż farma fotowoltaiczna nie jest zabudową produkcyjną. Zdaniem Skarżących nie istnieją przeciwwskazania do wydania decyzji o pozwoleniu na budowę. </w:t>
      </w:r>
    </w:p>
    <w:p w:rsidR="007248A0" w:rsidRDefault="0077025D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 New Roman"/>
          <w:szCs w:val="24"/>
          <w:lang w:eastAsia="pl-PL"/>
        </w:rPr>
        <w:tab/>
        <w:t>Skarżąca (...)., reprezentowana przez radcę prawnego (…), wniosła o uchylenie zaskarżonej decyzji i orze</w:t>
      </w:r>
      <w:r>
        <w:rPr>
          <w:rFonts w:ascii="Times New Roman" w:hAnsi="Times New Roman" w:cs="Times New Roman"/>
          <w:szCs w:val="24"/>
          <w:lang w:eastAsia="pl-PL"/>
        </w:rPr>
        <w:t>czenie co do istoty sprawy poprzez uwzględnienie wniosku inwestora w całości i zatwierdzenie projektu zagospodarowania terenu oraz projektu architektoniczno – budowlanego i wydanie pozwolenia na budowę, a także na podstawie art. 136 Kpa o uzupełniające dop</w:t>
      </w:r>
      <w:r>
        <w:rPr>
          <w:rFonts w:ascii="Times New Roman" w:hAnsi="Times New Roman" w:cs="Times New Roman"/>
          <w:szCs w:val="24"/>
          <w:lang w:eastAsia="pl-PL"/>
        </w:rPr>
        <w:t xml:space="preserve">uszczenie i przeprowadzenie dowodów: </w:t>
      </w:r>
    </w:p>
    <w:p w:rsidR="007248A0" w:rsidRDefault="0077025D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 New Roman"/>
          <w:szCs w:val="24"/>
          <w:lang w:eastAsia="pl-PL"/>
        </w:rPr>
        <w:t xml:space="preserve">a) warunków przyłączenia elektrowni fotowoltaicznej „(...)” do sieci elektroenergetycznej; </w:t>
      </w:r>
    </w:p>
    <w:p w:rsidR="007248A0" w:rsidRDefault="0077025D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 New Roman"/>
          <w:szCs w:val="24"/>
          <w:lang w:eastAsia="pl-PL"/>
        </w:rPr>
        <w:t xml:space="preserve">b) decyzji o środowiskowych uwarunkowaniach przedsięwzięcia – wydanej przez Burmistrza (...) w sprawie (...); </w:t>
      </w:r>
    </w:p>
    <w:p w:rsidR="007248A0" w:rsidRDefault="0077025D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 New Roman"/>
          <w:szCs w:val="24"/>
          <w:lang w:eastAsia="pl-PL"/>
        </w:rPr>
        <w:t>- na okolicznoś</w:t>
      </w:r>
      <w:r>
        <w:rPr>
          <w:rFonts w:ascii="Times New Roman" w:hAnsi="Times New Roman" w:cs="Times New Roman"/>
          <w:szCs w:val="24"/>
          <w:lang w:eastAsia="pl-PL"/>
        </w:rPr>
        <w:t>ć zgodności inwestycji z miejscowym planem zagospodarowania przestrzennego</w:t>
      </w:r>
    </w:p>
    <w:p w:rsidR="007248A0" w:rsidRDefault="0077025D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 New Roman"/>
          <w:szCs w:val="24"/>
          <w:lang w:eastAsia="pl-PL"/>
        </w:rPr>
        <w:t>c) decyzji z dnia (...) 2022 r. i zaświadczenia (...) z (...) 2022 r.;</w:t>
      </w:r>
    </w:p>
    <w:p w:rsidR="007248A0" w:rsidRDefault="0077025D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 New Roman"/>
          <w:szCs w:val="24"/>
          <w:lang w:eastAsia="pl-PL"/>
        </w:rPr>
        <w:t>d) karty uzgodnienia projektu – PAB, PZT</w:t>
      </w:r>
    </w:p>
    <w:p w:rsidR="007248A0" w:rsidRDefault="0077025D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 New Roman"/>
          <w:szCs w:val="24"/>
          <w:lang w:eastAsia="pl-PL"/>
        </w:rPr>
        <w:t>- na okoliczność spełnienia wymogów z art. 33 ust. 2 Prawa budowlaneg</w:t>
      </w:r>
      <w:r>
        <w:rPr>
          <w:rFonts w:ascii="Times New Roman" w:hAnsi="Times New Roman" w:cs="Times New Roman"/>
          <w:szCs w:val="24"/>
          <w:lang w:eastAsia="pl-PL"/>
        </w:rPr>
        <w:t>o.</w:t>
      </w:r>
    </w:p>
    <w:p w:rsidR="007248A0" w:rsidRDefault="0077025D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 New Roman"/>
          <w:szCs w:val="24"/>
          <w:lang w:eastAsia="pl-PL"/>
        </w:rPr>
        <w:tab/>
        <w:t>Ponadto skarżąca zaskarżyła postanowienie Starosty (...) nr (...) z dnia (...) 2023 r. wydane w oparciu o art. 35 ust. 3 Prawa budowlanego i wniosła o jego uchylenie.</w:t>
      </w:r>
    </w:p>
    <w:p w:rsidR="007248A0" w:rsidRDefault="0077025D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 New Roman"/>
          <w:szCs w:val="24"/>
          <w:lang w:eastAsia="pl-PL"/>
        </w:rPr>
        <w:tab/>
        <w:t xml:space="preserve">W wyniku rozpatrzenia ww. odwołań, Wojewoda (...) wydał decyzję nr (...) z dnia (…) </w:t>
      </w:r>
      <w:r>
        <w:rPr>
          <w:rFonts w:ascii="Times New Roman" w:hAnsi="Times New Roman" w:cs="Times New Roman"/>
          <w:szCs w:val="24"/>
          <w:lang w:eastAsia="pl-PL"/>
        </w:rPr>
        <w:t xml:space="preserve">2023 r., którą utrzymał w mocy zaskarżoną decyzję Starosty (...). Z uwagi na oczywistą omyłkę pisarską ww. decyzja została sprostowana postanowieniem Wojewody (...) nr (...) z </w:t>
      </w:r>
      <w:r>
        <w:rPr>
          <w:rFonts w:ascii="Times New Roman" w:hAnsi="Times New Roman" w:cs="Times New Roman"/>
          <w:szCs w:val="24"/>
          <w:lang w:eastAsia="pl-PL"/>
        </w:rPr>
        <w:lastRenderedPageBreak/>
        <w:t>dnia (...) 2023 r. W ocenie tutejszego organu planowana inwestycja niezgodna jes</w:t>
      </w:r>
      <w:r>
        <w:rPr>
          <w:rFonts w:ascii="Times New Roman" w:hAnsi="Times New Roman" w:cs="Times New Roman"/>
          <w:szCs w:val="24"/>
          <w:lang w:eastAsia="pl-PL"/>
        </w:rPr>
        <w:t>t z ustaleniami obowiązującego miejscowego planu zagospodarowania przestrzennego, z uwagi na brak zgodności z przeznaczeniem określonym dla terenów 20 P-U i 35 P-U.</w:t>
      </w:r>
    </w:p>
    <w:p w:rsidR="007248A0" w:rsidRDefault="0077025D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 New Roman"/>
          <w:szCs w:val="24"/>
          <w:lang w:eastAsia="pl-PL"/>
        </w:rPr>
        <w:tab/>
        <w:t>Na ww. decyzję tutejszego organu skargę do Wojewódzkiego Sądu Administracyjnego w (...) wn</w:t>
      </w:r>
      <w:r>
        <w:rPr>
          <w:rFonts w:ascii="Times New Roman" w:hAnsi="Times New Roman" w:cs="Times New Roman"/>
          <w:szCs w:val="24"/>
          <w:lang w:eastAsia="pl-PL"/>
        </w:rPr>
        <w:t>iosła (…). Zaskarżonej decyzji zarzucono naruszenie prawa materialnego i procesowego poprzez:</w:t>
      </w:r>
    </w:p>
    <w:p w:rsidR="007248A0" w:rsidRDefault="0077025D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 New Roman"/>
          <w:szCs w:val="24"/>
          <w:lang w:eastAsia="pl-PL"/>
        </w:rPr>
        <w:t>- naruszenie art. 7, art. 7a § 1, art. 8, art. 64 § 2, art. 77 § 1, art. 81a i art.107 § 1 pkt 6 i § 3 Kpa,</w:t>
      </w:r>
    </w:p>
    <w:p w:rsidR="007248A0" w:rsidRDefault="0077025D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 New Roman"/>
          <w:szCs w:val="24"/>
          <w:lang w:eastAsia="pl-PL"/>
        </w:rPr>
        <w:t xml:space="preserve">- naruszenie art. 35 ust. 1 pkt 1 lit. a ustawy Prawo </w:t>
      </w:r>
      <w:r>
        <w:rPr>
          <w:rFonts w:ascii="Times New Roman" w:hAnsi="Times New Roman" w:cs="Times New Roman"/>
          <w:szCs w:val="24"/>
          <w:lang w:eastAsia="pl-PL"/>
        </w:rPr>
        <w:t>budowlane,</w:t>
      </w:r>
    </w:p>
    <w:p w:rsidR="007248A0" w:rsidRDefault="0077025D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 New Roman"/>
          <w:szCs w:val="24"/>
          <w:lang w:eastAsia="pl-PL"/>
        </w:rPr>
        <w:t>- naruszenie art. 9 ust. 5 ustawy o planowaniu i zagospodarowaniu przestrzennym,</w:t>
      </w:r>
    </w:p>
    <w:p w:rsidR="007248A0" w:rsidRDefault="0077025D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 New Roman"/>
          <w:szCs w:val="24"/>
          <w:lang w:eastAsia="pl-PL"/>
        </w:rPr>
        <w:t>- błędne uznanie, iż w przedmiotowej sprawie mają bezpośrednie zastosowanie art. 10 ust. 2a i 15 ust. 3 pkt 3a ustawy o planowaniu i zagospodarowaniu przestrzennym,</w:t>
      </w:r>
    </w:p>
    <w:p w:rsidR="007248A0" w:rsidRDefault="0077025D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 New Roman"/>
          <w:szCs w:val="24"/>
          <w:lang w:eastAsia="pl-PL"/>
        </w:rPr>
        <w:t>- niezgodność decyzji z § 17 ust. 1 pkt 1, § 4 pkt 6 oraz § 4 pkt 10 Uchwały nr (..) Rady Miejskiej w (...) z dnia (...) 2020 r. w sprawie uchwalenia miejscowego planu zagospodarowania przestrzennego dla wybranych terenów w obszarze miasta (...), przy uli</w:t>
      </w:r>
      <w:r>
        <w:rPr>
          <w:rFonts w:ascii="Times New Roman" w:hAnsi="Times New Roman" w:cs="Times New Roman"/>
          <w:szCs w:val="24"/>
          <w:lang w:eastAsia="pl-PL"/>
        </w:rPr>
        <w:t>cach: (...), (...), (...) i (...),</w:t>
      </w:r>
    </w:p>
    <w:p w:rsidR="007248A0" w:rsidRDefault="0077025D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 New Roman"/>
          <w:szCs w:val="24"/>
          <w:lang w:eastAsia="pl-PL"/>
        </w:rPr>
        <w:t>- nie uwzględnienie § 3 ust. 1 pkt 54 rozporządzenia Rady Ministrów z dnia 10 września 2019 r. w sprawie przedsięwzięć mogących znacząco oddziaływać na środowisko,</w:t>
      </w:r>
    </w:p>
    <w:p w:rsidR="007248A0" w:rsidRDefault="0077025D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 New Roman"/>
          <w:szCs w:val="24"/>
          <w:lang w:eastAsia="pl-PL"/>
        </w:rPr>
        <w:t>- naruszenie art. 6 ust. 2 pkt 1 ustawy o planowaniu i za</w:t>
      </w:r>
      <w:r>
        <w:rPr>
          <w:rFonts w:ascii="Times New Roman" w:hAnsi="Times New Roman" w:cs="Times New Roman"/>
          <w:szCs w:val="24"/>
          <w:lang w:eastAsia="pl-PL"/>
        </w:rPr>
        <w:t>gospodarowaniu przestrzennym, co w konsekwencji powoduje łamanie prawa własności, wynikającego z art. 64 ust. 3 Konstytucji Rzeczypospolitej Polskiej z dnia 2 kwietnia 1997 r.</w:t>
      </w:r>
    </w:p>
    <w:p w:rsidR="007248A0" w:rsidRDefault="0077025D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 New Roman"/>
          <w:szCs w:val="24"/>
          <w:lang w:eastAsia="pl-PL"/>
        </w:rPr>
        <w:t xml:space="preserve">Wobec powyższego Skarżący wnosi o uchylenie zaskarżonej decyzji w całości. </w:t>
      </w:r>
      <w:r>
        <w:rPr>
          <w:rFonts w:ascii="Times New Roman" w:hAnsi="Times New Roman" w:cs="Times New Roman"/>
          <w:color w:val="000000"/>
          <w:szCs w:val="24"/>
          <w:lang w:eastAsia="pl-PL"/>
        </w:rPr>
        <w:t>Do zł</w:t>
      </w:r>
      <w:r>
        <w:rPr>
          <w:rFonts w:ascii="Times New Roman" w:hAnsi="Times New Roman" w:cs="Times New Roman"/>
          <w:color w:val="000000"/>
          <w:szCs w:val="24"/>
          <w:lang w:eastAsia="pl-PL"/>
        </w:rPr>
        <w:t xml:space="preserve">ożonej skargi załączono m.in. analizę przedstawiającą wyliczenie powierzchni zabudowy planowanej inwestycji zgodnie z miejscowym planem zagospodarowania przestrzennego. Wyniki analizy zostały przedstawione w formie graficznej na projekcie zagospodarowania </w:t>
      </w:r>
      <w:r>
        <w:rPr>
          <w:rFonts w:ascii="Times New Roman" w:hAnsi="Times New Roman" w:cs="Times New Roman"/>
          <w:color w:val="000000"/>
          <w:szCs w:val="24"/>
          <w:lang w:eastAsia="pl-PL"/>
        </w:rPr>
        <w:t>terenu oraz w tabeli podsumowującej wyliczenia. Skarżący wskazał, iż zarówno organ I instancji, jak i organ odwoławczy nie uwzględniły wątpliwości interpretacyjnych na korzyść Inwestora oraz nie odwołały się do intencji miejscowego planu zagospodarowania p</w:t>
      </w:r>
      <w:r>
        <w:rPr>
          <w:rFonts w:ascii="Times New Roman" w:hAnsi="Times New Roman" w:cs="Times New Roman"/>
          <w:color w:val="000000"/>
          <w:szCs w:val="24"/>
          <w:lang w:eastAsia="pl-PL"/>
        </w:rPr>
        <w:t xml:space="preserve">rzestrzennego, z którego jasno wynika dopuszczalność posadowienia elektrowni fotowoltaicznych. 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ab/>
        <w:t>Zgodnie z przepisem art. 54 § 3 ustawy z dnia 30 sierpnia 2002 roku – Prawo o postępowaniu przed sądami administracyjnymi w brzmieniu obowiązującym w dniu złoż</w:t>
      </w:r>
      <w:r>
        <w:rPr>
          <w:color w:val="000000"/>
          <w:sz w:val="24"/>
          <w:szCs w:val="24"/>
          <w:lang w:eastAsia="pl-PL"/>
        </w:rPr>
        <w:t>enia skargi „</w:t>
      </w:r>
      <w:r>
        <w:rPr>
          <w:i/>
          <w:iCs/>
          <w:color w:val="000000"/>
          <w:sz w:val="24"/>
          <w:szCs w:val="24"/>
          <w:lang w:eastAsia="pl-PL"/>
        </w:rPr>
        <w:t xml:space="preserve">organ, którego działanie, bezczynność </w:t>
      </w:r>
      <w:r>
        <w:rPr>
          <w:i/>
          <w:iCs/>
          <w:color w:val="333333"/>
          <w:sz w:val="24"/>
          <w:szCs w:val="24"/>
        </w:rPr>
        <w:t>lub</w:t>
      </w:r>
      <w:r>
        <w:rPr>
          <w:rFonts w:ascii="Noto Sans;sans-serif" w:hAnsi="Noto Sans;sans-serif"/>
          <w:iCs/>
          <w:color w:val="333333"/>
          <w:sz w:val="21"/>
        </w:rPr>
        <w:t xml:space="preserve"> </w:t>
      </w:r>
      <w:r>
        <w:rPr>
          <w:i/>
          <w:iCs/>
          <w:sz w:val="24"/>
          <w:szCs w:val="24"/>
        </w:rPr>
        <w:t xml:space="preserve">przewlekłe prowadzenie postępowania zaskarżono, może w zakresie swojej właściwości uwzględnić skargę w całości w terminie trzydziestu dni od dnia jej otrzymania. W przypadku skargi na decyzję, </w:t>
      </w:r>
      <w:r>
        <w:rPr>
          <w:i/>
          <w:iCs/>
          <w:sz w:val="24"/>
          <w:szCs w:val="24"/>
        </w:rPr>
        <w:lastRenderedPageBreak/>
        <w:t>uwzględn</w:t>
      </w:r>
      <w:r>
        <w:rPr>
          <w:i/>
          <w:iCs/>
          <w:sz w:val="24"/>
          <w:szCs w:val="24"/>
        </w:rPr>
        <w:t>iając skargę w całości, organ uchyla zaskarżoną decyzję i wydaje nową decyzję. Uwzględniając skargę, organ stwierdza jednocześnie, czy działanie, bezczynność lub przewlekłe prowadzenie postępowania miały miejsce bez podstawy prawnej albo z rażącym naruszen</w:t>
      </w:r>
      <w:r>
        <w:rPr>
          <w:i/>
          <w:iCs/>
          <w:sz w:val="24"/>
          <w:szCs w:val="24"/>
        </w:rPr>
        <w:t>iem prawa (...)</w:t>
      </w:r>
      <w:r>
        <w:rPr>
          <w:color w:val="000000"/>
          <w:sz w:val="24"/>
          <w:szCs w:val="24"/>
          <w:lang w:eastAsia="pl-PL"/>
        </w:rPr>
        <w:t>. Zgodnie zaś z przepisem art. 138 § 1 pkt 2 Kpa „</w:t>
      </w:r>
      <w:r>
        <w:rPr>
          <w:i/>
          <w:iCs/>
          <w:color w:val="000000"/>
          <w:sz w:val="24"/>
          <w:szCs w:val="24"/>
          <w:lang w:eastAsia="pl-PL"/>
        </w:rPr>
        <w:t xml:space="preserve">organ odwoławczy </w:t>
      </w:r>
      <w:r>
        <w:rPr>
          <w:i/>
          <w:iCs/>
          <w:sz w:val="24"/>
          <w:szCs w:val="24"/>
          <w:lang w:eastAsia="pl-PL"/>
        </w:rPr>
        <w:t>wydaje decyzję, w której uchyla zaskarżoną decyzję w całości albo w części i w tym zakresie orzeka co do istoty sprawy (…)”.</w:t>
      </w:r>
      <w:r>
        <w:rPr>
          <w:color w:val="000000"/>
          <w:sz w:val="24"/>
          <w:szCs w:val="24"/>
          <w:lang w:eastAsia="pl-PL"/>
        </w:rPr>
        <w:t xml:space="preserve"> 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ab/>
        <w:t>W ocenie Wojewody (...) skarga wniesiona na dec</w:t>
      </w:r>
      <w:r>
        <w:rPr>
          <w:color w:val="000000"/>
          <w:sz w:val="24"/>
          <w:szCs w:val="24"/>
          <w:lang w:eastAsia="pl-PL"/>
        </w:rPr>
        <w:t>yzję Wojewody (...) nr (...) z dnia (...) 2023 r. sprostowaną postanowieniem nr (...) z dnia (...) 2023 r. jest zasadna w całości.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ab/>
        <w:t>W myśl art. 7 Kpa, w toku postępowania organy administracji publicznej stoją na straży praworządności i podejmują wszelkie k</w:t>
      </w:r>
      <w:r>
        <w:rPr>
          <w:color w:val="000000"/>
          <w:sz w:val="24"/>
          <w:szCs w:val="24"/>
          <w:lang w:eastAsia="pl-PL"/>
        </w:rPr>
        <w:t>roki niezbędne do dokładnego wyjaśnienia stanu faktycznego oraz załatwienia sprawy, mając na względzie interes społeczny i słuszny interes obywateli. Natomiast, z wyrażonej w art. 8 Kpa zasady pogłębiania zaufania obywateli do organów administracji publicz</w:t>
      </w:r>
      <w:r>
        <w:rPr>
          <w:color w:val="000000"/>
          <w:sz w:val="24"/>
          <w:szCs w:val="24"/>
          <w:lang w:eastAsia="pl-PL"/>
        </w:rPr>
        <w:t>nej wynika konieczność prowadzenia postępowania z zasadami proporcjonalności, bezstronności i równego traktowania.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ab/>
        <w:t>Jak stanowi art. 77 § 1 Kpa, organ administracji publicznej jest obowiązany w sposób wyczerpujący zebrać i rozpatrzyć cały materiał dowodowy</w:t>
      </w:r>
      <w:r>
        <w:rPr>
          <w:color w:val="000000"/>
          <w:sz w:val="24"/>
          <w:szCs w:val="24"/>
          <w:lang w:eastAsia="pl-PL"/>
        </w:rPr>
        <w:t>. Art. 7 Kpa stanowi, że w toku postępowania organy administracji publicznej stoją na straży praworządności i podejmują wszelkie czynności niezbędne do dokładnego wyjaśnienia stanu faktycznego oraz załatwienia sprawy, mając na względzie interes społeczny i</w:t>
      </w:r>
      <w:r>
        <w:rPr>
          <w:color w:val="000000"/>
          <w:sz w:val="24"/>
          <w:szCs w:val="24"/>
          <w:lang w:eastAsia="pl-PL"/>
        </w:rPr>
        <w:t xml:space="preserve"> słuszny interes obywateli. Wobec czego bezspornym jest, iż organ II instancji nie ogranicza się jedynie do rozpatrzenia zarzutów zawartych w odwołaniu, ale również bada sprawę co do istoty. 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ab/>
        <w:t>W myśl art. 4 ustawy z dnia 7 lipca 1994 r. Prawo budowlane (Dz</w:t>
      </w:r>
      <w:r>
        <w:rPr>
          <w:color w:val="000000"/>
          <w:sz w:val="24"/>
          <w:szCs w:val="24"/>
          <w:lang w:eastAsia="pl-PL"/>
        </w:rPr>
        <w:t>. U. z 2023 r., poz. 682) każdy ma prawo zabudowy nieruchomości gruntowej, jeżeli wykaże prawo do dysponowania nieruchomością na cele budowlane, pod warunkiem zgodności zamierzenia budowlanego z przepisami, w tym między innymi z przepisami techniczno-budow</w:t>
      </w:r>
      <w:r>
        <w:rPr>
          <w:color w:val="000000"/>
          <w:sz w:val="24"/>
          <w:szCs w:val="24"/>
          <w:lang w:eastAsia="pl-PL"/>
        </w:rPr>
        <w:t>lanymi. Zabudowa nieruchomości może nastąpić po spełnieniu warunków określonych w miejscowym planie zagospodarowania będącym aktem prawa miejscowego, a w razie braku musi spełniać warunki określone w ostatecznej decyzji o warunkach zabudowy i zagospodarowa</w:t>
      </w:r>
      <w:r>
        <w:rPr>
          <w:color w:val="000000"/>
          <w:sz w:val="24"/>
          <w:szCs w:val="24"/>
          <w:lang w:eastAsia="pl-PL"/>
        </w:rPr>
        <w:t>nia terenu.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ab/>
        <w:t xml:space="preserve">Zgodnie z art. 35 ust. 1 ustawy Prawo budowlane, przed wydaniem decyzji o pozwoleniu na budowę lub odrębnej decyzji o zatwierdzeniu projektu budowlanego, właściwy organ sprawdza: 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>1) zgodność projektu zagospodarowania działki lub terenu oraz p</w:t>
      </w:r>
      <w:r>
        <w:rPr>
          <w:color w:val="000000"/>
          <w:sz w:val="24"/>
          <w:szCs w:val="24"/>
          <w:lang w:eastAsia="pl-PL"/>
        </w:rPr>
        <w:t>rojektu architektoniczno - budowlanego z: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lastRenderedPageBreak/>
        <w:t xml:space="preserve">a) ustaleniami miejscowego planu zagospodarowania przestrzennego i innymi aktami prawa miejscowego albo decyzji o warunkach zabudowy i zagospodarowania terenu w przypadku braku miejscowego planu, 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>b) wymaganiami oc</w:t>
      </w:r>
      <w:r>
        <w:rPr>
          <w:color w:val="000000"/>
          <w:sz w:val="24"/>
          <w:szCs w:val="24"/>
          <w:lang w:eastAsia="pl-PL"/>
        </w:rPr>
        <w:t>hrony środowiska, w szczególności określonymi w decyzji o środowiskowych uwarunkowaniach, o której mowa w art. 71 ust. 1 ustawy z dnia 3 października 2008 r. o udostępnianiu informacji o środowisku i jego ochronie, udziale społeczeństwa w ochronie środowis</w:t>
      </w:r>
      <w:r>
        <w:rPr>
          <w:color w:val="000000"/>
          <w:sz w:val="24"/>
          <w:szCs w:val="24"/>
          <w:lang w:eastAsia="pl-PL"/>
        </w:rPr>
        <w:t xml:space="preserve">ka oraz o ocenach oddziaływania na środowisko, 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>c) ustaleniami uchwały o ustaleniu lokalizacji inwestycji mieszkaniowej;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>2) zgodność projektu zagospodarowania działki lub terenu z przepisami, w tym techniczno - budowlanymi;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>3) kompletność projektu zagospod</w:t>
      </w:r>
      <w:r>
        <w:rPr>
          <w:color w:val="000000"/>
          <w:sz w:val="24"/>
          <w:szCs w:val="24"/>
          <w:lang w:eastAsia="pl-PL"/>
        </w:rPr>
        <w:t>arowania działki lub terenu oraz projektu architektoniczno - budowlanego, w tym dołączenie: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 xml:space="preserve">a) (uchylona) 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 xml:space="preserve">b) (uchylona), 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>c) kopii zaświadczenia, o którym mowa w art. 12 ust. 7, dotyczącego projektanta i projektanta sprawdzającego,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>d) (uchylona);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 xml:space="preserve">3a) dołączenie: 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 xml:space="preserve">a) wymaganych opinii, uzgodnień, pozwoleń i sprawdzeń, 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 xml:space="preserve">b) oświadczeń, o których mowa w art. 33 ust. 2 pkt 9 i 10; 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>4) posiadanie przez projektanta i projektanta sprawdzającego odpowiednich uprawnień budowlanych na podstawie: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 xml:space="preserve">a) kopii dokumentów, o których mowa w art. 34 ust. 3d pkt 1 - w przypadku uprawnień niewpisanych do centralnego rejestru osób posiadających uprawnienia budowlane, 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>b) danych w centralnym rejestrze osób posiadających uprawnienia budowlane - w przypadku upra</w:t>
      </w:r>
      <w:r>
        <w:rPr>
          <w:color w:val="000000"/>
          <w:sz w:val="24"/>
          <w:szCs w:val="24"/>
          <w:lang w:eastAsia="pl-PL"/>
        </w:rPr>
        <w:t xml:space="preserve">wnień wpisanych do tego rejestru; 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 xml:space="preserve">4a) przynależność projektanta i projektanta sprawdzającego do właściwej izby samorządu zawodowego na podstawie: 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>a) zaświadczenia, o którym mowa w art. 12 ust. 7 - w przypadku osób niewpisanych do centralnego rejestru osó</w:t>
      </w:r>
      <w:r>
        <w:rPr>
          <w:color w:val="000000"/>
          <w:sz w:val="24"/>
          <w:szCs w:val="24"/>
          <w:lang w:eastAsia="pl-PL"/>
        </w:rPr>
        <w:t xml:space="preserve">b posiadających uprawnienia budowlane, 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 xml:space="preserve">b) danych w centralnym rejestrze osób posiadających uprawnienia budowlane - w przypadku osób wpisanych do tego rejestru; 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>5) (uchylony).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lastRenderedPageBreak/>
        <w:tab/>
        <w:t>Jak stanowią ustalenia art. 35 ust. 3 powyższej ustawy, w razie stwierdzenia n</w:t>
      </w:r>
      <w:r>
        <w:rPr>
          <w:color w:val="000000"/>
          <w:sz w:val="24"/>
          <w:szCs w:val="24"/>
          <w:lang w:eastAsia="pl-PL"/>
        </w:rPr>
        <w:t>aruszeń, w zakresie określonym w ust. 1 właściwy organ nakłada postanowieniem obowiązek usunięcia wskazanych nieprawidłowości, określając termin ich usunięcia, a po jego bezskutecznym upływie wydaje decyzję o odmowie zatwierdzenia projektu i udzielenia poz</w:t>
      </w:r>
      <w:r>
        <w:rPr>
          <w:color w:val="000000"/>
          <w:sz w:val="24"/>
          <w:szCs w:val="24"/>
          <w:lang w:eastAsia="pl-PL"/>
        </w:rPr>
        <w:t xml:space="preserve">wolenia na budowę. Taka sytuacja miała miejsce w przedmiotowej sprawie. 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ab/>
        <w:t>Organ I instancji, postanowieniem nr (...) r. z dnia (...) 2023 r., nałożył na inwestora, obowiązek usunięcia wskazanych nieprawidłowości. Inwestor przedłożył uzupełnioną dokumentacj</w:t>
      </w:r>
      <w:r>
        <w:rPr>
          <w:color w:val="000000"/>
          <w:sz w:val="24"/>
          <w:szCs w:val="24"/>
          <w:lang w:eastAsia="pl-PL"/>
        </w:rPr>
        <w:t xml:space="preserve">ę w wyznaczonym terminie, jednakże zdaniem organu I instancji inwestor nie uzupełnił wszystkich braków wskazanych w postanowieniu. 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ab/>
        <w:t>Planowana inwestycja, zgodnie z wnioskiem, polega na budowie wolnostojącej elektrowni fotowoltaicznej „(...)” o mocy do 6,8</w:t>
      </w:r>
      <w:r>
        <w:rPr>
          <w:color w:val="000000"/>
          <w:sz w:val="24"/>
          <w:szCs w:val="24"/>
          <w:lang w:eastAsia="pl-PL"/>
        </w:rPr>
        <w:t xml:space="preserve"> MW wraz z instalacjami i urządzeniami technicznymi oraz pozostałą niezbędną infrastrukturą techniczną na działce nr </w:t>
      </w:r>
      <w:r>
        <w:rPr>
          <w:color w:val="000000"/>
          <w:sz w:val="24"/>
          <w:szCs w:val="24"/>
          <w:lang w:eastAsia="pl-PL"/>
        </w:rPr>
        <w:t xml:space="preserve"> </w:t>
      </w:r>
      <w:r>
        <w:rPr>
          <w:color w:val="000000"/>
          <w:szCs w:val="24"/>
          <w:lang w:eastAsia="pl-PL"/>
        </w:rPr>
        <w:t>(...), (...), (...), (...), (...), (...), (...), (...), (...), (...), (...), (...) obr. (...), (….)</w:t>
      </w:r>
      <w:r>
        <w:rPr>
          <w:color w:val="000000"/>
          <w:sz w:val="24"/>
          <w:szCs w:val="24"/>
          <w:lang w:eastAsia="pl-PL"/>
        </w:rPr>
        <w:t>.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ab/>
        <w:t>Zabudowa nieruchomości może nastąpić</w:t>
      </w:r>
      <w:r>
        <w:rPr>
          <w:color w:val="000000"/>
          <w:sz w:val="24"/>
          <w:szCs w:val="24"/>
          <w:lang w:eastAsia="pl-PL"/>
        </w:rPr>
        <w:t xml:space="preserve"> zgodnie z warunkami określonymi w miejscowym planie zagospodarowania przestrzennego, a w razie jego braku w decyzji o warunkach zabudowy. 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ab/>
        <w:t>Obszar, na którym zlokalizowana jest inwestycja, objęty jest ustaleniami miejscowego planu zagospodarowania przestr</w:t>
      </w:r>
      <w:r>
        <w:rPr>
          <w:color w:val="000000"/>
          <w:sz w:val="24"/>
          <w:szCs w:val="24"/>
          <w:lang w:eastAsia="pl-PL"/>
        </w:rPr>
        <w:t>zennego miasta (.), zatwierdzonego Uchwałą Rady Miejskiej w(...) nr (...) z dnia (...) 2020 r. w sprawie uchwalenia miejscowego planu zagospodarowania przestrzennego dla wybranych terenów w obszarze miasta (...), przy ulicach: (...), (...), (...) i (...) (</w:t>
      </w:r>
      <w:r>
        <w:rPr>
          <w:color w:val="000000"/>
          <w:sz w:val="24"/>
          <w:szCs w:val="24"/>
          <w:lang w:eastAsia="pl-PL"/>
        </w:rPr>
        <w:t>Dz. Urz. Woj. (...) z dnia (...) 2020 r. poz. (...)) i znajduje się w jednostce oznaczonej symbolem 20 P-U i 35 P-U (zabudowa przemysłowo – usługowa).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ab/>
        <w:t>Po zapoznaniu się ze skargą inwestora organ wojewódzki ponownie przeanalizował zgodność inwestycji z ust</w:t>
      </w:r>
      <w:r>
        <w:rPr>
          <w:color w:val="000000"/>
          <w:sz w:val="24"/>
          <w:szCs w:val="24"/>
          <w:lang w:eastAsia="pl-PL"/>
        </w:rPr>
        <w:t>aleniami ww. miejscowego planu zagospodarowania przestrzennego.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ab/>
        <w:t>Plan w § 17 ust. 1 pkt 1 ustala przeznaczenie terenów: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>a) zabudowę przemysłową (produkcyjną), magazyny, składy, obsługę transportową, usługi (z wykluczeniem oświaty, ochrony zdrowia), jako po</w:t>
      </w:r>
      <w:r>
        <w:rPr>
          <w:color w:val="000000"/>
          <w:sz w:val="24"/>
          <w:szCs w:val="24"/>
          <w:lang w:eastAsia="pl-PL"/>
        </w:rPr>
        <w:t>dstawowe przeznaczenie terenu,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>b) obiekty administracyjne, socjalne związane z podstawowym przeznaczeniem terenu, jako dopuszczalne przeznaczenie terenu,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>c) urządzenia obsługi komunikacji samochodowej (w tym stacje paliw), jako dopuszczalne przeznaczenie t</w:t>
      </w:r>
      <w:r>
        <w:rPr>
          <w:color w:val="000000"/>
          <w:sz w:val="24"/>
          <w:szCs w:val="24"/>
          <w:lang w:eastAsia="pl-PL"/>
        </w:rPr>
        <w:t>erenu,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>d) urządzenia wytwarzające energię z odnawialnych źródeł energii o mocy przekraczającej 100 kW w postaci: geotermiki, pomp ciepła, kolektorów słonecznych oraz ogniw fotowoltaicznych, jako dopuszczalne przeznaczenie terenu, z zastrzeżeniem ust. 2 pkt</w:t>
      </w:r>
      <w:r>
        <w:rPr>
          <w:color w:val="000000"/>
          <w:sz w:val="24"/>
          <w:szCs w:val="24"/>
          <w:lang w:eastAsia="pl-PL"/>
        </w:rPr>
        <w:t xml:space="preserve"> 1 lit. a,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lastRenderedPageBreak/>
        <w:t>e) place manewrowe, składowe, parkingi, dojazdy, jako dopuszczalne przeznaczenie terenu,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>f) zieleń, jako dopuszczalne przeznaczenie terenu,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>g) urządzenia i sieci infrastruktury technicznej, jako dopuszczalne przeznaczenie terenu.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ab/>
        <w:t>Planowana inwe</w:t>
      </w:r>
      <w:r>
        <w:rPr>
          <w:color w:val="000000"/>
          <w:sz w:val="24"/>
          <w:szCs w:val="24"/>
          <w:lang w:eastAsia="pl-PL"/>
        </w:rPr>
        <w:t>stycja tj. wolnostojąca elektrownia (farma) fotowoltaiczna posadowiona bezpośrednio na gruncie, mająca produkować (wytwarzać) energię elektryczną poprzez zmianę energii promieniowania słonecznego w energię elektryczną, stanowi zabudowę przemysłową (produkc</w:t>
      </w:r>
      <w:r>
        <w:rPr>
          <w:color w:val="000000"/>
          <w:sz w:val="24"/>
          <w:szCs w:val="24"/>
          <w:lang w:eastAsia="pl-PL"/>
        </w:rPr>
        <w:t xml:space="preserve">yjną). 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ab/>
        <w:t>Zgodnie z art. 3 pkt 45 ustawy z dnia 10 kwietnia 1997 r. - Prawo energetyczne (Dz. U. z 2022 r. poz. 1385), wytwarzaniem jest m.in. produkcja energii elektrycznej w procesie energetycznym. Niewątpliwie za wytwarzanie energii elektrycznej należy u</w:t>
      </w:r>
      <w:r>
        <w:rPr>
          <w:color w:val="000000"/>
          <w:sz w:val="24"/>
          <w:szCs w:val="24"/>
          <w:lang w:eastAsia="pl-PL"/>
        </w:rPr>
        <w:t xml:space="preserve">znać także zmianę energii promieniowania słonecznego w energię elektryczną, jaka dokonuje się z wykorzystaniem instalacji fotowoltaicznych. 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ab/>
        <w:t>Biorąc również pod uwagę definicję zawartą w Słowniku języka polskiego PWN słowo produkować rozumie się jako „wytw</w:t>
      </w:r>
      <w:r>
        <w:rPr>
          <w:color w:val="000000"/>
          <w:sz w:val="24"/>
          <w:szCs w:val="24"/>
          <w:lang w:eastAsia="pl-PL"/>
        </w:rPr>
        <w:t xml:space="preserve">arzać jakiś towar”. Nie ulega wątpliwości, że energia elektryczna jest towarem, gdyż stanowi ona przedmiot obrotu na rynku (np. na Towarowej Giełdzie Energii). 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ab/>
        <w:t>Za uznaniem wielkoskalowych elektrowni (farm) fotowoltaicznych za zabudowę przemysłową (produk</w:t>
      </w:r>
      <w:r>
        <w:rPr>
          <w:color w:val="000000"/>
          <w:sz w:val="24"/>
          <w:szCs w:val="24"/>
          <w:lang w:eastAsia="pl-PL"/>
        </w:rPr>
        <w:t>cyjną) przemawia również wykładnia systemowa. Albowiem zgodnie z treścią § 3 ust. 1 pkt 54 rozporządzenia Rady Ministrów z dnia 10 września 2019 r. w sprawie przedsięwzięć mogących znacząco oddziaływać na środowisko (Dz. U. z 2019 r. poz. 1839), zabudowa f</w:t>
      </w:r>
      <w:r>
        <w:rPr>
          <w:color w:val="000000"/>
          <w:sz w:val="24"/>
          <w:szCs w:val="24"/>
          <w:lang w:eastAsia="pl-PL"/>
        </w:rPr>
        <w:t xml:space="preserve">armami fotowoltaicznymi jest wprost zaliczana do zabudowy przemysłowej. 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ab/>
      </w:r>
      <w:r>
        <w:rPr>
          <w:color w:val="000000"/>
          <w:sz w:val="24"/>
          <w:szCs w:val="24"/>
          <w:lang w:eastAsia="pl-PL"/>
        </w:rPr>
        <w:t>Zgodnie z orzecznictwem sądowoadministracyjnym, elektrownie fotowoltaiczne również traktowane są jako urządzenia przemysłowe. I tak np. w wyroku Naczelnego Sądu Administracyjnego z dnia 29 listopada 2022 r., sygn. akt III OSK 6301/21 sąd stwierdza, że „ele</w:t>
      </w:r>
      <w:r>
        <w:rPr>
          <w:color w:val="000000"/>
          <w:sz w:val="24"/>
          <w:szCs w:val="24"/>
          <w:lang w:eastAsia="pl-PL"/>
        </w:rPr>
        <w:t xml:space="preserve">ktrownia fotowoltaiczna jest urządzeniem przemysłowym. Przy ocenie, czy elektrownia fotowoltaiczna może być uznana za urządzenie przemysłowe, zasadnicze znaczenie ma to, że podstawowym celem instalacji fotowoltaicznej jest wytwarzanie energii elektrycznej </w:t>
      </w:r>
      <w:r>
        <w:rPr>
          <w:color w:val="000000"/>
          <w:sz w:val="24"/>
          <w:szCs w:val="24"/>
          <w:lang w:eastAsia="pl-PL"/>
        </w:rPr>
        <w:t xml:space="preserve">i jej sprzedaż”. 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ab/>
        <w:t>Powyższe znajduje również potwierdzenie w orzecznictwie innych sądów administracyjnych, które jasno wskazują, że instalacja odnawialnego źródła energii w postaci elektrowni fotowoltaicznej (słonecznej) pełni funkcje przemysłowe (produkcy</w:t>
      </w:r>
      <w:r>
        <w:rPr>
          <w:color w:val="000000"/>
          <w:sz w:val="24"/>
          <w:szCs w:val="24"/>
          <w:lang w:eastAsia="pl-PL"/>
        </w:rPr>
        <w:t xml:space="preserve">jne), polegające na produkcji energii ze źródła odnawialnego (por. wyrok WSA w Gorzowie Wielkopolskim z dnia 13 marca 2019 r., sygn. akt II SA/Go 63/19; wyrok WSA w Szczecinie z dnia </w:t>
      </w:r>
      <w:r>
        <w:rPr>
          <w:color w:val="000000"/>
          <w:sz w:val="24"/>
          <w:szCs w:val="24"/>
          <w:lang w:eastAsia="pl-PL"/>
        </w:rPr>
        <w:lastRenderedPageBreak/>
        <w:t xml:space="preserve">17 września 2015 r., sygn. akt II SA/Sz 128/15; wyrok WSA w Łodzi z dnia </w:t>
      </w:r>
      <w:r>
        <w:rPr>
          <w:color w:val="000000"/>
          <w:sz w:val="24"/>
          <w:szCs w:val="24"/>
          <w:lang w:eastAsia="pl-PL"/>
        </w:rPr>
        <w:t xml:space="preserve">21 kwietnia 2021 r., sygn. akt II SA/Łd 798/20; wyrok WSA w Łodzi z dnia 21 lipca 2022 r., sygn. akt 502/22; wyrok WSA w Łodzi z dnia 19 sierpnia 2022 r., sygn. akt II SA/Łd 520/22). 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ab/>
        <w:t xml:space="preserve">Jak wynika z orzecznictwa sądowoadministracyjnego, fotowoltaika mieści </w:t>
      </w:r>
      <w:r>
        <w:rPr>
          <w:color w:val="000000"/>
          <w:sz w:val="24"/>
          <w:szCs w:val="24"/>
          <w:lang w:eastAsia="pl-PL"/>
        </w:rPr>
        <w:t xml:space="preserve">się w przeznaczeniu produkcyjnym jednakże, w przedmiotowym miejscowym planie zagospodarowania przestrzennego, Rada Gminy świadomie wyodrębniła określony rodzaj produkcji w postaci paneli fotowoltaicznych i ograniczyła go do przeznaczenia dopuszczalnego. </w:t>
      </w:r>
    </w:p>
    <w:p w:rsidR="007248A0" w:rsidRDefault="007248A0">
      <w:pPr>
        <w:snapToGri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ab/>
        <w:t>Zgodnie z § 4 pkt 7 obowiązującego planu miejscowego przez podstawowe przeznaczenie terenu należy rozumieć takie przeznaczenie, które przeważa na danym terenie (tj. stanowi powyżej 50% powierzchni nieruchomości, terenu oznaczonego danym symbolem) wyznaczo</w:t>
      </w:r>
      <w:r>
        <w:rPr>
          <w:color w:val="000000"/>
          <w:sz w:val="24"/>
          <w:szCs w:val="24"/>
          <w:lang w:eastAsia="pl-PL"/>
        </w:rPr>
        <w:t xml:space="preserve">nym liniami rozgraniczającymi, zaś zgodnie z § 4 pkt 8 przez dopuszczalne przeznaczenie terenu należy rozumieć rodzaje przeznaczenia inne niż podstawowe, które uzupełniają lub wzbogacają przeznaczenie podstawowe. 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ab/>
        <w:t>Projektowana inwestycja nie przeważa na d</w:t>
      </w:r>
      <w:r>
        <w:rPr>
          <w:color w:val="000000"/>
          <w:sz w:val="24"/>
          <w:szCs w:val="24"/>
          <w:lang w:eastAsia="pl-PL"/>
        </w:rPr>
        <w:t xml:space="preserve">anych terenach tj. nie przekracza 50% powierzchni żadnej z nieruchomości objętych projektem i położonych na poszczególnych terenach oznaczonych jako 20 P-U i 35 P-U, jak również będzie uzupełniać i wzbogacać przeznaczenie podstawowe. 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ab/>
        <w:t>Planowana inwestycja</w:t>
      </w:r>
      <w:r>
        <w:rPr>
          <w:color w:val="000000"/>
          <w:sz w:val="24"/>
          <w:szCs w:val="24"/>
          <w:lang w:eastAsia="pl-PL"/>
        </w:rPr>
        <w:t xml:space="preserve"> ma zostać zlokalizowana na dwóch różnych terenach tj. 20 P-U i 35 P-U, zatem analizę dotyczącą powierzchni zabudowy należy przeprowadzić dla każdego terenu osobno. 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ab/>
        <w:t>Zgodnie z definicją zawartą w § 4 pkt 10 miejscowego planu zagospodarowania przestrzenneg</w:t>
      </w:r>
      <w:r>
        <w:rPr>
          <w:color w:val="000000"/>
          <w:sz w:val="24"/>
          <w:szCs w:val="24"/>
          <w:lang w:eastAsia="pl-PL"/>
        </w:rPr>
        <w:t>o, w przypadku urządzeń fotowoltaicznych montowanych bezpośrednio na gruncie za powierzchnię zabudowy należy rozumieć „powierzchnię działki budowlanej zajętej przez wszystkie panele fotowoltaiczne oraz rzuty poziome obiektów towarzyszących, związanych z fu</w:t>
      </w:r>
      <w:r>
        <w:rPr>
          <w:color w:val="000000"/>
          <w:sz w:val="24"/>
          <w:szCs w:val="24"/>
          <w:lang w:eastAsia="pl-PL"/>
        </w:rPr>
        <w:t xml:space="preserve">nkcjonowaniem farmy fotowoltaicznej w ich obrysie zewnętrznym”. 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ab/>
        <w:t>Z załączonej przez inwestora analizy wynika, iż wskaźnik powierzchni zabudowy dla każdego z terenów nie przekroczy 50%. Dla terenu oznaczonego w planie symbolem 20 P- U powierzchnia zabudowy</w:t>
      </w:r>
      <w:r>
        <w:rPr>
          <w:color w:val="000000"/>
          <w:sz w:val="24"/>
          <w:szCs w:val="24"/>
          <w:lang w:eastAsia="pl-PL"/>
        </w:rPr>
        <w:t xml:space="preserve"> wyniesie 35,92 % powierzchni nieruchomości, zaś dla terenu oznaczonego symbolem 35 P-U powierzchnia ta wyniesie 12,24 %. 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ab/>
        <w:t>W ocenie organu odwoławczego uznać należy, iż przedmiotowa inwestycja jest produkcją i spełnia dopuszczalne przeznaczenie terenu.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lastRenderedPageBreak/>
        <w:tab/>
        <w:t>P</w:t>
      </w:r>
      <w:r>
        <w:rPr>
          <w:color w:val="000000"/>
          <w:sz w:val="24"/>
          <w:szCs w:val="24"/>
          <w:lang w:eastAsia="pl-PL"/>
        </w:rPr>
        <w:t>onadto projektowana inwestycja spełnia ustalone w planie warunki zagospodarowania, takie jak: wskaźnik intensywności zabudowy wynosi 0,3 (minimalny wskaźnik intensywności zabudowy ustalony w planie to 0,1, zaś maksymalny 0,8), wskaźnik powierzchni biologic</w:t>
      </w:r>
      <w:r>
        <w:rPr>
          <w:color w:val="000000"/>
          <w:sz w:val="24"/>
          <w:szCs w:val="24"/>
          <w:lang w:eastAsia="pl-PL"/>
        </w:rPr>
        <w:t>znie czynnej wynosi 68,60% (minimalny udział powierzchni biologicznie czynnej wynosi 5%)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ab/>
        <w:t>Po ponownym zapoznaniu się z ustaleniami planu i wyjaśnieniami zawartymi w skardze inwestora na decyzję organ wojewódzki uznał, iż przedmiotowa inwestycja spełnia ust</w:t>
      </w:r>
      <w:r>
        <w:rPr>
          <w:color w:val="000000"/>
          <w:sz w:val="24"/>
          <w:szCs w:val="24"/>
          <w:lang w:eastAsia="pl-PL"/>
        </w:rPr>
        <w:t xml:space="preserve">alenia obowiązującego miejscowego planu zagospodarowania przestrzennego. 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ab/>
        <w:t xml:space="preserve">Ponadto najbliższe tereny zabudowy mieszkaniowej znajdują się w odległości ok. 148 m do projektowanej inwestycji, a odległość od najbliższego budynku mieszkalnego wynosi ok. 210 m. 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ab/>
        <w:t>Projektowana inwestycja nie oddziałuje negatywnie na działki sąsiednie i nie pogarsza obecnie istniejących warunków użytkowania działek sąsiednich, nie powoduje przesłaniania i zacieniania istniejących i projektowanych obiektów, nie powoduje ograniczenia</w:t>
      </w:r>
      <w:r>
        <w:rPr>
          <w:color w:val="000000"/>
          <w:sz w:val="24"/>
          <w:szCs w:val="24"/>
          <w:lang w:eastAsia="pl-PL"/>
        </w:rPr>
        <w:t xml:space="preserve"> w wykorzystaniu pod zabudowę działek sąsiednich. Ponadto zlokalizowana jest zgodnie z przepisami w zakresie jej lokalizacji od granicy działek oraz wykonywanych w przyszłości dróg lokalnych. Nie wpływa negatywnie na środowisko. Spełnia wymagania w zakresi</w:t>
      </w:r>
      <w:r>
        <w:rPr>
          <w:color w:val="000000"/>
          <w:sz w:val="24"/>
          <w:szCs w:val="24"/>
          <w:lang w:eastAsia="pl-PL"/>
        </w:rPr>
        <w:t xml:space="preserve">e lokalizacji i sposobu jej wykonania przepisy ochrony przeciwpożarowej. </w:t>
      </w:r>
    </w:p>
    <w:p w:rsidR="007248A0" w:rsidRDefault="0077025D">
      <w:pPr>
        <w:snapToGrid w:val="0"/>
        <w:spacing w:line="360" w:lineRule="auto"/>
        <w:jc w:val="both"/>
      </w:pPr>
      <w:r>
        <w:tab/>
      </w:r>
      <w:r>
        <w:rPr>
          <w:sz w:val="24"/>
          <w:szCs w:val="24"/>
        </w:rPr>
        <w:t xml:space="preserve">Projektowana inwestycja zgodna jest z ustaleniami ostatecznej decyzji Burmistrza (…) znak: (...) z dnia (...) 2022 r. o środowiskowych uwarunkowaniach dla przedmiotowej inwestycji. </w:t>
      </w:r>
      <w:r>
        <w:rPr>
          <w:sz w:val="24"/>
          <w:szCs w:val="24"/>
        </w:rPr>
        <w:t xml:space="preserve">Inwestycja, zgodnie z § 3 ust. 1 pkt 54 lit. b ww. rozporządzenia w sprawie przedsięwzięć mogących znacząco oddziaływać na środowisko, należy do przedsięwzięć mogących potencjalnie znacząco oddziaływać na środowisko. 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ab/>
        <w:t>Przedstawiony projekt budowlany spełn</w:t>
      </w:r>
      <w:r>
        <w:rPr>
          <w:color w:val="000000"/>
          <w:sz w:val="24"/>
          <w:szCs w:val="24"/>
          <w:lang w:eastAsia="pl-PL"/>
        </w:rPr>
        <w:t xml:space="preserve">ia również wymagania rozporządzenia Ministra Rozwoju z dnia 11 września 2020 r. w sprawie szczegółowego zakresu i formy projektu budowlanego (Dz. U. z 2022 r., poz. 1679 ze zm). 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ab/>
        <w:t>Analizując kwestie formalne, do dokumentacji załączone zostało wymagane oświ</w:t>
      </w:r>
      <w:r>
        <w:rPr>
          <w:color w:val="000000"/>
          <w:sz w:val="24"/>
          <w:szCs w:val="24"/>
          <w:lang w:eastAsia="pl-PL"/>
        </w:rPr>
        <w:t xml:space="preserve">adczenie inwestora o posiadanym prawie do dysponowania nieruchomością na cele budowlane, zastosowane rozwiązania zostały zaprojektowane przez osoby posiadające wymagane uprawnienia budowlane, aktualne na dzień ich opracowania, oraz złożyły oświadczenia, o </w:t>
      </w:r>
      <w:r>
        <w:rPr>
          <w:color w:val="000000"/>
          <w:sz w:val="24"/>
          <w:szCs w:val="24"/>
          <w:lang w:eastAsia="pl-PL"/>
        </w:rPr>
        <w:t xml:space="preserve">których mowa w art. 20 ust. 4 Prawa budowlanego, dotyczące sporządzenia projektu budowlanego zgodnie z obowiązującymi przepisami i zasadami wiedzy technicznej. Dokumentacja projektowa zawiera informację dotycząca bezpieczeństwa i ochrony zdrowia zgodnie z </w:t>
      </w:r>
      <w:r>
        <w:rPr>
          <w:color w:val="000000"/>
          <w:sz w:val="24"/>
          <w:szCs w:val="24"/>
          <w:lang w:eastAsia="pl-PL"/>
        </w:rPr>
        <w:t>art. 35 ust.3 pkt 3 ustawy Prawo budowlane.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lastRenderedPageBreak/>
        <w:tab/>
        <w:t>Tutejszy organ po ponownej analizie projektu budowlanego i sprawdzeniu jego zgodności z art. 32-35 Prawa budowlanego stwierdza, że planowana inwestycja spełnia wszystkie wymagania określone przepisami prawa. Pro</w:t>
      </w:r>
      <w:r>
        <w:rPr>
          <w:color w:val="000000"/>
          <w:sz w:val="24"/>
          <w:szCs w:val="24"/>
          <w:lang w:eastAsia="pl-PL"/>
        </w:rPr>
        <w:t xml:space="preserve">jekt budowlany jest zgodny z obowiązującymi regulacjami prawnymi. W myśl art. 35 ust. 4 ustawy - Prawo budowlane w razie spełnienia wymagań określonych w ust. 1 oraz w art. 32 ust. 4, właściwy organ nie może odmówić wydania decyzji o pozwoleniu na budowę. </w:t>
      </w:r>
      <w:r>
        <w:rPr>
          <w:color w:val="000000"/>
          <w:sz w:val="24"/>
          <w:szCs w:val="24"/>
          <w:lang w:eastAsia="pl-PL"/>
        </w:rPr>
        <w:t>Nie można podmiotowi legitymującemu się prawem do dysponowania nieruchomością na cele budowlane i spełniającemu wszelkie wymagania stawiane szeroko rozumianym prawem budowlanym i prawem o zagospodarowaniu przestrzennym, który posiada wymagane decyzje odmów</w:t>
      </w:r>
      <w:r>
        <w:rPr>
          <w:color w:val="000000"/>
          <w:sz w:val="24"/>
          <w:szCs w:val="24"/>
          <w:lang w:eastAsia="pl-PL"/>
        </w:rPr>
        <w:t>ić prawa do realizacji określonej inwestycji na jego gruncie.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ab/>
        <w:t>Reasumując powyższe uznano, że spełnione zostały wymogi art. 35 ust. 1 oraz art. 32 ust. 4 Prawa budowlanego co oznacza, że stosownie do art. 35 ust. 4 ww. ustawy, w przypadku spełnienia tych w</w:t>
      </w:r>
      <w:r>
        <w:rPr>
          <w:color w:val="000000"/>
          <w:sz w:val="24"/>
          <w:szCs w:val="24"/>
          <w:lang w:eastAsia="pl-PL"/>
        </w:rPr>
        <w:t>ymogów organ administracji architektoniczno-budowlanej winien wydać decyzję o udzieleniu pozwolenia na budowę. Należało zatem uchylić w całości własną decyzję nr (...) z dnia (...) 2023 r. sprostowaną postanowieniem nr (...) z dnia (...) 2023 r. i poprzedz</w:t>
      </w:r>
      <w:r>
        <w:rPr>
          <w:color w:val="000000"/>
          <w:sz w:val="24"/>
          <w:szCs w:val="24"/>
          <w:lang w:eastAsia="pl-PL"/>
        </w:rPr>
        <w:t xml:space="preserve">ającą ja decyzję Starosty (...) nr (...) z dnia (...) 2023 r. oraz zatwierdzić projekt zagospodarowania działki oraz projekt architektoniczno - budowlany i udzielić dla (...) pozwolenia na budowę przedmiotowej inwestycji. 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ab/>
        <w:t>Ponadto wskazać należy, iż postę</w:t>
      </w:r>
      <w:r>
        <w:rPr>
          <w:color w:val="000000"/>
          <w:sz w:val="24"/>
          <w:szCs w:val="24"/>
          <w:lang w:eastAsia="pl-PL"/>
        </w:rPr>
        <w:t>powanie organu wojewódzkiego nie było prowadzone bez podstawy prawnej oraz z rażącym naruszeniem prawa. Z orzecznictwa wynika, że rażące naruszenie prawa to kwalifikowane naruszenie normy prawnej występujące wówczas, gdy istnieje oczywista sprzeczność międ</w:t>
      </w:r>
      <w:r>
        <w:rPr>
          <w:color w:val="000000"/>
          <w:sz w:val="24"/>
          <w:szCs w:val="24"/>
          <w:lang w:eastAsia="pl-PL"/>
        </w:rPr>
        <w:t>zy treścią przepisu a rozstrzygnięciem zawartym w decyzji. O rażącym naruszeniu prawa nie można mówić, w sytuacji gdy dochodzi do rozbieżności w orzecznictwie sądów administracyjnych. Natomiast z racji tego, że przy ocenie zgodności inwestycji z ustaleniam</w:t>
      </w:r>
      <w:r>
        <w:rPr>
          <w:color w:val="000000"/>
          <w:sz w:val="24"/>
          <w:szCs w:val="24"/>
          <w:lang w:eastAsia="pl-PL"/>
        </w:rPr>
        <w:t xml:space="preserve">i miejscowego planu zagospodarowania przestrzennego wykształciły się sprzeczne orzeczenia, to nie sposób przyjąć, że wykładnia organu wpisująca się w jeden ze sposobów interpretacji przepisów rażąco narusza prawo. 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ab/>
        <w:t>Działalność organów administracji public</w:t>
      </w:r>
      <w:r>
        <w:rPr>
          <w:color w:val="000000"/>
          <w:sz w:val="24"/>
          <w:szCs w:val="24"/>
          <w:lang w:eastAsia="pl-PL"/>
        </w:rPr>
        <w:t>znej w zakresie udzielania pozwoleń na budowę określają przepisy ustawy - Prawo budowlane oraz rozporządzenia wykonawcze do tej ustawy, a także ustawa - Kodeks postępowania administracyjnego i zgodnie z tymi przepisami rozstrzygnięto niniejszą sprawę.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ab/>
        <w:t>Nin</w:t>
      </w:r>
      <w:r>
        <w:rPr>
          <w:color w:val="000000"/>
          <w:sz w:val="24"/>
          <w:szCs w:val="24"/>
          <w:lang w:eastAsia="pl-PL"/>
        </w:rPr>
        <w:t xml:space="preserve">iejsza decyzja jest ostateczna w administracyjnym toku instancji. 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ab/>
        <w:t xml:space="preserve">Zgodnie z art. 53 § 1 i art. 54 § 1 ustawy z dnia 30 sierpnia 2002 r. - Prawo o postępowaniu przed sądami administracyjnymi (t.j. Dz. U. z 2023 r. poz. 329 ze zm.) </w:t>
      </w:r>
      <w:r>
        <w:rPr>
          <w:color w:val="000000"/>
          <w:sz w:val="24"/>
          <w:szCs w:val="24"/>
          <w:lang w:eastAsia="pl-PL"/>
        </w:rPr>
        <w:lastRenderedPageBreak/>
        <w:t>na decyzję przysługuje s</w:t>
      </w:r>
      <w:r>
        <w:rPr>
          <w:color w:val="000000"/>
          <w:sz w:val="24"/>
          <w:szCs w:val="24"/>
          <w:lang w:eastAsia="pl-PL"/>
        </w:rPr>
        <w:t xml:space="preserve">tronom prawo wniesienia skargi do Wojewódzkiego Sądu Administracyjnego w (...), ul. (...) za pośrednictwem Wojewody (...) w terminie 30 dni od dnia jej doręczenia. 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ab/>
        <w:t xml:space="preserve">Wysokość wpisu od skargi wynosi 500 zł. 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ab/>
        <w:t>Strona ma możliwość ubiegania się o zwolnienie o</w:t>
      </w:r>
      <w:r>
        <w:rPr>
          <w:color w:val="000000"/>
          <w:sz w:val="24"/>
          <w:szCs w:val="24"/>
          <w:lang w:eastAsia="pl-PL"/>
        </w:rPr>
        <w:t>d kosztów albo przyznanie pomocy prawnej. Stronie może być przyznane prawo pomocy na jej wniosek złożony przed wszczęciem postępowania lub w toku postępowania. Wniosek ten wolny jest od opłat sądowych (art. 243 § 1). Prawo pomocy obejmuje zwolnienie od kos</w:t>
      </w:r>
      <w:r>
        <w:rPr>
          <w:color w:val="000000"/>
          <w:sz w:val="24"/>
          <w:szCs w:val="24"/>
          <w:lang w:eastAsia="pl-PL"/>
        </w:rPr>
        <w:t xml:space="preserve">ztów sądowych oraz ustanowienie adwokata, radcy prawnego, doradcy podatkowego lub rzecznika patentowego (art. 244 § 1). 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ab/>
        <w:t>W myśl art. 254 § 1 wniosek o przyznanie prawa pomocy oraz wniosek o przyznanie kosztów nieopłaconej pomocy prawnej składa się do właś</w:t>
      </w:r>
      <w:r>
        <w:rPr>
          <w:color w:val="000000"/>
          <w:sz w:val="24"/>
          <w:szCs w:val="24"/>
          <w:lang w:eastAsia="pl-PL"/>
        </w:rPr>
        <w:t>ciwego wojewódzkiego sądu administracyjnego. Strona, która nie ma miejsca zamieszkania, pobytu lub siedziby na obszarze właściwości sądu, o którym mowa w § 1, może złożyć wniosek, w innym wojewódzkim sądzie administracyjnym. Wniosek ten przesyła się niezwł</w:t>
      </w:r>
      <w:r>
        <w:rPr>
          <w:color w:val="000000"/>
          <w:sz w:val="24"/>
          <w:szCs w:val="24"/>
          <w:lang w:eastAsia="pl-PL"/>
        </w:rPr>
        <w:t xml:space="preserve">ocznie do sądu właściwego (§ 2). </w:t>
      </w:r>
    </w:p>
    <w:p w:rsidR="007248A0" w:rsidRDefault="0077025D">
      <w:pPr>
        <w:snapToGrid w:val="0"/>
        <w:spacing w:line="360" w:lineRule="auto"/>
        <w:jc w:val="center"/>
      </w:pPr>
      <w:r>
        <w:rPr>
          <w:color w:val="000000"/>
          <w:sz w:val="24"/>
          <w:szCs w:val="24"/>
          <w:lang w:eastAsia="pl-PL"/>
        </w:rPr>
        <w:tab/>
        <w:t xml:space="preserve">ADNOTACJA DOTYCZĄCA OPŁATY SKARBOWEJ: </w:t>
      </w:r>
    </w:p>
    <w:p w:rsidR="007248A0" w:rsidRDefault="0077025D">
      <w:pPr>
        <w:snapToGrid w:val="0"/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>Opłatę skarbową za pozwolenie na budowę pobrano zgodnie z ustawą z dnia 16 listopada 2006 r. o opłacie skarbowej (t.j. Dz. U. z 2022 r. poz. 2142).</w:t>
      </w:r>
    </w:p>
    <w:p w:rsidR="007248A0" w:rsidRDefault="007248A0">
      <w:pPr>
        <w:snapToGri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</w:p>
    <w:p w:rsidR="007248A0" w:rsidRDefault="0077025D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color w:val="000000"/>
          <w:sz w:val="24"/>
          <w:szCs w:val="24"/>
          <w:lang w:eastAsia="pl-PL"/>
        </w:rPr>
        <w:t>Z up. WOJEWODY (...)</w:t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iCs/>
          <w:color w:val="000000"/>
          <w:sz w:val="24"/>
          <w:szCs w:val="24"/>
          <w:lang w:eastAsia="pl-PL"/>
        </w:rPr>
        <w:t>(...)</w:t>
      </w:r>
    </w:p>
    <w:p w:rsidR="007248A0" w:rsidRDefault="0077025D">
      <w:pPr>
        <w:tabs>
          <w:tab w:val="center" w:pos="6345"/>
        </w:tabs>
        <w:snapToGrid w:val="0"/>
        <w:ind w:left="4965"/>
        <w:jc w:val="center"/>
      </w:pPr>
      <w:r>
        <w:rPr>
          <w:iCs/>
          <w:color w:val="000000"/>
          <w:sz w:val="24"/>
          <w:szCs w:val="24"/>
          <w:lang w:eastAsia="pl-PL"/>
        </w:rPr>
        <w:t xml:space="preserve">/podpisane kwalifikowanym podpisem elektronicznym/ </w:t>
      </w:r>
    </w:p>
    <w:p w:rsidR="007248A0" w:rsidRDefault="007248A0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4"/>
          <w:szCs w:val="24"/>
          <w:lang w:eastAsia="pl-PL"/>
        </w:rPr>
      </w:pPr>
    </w:p>
    <w:p w:rsidR="007248A0" w:rsidRDefault="0077025D">
      <w:pPr>
        <w:tabs>
          <w:tab w:val="center" w:pos="6345"/>
        </w:tabs>
        <w:snapToGrid w:val="0"/>
        <w:spacing w:line="360" w:lineRule="auto"/>
        <w:jc w:val="both"/>
      </w:pPr>
      <w:r>
        <w:rPr>
          <w:b/>
          <w:bCs/>
          <w:iCs/>
          <w:color w:val="000000"/>
          <w:sz w:val="24"/>
          <w:szCs w:val="24"/>
          <w:lang w:eastAsia="pl-PL"/>
        </w:rPr>
        <w:t xml:space="preserve">Otrzymują: </w:t>
      </w:r>
    </w:p>
    <w:p w:rsidR="007248A0" w:rsidRDefault="0077025D">
      <w:pPr>
        <w:tabs>
          <w:tab w:val="center" w:pos="6345"/>
        </w:tabs>
        <w:snapToGrid w:val="0"/>
        <w:spacing w:line="360" w:lineRule="auto"/>
        <w:jc w:val="both"/>
      </w:pPr>
      <w:r>
        <w:rPr>
          <w:iCs/>
          <w:color w:val="000000"/>
          <w:sz w:val="24"/>
          <w:szCs w:val="24"/>
          <w:lang w:eastAsia="pl-PL"/>
        </w:rPr>
        <w:t>1. (…) reprezentowana przez radcę prawnego (...)</w:t>
      </w:r>
    </w:p>
    <w:p w:rsidR="007248A0" w:rsidRDefault="0077025D">
      <w:pPr>
        <w:tabs>
          <w:tab w:val="center" w:pos="6345"/>
        </w:tabs>
        <w:snapToGrid w:val="0"/>
        <w:spacing w:line="360" w:lineRule="auto"/>
        <w:jc w:val="both"/>
      </w:pPr>
      <w:r>
        <w:rPr>
          <w:iCs/>
          <w:color w:val="000000"/>
          <w:sz w:val="24"/>
          <w:szCs w:val="24"/>
          <w:lang w:eastAsia="pl-PL"/>
        </w:rPr>
        <w:t>2. (...)</w:t>
      </w:r>
    </w:p>
    <w:p w:rsidR="007248A0" w:rsidRDefault="0077025D">
      <w:pPr>
        <w:tabs>
          <w:tab w:val="center" w:pos="6345"/>
        </w:tabs>
        <w:snapToGrid w:val="0"/>
        <w:spacing w:line="360" w:lineRule="auto"/>
        <w:jc w:val="both"/>
      </w:pPr>
      <w:r>
        <w:rPr>
          <w:iCs/>
          <w:color w:val="000000"/>
          <w:sz w:val="24"/>
          <w:szCs w:val="24"/>
          <w:lang w:eastAsia="pl-PL"/>
        </w:rPr>
        <w:t>3. (...)</w:t>
      </w:r>
    </w:p>
    <w:p w:rsidR="007248A0" w:rsidRDefault="0077025D">
      <w:pPr>
        <w:tabs>
          <w:tab w:val="center" w:pos="6345"/>
        </w:tabs>
        <w:snapToGrid w:val="0"/>
        <w:spacing w:line="360" w:lineRule="auto"/>
        <w:jc w:val="both"/>
      </w:pPr>
      <w:r>
        <w:rPr>
          <w:iCs/>
          <w:color w:val="000000"/>
          <w:sz w:val="24"/>
          <w:szCs w:val="24"/>
          <w:lang w:eastAsia="pl-PL"/>
        </w:rPr>
        <w:t>4. (...)</w:t>
      </w:r>
    </w:p>
    <w:p w:rsidR="007248A0" w:rsidRDefault="0077025D">
      <w:pPr>
        <w:tabs>
          <w:tab w:val="center" w:pos="6345"/>
        </w:tabs>
        <w:snapToGrid w:val="0"/>
        <w:spacing w:line="360" w:lineRule="auto"/>
        <w:jc w:val="both"/>
      </w:pPr>
      <w:r>
        <w:rPr>
          <w:b/>
          <w:bCs/>
          <w:iCs/>
          <w:color w:val="000000"/>
          <w:sz w:val="24"/>
          <w:szCs w:val="24"/>
          <w:lang w:eastAsia="pl-PL"/>
        </w:rPr>
        <w:t xml:space="preserve">Do wiadomości: </w:t>
      </w:r>
    </w:p>
    <w:p w:rsidR="007248A0" w:rsidRDefault="0077025D">
      <w:pPr>
        <w:tabs>
          <w:tab w:val="center" w:pos="6345"/>
        </w:tabs>
        <w:snapToGrid w:val="0"/>
        <w:spacing w:line="360" w:lineRule="auto"/>
        <w:jc w:val="both"/>
      </w:pPr>
      <w:r>
        <w:rPr>
          <w:iCs/>
          <w:color w:val="000000"/>
          <w:sz w:val="24"/>
          <w:szCs w:val="24"/>
          <w:lang w:eastAsia="pl-PL"/>
        </w:rPr>
        <w:t>1. Starosta (...)</w:t>
      </w:r>
    </w:p>
    <w:p w:rsidR="007248A0" w:rsidRDefault="0077025D">
      <w:pPr>
        <w:tabs>
          <w:tab w:val="center" w:pos="6345"/>
        </w:tabs>
        <w:snapToGrid w:val="0"/>
        <w:spacing w:line="360" w:lineRule="auto"/>
        <w:jc w:val="both"/>
      </w:pPr>
      <w:r>
        <w:rPr>
          <w:iCs/>
          <w:color w:val="000000"/>
          <w:sz w:val="24"/>
          <w:szCs w:val="24"/>
          <w:lang w:eastAsia="pl-PL"/>
        </w:rPr>
        <w:t>2. Powiatowy Inspektor Nadzoru Budowlanego w (...)</w:t>
      </w:r>
    </w:p>
    <w:p w:rsidR="007248A0" w:rsidRDefault="0077025D">
      <w:pPr>
        <w:tabs>
          <w:tab w:val="center" w:pos="6345"/>
        </w:tabs>
        <w:snapToGrid w:val="0"/>
        <w:spacing w:line="360" w:lineRule="auto"/>
        <w:jc w:val="both"/>
      </w:pPr>
      <w:r>
        <w:rPr>
          <w:iCs/>
          <w:color w:val="000000"/>
          <w:sz w:val="24"/>
          <w:szCs w:val="24"/>
          <w:lang w:eastAsia="pl-PL"/>
        </w:rPr>
        <w:t>3. a/a</w:t>
      </w:r>
    </w:p>
    <w:p w:rsidR="007248A0" w:rsidRDefault="0077025D">
      <w:pPr>
        <w:tabs>
          <w:tab w:val="center" w:pos="6345"/>
        </w:tabs>
        <w:snapToGrid w:val="0"/>
        <w:spacing w:line="360" w:lineRule="auto"/>
        <w:jc w:val="both"/>
      </w:pPr>
      <w:r>
        <w:rPr>
          <w:iCs/>
          <w:color w:val="000000"/>
          <w:sz w:val="24"/>
          <w:szCs w:val="24"/>
          <w:lang w:eastAsia="pl-PL"/>
        </w:rPr>
        <w:t>Adresy stron postępowan</w:t>
      </w:r>
      <w:r>
        <w:rPr>
          <w:iCs/>
          <w:color w:val="000000"/>
          <w:sz w:val="24"/>
          <w:szCs w:val="24"/>
          <w:lang w:eastAsia="pl-PL"/>
        </w:rPr>
        <w:t xml:space="preserve">ia wg odrębnego wykazu </w:t>
      </w:r>
    </w:p>
    <w:p w:rsidR="007248A0" w:rsidRDefault="007248A0">
      <w:pPr>
        <w:tabs>
          <w:tab w:val="center" w:pos="6345"/>
        </w:tabs>
        <w:snapToGrid w:val="0"/>
        <w:spacing w:line="360" w:lineRule="auto"/>
        <w:jc w:val="both"/>
        <w:rPr>
          <w:iCs/>
          <w:color w:val="000000"/>
          <w:sz w:val="24"/>
          <w:szCs w:val="24"/>
          <w:lang w:eastAsia="pl-PL"/>
        </w:rPr>
      </w:pPr>
    </w:p>
    <w:p w:rsidR="007248A0" w:rsidRDefault="0077025D">
      <w:pPr>
        <w:tabs>
          <w:tab w:val="left" w:pos="284"/>
        </w:tabs>
        <w:ind w:left="-28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Obowiązek informacyjny </w:t>
      </w:r>
    </w:p>
    <w:p w:rsidR="007248A0" w:rsidRDefault="0077025D">
      <w:pPr>
        <w:tabs>
          <w:tab w:val="left" w:pos="284"/>
        </w:tabs>
        <w:ind w:left="-426" w:right="-566"/>
        <w:jc w:val="both"/>
        <w:rPr>
          <w:sz w:val="18"/>
          <w:szCs w:val="18"/>
        </w:rPr>
      </w:pPr>
      <w:r>
        <w:rPr>
          <w:sz w:val="18"/>
          <w:szCs w:val="18"/>
        </w:rPr>
        <w:t>Zgodnie z art. 13 ust. 1 i 2 rozporządzenia Parlamentu Europejskiego i Rady (UE) 2016/679 z dnia 27 kwietnia 2016 r. (dalej Rozporządzenie) informujemy, że:</w:t>
      </w:r>
    </w:p>
    <w:p w:rsidR="007248A0" w:rsidRDefault="0077025D">
      <w:pPr>
        <w:numPr>
          <w:ilvl w:val="0"/>
          <w:numId w:val="2"/>
        </w:numPr>
        <w:tabs>
          <w:tab w:val="left" w:pos="-142"/>
        </w:tabs>
        <w:ind w:left="-142" w:right="-566" w:hanging="284"/>
        <w:jc w:val="both"/>
      </w:pPr>
      <w:r>
        <w:rPr>
          <w:sz w:val="18"/>
          <w:szCs w:val="18"/>
        </w:rPr>
        <w:t xml:space="preserve">1. Administratorem Twoich danych osobowych jest Wojewoda (...). Siedzibą Wojewody(...) jest (...) Urząd Wojewódzki w (...) ul. (...), (...) Kontakt jest możliwy za pomocą telefonu: (...); adresu e-mail: </w:t>
      </w:r>
      <w:hyperlink r:id="rId7">
        <w:r>
          <w:rPr>
            <w:rStyle w:val="czeinternetowe"/>
            <w:sz w:val="18"/>
            <w:szCs w:val="18"/>
          </w:rPr>
          <w:t>(</w:t>
        </w:r>
      </w:hyperlink>
      <w:r>
        <w:rPr>
          <w:rStyle w:val="czeinternetowe"/>
          <w:sz w:val="18"/>
          <w:szCs w:val="18"/>
        </w:rPr>
        <w:t>...)</w:t>
      </w:r>
      <w:r>
        <w:rPr>
          <w:sz w:val="18"/>
          <w:szCs w:val="18"/>
        </w:rPr>
        <w:t>; skrytki ePUAP: (...)</w:t>
      </w:r>
    </w:p>
    <w:p w:rsidR="007248A0" w:rsidRDefault="0077025D">
      <w:pPr>
        <w:numPr>
          <w:ilvl w:val="0"/>
          <w:numId w:val="2"/>
        </w:numPr>
        <w:tabs>
          <w:tab w:val="left" w:pos="-142"/>
        </w:tabs>
        <w:ind w:left="-142" w:right="-566" w:hanging="284"/>
        <w:jc w:val="both"/>
      </w:pPr>
      <w:r>
        <w:rPr>
          <w:sz w:val="18"/>
          <w:szCs w:val="18"/>
        </w:rPr>
        <w:t xml:space="preserve">2. W sprawach związanych z danymi osobowymi kontaktuj się z Inspektorem ochrony danych poprzez adres      e-mail: (...) </w:t>
      </w:r>
    </w:p>
    <w:p w:rsidR="007248A0" w:rsidRDefault="0077025D">
      <w:pPr>
        <w:numPr>
          <w:ilvl w:val="0"/>
          <w:numId w:val="2"/>
        </w:numPr>
        <w:tabs>
          <w:tab w:val="left" w:pos="-142"/>
        </w:tabs>
        <w:ind w:left="-142" w:right="-566" w:hanging="284"/>
        <w:jc w:val="both"/>
      </w:pPr>
      <w:r>
        <w:rPr>
          <w:sz w:val="18"/>
          <w:szCs w:val="18"/>
        </w:rPr>
        <w:t>3. Twoje dane osobowe przetwarzane będą dla realizacji zadań wynikających z przepisów prawa</w:t>
      </w:r>
      <w:r>
        <w:rPr>
          <w:rStyle w:val="Zakotwiczenieprzypisudolnego"/>
          <w:sz w:val="18"/>
          <w:szCs w:val="18"/>
        </w:rPr>
        <w:footnoteReference w:id="1"/>
      </w:r>
      <w:r>
        <w:rPr>
          <w:sz w:val="18"/>
          <w:szCs w:val="18"/>
        </w:rPr>
        <w:t xml:space="preserve"> w celu:</w:t>
      </w:r>
    </w:p>
    <w:p w:rsidR="007248A0" w:rsidRDefault="0077025D">
      <w:pPr>
        <w:numPr>
          <w:ilvl w:val="1"/>
          <w:numId w:val="2"/>
        </w:numPr>
        <w:tabs>
          <w:tab w:val="left" w:pos="-142"/>
        </w:tabs>
        <w:ind w:left="-142" w:right="-566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3.1 </w:t>
      </w:r>
      <w:r>
        <w:rPr>
          <w:sz w:val="18"/>
          <w:szCs w:val="18"/>
        </w:rPr>
        <w:t>wypełniania obowiązku prawnego ciążącego na Administratorze w związku z realizowaniem zadań przez Wojewodę (...) na podstawie art. 6 ust. 1 lit. c Rozporządzenia oraz</w:t>
      </w:r>
    </w:p>
    <w:p w:rsidR="007248A0" w:rsidRDefault="0077025D">
      <w:pPr>
        <w:numPr>
          <w:ilvl w:val="1"/>
          <w:numId w:val="2"/>
        </w:numPr>
        <w:tabs>
          <w:tab w:val="left" w:pos="-142"/>
        </w:tabs>
        <w:ind w:left="-142" w:right="-566" w:hanging="284"/>
        <w:jc w:val="both"/>
        <w:rPr>
          <w:sz w:val="18"/>
          <w:szCs w:val="18"/>
        </w:rPr>
      </w:pPr>
      <w:r>
        <w:rPr>
          <w:sz w:val="18"/>
          <w:szCs w:val="18"/>
        </w:rPr>
        <w:t>3.2 wykonania zadania realizowanego w interesie publicznym lub w ramach sprawowania władz</w:t>
      </w:r>
      <w:r>
        <w:rPr>
          <w:sz w:val="18"/>
          <w:szCs w:val="18"/>
        </w:rPr>
        <w:t>y publicznej powierzonej Administratorowi w związku z realizowaniem zadań przez Wojewodę Łódzkiego na podstawie art. 6 ust. 1 lit. e Rozporządzenia poprzez:</w:t>
      </w:r>
    </w:p>
    <w:p w:rsidR="007248A0" w:rsidRDefault="0077025D">
      <w:pPr>
        <w:tabs>
          <w:tab w:val="left" w:pos="0"/>
        </w:tabs>
        <w:ind w:left="-142" w:right="-566"/>
        <w:jc w:val="both"/>
        <w:rPr>
          <w:sz w:val="18"/>
          <w:szCs w:val="18"/>
        </w:rPr>
      </w:pPr>
      <w:r>
        <w:rPr>
          <w:sz w:val="18"/>
          <w:szCs w:val="18"/>
        </w:rPr>
        <w:t>- prowadzenie postępowań należących do właściwości wojewody jako organu administracji architektonic</w:t>
      </w:r>
      <w:r>
        <w:rPr>
          <w:sz w:val="18"/>
          <w:szCs w:val="18"/>
        </w:rPr>
        <w:t>zno budowlanej wyższego stopnia w stosunku do starosty,</w:t>
      </w:r>
    </w:p>
    <w:p w:rsidR="007248A0" w:rsidRDefault="0077025D">
      <w:pPr>
        <w:tabs>
          <w:tab w:val="left" w:pos="0"/>
        </w:tabs>
        <w:ind w:left="-142" w:right="-566"/>
        <w:jc w:val="both"/>
        <w:rPr>
          <w:sz w:val="18"/>
          <w:szCs w:val="18"/>
        </w:rPr>
      </w:pPr>
      <w:r>
        <w:rPr>
          <w:sz w:val="18"/>
          <w:szCs w:val="18"/>
        </w:rPr>
        <w:t>- prowadzenie kontroli w jednostkach samorządu terytorialnego,</w:t>
      </w:r>
    </w:p>
    <w:p w:rsidR="007248A0" w:rsidRDefault="0077025D">
      <w:pPr>
        <w:tabs>
          <w:tab w:val="left" w:pos="0"/>
        </w:tabs>
        <w:ind w:left="-142" w:right="-566"/>
        <w:jc w:val="both"/>
        <w:rPr>
          <w:sz w:val="18"/>
          <w:szCs w:val="18"/>
        </w:rPr>
      </w:pPr>
      <w:r>
        <w:rPr>
          <w:sz w:val="18"/>
          <w:szCs w:val="18"/>
        </w:rPr>
        <w:t>- rozpatrywanie spraw innych należących do właściwości wojewody jako organu administracji architektoniczno-budowlanej (np. skarg powszech</w:t>
      </w:r>
      <w:r>
        <w:rPr>
          <w:sz w:val="18"/>
          <w:szCs w:val="18"/>
        </w:rPr>
        <w:t>nych, wniosków, petycji, zapytań i interwencji, wniosków o udzielenie informacji publicznej).</w:t>
      </w:r>
    </w:p>
    <w:p w:rsidR="007248A0" w:rsidRDefault="0077025D">
      <w:pPr>
        <w:numPr>
          <w:ilvl w:val="0"/>
          <w:numId w:val="2"/>
        </w:numPr>
        <w:tabs>
          <w:tab w:val="left" w:pos="-142"/>
        </w:tabs>
        <w:ind w:left="-142" w:right="-566" w:hanging="284"/>
        <w:jc w:val="both"/>
        <w:rPr>
          <w:sz w:val="18"/>
          <w:szCs w:val="18"/>
        </w:rPr>
      </w:pPr>
      <w:r>
        <w:rPr>
          <w:sz w:val="18"/>
          <w:szCs w:val="18"/>
        </w:rPr>
        <w:t>4. W związku z przetwarzaniem danych w celach wskazanych powyżej, Twoje dane osobowe mogą być udostępniane innym odbiorcom lub kategoriom odbiorców. Odbiorcami da</w:t>
      </w:r>
      <w:r>
        <w:rPr>
          <w:sz w:val="18"/>
          <w:szCs w:val="18"/>
        </w:rPr>
        <w:t>nych mogą być:</w:t>
      </w:r>
    </w:p>
    <w:p w:rsidR="007248A0" w:rsidRDefault="0077025D">
      <w:pPr>
        <w:numPr>
          <w:ilvl w:val="1"/>
          <w:numId w:val="2"/>
        </w:numPr>
        <w:tabs>
          <w:tab w:val="left" w:pos="-142"/>
          <w:tab w:val="left" w:pos="0"/>
        </w:tabs>
        <w:ind w:right="-566" w:hanging="426"/>
        <w:jc w:val="both"/>
        <w:rPr>
          <w:sz w:val="18"/>
          <w:szCs w:val="18"/>
        </w:rPr>
      </w:pPr>
      <w:r>
        <w:rPr>
          <w:sz w:val="18"/>
          <w:szCs w:val="18"/>
        </w:rPr>
        <w:t>4.1 podmioty upoważnione do odbioru Twoich danych osobowych na podstawie odpowiednich przepisów prawa;</w:t>
      </w:r>
    </w:p>
    <w:p w:rsidR="007248A0" w:rsidRDefault="0077025D">
      <w:pPr>
        <w:numPr>
          <w:ilvl w:val="1"/>
          <w:numId w:val="2"/>
        </w:numPr>
        <w:tabs>
          <w:tab w:val="left" w:pos="-142"/>
          <w:tab w:val="left" w:pos="0"/>
        </w:tabs>
        <w:ind w:right="-566" w:hanging="426"/>
        <w:jc w:val="both"/>
        <w:rPr>
          <w:sz w:val="18"/>
          <w:szCs w:val="18"/>
        </w:rPr>
      </w:pPr>
      <w:r>
        <w:rPr>
          <w:sz w:val="18"/>
          <w:szCs w:val="18"/>
        </w:rPr>
        <w:t>4.2 podmioty, które przetwarzają Twoje dane osobowe w imieniu Administratora, na podstawie zawartej umowy powierzenia przetwarzania danych</w:t>
      </w:r>
      <w:r>
        <w:rPr>
          <w:sz w:val="18"/>
          <w:szCs w:val="18"/>
        </w:rPr>
        <w:t xml:space="preserve"> osobowych (tzw. podmioty przetwarzające).</w:t>
      </w:r>
    </w:p>
    <w:p w:rsidR="007248A0" w:rsidRDefault="0077025D">
      <w:pPr>
        <w:numPr>
          <w:ilvl w:val="0"/>
          <w:numId w:val="2"/>
        </w:numPr>
        <w:tabs>
          <w:tab w:val="left" w:pos="-142"/>
        </w:tabs>
        <w:ind w:left="-142" w:right="-566" w:hanging="284"/>
        <w:jc w:val="both"/>
        <w:rPr>
          <w:sz w:val="18"/>
          <w:szCs w:val="18"/>
        </w:rPr>
      </w:pPr>
      <w:r>
        <w:rPr>
          <w:sz w:val="18"/>
          <w:szCs w:val="18"/>
        </w:rPr>
        <w:t>5. Twoje dane osobowe będą przetwarzane przez okres niezbędny do realizacji wskazanych powyżej celów, jednak nie dłużej niż do czasu ostatecznego zakończenia postępowania oraz przechowywane przez wymagany przepisa</w:t>
      </w:r>
      <w:r>
        <w:rPr>
          <w:sz w:val="18"/>
          <w:szCs w:val="18"/>
        </w:rPr>
        <w:t>mi prawa okres archiwizacji zgodny z kategorią archiwalną, wynikającą z jednolitego rzeczowego wykazu akt organów zespolonej administracji rządowej w województwie i urzędów obsługujących te organy.</w:t>
      </w:r>
    </w:p>
    <w:p w:rsidR="007248A0" w:rsidRDefault="0077025D">
      <w:pPr>
        <w:numPr>
          <w:ilvl w:val="0"/>
          <w:numId w:val="2"/>
        </w:numPr>
        <w:tabs>
          <w:tab w:val="left" w:pos="-142"/>
        </w:tabs>
        <w:ind w:left="-142" w:right="-566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6. W związku z przetwarzaniem przez Administratora danych </w:t>
      </w:r>
      <w:r>
        <w:rPr>
          <w:sz w:val="18"/>
          <w:szCs w:val="18"/>
        </w:rPr>
        <w:t>osobowych przysługuje Ci:</w:t>
      </w:r>
    </w:p>
    <w:p w:rsidR="007248A0" w:rsidRDefault="0077025D">
      <w:pPr>
        <w:numPr>
          <w:ilvl w:val="1"/>
          <w:numId w:val="2"/>
        </w:numPr>
        <w:tabs>
          <w:tab w:val="left" w:pos="0"/>
          <w:tab w:val="left" w:pos="142"/>
        </w:tabs>
        <w:ind w:left="-426" w:right="-566"/>
        <w:jc w:val="both"/>
        <w:rPr>
          <w:sz w:val="18"/>
          <w:szCs w:val="18"/>
        </w:rPr>
      </w:pPr>
      <w:r>
        <w:rPr>
          <w:sz w:val="18"/>
          <w:szCs w:val="18"/>
        </w:rPr>
        <w:t>6.1 prawo dostępu do treści danych, na podstawie art. 15 Rozporządzenia;</w:t>
      </w:r>
    </w:p>
    <w:p w:rsidR="007248A0" w:rsidRDefault="0077025D">
      <w:pPr>
        <w:numPr>
          <w:ilvl w:val="1"/>
          <w:numId w:val="2"/>
        </w:numPr>
        <w:tabs>
          <w:tab w:val="left" w:pos="0"/>
          <w:tab w:val="left" w:pos="142"/>
        </w:tabs>
        <w:ind w:left="-426" w:right="-566"/>
        <w:jc w:val="both"/>
        <w:rPr>
          <w:sz w:val="18"/>
          <w:szCs w:val="18"/>
        </w:rPr>
      </w:pPr>
      <w:r>
        <w:rPr>
          <w:sz w:val="18"/>
          <w:szCs w:val="18"/>
        </w:rPr>
        <w:t>6.2 prawo do sprostowania danych, na podstawie art. 16 Rozporządzenia;</w:t>
      </w:r>
    </w:p>
    <w:p w:rsidR="007248A0" w:rsidRDefault="0077025D">
      <w:pPr>
        <w:numPr>
          <w:ilvl w:val="1"/>
          <w:numId w:val="2"/>
        </w:numPr>
        <w:tabs>
          <w:tab w:val="left" w:pos="0"/>
          <w:tab w:val="left" w:pos="142"/>
        </w:tabs>
        <w:ind w:left="-426" w:right="-56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6.3 prawo do usunięcia danych, na podstawie art. 17 Rozporządzenia; </w:t>
      </w:r>
    </w:p>
    <w:p w:rsidR="007248A0" w:rsidRDefault="0077025D">
      <w:pPr>
        <w:numPr>
          <w:ilvl w:val="1"/>
          <w:numId w:val="2"/>
        </w:numPr>
        <w:tabs>
          <w:tab w:val="left" w:pos="0"/>
          <w:tab w:val="left" w:pos="142"/>
        </w:tabs>
        <w:ind w:left="-426" w:right="-566"/>
        <w:jc w:val="both"/>
        <w:rPr>
          <w:sz w:val="18"/>
          <w:szCs w:val="18"/>
        </w:rPr>
      </w:pPr>
      <w:r>
        <w:rPr>
          <w:sz w:val="18"/>
          <w:szCs w:val="18"/>
        </w:rPr>
        <w:t>6.4 prawo do ogra</w:t>
      </w:r>
      <w:r>
        <w:rPr>
          <w:sz w:val="18"/>
          <w:szCs w:val="18"/>
        </w:rPr>
        <w:t xml:space="preserve">niczenia przetwarzania danych, na podstawie art. 18 Rozporządzenia; </w:t>
      </w:r>
    </w:p>
    <w:p w:rsidR="007248A0" w:rsidRDefault="0077025D">
      <w:pPr>
        <w:numPr>
          <w:ilvl w:val="1"/>
          <w:numId w:val="2"/>
        </w:numPr>
        <w:tabs>
          <w:tab w:val="left" w:pos="0"/>
          <w:tab w:val="left" w:pos="142"/>
        </w:tabs>
        <w:ind w:left="-426" w:right="-56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6.5 prawo do przenoszenia danych, na podstawie art. 20 Rozporządzenia; </w:t>
      </w:r>
    </w:p>
    <w:p w:rsidR="007248A0" w:rsidRDefault="0077025D">
      <w:pPr>
        <w:numPr>
          <w:ilvl w:val="1"/>
          <w:numId w:val="2"/>
        </w:numPr>
        <w:tabs>
          <w:tab w:val="left" w:pos="0"/>
          <w:tab w:val="left" w:pos="142"/>
        </w:tabs>
        <w:ind w:left="-426" w:right="-566"/>
        <w:jc w:val="both"/>
        <w:rPr>
          <w:sz w:val="18"/>
          <w:szCs w:val="18"/>
        </w:rPr>
      </w:pPr>
      <w:r>
        <w:rPr>
          <w:sz w:val="18"/>
          <w:szCs w:val="18"/>
        </w:rPr>
        <w:t>6.6 prawo wniesienia sprzeciwu wobec przetwarzania danych, na podstawie art. 21 Rozporządzenia.</w:t>
      </w:r>
    </w:p>
    <w:p w:rsidR="007248A0" w:rsidRDefault="0077025D">
      <w:pPr>
        <w:tabs>
          <w:tab w:val="left" w:pos="0"/>
        </w:tabs>
        <w:ind w:left="-426" w:right="-566"/>
        <w:jc w:val="both"/>
      </w:pPr>
      <w:r>
        <w:rPr>
          <w:sz w:val="18"/>
          <w:szCs w:val="18"/>
        </w:rPr>
        <w:t>(</w:t>
      </w:r>
      <w:r>
        <w:rPr>
          <w:b/>
          <w:sz w:val="18"/>
          <w:szCs w:val="18"/>
        </w:rPr>
        <w:t>Uwaga</w:t>
      </w:r>
      <w:r>
        <w:rPr>
          <w:sz w:val="18"/>
          <w:szCs w:val="18"/>
        </w:rPr>
        <w:t xml:space="preserve">: realizacja </w:t>
      </w:r>
      <w:r>
        <w:rPr>
          <w:sz w:val="18"/>
          <w:szCs w:val="18"/>
        </w:rPr>
        <w:t>powyższych praw musi być zgodna z przepisami prawa, na podstawie których odbywa się przetwarzanie danych).</w:t>
      </w:r>
    </w:p>
    <w:p w:rsidR="007248A0" w:rsidRDefault="0077025D">
      <w:pPr>
        <w:numPr>
          <w:ilvl w:val="0"/>
          <w:numId w:val="2"/>
        </w:numPr>
        <w:tabs>
          <w:tab w:val="left" w:pos="-142"/>
        </w:tabs>
        <w:ind w:left="-142" w:right="-566" w:hanging="284"/>
        <w:jc w:val="both"/>
      </w:pPr>
      <w:r>
        <w:rPr>
          <w:sz w:val="18"/>
          <w:szCs w:val="18"/>
        </w:rPr>
        <w:t>7. W związku z art. 84aa ustawy z dnia 7 lipca 1994 roku – Prawo budowlane, informuję, że prawo, o którym mowa w art. 15 ust. 1 lit. g rozporządzenia</w:t>
      </w:r>
      <w:r>
        <w:rPr>
          <w:sz w:val="18"/>
          <w:szCs w:val="18"/>
        </w:rPr>
        <w:t xml:space="preserve"> Parlamentu Europejskiego i Rady (UE) 2016/679 z dnia 27 kwietnia 2016 r. w sprawie ochrony osób fizycznych w związku z przetwarzaniem danych osobowych i w sprawie swobodnego przepływu takich danych oraz uchylenia dyrektywy 95/46/WE (ogólne rozporządzenie </w:t>
      </w:r>
      <w:r>
        <w:rPr>
          <w:sz w:val="18"/>
          <w:szCs w:val="18"/>
        </w:rPr>
        <w:t>o ochronie danych) (Dz.Urz. UE L 119 z 04.05.2016, </w:t>
      </w:r>
      <w:hyperlink r:id="rId8">
        <w:r>
          <w:rPr>
            <w:rStyle w:val="czeinternetowe"/>
            <w:sz w:val="18"/>
            <w:szCs w:val="18"/>
          </w:rPr>
          <w:t>str. 1</w:t>
        </w:r>
      </w:hyperlink>
      <w:r>
        <w:rPr>
          <w:sz w:val="18"/>
          <w:szCs w:val="18"/>
        </w:rPr>
        <w:t>, z późn. zm. – zmiana wymienionego rozporządzenia została ogłoszona w Dz.Urz. UE L 127 z 23.05.2018, str</w:t>
      </w:r>
      <w:r>
        <w:rPr>
          <w:sz w:val="18"/>
          <w:szCs w:val="18"/>
        </w:rPr>
        <w:t>. 2), przysługuje w zakresie, w jakim nie ma wpływu na ochronę praw i wolności osoby, od której dane pozyskano.</w:t>
      </w:r>
    </w:p>
    <w:p w:rsidR="007248A0" w:rsidRDefault="0077025D">
      <w:pPr>
        <w:numPr>
          <w:ilvl w:val="0"/>
          <w:numId w:val="2"/>
        </w:numPr>
        <w:tabs>
          <w:tab w:val="left" w:pos="-142"/>
        </w:tabs>
        <w:ind w:left="-142" w:right="-566" w:hanging="284"/>
        <w:jc w:val="both"/>
        <w:rPr>
          <w:sz w:val="18"/>
          <w:szCs w:val="18"/>
        </w:rPr>
      </w:pPr>
      <w:r>
        <w:rPr>
          <w:sz w:val="18"/>
          <w:szCs w:val="18"/>
        </w:rPr>
        <w:t>8. W przypadku, w którym przetwarzanie Twoich danych odbywa się na podstawie zgody (tj. art. 6 ust. 1 lit. a Rozporządzenia), przysługuje Ci pra</w:t>
      </w:r>
      <w:r>
        <w:rPr>
          <w:sz w:val="18"/>
          <w:szCs w:val="18"/>
        </w:rPr>
        <w:t>wo do cofnięcia jej w dowolnym momencie, bez wpływu na zgodność z prawem przetwarzania, którego dokonano na podstawie zgody przed jej cofnięciem.</w:t>
      </w:r>
    </w:p>
    <w:p w:rsidR="007248A0" w:rsidRDefault="0077025D">
      <w:pPr>
        <w:numPr>
          <w:ilvl w:val="0"/>
          <w:numId w:val="2"/>
        </w:numPr>
        <w:tabs>
          <w:tab w:val="left" w:pos="-142"/>
        </w:tabs>
        <w:ind w:left="-142" w:right="-566" w:hanging="284"/>
        <w:jc w:val="both"/>
        <w:rPr>
          <w:sz w:val="18"/>
          <w:szCs w:val="18"/>
        </w:rPr>
      </w:pPr>
      <w:r>
        <w:rPr>
          <w:sz w:val="18"/>
          <w:szCs w:val="18"/>
        </w:rPr>
        <w:t>9. Masz prawo wniesienia skargi do organu nadzorczego tj. Prezesa Urzędu Ochrony Danych Osobowych, gdy uznasz,</w:t>
      </w:r>
      <w:r>
        <w:rPr>
          <w:sz w:val="18"/>
          <w:szCs w:val="18"/>
        </w:rPr>
        <w:t xml:space="preserve"> że przetwarzanie danych osobowych narusza przepisy Rozporządzenia.</w:t>
      </w:r>
    </w:p>
    <w:p w:rsidR="007248A0" w:rsidRDefault="0077025D">
      <w:pPr>
        <w:numPr>
          <w:ilvl w:val="0"/>
          <w:numId w:val="2"/>
        </w:numPr>
        <w:tabs>
          <w:tab w:val="left" w:pos="-142"/>
        </w:tabs>
        <w:ind w:left="-142" w:right="-566" w:hanging="284"/>
        <w:jc w:val="both"/>
        <w:rPr>
          <w:sz w:val="18"/>
          <w:szCs w:val="18"/>
        </w:rPr>
      </w:pPr>
      <w:r>
        <w:rPr>
          <w:sz w:val="18"/>
          <w:szCs w:val="18"/>
        </w:rPr>
        <w:t>10. Podanie przez Ciebie danych osobowych jest:</w:t>
      </w:r>
    </w:p>
    <w:p w:rsidR="007248A0" w:rsidRDefault="0077025D">
      <w:pPr>
        <w:numPr>
          <w:ilvl w:val="1"/>
          <w:numId w:val="2"/>
        </w:numPr>
        <w:tabs>
          <w:tab w:val="left" w:pos="0"/>
          <w:tab w:val="left" w:pos="284"/>
        </w:tabs>
        <w:ind w:left="-142" w:right="-566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10.1 obowiązkowe, jeżeli wynika z przepisów prawa i jest warunkiem załatwienia sprawy w (...) Urzędzie Wojewódzkim w Łodzi; </w:t>
      </w:r>
    </w:p>
    <w:p w:rsidR="007248A0" w:rsidRDefault="0077025D">
      <w:pPr>
        <w:numPr>
          <w:ilvl w:val="1"/>
          <w:numId w:val="2"/>
        </w:numPr>
        <w:tabs>
          <w:tab w:val="left" w:pos="0"/>
          <w:tab w:val="left" w:pos="284"/>
        </w:tabs>
        <w:ind w:right="-566" w:hanging="426"/>
        <w:jc w:val="both"/>
        <w:rPr>
          <w:sz w:val="18"/>
          <w:szCs w:val="18"/>
        </w:rPr>
      </w:pPr>
      <w:r>
        <w:rPr>
          <w:sz w:val="18"/>
          <w:szCs w:val="18"/>
        </w:rPr>
        <w:t>10.2 dobrowolne</w:t>
      </w:r>
      <w:r>
        <w:rPr>
          <w:sz w:val="18"/>
          <w:szCs w:val="18"/>
        </w:rPr>
        <w:t>, jeżeli odbywa się na podstawie zgody, jednak jest niezbędne do załatwienia sprawy w (...) Urzędzie Wojewódzkim w (...)</w:t>
      </w:r>
    </w:p>
    <w:p w:rsidR="007248A0" w:rsidRDefault="0077025D">
      <w:pPr>
        <w:numPr>
          <w:ilvl w:val="0"/>
          <w:numId w:val="2"/>
        </w:numPr>
        <w:tabs>
          <w:tab w:val="left" w:pos="-142"/>
        </w:tabs>
        <w:ind w:left="-426" w:right="-566"/>
        <w:jc w:val="both"/>
        <w:rPr>
          <w:sz w:val="18"/>
          <w:szCs w:val="18"/>
        </w:rPr>
      </w:pPr>
      <w:r>
        <w:rPr>
          <w:sz w:val="18"/>
          <w:szCs w:val="18"/>
        </w:rPr>
        <w:t>11. Twoje dane nie będą przetwarzane w sposób zautomatyzowany w tym również w formie profilowania.</w:t>
      </w:r>
    </w:p>
    <w:p w:rsidR="007248A0" w:rsidRDefault="007248A0">
      <w:pPr>
        <w:tabs>
          <w:tab w:val="center" w:pos="6345"/>
        </w:tabs>
        <w:snapToGrid w:val="0"/>
        <w:spacing w:line="360" w:lineRule="auto"/>
        <w:jc w:val="both"/>
        <w:rPr>
          <w:iCs/>
          <w:color w:val="000000"/>
          <w:sz w:val="24"/>
          <w:szCs w:val="24"/>
          <w:lang w:eastAsia="pl-PL"/>
        </w:rPr>
      </w:pPr>
    </w:p>
    <w:sectPr w:rsidR="007248A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25D" w:rsidRDefault="0077025D">
      <w:r>
        <w:separator/>
      </w:r>
    </w:p>
  </w:endnote>
  <w:endnote w:type="continuationSeparator" w:id="0">
    <w:p w:rsidR="0077025D" w:rsidRDefault="00770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;Liberation Mono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Noto Sans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8A0" w:rsidRDefault="0077025D">
    <w:pPr>
      <w:pStyle w:val="Stopka"/>
      <w:jc w:val="center"/>
    </w:pPr>
    <w:r>
      <w:rPr>
        <w:b/>
        <w:sz w:val="14"/>
      </w:rPr>
      <w:t>(...)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8A0" w:rsidRDefault="0077025D">
    <w:pPr>
      <w:pStyle w:val="Stopka"/>
      <w:jc w:val="center"/>
    </w:pPr>
    <w:r>
      <w:rPr>
        <w:sz w:val="14"/>
      </w:rPr>
      <w:t>(...)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25D" w:rsidRDefault="0077025D">
      <w:pPr>
        <w:rPr>
          <w:sz w:val="12"/>
        </w:rPr>
      </w:pPr>
      <w:r>
        <w:separator/>
      </w:r>
    </w:p>
  </w:footnote>
  <w:footnote w:type="continuationSeparator" w:id="0">
    <w:p w:rsidR="0077025D" w:rsidRDefault="0077025D">
      <w:pPr>
        <w:rPr>
          <w:sz w:val="12"/>
        </w:rPr>
      </w:pPr>
      <w:r>
        <w:continuationSeparator/>
      </w:r>
    </w:p>
  </w:footnote>
  <w:footnote w:id="1">
    <w:p w:rsidR="007248A0" w:rsidRDefault="0077025D">
      <w:pPr>
        <w:pStyle w:val="Tekstprzypisudolnego"/>
        <w:ind w:left="-567" w:right="-691" w:firstLine="0"/>
        <w:jc w:val="both"/>
      </w:pPr>
      <w:r>
        <w:rPr>
          <w:rStyle w:val="Znakiprzypiswdolnych"/>
        </w:rPr>
        <w:footnoteRef/>
      </w:r>
      <w:r>
        <w:rPr>
          <w:sz w:val="18"/>
        </w:rPr>
        <w:tab/>
        <w:t xml:space="preserve"> </w:t>
      </w:r>
      <w:r>
        <w:rPr>
          <w:sz w:val="18"/>
          <w:szCs w:val="24"/>
        </w:rPr>
        <w:t xml:space="preserve">ustawa z dnia 7 lipca 1994 roku – Prawo budowlane oraz rozporządzenia wykonawcze do tej ustawy; ustawa z dnia 10 kwietnia 2003 roku o szczególnych </w:t>
      </w:r>
      <w:r>
        <w:rPr>
          <w:sz w:val="18"/>
          <w:szCs w:val="24"/>
        </w:rPr>
        <w:t>zasadach przygotowania i realizacji inwestycji w zakresie dróg publicznych; ustawa z dnia 5 lipca 2008 roku o ułatwieniach w przygotowaniu i realizacji inwestycji mieszkaniowych oraz inwestycji towarzyszących; ustawa z dnia 14 czerwca 1960 roku - Kodeks po</w:t>
      </w:r>
      <w:r>
        <w:rPr>
          <w:sz w:val="18"/>
          <w:szCs w:val="24"/>
        </w:rPr>
        <w:t>stępowania administracyjnego; ustawa z dnia 14 lipca 2014 roku o petycjach;</w:t>
      </w:r>
    </w:p>
    <w:p w:rsidR="007248A0" w:rsidRDefault="0077025D">
      <w:pPr>
        <w:pStyle w:val="Tekstprzypisudolnego"/>
        <w:ind w:left="-567" w:right="-691" w:firstLine="0"/>
        <w:jc w:val="both"/>
      </w:pPr>
      <w:r>
        <w:rPr>
          <w:sz w:val="18"/>
          <w:szCs w:val="24"/>
        </w:rPr>
        <w:tab/>
        <w:t xml:space="preserve">ustawa z dnia 6 września 2001 roku o dostępie do informacji publicznej; </w:t>
      </w:r>
      <w:r>
        <w:rPr>
          <w:sz w:val="18"/>
        </w:rPr>
        <w:t>ustawa z dnia 30 sierpnia 2002 roku – Prawo o postępowaniu przed sądami administracyjnymi; ustawa z dnia 23</w:t>
      </w:r>
      <w:r>
        <w:rPr>
          <w:sz w:val="18"/>
        </w:rPr>
        <w:t xml:space="preserve"> stycznia 2009 roku o wojewodzie i administracji rządowej w województwie; ustawa z dnia 15 lipca 2011 roku o kontroli w administracji rządowej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8A0" w:rsidRDefault="007248A0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8A0" w:rsidRDefault="0077025D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2310" cy="857885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857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(...)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0AEC"/>
    <w:multiLevelType w:val="multilevel"/>
    <w:tmpl w:val="5D54F9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BFC69A4"/>
    <w:multiLevelType w:val="multilevel"/>
    <w:tmpl w:val="F2ECE6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25C0F40"/>
    <w:multiLevelType w:val="multilevel"/>
    <w:tmpl w:val="9DEA849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8A0"/>
    <w:rsid w:val="00313920"/>
    <w:rsid w:val="007248A0"/>
    <w:rsid w:val="0077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6852FB-6361-4AD6-9514-3513F6E7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przypisudolnego">
    <w:name w:val="footnote text"/>
    <w:basedOn w:val="Normalny"/>
    <w:pPr>
      <w:suppressLineNumbers/>
      <w:ind w:left="340" w:hanging="340"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lodz.uw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5186</Words>
  <Characters>31122</Characters>
  <Application>Microsoft Office Word</Application>
  <DocSecurity>0</DocSecurity>
  <Lines>259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>Łóddzki Urząd Wojewódzki</Company>
  <LinksUpToDate>false</LinksUpToDate>
  <CharactersWithSpaces>36236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subject/>
  <dc:creator>wanna</dc:creator>
  <dc:description/>
  <cp:lastModifiedBy>Agnieszka Rosiak</cp:lastModifiedBy>
  <cp:revision>2</cp:revision>
  <dcterms:created xsi:type="dcterms:W3CDTF">2023-08-01T11:38:00Z</dcterms:created>
  <dcterms:modified xsi:type="dcterms:W3CDTF">2023-08-01T11:38:00Z</dcterms:modified>
  <dc:language>pl-PL</dc:language>
</cp:coreProperties>
</file>