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B855A" w14:textId="77777777" w:rsidR="008232F8" w:rsidRDefault="008232F8" w:rsidP="00193720">
      <w:pPr>
        <w:pStyle w:val="TekstpismaMF"/>
        <w:spacing w:after="240"/>
        <w:contextualSpacing w:val="0"/>
      </w:pPr>
      <w:r>
        <w:t>Warszawa, 21.04.2026</w:t>
      </w:r>
    </w:p>
    <w:p w14:paraId="400AAF48" w14:textId="77777777" w:rsidR="008232F8" w:rsidRDefault="008232F8" w:rsidP="00193720">
      <w:pPr>
        <w:pStyle w:val="TekstpismaMF"/>
        <w:spacing w:after="240"/>
        <w:contextualSpacing w:val="0"/>
      </w:pPr>
    </w:p>
    <w:p w14:paraId="1728B245" w14:textId="77777777" w:rsidR="008232F8" w:rsidRDefault="008232F8" w:rsidP="00193720">
      <w:pPr>
        <w:pStyle w:val="TekstpismaMF"/>
        <w:spacing w:after="240"/>
        <w:contextualSpacing w:val="0"/>
      </w:pPr>
    </w:p>
    <w:p w14:paraId="0F4BC0AF" w14:textId="77777777" w:rsidR="008232F8" w:rsidRPr="008232F8" w:rsidRDefault="008232F8" w:rsidP="00193720">
      <w:pPr>
        <w:pStyle w:val="Default"/>
        <w:pBdr>
          <w:bottom w:val="single" w:sz="4" w:space="1" w:color="auto"/>
        </w:pBdr>
        <w:spacing w:after="240"/>
        <w:jc w:val="center"/>
        <w:rPr>
          <w:rFonts w:asciiTheme="minorHAnsi" w:hAnsiTheme="minorHAnsi" w:cstheme="minorHAnsi"/>
          <w:b/>
          <w:bCs/>
        </w:rPr>
      </w:pPr>
      <w:bookmarkStart w:id="0" w:name="_Hlk227656307"/>
      <w:r w:rsidRPr="008232F8">
        <w:rPr>
          <w:rFonts w:asciiTheme="minorHAnsi" w:hAnsiTheme="minorHAnsi" w:cstheme="minorHAnsi"/>
          <w:b/>
          <w:bCs/>
        </w:rPr>
        <w:t xml:space="preserve">Komunikat Ministerstwa Finansów w sprawie sposobu funkcjonowania klauzuli obronnej w SRW i regułach UE oraz procesu budżetowego w odniesieniu do stanowiska Rady Fiskalnej z dnia 15 kwietnia 2026 r. </w:t>
      </w:r>
    </w:p>
    <w:p w14:paraId="682BB537" w14:textId="77777777" w:rsidR="008232F8" w:rsidRDefault="008232F8" w:rsidP="00193720">
      <w:pPr>
        <w:pStyle w:val="Default"/>
        <w:spacing w:after="240" w:line="259" w:lineRule="auto"/>
        <w:jc w:val="both"/>
        <w:rPr>
          <w:rFonts w:asciiTheme="minorHAnsi" w:hAnsiTheme="minorHAnsi" w:cstheme="minorHAnsi"/>
          <w:b/>
          <w:bCs/>
          <w:sz w:val="22"/>
          <w:szCs w:val="22"/>
        </w:rPr>
      </w:pPr>
    </w:p>
    <w:bookmarkEnd w:id="0"/>
    <w:p w14:paraId="6E9C57BA" w14:textId="6A88DB8C" w:rsidR="008232F8" w:rsidRPr="008232F8" w:rsidRDefault="008232F8" w:rsidP="00193720">
      <w:pPr>
        <w:autoSpaceDE w:val="0"/>
        <w:autoSpaceDN w:val="0"/>
        <w:adjustRightInd w:val="0"/>
        <w:spacing w:after="240"/>
        <w:jc w:val="both"/>
        <w:rPr>
          <w:rFonts w:eastAsia="Calibri" w:cs="Calibri"/>
          <w:b/>
          <w:bCs/>
          <w:color w:val="000000"/>
        </w:rPr>
      </w:pPr>
      <w:r w:rsidRPr="008232F8">
        <w:rPr>
          <w:rFonts w:eastAsia="Calibri" w:cs="Calibri"/>
          <w:b/>
          <w:bCs/>
          <w:color w:val="000000"/>
        </w:rPr>
        <w:t>Stanowisko Rady Fiskalnej (RF) z dnia 15 kwietnia 2026 r.  dot. klauzuli obronnej w stabilizującej regule wydatkowej i projektu zmian tej klauzuli  wynika z</w:t>
      </w:r>
      <w:r>
        <w:rPr>
          <w:rFonts w:eastAsia="Calibri" w:cs="Calibri"/>
          <w:b/>
          <w:bCs/>
          <w:color w:val="000000"/>
        </w:rPr>
        <w:t> </w:t>
      </w:r>
      <w:r w:rsidRPr="008232F8">
        <w:rPr>
          <w:rFonts w:eastAsia="Calibri" w:cs="Calibri"/>
          <w:b/>
          <w:bCs/>
          <w:color w:val="000000"/>
        </w:rPr>
        <w:t xml:space="preserve">przyjętych </w:t>
      </w:r>
      <w:r w:rsidR="00A54552">
        <w:rPr>
          <w:rFonts w:eastAsia="Calibri" w:cs="Calibri"/>
          <w:b/>
          <w:bCs/>
          <w:color w:val="000000"/>
        </w:rPr>
        <w:t xml:space="preserve">niewłaściwych </w:t>
      </w:r>
      <w:r w:rsidRPr="008232F8">
        <w:rPr>
          <w:rFonts w:eastAsia="Calibri" w:cs="Calibri"/>
          <w:b/>
          <w:bCs/>
          <w:color w:val="000000"/>
        </w:rPr>
        <w:t xml:space="preserve">założeń, które prowadzą do niewłaściwej interpretacji sposobu funkcjonowania zarówno krajowych, jak i unijnych </w:t>
      </w:r>
      <w:r w:rsidR="00DA1A22">
        <w:rPr>
          <w:rFonts w:eastAsia="Calibri" w:cs="Calibri"/>
          <w:b/>
          <w:bCs/>
          <w:color w:val="000000"/>
        </w:rPr>
        <w:t>zasad nadzoru budżetowego (</w:t>
      </w:r>
      <w:r w:rsidRPr="008232F8">
        <w:rPr>
          <w:rFonts w:eastAsia="Calibri" w:cs="Calibri"/>
          <w:b/>
          <w:bCs/>
          <w:color w:val="000000"/>
        </w:rPr>
        <w:t>reguł</w:t>
      </w:r>
      <w:r w:rsidR="00DA1A22">
        <w:rPr>
          <w:rFonts w:eastAsia="Calibri" w:cs="Calibri"/>
          <w:b/>
          <w:bCs/>
          <w:color w:val="000000"/>
        </w:rPr>
        <w:t xml:space="preserve"> UE)</w:t>
      </w:r>
      <w:r w:rsidRPr="008232F8">
        <w:rPr>
          <w:rFonts w:eastAsia="Calibri" w:cs="Calibri"/>
          <w:b/>
          <w:bCs/>
          <w:color w:val="000000"/>
        </w:rPr>
        <w:t xml:space="preserve"> w szczególności klauzuli obronnej w stabilizującej regule wydatkowej. </w:t>
      </w:r>
    </w:p>
    <w:p w14:paraId="7EDE75C0" w14:textId="251AC44A"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color w:val="000000"/>
        </w:rPr>
        <w:t xml:space="preserve">Stabilizująca reguła wydatkowa (SRW) stanowi realizację obowiązku nałożonego na kraje UE - w dyrektywie Rady 2011/85/UE z dnia 8 listopada 2011 r. w sprawie wymogów dla ram budżetowych państw członkowskich – dotyczącego wprowadzenia do krajowego procesu budżetowego reguł, które sprzyjają przestrzeganiu unijnych zasad polityki budżetowej. SRW poprzez </w:t>
      </w:r>
      <w:r w:rsidRPr="008232F8">
        <w:rPr>
          <w:rFonts w:eastAsia="Calibri" w:cs="Calibri"/>
          <w:b/>
          <w:bCs/>
          <w:color w:val="000000"/>
        </w:rPr>
        <w:t>zawarty w niej mechanizm korygujący</w:t>
      </w:r>
      <w:r w:rsidRPr="008232F8">
        <w:rPr>
          <w:rFonts w:eastAsia="Calibri" w:cs="Calibri"/>
          <w:color w:val="000000"/>
        </w:rPr>
        <w:t xml:space="preserve">, uwzględniający zalecenia Rady Unii Europejskiej, </w:t>
      </w:r>
      <w:r w:rsidRPr="008232F8">
        <w:rPr>
          <w:rFonts w:eastAsia="Calibri" w:cs="Calibri"/>
          <w:b/>
          <w:bCs/>
          <w:color w:val="000000"/>
        </w:rPr>
        <w:t>ma na celu zapewnienie spójności tempa wzrostu wydatków stabilizującej reguły wydatkowej netto</w:t>
      </w:r>
      <w:r w:rsidRPr="008232F8">
        <w:rPr>
          <w:rFonts w:eastAsia="Calibri" w:cs="Calibri"/>
          <w:color w:val="000000"/>
        </w:rPr>
        <w:t xml:space="preserve"> (bez kosztów obsługi długu i działań dyskrecjonalnych z tytułu podatków lub składek) </w:t>
      </w:r>
      <w:r w:rsidRPr="008232F8">
        <w:rPr>
          <w:rFonts w:eastAsia="Calibri" w:cs="Calibri"/>
          <w:b/>
          <w:bCs/>
          <w:color w:val="000000"/>
        </w:rPr>
        <w:t>z rekomendowanym przez Radę Ecofin w ramach procedury nadmiernego deficytu (EDP) maksymalnym tempem wzrostu wydatków netto</w:t>
      </w:r>
      <w:r w:rsidRPr="008232F8">
        <w:rPr>
          <w:rFonts w:eastAsia="Calibri" w:cs="Calibri"/>
          <w:color w:val="000000"/>
        </w:rPr>
        <w:t xml:space="preserve">. </w:t>
      </w:r>
      <w:r w:rsidRPr="008232F8">
        <w:rPr>
          <w:rFonts w:eastAsia="Calibri" w:cs="Calibri"/>
          <w:b/>
          <w:bCs/>
          <w:color w:val="000000"/>
        </w:rPr>
        <w:t>Dzięki temu mechanizmowi SRW zapewnia zgodność polityki fiskalnej z wymogami reguł europejskich i ze zobowiązaniami traktatowymi Polski</w:t>
      </w:r>
      <w:r w:rsidRPr="008232F8">
        <w:rPr>
          <w:rFonts w:eastAsia="Calibri" w:cs="Calibri"/>
          <w:color w:val="000000"/>
        </w:rPr>
        <w:t>. Kwota wydatków SRW przewidziana w projekcie ustawy budżetowej musi być zgodna z tymi zaleceniami. Każda zmiana SRW jest notyfikowana do Komisji Europejskiej (KE). Wszystkie dotychczasowe modyfikacje były przyjmowane przez KE bez zastrzeżeń.</w:t>
      </w:r>
      <w:r w:rsidR="00A54552">
        <w:rPr>
          <w:rFonts w:eastAsia="Calibri" w:cs="Calibri"/>
          <w:color w:val="000000"/>
        </w:rPr>
        <w:t xml:space="preserve"> </w:t>
      </w:r>
      <w:r w:rsidR="00A54552" w:rsidRPr="00A54552">
        <w:rPr>
          <w:rFonts w:eastAsia="Calibri" w:cs="Calibri"/>
          <w:color w:val="000000"/>
        </w:rPr>
        <w:t>Również aktualna zmiana, która została już raz uchwalona w zawetowanej ustawie z dnia 27 lutego 2026 r. o Finansowym Instrumencie Zwiększenia Bezpieczeństwa SAFE, nie wzbudziła uwag.</w:t>
      </w:r>
    </w:p>
    <w:p w14:paraId="37583844" w14:textId="18688C71" w:rsidR="008232F8" w:rsidRPr="008232F8" w:rsidRDefault="008232F8" w:rsidP="00193720">
      <w:pPr>
        <w:spacing w:after="240"/>
        <w:jc w:val="both"/>
        <w:rPr>
          <w:rFonts w:eastAsia="Calibri" w:cs="Calibri"/>
        </w:rPr>
      </w:pPr>
      <w:r w:rsidRPr="008232F8">
        <w:rPr>
          <w:rFonts w:eastAsia="Calibri" w:cs="Calibri"/>
          <w:b/>
          <w:bCs/>
        </w:rPr>
        <w:t>W dniu 19 marca 2025 r. KE w komunikacie zachęciła państwa członkowskie do skoordynowanego użycia krajowej klauzuli wyjścia</w:t>
      </w:r>
      <w:r w:rsidRPr="008232F8">
        <w:rPr>
          <w:rFonts w:eastAsia="Calibri" w:cs="Calibri"/>
        </w:rPr>
        <w:t xml:space="preserve"> (z ang. </w:t>
      </w:r>
      <w:proofErr w:type="spellStart"/>
      <w:r w:rsidRPr="008232F8">
        <w:rPr>
          <w:rFonts w:eastAsia="Calibri" w:cs="Calibri"/>
          <w:i/>
          <w:iCs/>
        </w:rPr>
        <w:t>national</w:t>
      </w:r>
      <w:proofErr w:type="spellEnd"/>
      <w:r w:rsidRPr="008232F8">
        <w:rPr>
          <w:rFonts w:eastAsia="Calibri" w:cs="Calibri"/>
          <w:i/>
          <w:iCs/>
        </w:rPr>
        <w:t xml:space="preserve"> </w:t>
      </w:r>
      <w:proofErr w:type="spellStart"/>
      <w:r w:rsidRPr="008232F8">
        <w:rPr>
          <w:rFonts w:eastAsia="Calibri" w:cs="Calibri"/>
          <w:i/>
          <w:iCs/>
        </w:rPr>
        <w:t>escape</w:t>
      </w:r>
      <w:proofErr w:type="spellEnd"/>
      <w:r w:rsidRPr="008232F8">
        <w:rPr>
          <w:rFonts w:eastAsia="Calibri" w:cs="Calibri"/>
          <w:i/>
          <w:iCs/>
        </w:rPr>
        <w:t xml:space="preserve"> </w:t>
      </w:r>
      <w:proofErr w:type="spellStart"/>
      <w:r w:rsidRPr="008232F8">
        <w:rPr>
          <w:rFonts w:eastAsia="Calibri" w:cs="Calibri"/>
          <w:i/>
          <w:iCs/>
        </w:rPr>
        <w:t>clause</w:t>
      </w:r>
      <w:proofErr w:type="spellEnd"/>
      <w:r w:rsidRPr="008232F8">
        <w:rPr>
          <w:rFonts w:eastAsia="Calibri" w:cs="Calibri"/>
        </w:rPr>
        <w:t xml:space="preserve"> – </w:t>
      </w:r>
      <w:r w:rsidRPr="008232F8">
        <w:rPr>
          <w:rFonts w:eastAsia="Calibri" w:cs="Calibri"/>
          <w:b/>
          <w:bCs/>
        </w:rPr>
        <w:t>NEC</w:t>
      </w:r>
      <w:r w:rsidRPr="008232F8">
        <w:rPr>
          <w:rFonts w:eastAsia="Calibri" w:cs="Calibri"/>
        </w:rPr>
        <w:t>) ze względu na wyjątkowe okoliczności, jakimi są agresja Rosji na Ukrainę i</w:t>
      </w:r>
      <w:r>
        <w:rPr>
          <w:rFonts w:eastAsia="Calibri" w:cs="Calibri"/>
        </w:rPr>
        <w:t> </w:t>
      </w:r>
      <w:r w:rsidRPr="008232F8">
        <w:rPr>
          <w:rFonts w:eastAsia="Calibri" w:cs="Calibri"/>
        </w:rPr>
        <w:t xml:space="preserve">pogarszające się warunki determinujące bezpieczeństwo. Powinno to - w opinii KE - pozwolić na osiągnięcie przez państwa Unii Europejskiej trwale wyższych </w:t>
      </w:r>
      <w:r w:rsidRPr="008232F8">
        <w:rPr>
          <w:rFonts w:eastAsia="Calibri" w:cs="Calibri"/>
        </w:rPr>
        <w:lastRenderedPageBreak/>
        <w:t xml:space="preserve">wydatków obronnych przy zachowaniu w średnim okresie stabilnych finansów publicznych. Polska złożyła wniosek o NEC 30 kwietnia 2025 r., a 4 czerwca 2025 r. KE pozytywnie zaopiniowała skoordynowane zastosowanie krajowej klauzuli wyjścia od reguł unijnych dla 15 krajów UE, w tym Polski (aktualnie 17 krajów). </w:t>
      </w:r>
      <w:r w:rsidRPr="008232F8">
        <w:rPr>
          <w:rFonts w:eastAsia="Calibri" w:cs="Calibri"/>
          <w:b/>
          <w:bCs/>
        </w:rPr>
        <w:t>Klauzula ta</w:t>
      </w:r>
      <w:r w:rsidRPr="008232F8">
        <w:rPr>
          <w:rFonts w:eastAsia="Calibri" w:cs="Calibri"/>
        </w:rPr>
        <w:t xml:space="preserve">, zgodnie z art. 26 rozporządzenia UE 2024/1263, </w:t>
      </w:r>
      <w:r w:rsidRPr="008232F8">
        <w:rPr>
          <w:rFonts w:eastAsia="Calibri" w:cs="Calibri"/>
          <w:b/>
          <w:bCs/>
        </w:rPr>
        <w:t>została uruchomiona dla Polski poprzez wydanie odpowiedniego zalecenia Rady UE z dnia 8 lipca 2025</w:t>
      </w:r>
      <w:r w:rsidR="00A54552">
        <w:rPr>
          <w:rFonts w:eastAsia="Calibri" w:cs="Calibri"/>
          <w:b/>
          <w:bCs/>
        </w:rPr>
        <w:t> </w:t>
      </w:r>
      <w:r w:rsidRPr="008232F8">
        <w:rPr>
          <w:rFonts w:eastAsia="Calibri" w:cs="Calibri"/>
          <w:b/>
          <w:bCs/>
        </w:rPr>
        <w:t>r.</w:t>
      </w:r>
    </w:p>
    <w:p w14:paraId="4E7369BC" w14:textId="7DE096BA" w:rsidR="008232F8" w:rsidRPr="008232F8" w:rsidRDefault="008232F8" w:rsidP="00193720">
      <w:pPr>
        <w:spacing w:after="240"/>
        <w:jc w:val="both"/>
        <w:rPr>
          <w:rFonts w:eastAsia="Calibri" w:cs="Calibri"/>
        </w:rPr>
      </w:pPr>
      <w:r w:rsidRPr="008232F8">
        <w:rPr>
          <w:rFonts w:eastAsia="Calibri" w:cs="Calibri"/>
          <w:bCs/>
        </w:rPr>
        <w:t xml:space="preserve">Aktywowanie NEC umożliwia </w:t>
      </w:r>
      <w:r w:rsidRPr="008232F8">
        <w:rPr>
          <w:rFonts w:eastAsia="Calibri" w:cs="Calibri"/>
          <w:b/>
        </w:rPr>
        <w:t>odejście od rekomendowanej przez Radę UE ścieżki wydatków do wysokości przyrostu wydatków na obronność w stosunku do sytuacji przed wojną w Ukrainie (czyli w 2021 r.)</w:t>
      </w:r>
      <w:r w:rsidRPr="008232F8">
        <w:rPr>
          <w:rFonts w:eastAsia="Calibri" w:cs="Calibri"/>
          <w:bCs/>
        </w:rPr>
        <w:t>, w tym wydatków ponoszonych w ramach unijnego instrumentu SAFE, jednak nie więcej niż 1,5% PKB rocznie</w:t>
      </w:r>
      <w:r w:rsidRPr="008232F8">
        <w:rPr>
          <w:rFonts w:eastAsia="Calibri" w:cs="Calibri"/>
          <w:b/>
          <w:bCs/>
        </w:rPr>
        <w:t xml:space="preserve"> </w:t>
      </w:r>
      <w:r w:rsidRPr="008232F8">
        <w:rPr>
          <w:rFonts w:eastAsia="Calibri" w:cs="Calibri"/>
        </w:rPr>
        <w:t>w</w:t>
      </w:r>
      <w:r>
        <w:rPr>
          <w:rFonts w:eastAsia="Calibri" w:cs="Calibri"/>
        </w:rPr>
        <w:t> </w:t>
      </w:r>
      <w:r w:rsidRPr="008232F8">
        <w:rPr>
          <w:rFonts w:eastAsia="Calibri" w:cs="Calibri"/>
        </w:rPr>
        <w:t>okresie 2025-2028</w:t>
      </w:r>
      <w:r w:rsidRPr="008232F8">
        <w:rPr>
          <w:rFonts w:eastAsia="Calibri" w:cs="Calibri"/>
          <w:bCs/>
        </w:rPr>
        <w:t xml:space="preserve">. </w:t>
      </w:r>
      <w:r w:rsidRPr="008232F8">
        <w:rPr>
          <w:rFonts w:eastAsia="Calibri" w:cs="Calibri"/>
        </w:rPr>
        <w:t xml:space="preserve">Oznacza to więc, </w:t>
      </w:r>
      <w:r w:rsidRPr="008232F8">
        <w:rPr>
          <w:rFonts w:eastAsia="Calibri" w:cs="Calibri"/>
          <w:b/>
          <w:bCs/>
        </w:rPr>
        <w:t>po pierwsze, że punktem odniesienia jest rok 2021 a nie 2023 jak w stanowisku RF. Po drugie, że skala elastyczności jest obliczana w oparciu o wielkość wydatków, ale nie stanowi ona odrębnego limitu/przestrzeni dla wydatków obronnych</w:t>
      </w:r>
      <w:r w:rsidRPr="008232F8">
        <w:rPr>
          <w:rFonts w:eastAsia="Calibri" w:cs="Calibri"/>
        </w:rPr>
        <w:t>. W przypadku państw (w tym Polski), które już wcześniej (</w:t>
      </w:r>
      <w:r w:rsidR="001135F1" w:rsidRPr="008232F8">
        <w:rPr>
          <w:rFonts w:eastAsia="Calibri" w:cs="Calibri"/>
        </w:rPr>
        <w:t>tz</w:t>
      </w:r>
      <w:r w:rsidR="001135F1">
        <w:rPr>
          <w:rFonts w:eastAsia="Calibri" w:cs="Calibri"/>
        </w:rPr>
        <w:t>n</w:t>
      </w:r>
      <w:r w:rsidRPr="008232F8">
        <w:rPr>
          <w:rFonts w:eastAsia="Calibri" w:cs="Calibri"/>
        </w:rPr>
        <w:t xml:space="preserve">. przed uruchomieniem NEC w 2025 r.) podniosły wydatki obronne elastyczność ta – na zasadzie </w:t>
      </w:r>
      <w:proofErr w:type="spellStart"/>
      <w:r w:rsidRPr="008232F8">
        <w:rPr>
          <w:rFonts w:eastAsia="Calibri" w:cs="Calibri"/>
        </w:rPr>
        <w:t>equal</w:t>
      </w:r>
      <w:proofErr w:type="spellEnd"/>
      <w:r w:rsidRPr="008232F8">
        <w:rPr>
          <w:rFonts w:eastAsia="Calibri" w:cs="Calibri"/>
        </w:rPr>
        <w:t xml:space="preserve"> </w:t>
      </w:r>
      <w:proofErr w:type="spellStart"/>
      <w:r w:rsidRPr="008232F8">
        <w:rPr>
          <w:rFonts w:eastAsia="Calibri" w:cs="Calibri"/>
        </w:rPr>
        <w:t>treatment</w:t>
      </w:r>
      <w:proofErr w:type="spellEnd"/>
      <w:r w:rsidRPr="008232F8">
        <w:rPr>
          <w:rFonts w:eastAsia="Calibri" w:cs="Calibri"/>
        </w:rPr>
        <w:t xml:space="preserve"> – ma zmniejszyć presję na skokowe ograniczanie innych wydatków w efekcie tak znacznego wkładu w</w:t>
      </w:r>
      <w:r>
        <w:rPr>
          <w:rFonts w:eastAsia="Calibri" w:cs="Calibri"/>
        </w:rPr>
        <w:t> </w:t>
      </w:r>
      <w:r w:rsidRPr="008232F8">
        <w:rPr>
          <w:rFonts w:eastAsia="Calibri" w:cs="Calibri"/>
        </w:rPr>
        <w:t>solidarność międzynarodową</w:t>
      </w:r>
      <w:r w:rsidRPr="008232F8">
        <w:rPr>
          <w:rFonts w:eastAsia="Calibri" w:cs="Calibri"/>
          <w:vertAlign w:val="superscript"/>
        </w:rPr>
        <w:footnoteReference w:id="1"/>
      </w:r>
      <w:r w:rsidRPr="008232F8">
        <w:rPr>
          <w:rFonts w:eastAsia="Calibri" w:cs="Calibri"/>
        </w:rPr>
        <w:t xml:space="preserve">.  </w:t>
      </w:r>
    </w:p>
    <w:p w14:paraId="3CAC33C1" w14:textId="53FA957B" w:rsidR="008232F8" w:rsidRPr="008232F8" w:rsidRDefault="008232F8" w:rsidP="00193720">
      <w:pPr>
        <w:spacing w:after="240"/>
        <w:jc w:val="both"/>
        <w:rPr>
          <w:rFonts w:eastAsia="Calibri" w:cs="Calibri"/>
        </w:rPr>
      </w:pPr>
      <w:r w:rsidRPr="008232F8">
        <w:rPr>
          <w:rFonts w:eastAsia="Calibri" w:cs="Calibri"/>
          <w:b/>
          <w:bCs/>
        </w:rPr>
        <w:t>Zarówno reguły na poziomie unijnym, jak i krajowym (SRW) nie przesądzają o</w:t>
      </w:r>
      <w:r>
        <w:rPr>
          <w:rFonts w:eastAsia="Calibri" w:cs="Calibri"/>
          <w:b/>
          <w:bCs/>
        </w:rPr>
        <w:t> </w:t>
      </w:r>
      <w:r w:rsidRPr="008232F8">
        <w:rPr>
          <w:rFonts w:eastAsia="Calibri" w:cs="Calibri"/>
          <w:b/>
          <w:bCs/>
        </w:rPr>
        <w:t>kierunkowym (funkcyjnym) podziale kwoty wydatków (na poszczególne kategorie wydatków.</w:t>
      </w:r>
      <w:r w:rsidRPr="008232F8">
        <w:rPr>
          <w:rFonts w:eastAsia="Calibri" w:cs="Calibri"/>
        </w:rPr>
        <w:t xml:space="preserve"> Dlatego Rada Fiskalna dekomponując kwotę wydatków SRW na indeksowane limity wydatków na poszczególne kategorie wydatków i korekty ex post w przypadku ich niewykonania, mija się zupełnie z podejściem do limitów wydatkowych zarówno w unijnych, jak i w krajowych ramach fiskalnych. Należy zauważyć, że kwota SRW określa poziom wydatków jednostek i organów nią objętych </w:t>
      </w:r>
      <w:r w:rsidRPr="008232F8">
        <w:rPr>
          <w:rFonts w:eastAsia="Calibri" w:cs="Calibri"/>
          <w:i/>
          <w:iCs/>
        </w:rPr>
        <w:t xml:space="preserve">en </w:t>
      </w:r>
      <w:proofErr w:type="spellStart"/>
      <w:r w:rsidRPr="008232F8">
        <w:rPr>
          <w:rFonts w:eastAsia="Calibri" w:cs="Calibri"/>
          <w:i/>
          <w:iCs/>
        </w:rPr>
        <w:t>bloc</w:t>
      </w:r>
      <w:proofErr w:type="spellEnd"/>
      <w:r w:rsidRPr="008232F8">
        <w:rPr>
          <w:rFonts w:eastAsia="Calibri" w:cs="Calibri"/>
        </w:rPr>
        <w:t xml:space="preserve">, tj. nie poszczególnych wydatków czy grup wydatków lecz </w:t>
      </w:r>
      <w:r w:rsidRPr="008232F8">
        <w:rPr>
          <w:rFonts w:eastAsia="Calibri" w:cs="Calibri"/>
          <w:b/>
          <w:bCs/>
        </w:rPr>
        <w:t>wydatków ogółem</w:t>
      </w:r>
      <w:r w:rsidRPr="008232F8">
        <w:rPr>
          <w:rFonts w:eastAsia="Calibri" w:cs="Calibri"/>
        </w:rPr>
        <w:t xml:space="preserve">. Kwota ta następnie w wyniku procesu budżetowego podlega podziałowi na poszczególne wydatki. Jeżeli jakieś wydatki w ramach SRW rosną szybciej/wolniej niż cała kwota SRW to zmniejsza się/zwiększa się przestrzeń dla innych wydatków.  RF pomija przy tym fakt, że </w:t>
      </w:r>
      <w:r w:rsidRPr="008232F8">
        <w:rPr>
          <w:rFonts w:eastAsia="Calibri" w:cs="Calibri"/>
          <w:b/>
          <w:bCs/>
        </w:rPr>
        <w:t>klauzula obronna nie służy zwiększaniu przestrzeni wydatkowej na wydatki obronne.</w:t>
      </w:r>
      <w:r w:rsidRPr="008232F8">
        <w:rPr>
          <w:rFonts w:eastAsia="Calibri" w:cs="Calibri"/>
        </w:rPr>
        <w:t xml:space="preserve"> Kwota startowa dla klauzuli obronnej została zakotwiczona w wydatkach planowanych na 2023 r., przy czym sama klauzula ma zastosowanie od ustawy budżetowej na 2024 r. </w:t>
      </w:r>
    </w:p>
    <w:p w14:paraId="354A4084" w14:textId="326EFBE7"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color w:val="000000"/>
        </w:rPr>
        <w:t xml:space="preserve">Warto również podkreślić, że </w:t>
      </w:r>
      <w:r w:rsidRPr="008232F8">
        <w:rPr>
          <w:rFonts w:eastAsia="Calibri" w:cs="Calibri"/>
          <w:b/>
          <w:bCs/>
          <w:color w:val="000000"/>
        </w:rPr>
        <w:t>gdyby przyjąć tok rozumowania Rady Fiskalnej za poprawny, stanowiący podstawę krytyki zastosowania w SRW NEC, należałoby dojść do wniosku, że KE i Rada Ecofin niewłaściwie stosuje reguły unijne, gdyż sposób ujęcia NEC w SRW jest analogiczny do konstrukcji unijnej ścieżki wydatków netto z uwzględnieniem NEC</w:t>
      </w:r>
      <w:r w:rsidRPr="008232F8">
        <w:rPr>
          <w:rFonts w:eastAsia="Calibri" w:cs="Calibri"/>
          <w:color w:val="000000"/>
        </w:rPr>
        <w:t xml:space="preserve">. </w:t>
      </w:r>
      <w:r w:rsidRPr="008232F8">
        <w:rPr>
          <w:rFonts w:eastAsia="Calibri" w:cs="Calibri"/>
          <w:b/>
          <w:bCs/>
          <w:color w:val="000000"/>
        </w:rPr>
        <w:t xml:space="preserve">Zarzuty dotyczące rzekomego braku uzasadnienia do jednoczesnego stosowania w przypadku Polski klauzuli obronnej w SRW i NEC nie odnoszą się bowiem do SRW jako takiej, lecz </w:t>
      </w:r>
      <w:r w:rsidRPr="008232F8">
        <w:rPr>
          <w:rFonts w:eastAsia="Calibri" w:cs="Calibri"/>
          <w:b/>
          <w:bCs/>
          <w:i/>
          <w:iCs/>
          <w:color w:val="000000"/>
        </w:rPr>
        <w:t>de facto</w:t>
      </w:r>
      <w:r w:rsidRPr="008232F8">
        <w:rPr>
          <w:rFonts w:eastAsia="Calibri" w:cs="Calibri"/>
          <w:b/>
          <w:bCs/>
          <w:color w:val="000000"/>
        </w:rPr>
        <w:t xml:space="preserve"> do systemowej logiki unijnej </w:t>
      </w:r>
      <w:r w:rsidRPr="008232F8">
        <w:rPr>
          <w:rFonts w:eastAsia="Calibri" w:cs="Calibri"/>
          <w:color w:val="000000"/>
        </w:rPr>
        <w:t xml:space="preserve">elastyczności NEC i sposobu funkcjonowania  tempa wzrostu wydatków netto (NEG), które zakładają stopniowe, a nie skokowe dostosowanie fiskalne oraz oparcie konsolidacji na ujęciu memoriałowym, bez </w:t>
      </w:r>
      <w:r w:rsidRPr="008232F8">
        <w:rPr>
          <w:rFonts w:eastAsia="Calibri" w:cs="Calibri"/>
          <w:color w:val="000000"/>
        </w:rPr>
        <w:lastRenderedPageBreak/>
        <w:t>uwzględniania ewentualnych różnic w stosunku do podejścia kasowego, które – również w statystykach UE - wpływa na dług sektora instytucji rządowych i</w:t>
      </w:r>
      <w:r>
        <w:rPr>
          <w:rFonts w:eastAsia="Calibri" w:cs="Calibri"/>
          <w:color w:val="000000"/>
        </w:rPr>
        <w:t> </w:t>
      </w:r>
      <w:r w:rsidRPr="008232F8">
        <w:rPr>
          <w:rFonts w:eastAsia="Calibri" w:cs="Calibri"/>
          <w:color w:val="000000"/>
        </w:rPr>
        <w:t xml:space="preserve">samorządowych (sektor </w:t>
      </w:r>
      <w:proofErr w:type="spellStart"/>
      <w:r w:rsidRPr="008232F8">
        <w:rPr>
          <w:rFonts w:eastAsia="Calibri" w:cs="Calibri"/>
          <w:color w:val="000000"/>
        </w:rPr>
        <w:t>gg</w:t>
      </w:r>
      <w:proofErr w:type="spellEnd"/>
      <w:r w:rsidRPr="008232F8">
        <w:rPr>
          <w:rFonts w:eastAsia="Calibri" w:cs="Calibri"/>
          <w:color w:val="000000"/>
        </w:rPr>
        <w:t xml:space="preserve">). Krytyka RF pomija więc fakt, że </w:t>
      </w:r>
      <w:r w:rsidRPr="008232F8">
        <w:rPr>
          <w:rFonts w:eastAsia="Calibri" w:cs="Calibri"/>
          <w:b/>
          <w:bCs/>
          <w:color w:val="000000"/>
        </w:rPr>
        <w:t>zarówno SRW, jak i</w:t>
      </w:r>
      <w:r>
        <w:rPr>
          <w:rFonts w:eastAsia="Calibri" w:cs="Calibri"/>
          <w:b/>
          <w:bCs/>
          <w:color w:val="000000"/>
        </w:rPr>
        <w:t> </w:t>
      </w:r>
      <w:r w:rsidRPr="008232F8">
        <w:rPr>
          <w:rFonts w:eastAsia="Calibri" w:cs="Calibri"/>
          <w:b/>
          <w:bCs/>
          <w:color w:val="000000"/>
        </w:rPr>
        <w:t>unijne ramy fiskalne zostały celowo zaprojektowane jako mechanizmy wygładzające ścieżkę dostosowania, odporne na chwilowe odchylenia i</w:t>
      </w:r>
      <w:r>
        <w:rPr>
          <w:rFonts w:eastAsia="Calibri" w:cs="Calibri"/>
          <w:b/>
          <w:bCs/>
          <w:color w:val="000000"/>
        </w:rPr>
        <w:t> </w:t>
      </w:r>
      <w:r w:rsidRPr="008232F8">
        <w:rPr>
          <w:rFonts w:eastAsia="Calibri" w:cs="Calibri"/>
          <w:b/>
          <w:bCs/>
          <w:color w:val="000000"/>
        </w:rPr>
        <w:t>dostosowujące skalę konsolidacji do rekomendowanej ścieżki wydatków memoriałowych</w:t>
      </w:r>
      <w:r w:rsidRPr="008232F8">
        <w:rPr>
          <w:rFonts w:eastAsia="Calibri" w:cs="Calibri"/>
          <w:color w:val="000000"/>
        </w:rPr>
        <w:t>.</w:t>
      </w:r>
    </w:p>
    <w:p w14:paraId="7C99D3C7" w14:textId="39AD64F6"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color w:val="000000"/>
        </w:rPr>
        <w:t xml:space="preserve">SRW ma charakter kasowy, analogicznie </w:t>
      </w:r>
      <w:r w:rsidR="001135F1">
        <w:rPr>
          <w:rFonts w:eastAsia="Calibri" w:cs="Calibri"/>
          <w:color w:val="000000"/>
        </w:rPr>
        <w:t>jak</w:t>
      </w:r>
      <w:r w:rsidR="001135F1" w:rsidRPr="008232F8">
        <w:rPr>
          <w:rFonts w:eastAsia="Calibri" w:cs="Calibri"/>
          <w:color w:val="000000"/>
        </w:rPr>
        <w:t xml:space="preserve"> </w:t>
      </w:r>
      <w:r w:rsidRPr="008232F8">
        <w:rPr>
          <w:rFonts w:eastAsia="Calibri" w:cs="Calibri"/>
          <w:color w:val="000000"/>
        </w:rPr>
        <w:t xml:space="preserve">budżet państwa, podczas gdy reguły UE są odnoszą się do wydatków ujmowanych w ujęciu memoriałowym. Z tego względu od projektu ustawy budżetowej na 2024 r. wprowadzono </w:t>
      </w:r>
      <w:r w:rsidRPr="008232F8">
        <w:rPr>
          <w:rFonts w:eastAsia="Calibri" w:cs="Calibri"/>
          <w:b/>
          <w:bCs/>
          <w:color w:val="000000"/>
        </w:rPr>
        <w:t>klauzulę obronną, której zadaniem jest korekta rozbieżności pomiędzy wydatkami zgodnymi z metodyką krajową i metodyką unijną/memoriałową</w:t>
      </w:r>
      <w:r w:rsidRPr="008232F8">
        <w:rPr>
          <w:rFonts w:eastAsia="Calibri" w:cs="Calibri"/>
          <w:color w:val="000000"/>
        </w:rPr>
        <w:t xml:space="preserve">, gdyż kasowe przedpłaty na zakup sprzętu wojskowego nie mają odzwierciedlenia w obliczanych metodą unijną/memoriałową wydatkach i w wyniku sektora </w:t>
      </w:r>
      <w:proofErr w:type="spellStart"/>
      <w:r w:rsidRPr="008232F8">
        <w:rPr>
          <w:rFonts w:eastAsia="Calibri" w:cs="Calibri"/>
          <w:color w:val="000000"/>
        </w:rPr>
        <w:t>gg</w:t>
      </w:r>
      <w:proofErr w:type="spellEnd"/>
      <w:r w:rsidRPr="008232F8">
        <w:rPr>
          <w:rFonts w:eastAsia="Calibri" w:cs="Calibri"/>
          <w:color w:val="000000"/>
        </w:rPr>
        <w:t xml:space="preserve">, dopiero dostawy zwiększają wydatki i w efekcie mają wpływ na deficyt sektora </w:t>
      </w:r>
      <w:proofErr w:type="spellStart"/>
      <w:r w:rsidRPr="008232F8">
        <w:rPr>
          <w:rFonts w:eastAsia="Calibri" w:cs="Calibri"/>
          <w:color w:val="000000"/>
        </w:rPr>
        <w:t>gg</w:t>
      </w:r>
      <w:proofErr w:type="spellEnd"/>
      <w:r w:rsidRPr="008232F8">
        <w:rPr>
          <w:rFonts w:eastAsia="Calibri" w:cs="Calibri"/>
          <w:color w:val="000000"/>
        </w:rPr>
        <w:t xml:space="preserve">. Z uwagi na duży odstęp czasowy między przedpłatami (kasowe zaliczki), a dostawami (memoriał) oraz wysoką wartością transakcji, w SRW zastosowano podejście </w:t>
      </w:r>
      <w:proofErr w:type="spellStart"/>
      <w:r w:rsidRPr="008232F8">
        <w:rPr>
          <w:rFonts w:eastAsia="Calibri" w:cs="Calibri"/>
          <w:color w:val="000000"/>
        </w:rPr>
        <w:t>uspójniające</w:t>
      </w:r>
      <w:proofErr w:type="spellEnd"/>
      <w:r w:rsidRPr="008232F8">
        <w:rPr>
          <w:rFonts w:eastAsia="Calibri" w:cs="Calibri"/>
          <w:color w:val="000000"/>
        </w:rPr>
        <w:t xml:space="preserve"> do tego stosowanego w regułach unijnych tak, aby nadwyżka przedpłat na sprzęt wojskowy (niewpływająca na deficyt sektora </w:t>
      </w:r>
      <w:proofErr w:type="spellStart"/>
      <w:r w:rsidRPr="008232F8">
        <w:rPr>
          <w:rFonts w:eastAsia="Calibri" w:cs="Calibri"/>
          <w:color w:val="000000"/>
        </w:rPr>
        <w:t>gg</w:t>
      </w:r>
      <w:proofErr w:type="spellEnd"/>
      <w:r w:rsidRPr="008232F8">
        <w:rPr>
          <w:rFonts w:eastAsia="Calibri" w:cs="Calibri"/>
          <w:color w:val="000000"/>
        </w:rPr>
        <w:t>) nad wartością dostarczonego sprzętu wojskowego, wymagała korekty dopiero w roku dostawy tego sprzętu tj. roku</w:t>
      </w:r>
      <w:r w:rsidR="00A54552">
        <w:rPr>
          <w:rFonts w:eastAsia="Calibri" w:cs="Calibri"/>
          <w:color w:val="000000"/>
        </w:rPr>
        <w:t>,</w:t>
      </w:r>
      <w:r w:rsidRPr="008232F8">
        <w:rPr>
          <w:rFonts w:eastAsia="Calibri" w:cs="Calibri"/>
          <w:color w:val="000000"/>
        </w:rPr>
        <w:t xml:space="preserve"> w którym znajdzie odzwierciedlenie w wydatkach w ujęciu statystyk europejskich (ESA2010).</w:t>
      </w:r>
    </w:p>
    <w:p w14:paraId="345E729A" w14:textId="344A6917" w:rsidR="008232F8" w:rsidRPr="008232F8" w:rsidRDefault="008232F8" w:rsidP="00193720">
      <w:pPr>
        <w:spacing w:after="240"/>
        <w:jc w:val="both"/>
        <w:rPr>
          <w:rFonts w:eastAsia="Calibri" w:cs="Calibri"/>
        </w:rPr>
      </w:pPr>
      <w:r w:rsidRPr="008232F8">
        <w:rPr>
          <w:rFonts w:eastAsia="Calibri" w:cs="Calibri"/>
        </w:rPr>
        <w:t xml:space="preserve">Odnosząc się do poruszonych w stanowisku Rady kwestii braku </w:t>
      </w:r>
      <w:r w:rsidRPr="008232F8">
        <w:rPr>
          <w:rFonts w:eastAsia="Calibri" w:cs="Calibri"/>
          <w:b/>
          <w:bCs/>
        </w:rPr>
        <w:t>precyzyjnej definicji wydatków na cele obronne na poziomie ustawy lub aktu wykonawczego</w:t>
      </w:r>
      <w:r w:rsidRPr="008232F8">
        <w:rPr>
          <w:rFonts w:eastAsia="Calibri" w:cs="Calibri"/>
        </w:rPr>
        <w:t xml:space="preserve">, należy podkreślić, że </w:t>
      </w:r>
      <w:r w:rsidRPr="008232F8">
        <w:rPr>
          <w:rFonts w:eastAsia="Calibri" w:cs="Calibri"/>
          <w:b/>
          <w:bCs/>
        </w:rPr>
        <w:t>istnieją już regulacje unijne w zakresie klasyfikacji/definicji wydatków publicznych wg funkcji COFOG, w tym też działu 02 „obrona narodowa”</w:t>
      </w:r>
      <w:r w:rsidRPr="008232F8">
        <w:rPr>
          <w:rFonts w:eastAsia="Calibri" w:cs="Calibri"/>
        </w:rPr>
        <w:t xml:space="preserve"> na potrzeby m.in. nadzoru budżetowego oraz krajowej klauzuli wyjścia. Ustalona na poziomie UE metodologia jest jednakowa dla wszystkich krajów UE. </w:t>
      </w:r>
      <w:r w:rsidR="001135F1">
        <w:rPr>
          <w:rFonts w:eastAsia="Calibri" w:cs="Calibri"/>
        </w:rPr>
        <w:t>N</w:t>
      </w:r>
      <w:r w:rsidRPr="008232F8">
        <w:rPr>
          <w:rFonts w:eastAsia="Calibri" w:cs="Calibri"/>
        </w:rPr>
        <w:t>a stronach Eurostatu dostępny jest podręcznik</w:t>
      </w:r>
      <w:r w:rsidRPr="008232F8">
        <w:rPr>
          <w:rFonts w:eastAsia="Calibri" w:cs="Calibri"/>
          <w:color w:val="0563C1"/>
          <w:u w:val="single"/>
          <w:vertAlign w:val="superscript"/>
        </w:rPr>
        <w:footnoteReference w:id="2"/>
      </w:r>
      <w:r w:rsidRPr="008232F8">
        <w:rPr>
          <w:rFonts w:eastAsia="Calibri" w:cs="Calibri"/>
        </w:rPr>
        <w:t xml:space="preserve"> dotyczący źródeł i metod opracowywania statystyk wg COFOG oraz publikowane są wytyczne</w:t>
      </w:r>
      <w:r w:rsidRPr="008232F8">
        <w:rPr>
          <w:rFonts w:eastAsia="Calibri" w:cs="Calibri"/>
          <w:vertAlign w:val="superscript"/>
        </w:rPr>
        <w:footnoteReference w:id="3"/>
      </w:r>
      <w:r w:rsidRPr="008232F8">
        <w:rPr>
          <w:rFonts w:eastAsia="Calibri" w:cs="Calibri"/>
        </w:rPr>
        <w:t xml:space="preserve">. Po zakończeniu konsultacji z urzędami statystycznymi Eurostat opublikuje </w:t>
      </w:r>
      <w:proofErr w:type="spellStart"/>
      <w:r w:rsidRPr="008232F8">
        <w:rPr>
          <w:rFonts w:eastAsia="Calibri" w:cs="Calibri"/>
          <w:i/>
          <w:iCs/>
        </w:rPr>
        <w:t>Guidance</w:t>
      </w:r>
      <w:proofErr w:type="spellEnd"/>
      <w:r w:rsidRPr="008232F8">
        <w:rPr>
          <w:rFonts w:eastAsia="Calibri" w:cs="Calibri"/>
          <w:i/>
          <w:iCs/>
        </w:rPr>
        <w:t xml:space="preserve"> </w:t>
      </w:r>
      <w:proofErr w:type="spellStart"/>
      <w:r w:rsidRPr="008232F8">
        <w:rPr>
          <w:rFonts w:eastAsia="Calibri" w:cs="Calibri"/>
          <w:i/>
          <w:iCs/>
        </w:rPr>
        <w:t>Note</w:t>
      </w:r>
      <w:proofErr w:type="spellEnd"/>
      <w:r w:rsidRPr="008232F8">
        <w:rPr>
          <w:rFonts w:eastAsia="Calibri" w:cs="Calibri"/>
          <w:i/>
          <w:iCs/>
        </w:rPr>
        <w:t xml:space="preserve"> on the </w:t>
      </w:r>
      <w:proofErr w:type="spellStart"/>
      <w:r w:rsidRPr="008232F8">
        <w:rPr>
          <w:rFonts w:eastAsia="Calibri" w:cs="Calibri"/>
          <w:i/>
          <w:iCs/>
        </w:rPr>
        <w:t>statistical</w:t>
      </w:r>
      <w:proofErr w:type="spellEnd"/>
      <w:r w:rsidRPr="008232F8">
        <w:rPr>
          <w:rFonts w:eastAsia="Calibri" w:cs="Calibri"/>
          <w:i/>
          <w:iCs/>
        </w:rPr>
        <w:t xml:space="preserve"> </w:t>
      </w:r>
      <w:proofErr w:type="spellStart"/>
      <w:r w:rsidRPr="008232F8">
        <w:rPr>
          <w:rFonts w:eastAsia="Calibri" w:cs="Calibri"/>
          <w:i/>
          <w:iCs/>
        </w:rPr>
        <w:t>recording</w:t>
      </w:r>
      <w:proofErr w:type="spellEnd"/>
      <w:r w:rsidRPr="008232F8">
        <w:rPr>
          <w:rFonts w:eastAsia="Calibri" w:cs="Calibri"/>
          <w:i/>
          <w:iCs/>
        </w:rPr>
        <w:t xml:space="preserve"> of </w:t>
      </w:r>
      <w:proofErr w:type="spellStart"/>
      <w:r w:rsidRPr="008232F8">
        <w:rPr>
          <w:rFonts w:eastAsia="Calibri" w:cs="Calibri"/>
          <w:i/>
          <w:iCs/>
        </w:rPr>
        <w:t>defence</w:t>
      </w:r>
      <w:proofErr w:type="spellEnd"/>
      <w:r w:rsidRPr="008232F8">
        <w:rPr>
          <w:rFonts w:eastAsia="Calibri" w:cs="Calibri"/>
          <w:i/>
          <w:iCs/>
        </w:rPr>
        <w:t xml:space="preserve"> expenditure.</w:t>
      </w:r>
    </w:p>
    <w:p w14:paraId="265F5AC9" w14:textId="5D41731F" w:rsidR="008232F8" w:rsidRPr="008232F8" w:rsidRDefault="008232F8" w:rsidP="00193720">
      <w:pPr>
        <w:spacing w:after="240"/>
        <w:jc w:val="both"/>
        <w:rPr>
          <w:rFonts w:eastAsia="Calibri" w:cs="Calibri"/>
        </w:rPr>
      </w:pPr>
      <w:r w:rsidRPr="008232F8">
        <w:rPr>
          <w:rFonts w:eastAsia="Calibri" w:cs="Calibri"/>
        </w:rPr>
        <w:t>Ponadto w decyzjach Rady w sprawie uruchomienia NEC, określono, że proces gromadzenia danych powinien być dostosowany do terminów sprawozdawczych w</w:t>
      </w:r>
      <w:r>
        <w:rPr>
          <w:rFonts w:eastAsia="Calibri" w:cs="Calibri"/>
        </w:rPr>
        <w:t> </w:t>
      </w:r>
      <w:r w:rsidRPr="008232F8">
        <w:rPr>
          <w:rFonts w:eastAsia="Calibri" w:cs="Calibri"/>
        </w:rPr>
        <w:t xml:space="preserve">ramach procedury nadmiernego deficytu. Stąd aktualnie te </w:t>
      </w:r>
      <w:r w:rsidRPr="008232F8">
        <w:rPr>
          <w:rFonts w:eastAsia="Calibri" w:cs="Calibri"/>
          <w:b/>
          <w:bCs/>
        </w:rPr>
        <w:t>dane są przekazywane razem z notyfikacj</w:t>
      </w:r>
      <w:r w:rsidR="00A54552">
        <w:rPr>
          <w:rFonts w:eastAsia="Calibri" w:cs="Calibri"/>
          <w:b/>
          <w:bCs/>
        </w:rPr>
        <w:t>ą</w:t>
      </w:r>
      <w:r w:rsidRPr="008232F8">
        <w:rPr>
          <w:rFonts w:eastAsia="Calibri" w:cs="Calibri"/>
          <w:b/>
          <w:bCs/>
        </w:rPr>
        <w:t xml:space="preserve"> fiskalną</w:t>
      </w:r>
      <w:r w:rsidRPr="008232F8">
        <w:rPr>
          <w:rFonts w:eastAsia="Calibri" w:cs="Calibri"/>
        </w:rPr>
        <w:t>. Rodzaje wydatków są precyzyjnie określone w Rozporządzeniu Parlamentu Europejskiego i Rady (UE) NR 549/2013  z</w:t>
      </w:r>
      <w:r>
        <w:rPr>
          <w:rFonts w:eastAsia="Calibri" w:cs="Calibri"/>
        </w:rPr>
        <w:t> </w:t>
      </w:r>
      <w:r w:rsidRPr="008232F8">
        <w:rPr>
          <w:rFonts w:eastAsia="Calibri" w:cs="Calibri"/>
        </w:rPr>
        <w:t>dnia 21 maja 2013 r. w sprawie europejskiego systemu rachunków narodowych i</w:t>
      </w:r>
      <w:r>
        <w:rPr>
          <w:rFonts w:eastAsia="Calibri" w:cs="Calibri"/>
        </w:rPr>
        <w:t> </w:t>
      </w:r>
      <w:r w:rsidRPr="008232F8">
        <w:rPr>
          <w:rFonts w:eastAsia="Calibri" w:cs="Calibri"/>
        </w:rPr>
        <w:t xml:space="preserve">regionalnych w Unii Europejskiej (ESA2010). </w:t>
      </w:r>
      <w:r w:rsidRPr="008232F8">
        <w:rPr>
          <w:rFonts w:eastAsia="Calibri" w:cs="Calibri"/>
          <w:b/>
          <w:bCs/>
        </w:rPr>
        <w:t>Rozporządzenia unijne stosuje się wprost i nie ma potrzeby dodatkowej ich implementacji na poziomie krajowym.</w:t>
      </w:r>
      <w:r w:rsidRPr="008232F8">
        <w:rPr>
          <w:rFonts w:eastAsia="Calibri" w:cs="Calibri"/>
          <w:b/>
          <w:bCs/>
          <w:color w:val="FF0000"/>
        </w:rPr>
        <w:t xml:space="preserve"> </w:t>
      </w:r>
      <w:r w:rsidRPr="008232F8">
        <w:rPr>
          <w:rFonts w:eastAsia="Calibri" w:cs="Calibri"/>
        </w:rPr>
        <w:t xml:space="preserve">Zgodnie z ESA2010, inwestycje definiuje się jako nakłady brutto na środki trwałe (P.51g). Inwestycje w obronność można podzielić na dwie główne kategorie – P.51g </w:t>
      </w:r>
      <w:r w:rsidRPr="008232F8">
        <w:rPr>
          <w:rFonts w:eastAsia="Calibri" w:cs="Calibri"/>
        </w:rPr>
        <w:lastRenderedPageBreak/>
        <w:t>związane ze sprzętem wojskowym oraz inne P.51g. W paragrafie 20.190 ESA</w:t>
      </w:r>
      <w:r w:rsidR="00A54552">
        <w:rPr>
          <w:rFonts w:eastAsia="Calibri" w:cs="Calibri"/>
        </w:rPr>
        <w:t>2010</w:t>
      </w:r>
      <w:r w:rsidRPr="008232F8">
        <w:rPr>
          <w:rFonts w:eastAsia="Calibri" w:cs="Calibri"/>
        </w:rPr>
        <w:t xml:space="preserve"> wymieniono następujące przykłady inwestycji w ramach nakładów brutto na środki trwałe (P.51g) na sprzęt wojskowy: wojskowe systemy uzbrojenia, obejmujące pojazdy i inny sprzęt wojskowy, taki jak okręty wojenne, okręty podwodne, samoloty wojskowe, czołgi, transportery pocisków rakietowych i wyrzutnie. Inwestycje w sprzęt wojskowy obejmują wydatki na ulepszenie sprzętu wojskowego, takie jak „poważne naprawy” wydłużające jego żywotność (ESA2010, paragrafy 3.89f(2), 3.90a(3), 3.130a(2)) oraz „modernizacje” (ESA2010, paragrafy 3.129f, 3.131). W przeciwieństwie do powyższych przykładów, przedmioty jednorazowego użytku traktowane są jako zapasy wojskowe (AN.124): przykładami są amunicja, pociski, rakiety, bomby.</w:t>
      </w:r>
    </w:p>
    <w:p w14:paraId="332A8685" w14:textId="710A3094"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b/>
          <w:bCs/>
          <w:color w:val="000000"/>
        </w:rPr>
        <w:t>Dane COFOG są przekazywane przez państwa członkowskie do Eurostatu w</w:t>
      </w:r>
      <w:r>
        <w:rPr>
          <w:rFonts w:eastAsia="Calibri" w:cs="Calibri"/>
          <w:b/>
          <w:bCs/>
          <w:color w:val="000000"/>
        </w:rPr>
        <w:t> </w:t>
      </w:r>
      <w:r w:rsidRPr="008232F8">
        <w:rPr>
          <w:rFonts w:eastAsia="Calibri" w:cs="Calibri"/>
          <w:b/>
          <w:bCs/>
          <w:color w:val="000000"/>
        </w:rPr>
        <w:t>terminie t+11 miesięcy po zakończeniu roku.</w:t>
      </w:r>
      <w:r w:rsidRPr="008232F8">
        <w:rPr>
          <w:rFonts w:eastAsia="Calibri" w:cs="Calibri"/>
          <w:color w:val="000000"/>
        </w:rPr>
        <w:t xml:space="preserve"> Są one zatem dostępne z</w:t>
      </w:r>
      <w:r>
        <w:rPr>
          <w:rFonts w:eastAsia="Calibri" w:cs="Calibri"/>
          <w:color w:val="000000"/>
        </w:rPr>
        <w:t> </w:t>
      </w:r>
      <w:r w:rsidRPr="008232F8">
        <w:rPr>
          <w:rFonts w:eastAsia="Calibri" w:cs="Calibri"/>
          <w:color w:val="000000"/>
        </w:rPr>
        <w:t>opóźnieniem, które uniemożliwia ich wykorzystanie w momencie, gdy Komisja przygotowuje sprawozdania na mocy art. 126 ust. 3 Traktat o funkcjonowaniu Unii Europejskiej, oceniając, czy państwa członkowskie spełniają kryterium deficytu, oraz gdy Komisja ocenia zgodność z zalecaną ścieżką wzrostu wydatków netto. Z</w:t>
      </w:r>
      <w:r>
        <w:rPr>
          <w:rFonts w:eastAsia="Calibri" w:cs="Calibri"/>
          <w:color w:val="000000"/>
        </w:rPr>
        <w:t> </w:t>
      </w:r>
      <w:r w:rsidRPr="008232F8">
        <w:rPr>
          <w:rFonts w:eastAsia="Calibri" w:cs="Calibri"/>
          <w:color w:val="000000"/>
        </w:rPr>
        <w:t>tego też względu w zaleceniach Rady UE dotyczących uruchomienia NEC zobowiązano państwa członkowskie do przedstawiania danych COFOG dla lat od 2021 r. do roku bieżącego włącznie, w średniookresowych planach budżetowo-strukturalnych (MTP) oraz w rocznych sprawozdaniach z wdrażania planu</w:t>
      </w:r>
      <w:r w:rsidRPr="008232F8">
        <w:rPr>
          <w:rFonts w:eastAsia="Calibri" w:cs="Calibri"/>
          <w:color w:val="000000"/>
          <w:vertAlign w:val="superscript"/>
        </w:rPr>
        <w:footnoteReference w:id="4"/>
      </w:r>
      <w:r w:rsidRPr="008232F8">
        <w:rPr>
          <w:rFonts w:eastAsia="Calibri" w:cs="Calibri"/>
          <w:color w:val="000000"/>
        </w:rPr>
        <w:t xml:space="preserve">. </w:t>
      </w:r>
    </w:p>
    <w:p w14:paraId="01776A52" w14:textId="5180F831" w:rsidR="008232F8" w:rsidRPr="008232F8" w:rsidRDefault="008232F8" w:rsidP="00193720">
      <w:pPr>
        <w:spacing w:after="240"/>
        <w:jc w:val="both"/>
        <w:rPr>
          <w:rFonts w:eastAsia="Calibri" w:cs="Calibri"/>
        </w:rPr>
      </w:pPr>
      <w:r w:rsidRPr="008232F8">
        <w:rPr>
          <w:rFonts w:eastAsia="Calibri" w:cs="Calibri"/>
        </w:rPr>
        <w:t xml:space="preserve">Ponadto należy podkreślić, że </w:t>
      </w:r>
      <w:r w:rsidRPr="008232F8">
        <w:rPr>
          <w:rFonts w:eastAsia="Calibri" w:cs="Calibri"/>
          <w:b/>
          <w:bCs/>
        </w:rPr>
        <w:t xml:space="preserve">za metodykę unijną odpowiada </w:t>
      </w:r>
      <w:r w:rsidRPr="008232F8">
        <w:rPr>
          <w:rFonts w:eastAsia="Calibri" w:cs="Calibri"/>
        </w:rPr>
        <w:t>Główny Urząd Statystyczny</w:t>
      </w:r>
      <w:r w:rsidRPr="008232F8">
        <w:rPr>
          <w:rFonts w:eastAsia="Calibri" w:cs="Calibri"/>
          <w:b/>
          <w:bCs/>
        </w:rPr>
        <w:t xml:space="preserve"> (GUS), a dane podmiotów objętych klauzulą w ujęciu kasowym są dostępne w ramach procesu opracowywania </w:t>
      </w:r>
      <w:r w:rsidR="00A54552">
        <w:rPr>
          <w:rFonts w:eastAsia="Calibri" w:cs="Calibri"/>
          <w:b/>
          <w:bCs/>
        </w:rPr>
        <w:t>ustawy budżetowej</w:t>
      </w:r>
      <w:r w:rsidRPr="008232F8">
        <w:rPr>
          <w:rFonts w:eastAsia="Calibri" w:cs="Calibri"/>
        </w:rPr>
        <w:t>. Wszelkie wątpliwości metodologiczne odnośnie do klasyfikacji są na bieżąco konsultowane z GUS i</w:t>
      </w:r>
      <w:r>
        <w:rPr>
          <w:rFonts w:eastAsia="Calibri" w:cs="Calibri"/>
        </w:rPr>
        <w:t> </w:t>
      </w:r>
      <w:r w:rsidRPr="008232F8">
        <w:rPr>
          <w:rFonts w:eastAsia="Calibri" w:cs="Calibri"/>
        </w:rPr>
        <w:t xml:space="preserve">analizowane w ramach roboczych spotkań lub prac Zespołu ds. Statystyki Sektora Instytucji Rządowych i Samorządowych, w którego skład wchodzą przedstawiciele m.in. Ministerstwa Finansów, Narodowego Banku Polskiego, a całość prac koordynuje GUS. Zatem Rada może w kwestiach wątpliwości metodologicznych wystosować odpowiednie zapytanie do GUS. </w:t>
      </w:r>
    </w:p>
    <w:p w14:paraId="5D3682A3" w14:textId="5BBE58A0"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b/>
          <w:bCs/>
          <w:color w:val="000000"/>
        </w:rPr>
        <w:t>Podsumowując, z uwagi na konstrukcję klauzuli obronnej w SRW (różnica kasa-memoriał) i krajowej klauzuli wyjścia w regułach UE (opartej na memoriale) nie są to mechanizmy, które można ze sobą sumować ani traktować jako wzajemnie się dublujące</w:t>
      </w:r>
      <w:r w:rsidRPr="008232F8">
        <w:rPr>
          <w:rFonts w:eastAsia="Calibri" w:cs="Calibri"/>
          <w:color w:val="000000"/>
        </w:rPr>
        <w:t xml:space="preserve">, jak sugeruje Rada Fiskalna w swoim stanowisku. Każdy z nich oddziałuje na inny wymiar polityki fiskalnej: klauzula obronna w SRW dotyczy zakresu wydatków jakie wypełniają limit wydatkowy, natomiast NEC dotyczy ustalania maksymalnego poziomu wydatków. </w:t>
      </w:r>
      <w:r w:rsidRPr="008232F8">
        <w:rPr>
          <w:rFonts w:eastAsia="Calibri" w:cs="Calibri"/>
          <w:b/>
          <w:bCs/>
          <w:color w:val="000000"/>
        </w:rPr>
        <w:t xml:space="preserve">W konsekwencji zarzut dotyczący dublowania tych mechanizmów opiera się na ich niewłaściwej interpretacji, ponieważ są to instrumenty rozłączne, o różnych celach i konstrukcji, dlatego powinny być analizowane oddzielnie. Mają one charakter kaskadowy i służą uspójnieniu krajowych i unijnych ram fiskalnych, a nie kumulowaniu wyjątków, o którym mowa w stanowisku </w:t>
      </w:r>
      <w:r w:rsidR="00A54552">
        <w:rPr>
          <w:rFonts w:eastAsia="Calibri" w:cs="Calibri"/>
          <w:b/>
          <w:bCs/>
          <w:color w:val="000000"/>
        </w:rPr>
        <w:t>RF</w:t>
      </w:r>
      <w:r w:rsidRPr="008232F8">
        <w:rPr>
          <w:rFonts w:eastAsia="Calibri" w:cs="Calibri"/>
          <w:b/>
          <w:bCs/>
          <w:color w:val="000000"/>
        </w:rPr>
        <w:t>.</w:t>
      </w:r>
    </w:p>
    <w:p w14:paraId="0F3E7F8F" w14:textId="6BA492C7" w:rsidR="008232F8" w:rsidRPr="008232F8" w:rsidRDefault="008232F8" w:rsidP="00193720">
      <w:pPr>
        <w:autoSpaceDE w:val="0"/>
        <w:autoSpaceDN w:val="0"/>
        <w:adjustRightInd w:val="0"/>
        <w:spacing w:after="240"/>
        <w:jc w:val="both"/>
        <w:rPr>
          <w:rFonts w:eastAsia="Calibri" w:cs="Calibri"/>
          <w:b/>
          <w:bCs/>
          <w:color w:val="000000"/>
        </w:rPr>
      </w:pPr>
      <w:r w:rsidRPr="008232F8">
        <w:rPr>
          <w:rFonts w:eastAsia="Calibri" w:cs="Calibri"/>
          <w:color w:val="000000"/>
        </w:rPr>
        <w:lastRenderedPageBreak/>
        <w:t xml:space="preserve">Dodatkowo, należy podkreślić, że </w:t>
      </w:r>
      <w:r w:rsidRPr="008232F8">
        <w:rPr>
          <w:rFonts w:eastAsia="Calibri" w:cs="Calibri"/>
          <w:b/>
          <w:bCs/>
          <w:color w:val="000000"/>
        </w:rPr>
        <w:t>wszystkie kasowe wydatki obronne, ponoszone w szczególności przez budżet państwa, jak i Fundusz Wsparcia Sił Zbrojnych (FWSZ), są uwzględniane w limicie SRW i są pod kontrolą parlamentarną.</w:t>
      </w:r>
      <w:r w:rsidRPr="008232F8">
        <w:rPr>
          <w:rFonts w:eastAsia="Calibri" w:cs="Calibri"/>
          <w:color w:val="000000"/>
        </w:rPr>
        <w:t xml:space="preserve"> Budżet państwa jest przyjmowany przez Parlament, a  sam plan FWSZ i jego zmiany  jest </w:t>
      </w:r>
      <w:r w:rsidR="00452699">
        <w:rPr>
          <w:rFonts w:eastAsia="Calibri" w:cs="Calibri"/>
          <w:color w:val="000000"/>
        </w:rPr>
        <w:t>o</w:t>
      </w:r>
      <w:r w:rsidRPr="008232F8">
        <w:rPr>
          <w:rFonts w:eastAsia="Calibri" w:cs="Calibri"/>
          <w:color w:val="000000"/>
        </w:rPr>
        <w:t xml:space="preserve">piniowany przez komisję sejmową właściwą  w sprawach obrony państwa. Na etapie planowania </w:t>
      </w:r>
      <w:r w:rsidRPr="008232F8">
        <w:rPr>
          <w:rFonts w:eastAsia="Calibri" w:cs="Calibri"/>
          <w:b/>
          <w:bCs/>
          <w:color w:val="000000"/>
        </w:rPr>
        <w:t>korekta błędów prognoz klauzuli obronnej jest w dużej mierze automatyczna – większa wartość klauzuli jest „konsumowana” przez analogicznie wyższe wydatki podmiotów objętych SRW i w efekcie nie ma wpływu na przestrzeń wydatkową w SRW.</w:t>
      </w:r>
      <w:r w:rsidRPr="008232F8">
        <w:rPr>
          <w:rFonts w:eastAsia="Calibri" w:cs="Calibri"/>
          <w:color w:val="000000"/>
        </w:rPr>
        <w:t xml:space="preserve"> Podobnie, w przypadku wydatków niższych niż planowano (zarzut o zawyżeniu klauzuli), pozostanie </w:t>
      </w:r>
      <w:r w:rsidRPr="008232F8">
        <w:rPr>
          <w:rFonts w:eastAsia="Calibri" w:cs="Calibri"/>
          <w:b/>
          <w:bCs/>
          <w:color w:val="000000"/>
        </w:rPr>
        <w:t>niewykorzystana przestrzeń SRW</w:t>
      </w:r>
      <w:r w:rsidRPr="008232F8">
        <w:rPr>
          <w:rFonts w:eastAsia="Calibri" w:cs="Calibri"/>
          <w:color w:val="000000"/>
        </w:rPr>
        <w:t>, która</w:t>
      </w:r>
      <w:r w:rsidRPr="008232F8">
        <w:rPr>
          <w:rFonts w:eastAsia="Calibri" w:cs="Calibri"/>
          <w:b/>
          <w:bCs/>
          <w:color w:val="000000"/>
        </w:rPr>
        <w:t xml:space="preserve"> z uwagi na jednoroczny charakter klauzuli obronnej nie tworzy przestrzeni dla lat kolejnych (klauzula nie wchodzi do bazy wydatków, które są indeksowane wskaźnikami makroekonomicznymi, tak jak kwota wydatków SRW).</w:t>
      </w:r>
    </w:p>
    <w:p w14:paraId="6BB055CE" w14:textId="0E13C900" w:rsidR="008232F8" w:rsidRPr="008232F8" w:rsidRDefault="008232F8" w:rsidP="00193720">
      <w:pPr>
        <w:spacing w:after="240"/>
        <w:jc w:val="both"/>
        <w:rPr>
          <w:rFonts w:eastAsia="Calibri" w:cs="Calibri"/>
          <w:color w:val="000000"/>
        </w:rPr>
      </w:pPr>
      <w:r w:rsidRPr="008232F8">
        <w:rPr>
          <w:rFonts w:eastAsia="Calibri" w:cs="Calibri"/>
        </w:rPr>
        <w:t>Stabilizująca reguła wydatkowa, z uwagi na swoją konstrukcję, zapewnia zgodność z</w:t>
      </w:r>
      <w:r>
        <w:rPr>
          <w:rFonts w:eastAsia="Calibri" w:cs="Calibri"/>
        </w:rPr>
        <w:t> </w:t>
      </w:r>
      <w:r w:rsidRPr="008232F8">
        <w:rPr>
          <w:rFonts w:eastAsia="Calibri" w:cs="Calibri"/>
        </w:rPr>
        <w:t xml:space="preserve">regułami unijnymi planu jakim jest projekt ustawy budżetowej na rok bieżący, do analogicznego planu z roku poprzedniego. Natomiast unijna ścieżka wydatków netto oceniana jest na podstawie wykonania. </w:t>
      </w:r>
      <w:r w:rsidRPr="008232F8">
        <w:rPr>
          <w:rFonts w:eastAsia="Calibri" w:cs="Calibri"/>
          <w:b/>
          <w:bCs/>
        </w:rPr>
        <w:t>Założenia przyjęte przez Radę Fiskalną do przeprowadzonych symulacji prowadzą do niewłaściwych wniosków, gdyż p</w:t>
      </w:r>
      <w:r w:rsidRPr="008232F8">
        <w:rPr>
          <w:rFonts w:eastAsia="Calibri" w:cs="Calibri"/>
          <w:b/>
          <w:bCs/>
          <w:color w:val="000000"/>
        </w:rPr>
        <w:t>lan i</w:t>
      </w:r>
      <w:r>
        <w:rPr>
          <w:rFonts w:eastAsia="Calibri" w:cs="Calibri"/>
          <w:b/>
          <w:bCs/>
          <w:color w:val="000000"/>
        </w:rPr>
        <w:t> </w:t>
      </w:r>
      <w:r w:rsidRPr="008232F8">
        <w:rPr>
          <w:rFonts w:eastAsia="Calibri" w:cs="Calibri"/>
          <w:b/>
          <w:bCs/>
          <w:color w:val="000000"/>
        </w:rPr>
        <w:t>wykonanie stanowią wartości nieporównywalne, z uwagi na fakt, że ustawa budżetowa wyznacza co do zasady nieprzekraczalne limity wydatków, a jego realizacja nigdy nie jest pełna. Takie porównanie zawsze doprowadzi do wniosku, że przestrzeń wydatkowa w limicie wynikająca z SRW jest za wysoka.</w:t>
      </w:r>
    </w:p>
    <w:p w14:paraId="66D8BD44" w14:textId="7ED00BAB"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color w:val="000000"/>
        </w:rPr>
        <w:t xml:space="preserve">Ponadto należy zauważyć, że </w:t>
      </w:r>
      <w:bookmarkStart w:id="1" w:name="_Hlk227533335"/>
      <w:r w:rsidRPr="008232F8">
        <w:rPr>
          <w:rFonts w:eastAsia="Calibri" w:cs="Calibri"/>
          <w:b/>
          <w:bCs/>
          <w:color w:val="000000"/>
        </w:rPr>
        <w:t xml:space="preserve">w polskich ramach fiskalnych istnieją również inne reguły fiskalne </w:t>
      </w:r>
      <w:bookmarkEnd w:id="1"/>
      <w:r w:rsidRPr="008232F8">
        <w:rPr>
          <w:rFonts w:eastAsia="Calibri" w:cs="Calibri"/>
          <w:b/>
          <w:bCs/>
          <w:color w:val="000000"/>
        </w:rPr>
        <w:t>i zasady konstruowania budżetów pominięte w analizie RF</w:t>
      </w:r>
      <w:r w:rsidRPr="008232F8">
        <w:rPr>
          <w:rFonts w:eastAsia="Calibri" w:cs="Calibri"/>
          <w:color w:val="000000"/>
        </w:rPr>
        <w:t>. Należą do nich konstytucyjna reguła państwowego długu publicznego wraz z procedurami sanacyjnymi zawartymi ustawie o finansach publicznych (</w:t>
      </w:r>
      <w:proofErr w:type="spellStart"/>
      <w:r w:rsidRPr="008232F8">
        <w:rPr>
          <w:rFonts w:eastAsia="Calibri" w:cs="Calibri"/>
          <w:color w:val="000000"/>
        </w:rPr>
        <w:t>uofp</w:t>
      </w:r>
      <w:proofErr w:type="spellEnd"/>
      <w:r w:rsidRPr="008232F8">
        <w:rPr>
          <w:rFonts w:eastAsia="Calibri" w:cs="Calibri"/>
          <w:color w:val="000000"/>
        </w:rPr>
        <w:t xml:space="preserve">), nieprzekraczalny poziom deficytu budżetu państwa i limitu wydatków budżetu państwa, </w:t>
      </w:r>
      <w:proofErr w:type="spellStart"/>
      <w:r w:rsidRPr="008232F8">
        <w:rPr>
          <w:rFonts w:eastAsia="Calibri" w:cs="Calibri"/>
          <w:color w:val="000000"/>
        </w:rPr>
        <w:t>subreguły</w:t>
      </w:r>
      <w:proofErr w:type="spellEnd"/>
      <w:r w:rsidRPr="008232F8">
        <w:rPr>
          <w:rFonts w:eastAsia="Calibri" w:cs="Calibri"/>
          <w:color w:val="000000"/>
        </w:rPr>
        <w:t xml:space="preserve"> na podmiotach np. jednostkach samorządu terytorialnego, agencjach wykonawczych. Dodatkowo zgodnie z art. 52 </w:t>
      </w:r>
      <w:proofErr w:type="spellStart"/>
      <w:r w:rsidRPr="008232F8">
        <w:rPr>
          <w:rFonts w:eastAsia="Calibri" w:cs="Calibri"/>
          <w:color w:val="000000"/>
        </w:rPr>
        <w:t>uofp</w:t>
      </w:r>
      <w:proofErr w:type="spellEnd"/>
      <w:r w:rsidRPr="008232F8">
        <w:rPr>
          <w:rFonts w:eastAsia="Calibri" w:cs="Calibri"/>
          <w:color w:val="000000"/>
        </w:rPr>
        <w:t>, dochody i przychody w budżetach państwa</w:t>
      </w:r>
      <w:r w:rsidR="00421962">
        <w:rPr>
          <w:rFonts w:eastAsia="Calibri" w:cs="Calibri"/>
          <w:color w:val="000000"/>
        </w:rPr>
        <w:t>,</w:t>
      </w:r>
      <w:r w:rsidRPr="008232F8">
        <w:rPr>
          <w:rFonts w:eastAsia="Calibri" w:cs="Calibri"/>
          <w:color w:val="000000"/>
        </w:rPr>
        <w:t xml:space="preserve"> jednostek samorządu terytorialnego oraz planach finansowych jednostek budżetowych stanowią prognozy, natomiast wydatki i rozchody stanowią nieprzekraczalny limit. Oznacza to, że przychody mogą być niższe lub wyższe od planowanych, ale wydatki nie mogą przekroczyć zaplanowanej kwoty bez korekty planu. Równocześnie istnieje  procedura zmiany planów finansowych zawarta w art. 30 </w:t>
      </w:r>
      <w:proofErr w:type="spellStart"/>
      <w:r w:rsidRPr="008232F8">
        <w:rPr>
          <w:rFonts w:eastAsia="Calibri" w:cs="Calibri"/>
          <w:color w:val="000000"/>
        </w:rPr>
        <w:t>uofp</w:t>
      </w:r>
      <w:proofErr w:type="spellEnd"/>
      <w:r w:rsidRPr="008232F8">
        <w:rPr>
          <w:rFonts w:eastAsia="Calibri" w:cs="Calibri"/>
          <w:color w:val="000000"/>
        </w:rPr>
        <w:t xml:space="preserve">.  W związku z tym </w:t>
      </w:r>
      <w:r w:rsidRPr="008232F8">
        <w:rPr>
          <w:rFonts w:eastAsia="Calibri" w:cs="Calibri"/>
          <w:b/>
          <w:bCs/>
          <w:color w:val="000000"/>
        </w:rPr>
        <w:t>nie ma potrzeby wprowadzania sugerowanego przez RF mechanizmu samokorygującego, gdyż już on funkcjonuje</w:t>
      </w:r>
      <w:r w:rsidRPr="008232F8">
        <w:rPr>
          <w:rFonts w:eastAsia="Calibri" w:cs="Calibri"/>
          <w:color w:val="000000"/>
        </w:rPr>
        <w:t>.</w:t>
      </w:r>
    </w:p>
    <w:p w14:paraId="23E1B63E" w14:textId="77777777"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color w:val="000000"/>
        </w:rPr>
        <w:t xml:space="preserve">Odpowiadając na argumenty Rady odnoszące się do kreowania mechanizmu, który umożliwia znaczące zwiększenie wydatków w okresie wysokich płatności zaliczkowych, natomiast w okresie realizacji dostaw wymusza ich ograniczenie, należy ponownie podkreślić cel powstania klauzuli obronnej, jakim jest korekta wydatków kasowych i memoriałowych, </w:t>
      </w:r>
      <w:proofErr w:type="spellStart"/>
      <w:r w:rsidRPr="008232F8">
        <w:rPr>
          <w:rFonts w:eastAsia="Calibri" w:cs="Calibri"/>
          <w:color w:val="000000"/>
        </w:rPr>
        <w:t>uspójniająca</w:t>
      </w:r>
      <w:proofErr w:type="spellEnd"/>
      <w:r w:rsidRPr="008232F8">
        <w:rPr>
          <w:rFonts w:eastAsia="Calibri" w:cs="Calibri"/>
          <w:color w:val="000000"/>
        </w:rPr>
        <w:t xml:space="preserve"> SRW z unijnymi regułami fiskalnymi. Rekomendacje w ramach EDP opierają się na wydatkach sektora </w:t>
      </w:r>
      <w:proofErr w:type="spellStart"/>
      <w:r w:rsidRPr="008232F8">
        <w:rPr>
          <w:rFonts w:eastAsia="Calibri" w:cs="Calibri"/>
          <w:color w:val="000000"/>
        </w:rPr>
        <w:t>gg</w:t>
      </w:r>
      <w:proofErr w:type="spellEnd"/>
      <w:r w:rsidRPr="008232F8">
        <w:rPr>
          <w:rFonts w:eastAsia="Calibri" w:cs="Calibri"/>
          <w:color w:val="000000"/>
        </w:rPr>
        <w:t xml:space="preserve">, które są obliczane zgodnie z metodyką memoriałową. Oznacza to, że w przypadku wydatków na obronność, dla reguł UE wydatki na sprzęt wojskowy oraz ich wpływ na deficyt są widoczne w momencie dostawy. </w:t>
      </w:r>
      <w:r w:rsidRPr="008232F8">
        <w:rPr>
          <w:rFonts w:eastAsia="Calibri" w:cs="Calibri"/>
          <w:b/>
          <w:bCs/>
          <w:color w:val="000000"/>
        </w:rPr>
        <w:t xml:space="preserve">Konsolidacja fiskalna przewidziana </w:t>
      </w:r>
      <w:r w:rsidRPr="008232F8">
        <w:rPr>
          <w:rFonts w:eastAsia="Calibri" w:cs="Calibri"/>
          <w:b/>
          <w:bCs/>
          <w:color w:val="000000"/>
        </w:rPr>
        <w:lastRenderedPageBreak/>
        <w:t>przepisami UE będzie więc wymagana w momencie dostawy, a zatem implikacje SRW będą spójne z wymogami reguł UE</w:t>
      </w:r>
      <w:r w:rsidRPr="008232F8">
        <w:rPr>
          <w:rFonts w:eastAsia="Calibri" w:cs="Calibri"/>
          <w:color w:val="000000"/>
        </w:rPr>
        <w:t xml:space="preserve">.  </w:t>
      </w:r>
    </w:p>
    <w:p w14:paraId="25192884" w14:textId="77777777"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color w:val="000000"/>
        </w:rPr>
        <w:t xml:space="preserve">Stosowana obecnie </w:t>
      </w:r>
      <w:r w:rsidRPr="008232F8">
        <w:rPr>
          <w:rFonts w:eastAsia="Calibri" w:cs="Calibri"/>
          <w:b/>
          <w:bCs/>
          <w:color w:val="000000"/>
        </w:rPr>
        <w:t>korekta klauzuli obronnej</w:t>
      </w:r>
      <w:r w:rsidRPr="008232F8">
        <w:rPr>
          <w:rFonts w:eastAsia="Calibri" w:cs="Calibri"/>
          <w:color w:val="000000"/>
        </w:rPr>
        <w:t xml:space="preserve"> w roku bieżącym o wykonanie wydatków obronnych sprzed dwóch lat i nie jest powiązana z celem klauzuli jakim jest korekta metodologii kasowej i memoriałowej, a </w:t>
      </w:r>
      <w:r w:rsidRPr="008232F8">
        <w:rPr>
          <w:rFonts w:eastAsia="Calibri" w:cs="Calibri"/>
          <w:b/>
          <w:bCs/>
          <w:color w:val="000000"/>
        </w:rPr>
        <w:t>w warunkach wyżej opisanych uwarunkowań wynikających z reguł UE (NEG i NEC) przez jednoroczny charakter klauzuli zaburza ona funkcjonowanie mechanizmu korygującego SRW i skutkuje niespójnością wymogów SRW z wymogami europejskimi</w:t>
      </w:r>
      <w:r w:rsidRPr="008232F8">
        <w:rPr>
          <w:rFonts w:eastAsia="Calibri" w:cs="Calibri"/>
          <w:color w:val="000000"/>
        </w:rPr>
        <w:t xml:space="preserve">. Istnienie równoległe dwóch korekt na różnych poziomach – kwoty wydatków i limitu wydatków (klauzula obronna) może prowadzić do wzajemnie wykluczających się rekomendacji, kiedy jeden mechanizm korekty pozwala na zwiększenie wydatków, a drugi nakazuje ich zmniejszenie. </w:t>
      </w:r>
    </w:p>
    <w:p w14:paraId="51340813" w14:textId="0E5C9365"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color w:val="000000"/>
        </w:rPr>
        <w:t xml:space="preserve">Jednocześnie, </w:t>
      </w:r>
      <w:r w:rsidRPr="008232F8">
        <w:rPr>
          <w:rFonts w:eastAsia="Calibri" w:cs="Calibri"/>
          <w:b/>
          <w:bCs/>
          <w:color w:val="000000"/>
        </w:rPr>
        <w:t>przedstawiona przez Radę Fiskalną symulacja zawyża skalę potencjalnej konsolidacji po 2028 r., opierając się na błędnym założeniu skokowego i jednoczesnego odwrócenia impulsów fiskalnych wynikających z</w:t>
      </w:r>
      <w:r>
        <w:rPr>
          <w:rFonts w:eastAsia="Calibri" w:cs="Calibri"/>
          <w:b/>
          <w:bCs/>
          <w:color w:val="000000"/>
        </w:rPr>
        <w:t> </w:t>
      </w:r>
      <w:r w:rsidRPr="008232F8">
        <w:rPr>
          <w:rFonts w:eastAsia="Calibri" w:cs="Calibri"/>
          <w:b/>
          <w:bCs/>
          <w:color w:val="000000"/>
        </w:rPr>
        <w:t>klauzuli obronnej SRW oraz wygaśnięcia NEC</w:t>
      </w:r>
      <w:r w:rsidRPr="008232F8">
        <w:rPr>
          <w:rFonts w:eastAsia="Calibri" w:cs="Calibri"/>
          <w:color w:val="000000"/>
        </w:rPr>
        <w:t>. Zgodnie z unijnym</w:t>
      </w:r>
      <w:r w:rsidR="00421962">
        <w:rPr>
          <w:rFonts w:eastAsia="Calibri" w:cs="Calibri"/>
          <w:color w:val="000000"/>
        </w:rPr>
        <w:t>i</w:t>
      </w:r>
      <w:r w:rsidRPr="008232F8">
        <w:rPr>
          <w:rFonts w:eastAsia="Calibri" w:cs="Calibri"/>
          <w:color w:val="000000"/>
        </w:rPr>
        <w:t xml:space="preserve"> regułami budżetowymi wysiłek fiskalny po zakończeniu NEC będzie rozłożony na kilka lat. Na początku 2028 r. rozpoczną się prace nad kolejnym średniookresowym planem budżetowo-strukturalnym (Plan). Podobnie jak w przypadku </w:t>
      </w:r>
      <w:r w:rsidRPr="008232F8">
        <w:rPr>
          <w:rFonts w:eastAsia="Calibri" w:cs="Calibri"/>
          <w:i/>
          <w:iCs/>
          <w:color w:val="000000"/>
        </w:rPr>
        <w:t>Średniookresowego planu budżetowo-strukturalnego na lata 2025-2028</w:t>
      </w:r>
      <w:r w:rsidRPr="008232F8">
        <w:rPr>
          <w:rFonts w:eastAsia="Calibri" w:cs="Calibri"/>
          <w:color w:val="000000"/>
        </w:rPr>
        <w:t>, podstawą do przygotowania kolejnego Planu będzie analiza stabilności zadłużenia – DSA (</w:t>
      </w:r>
      <w:proofErr w:type="spellStart"/>
      <w:r w:rsidRPr="008232F8">
        <w:rPr>
          <w:rFonts w:eastAsia="Calibri" w:cs="Calibri"/>
          <w:i/>
          <w:iCs/>
          <w:color w:val="000000"/>
        </w:rPr>
        <w:t>debt</w:t>
      </w:r>
      <w:proofErr w:type="spellEnd"/>
      <w:r w:rsidRPr="008232F8">
        <w:rPr>
          <w:rFonts w:eastAsia="Calibri" w:cs="Calibri"/>
          <w:i/>
          <w:iCs/>
          <w:color w:val="000000"/>
        </w:rPr>
        <w:t xml:space="preserve"> </w:t>
      </w:r>
      <w:proofErr w:type="spellStart"/>
      <w:r w:rsidRPr="008232F8">
        <w:rPr>
          <w:rFonts w:eastAsia="Calibri" w:cs="Calibri"/>
          <w:i/>
          <w:iCs/>
          <w:color w:val="000000"/>
        </w:rPr>
        <w:t>sustainability</w:t>
      </w:r>
      <w:proofErr w:type="spellEnd"/>
      <w:r w:rsidRPr="008232F8">
        <w:rPr>
          <w:rFonts w:eastAsia="Calibri" w:cs="Calibri"/>
          <w:i/>
          <w:iCs/>
          <w:color w:val="000000"/>
        </w:rPr>
        <w:t xml:space="preserve"> </w:t>
      </w:r>
      <w:proofErr w:type="spellStart"/>
      <w:r w:rsidRPr="008232F8">
        <w:rPr>
          <w:rFonts w:eastAsia="Calibri" w:cs="Calibri"/>
          <w:i/>
          <w:iCs/>
          <w:color w:val="000000"/>
        </w:rPr>
        <w:t>analysis</w:t>
      </w:r>
      <w:proofErr w:type="spellEnd"/>
      <w:r w:rsidRPr="008232F8">
        <w:rPr>
          <w:rFonts w:eastAsia="Calibri" w:cs="Calibri"/>
          <w:color w:val="000000"/>
        </w:rPr>
        <w:t>). W styczniu 2028 r. Polska, podobnie jak inne państwa członkowskie z</w:t>
      </w:r>
      <w:r>
        <w:rPr>
          <w:rFonts w:eastAsia="Calibri" w:cs="Calibri"/>
          <w:color w:val="000000"/>
        </w:rPr>
        <w:t> </w:t>
      </w:r>
      <w:r w:rsidRPr="008232F8">
        <w:rPr>
          <w:rFonts w:eastAsia="Calibri" w:cs="Calibri"/>
          <w:color w:val="000000"/>
        </w:rPr>
        <w:t xml:space="preserve">deficytem powyżej 3% PKB lub długiem powyżej 60% PKB, otrzyma od KE tzw. trajektorię referencyjną czyli prognozę tempa wzrostu wydatków netto sektora </w:t>
      </w:r>
      <w:proofErr w:type="spellStart"/>
      <w:r w:rsidRPr="008232F8">
        <w:rPr>
          <w:rFonts w:eastAsia="Calibri" w:cs="Calibri"/>
          <w:color w:val="000000"/>
        </w:rPr>
        <w:t>gg</w:t>
      </w:r>
      <w:proofErr w:type="spellEnd"/>
      <w:r w:rsidRPr="008232F8">
        <w:rPr>
          <w:rFonts w:eastAsia="Calibri" w:cs="Calibri"/>
          <w:color w:val="000000"/>
        </w:rPr>
        <w:t xml:space="preserve"> w średnim okresie (4-7 lat), w zależności od długości okresu dostosowawczego. Zgodnie z art. 6. </w:t>
      </w:r>
      <w:r w:rsidRPr="008232F8">
        <w:rPr>
          <w:rFonts w:eastAsia="Calibri" w:cs="Calibri"/>
          <w:i/>
          <w:iCs/>
          <w:color w:val="000000"/>
        </w:rPr>
        <w:t>rozporządzenia Parlamentu Europejskiego i Rady (UE)  2024/1263 z</w:t>
      </w:r>
      <w:r>
        <w:rPr>
          <w:rFonts w:eastAsia="Calibri" w:cs="Calibri"/>
          <w:i/>
          <w:iCs/>
          <w:color w:val="000000"/>
        </w:rPr>
        <w:t> </w:t>
      </w:r>
      <w:r w:rsidRPr="008232F8">
        <w:rPr>
          <w:rFonts w:eastAsia="Calibri" w:cs="Calibri"/>
          <w:i/>
          <w:iCs/>
          <w:color w:val="000000"/>
        </w:rPr>
        <w:t>dnia 29 kwietnia 2024 r. w sprawie skutecznej koordynacji polityk gospodarczych i</w:t>
      </w:r>
      <w:r>
        <w:rPr>
          <w:rFonts w:eastAsia="Calibri" w:cs="Calibri"/>
          <w:i/>
          <w:iCs/>
          <w:color w:val="000000"/>
        </w:rPr>
        <w:t> </w:t>
      </w:r>
      <w:r w:rsidRPr="008232F8">
        <w:rPr>
          <w:rFonts w:eastAsia="Calibri" w:cs="Calibri"/>
          <w:i/>
          <w:iCs/>
          <w:color w:val="000000"/>
        </w:rPr>
        <w:t>w</w:t>
      </w:r>
      <w:r>
        <w:rPr>
          <w:rFonts w:eastAsia="Calibri" w:cs="Calibri"/>
          <w:i/>
          <w:iCs/>
          <w:color w:val="000000"/>
        </w:rPr>
        <w:t> </w:t>
      </w:r>
      <w:r w:rsidRPr="008232F8">
        <w:rPr>
          <w:rFonts w:eastAsia="Calibri" w:cs="Calibri"/>
          <w:i/>
          <w:iCs/>
          <w:color w:val="000000"/>
        </w:rPr>
        <w:t>sprawie wielostronnego nadzoru budżetowego oraz uchylające rozporządzenie Rady (WE) nr 1466/97</w:t>
      </w:r>
      <w:r w:rsidRPr="008232F8">
        <w:rPr>
          <w:rFonts w:eastAsia="Calibri" w:cs="Calibri"/>
          <w:color w:val="000000"/>
        </w:rPr>
        <w:t xml:space="preserve"> trajektoria powinna zapewnić, że </w:t>
      </w:r>
      <w:r w:rsidRPr="008232F8">
        <w:rPr>
          <w:rFonts w:eastAsia="Calibri" w:cs="Calibri"/>
          <w:i/>
          <w:iCs/>
          <w:color w:val="000000"/>
        </w:rPr>
        <w:t>„…wysiłek na rzecz dostosowania fiskalnego w okresie objętym krajowym średniookresowym planem budżetowo- strukturalnym był co do zasady liniowy i co najmniej proporcjonalny do łącznego wysiłku w całym okresie dostosowawczym”</w:t>
      </w:r>
      <w:r w:rsidRPr="008232F8">
        <w:rPr>
          <w:rFonts w:eastAsia="Calibri" w:cs="Calibri"/>
          <w:color w:val="000000"/>
        </w:rPr>
        <w:t xml:space="preserve">. </w:t>
      </w:r>
    </w:p>
    <w:p w14:paraId="54269C9D" w14:textId="26F92CC6"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color w:val="000000"/>
        </w:rPr>
        <w:t xml:space="preserve">Realizacja ww. trajektorii powinna doprowadzić do obniżenia deficytu sektora </w:t>
      </w:r>
      <w:proofErr w:type="spellStart"/>
      <w:r w:rsidRPr="008232F8">
        <w:rPr>
          <w:rFonts w:eastAsia="Calibri" w:cs="Calibri"/>
          <w:color w:val="000000"/>
        </w:rPr>
        <w:t>gg</w:t>
      </w:r>
      <w:proofErr w:type="spellEnd"/>
      <w:r w:rsidRPr="008232F8">
        <w:rPr>
          <w:rFonts w:eastAsia="Calibri" w:cs="Calibri"/>
          <w:color w:val="000000"/>
        </w:rPr>
        <w:t xml:space="preserve"> najpóźniej na koniec okresu dostosowawczego do poniżej 3% PKB oraz do wprowadzenia długu sektora </w:t>
      </w:r>
      <w:proofErr w:type="spellStart"/>
      <w:r w:rsidRPr="008232F8">
        <w:rPr>
          <w:rFonts w:eastAsia="Calibri" w:cs="Calibri"/>
          <w:color w:val="000000"/>
        </w:rPr>
        <w:t>gg</w:t>
      </w:r>
      <w:proofErr w:type="spellEnd"/>
      <w:r w:rsidRPr="008232F8">
        <w:rPr>
          <w:rFonts w:eastAsia="Calibri" w:cs="Calibri"/>
          <w:color w:val="000000"/>
        </w:rPr>
        <w:t xml:space="preserve"> na trwałą ścieżkę spadkową lub poniżej 60% PKB. Trajektoria referencyjna KE będzie punktem wyjścia do dyskusji podczas dialogu technicznego pomiędzy KE a Ministerstwem Finansów. Dialog techniczny powinien doprowadzić do uzgodnienia </w:t>
      </w:r>
      <w:r w:rsidR="001135F1" w:rsidRPr="008232F8">
        <w:rPr>
          <w:rFonts w:eastAsia="Calibri" w:cs="Calibri"/>
          <w:color w:val="000000"/>
        </w:rPr>
        <w:t>ścieżk</w:t>
      </w:r>
      <w:r w:rsidR="001135F1">
        <w:rPr>
          <w:rFonts w:eastAsia="Calibri" w:cs="Calibri"/>
          <w:color w:val="000000"/>
        </w:rPr>
        <w:t>i</w:t>
      </w:r>
      <w:r w:rsidR="001135F1" w:rsidRPr="008232F8">
        <w:rPr>
          <w:rFonts w:eastAsia="Calibri" w:cs="Calibri"/>
          <w:color w:val="000000"/>
        </w:rPr>
        <w:t xml:space="preserve"> </w:t>
      </w:r>
      <w:r w:rsidRPr="008232F8">
        <w:rPr>
          <w:rFonts w:eastAsia="Calibri" w:cs="Calibri"/>
          <w:color w:val="000000"/>
        </w:rPr>
        <w:t xml:space="preserve">wydatków netto, </w:t>
      </w:r>
      <w:r w:rsidR="001135F1" w:rsidRPr="008232F8">
        <w:rPr>
          <w:rFonts w:eastAsia="Calibri" w:cs="Calibri"/>
          <w:color w:val="000000"/>
        </w:rPr>
        <w:t>któr</w:t>
      </w:r>
      <w:r w:rsidR="001135F1">
        <w:rPr>
          <w:rFonts w:eastAsia="Calibri" w:cs="Calibri"/>
          <w:color w:val="000000"/>
        </w:rPr>
        <w:t>a</w:t>
      </w:r>
      <w:r w:rsidR="001135F1" w:rsidRPr="008232F8">
        <w:rPr>
          <w:rFonts w:eastAsia="Calibri" w:cs="Calibri"/>
          <w:color w:val="000000"/>
        </w:rPr>
        <w:t xml:space="preserve"> </w:t>
      </w:r>
      <w:r w:rsidRPr="008232F8">
        <w:rPr>
          <w:rFonts w:eastAsia="Calibri" w:cs="Calibri"/>
          <w:color w:val="000000"/>
        </w:rPr>
        <w:t xml:space="preserve">zostanie przedstawiona w nowym Planie i umożliwi stopniową redukcję deficytu i długu sektora </w:t>
      </w:r>
      <w:proofErr w:type="spellStart"/>
      <w:r w:rsidRPr="008232F8">
        <w:rPr>
          <w:rFonts w:eastAsia="Calibri" w:cs="Calibri"/>
          <w:color w:val="000000"/>
        </w:rPr>
        <w:t>gg</w:t>
      </w:r>
      <w:proofErr w:type="spellEnd"/>
      <w:r w:rsidRPr="008232F8">
        <w:rPr>
          <w:rFonts w:eastAsia="Calibri" w:cs="Calibri"/>
          <w:color w:val="000000"/>
        </w:rPr>
        <w:t xml:space="preserve"> w</w:t>
      </w:r>
      <w:r>
        <w:rPr>
          <w:rFonts w:eastAsia="Calibri" w:cs="Calibri"/>
          <w:color w:val="000000"/>
        </w:rPr>
        <w:t> </w:t>
      </w:r>
      <w:r w:rsidRPr="008232F8">
        <w:rPr>
          <w:rFonts w:eastAsia="Calibri" w:cs="Calibri"/>
          <w:color w:val="000000"/>
        </w:rPr>
        <w:t xml:space="preserve">średnim okresie. Zatem </w:t>
      </w:r>
      <w:r w:rsidRPr="008232F8">
        <w:rPr>
          <w:rFonts w:eastAsia="Calibri" w:cs="Calibri"/>
          <w:b/>
          <w:bCs/>
          <w:color w:val="000000"/>
        </w:rPr>
        <w:t>od 2029 r. ścieżka wydatków netto, wynikająca z</w:t>
      </w:r>
      <w:r>
        <w:rPr>
          <w:rFonts w:eastAsia="Calibri" w:cs="Calibri"/>
          <w:b/>
          <w:bCs/>
          <w:color w:val="000000"/>
        </w:rPr>
        <w:t> </w:t>
      </w:r>
      <w:r w:rsidRPr="008232F8">
        <w:rPr>
          <w:rFonts w:eastAsia="Calibri" w:cs="Calibri"/>
          <w:b/>
          <w:bCs/>
          <w:color w:val="000000"/>
        </w:rPr>
        <w:t>nowych ram unijnych, będzie implikować stopniową konsolidację, powodując analogiczną stopniową konsolidację w ramach SRW, bez potrzeby - sugerowanej przez RF - gwałtownej korekty rzędu kilku pkt. proc. PKB wynikającej z</w:t>
      </w:r>
      <w:r>
        <w:rPr>
          <w:rFonts w:eastAsia="Calibri" w:cs="Calibri"/>
          <w:b/>
          <w:bCs/>
          <w:color w:val="000000"/>
        </w:rPr>
        <w:t> </w:t>
      </w:r>
      <w:r w:rsidRPr="008232F8">
        <w:rPr>
          <w:rFonts w:eastAsia="Calibri" w:cs="Calibri"/>
          <w:b/>
          <w:bCs/>
          <w:color w:val="000000"/>
        </w:rPr>
        <w:t>wygaśnięcia NEC.</w:t>
      </w:r>
      <w:r w:rsidRPr="008232F8">
        <w:rPr>
          <w:rFonts w:eastAsia="Calibri" w:cs="Calibri"/>
          <w:color w:val="000000"/>
        </w:rPr>
        <w:t xml:space="preserve"> W konsekwencji </w:t>
      </w:r>
      <w:r w:rsidRPr="008232F8">
        <w:rPr>
          <w:rFonts w:eastAsia="Calibri" w:cs="Calibri"/>
          <w:b/>
          <w:bCs/>
          <w:color w:val="000000"/>
        </w:rPr>
        <w:t>nie wystąpi skumulowany wysiłek fiskalny, o</w:t>
      </w:r>
      <w:r>
        <w:rPr>
          <w:rFonts w:eastAsia="Calibri" w:cs="Calibri"/>
          <w:b/>
          <w:bCs/>
          <w:color w:val="000000"/>
        </w:rPr>
        <w:t> </w:t>
      </w:r>
      <w:r w:rsidRPr="008232F8">
        <w:rPr>
          <w:rFonts w:eastAsia="Calibri" w:cs="Calibri"/>
          <w:b/>
          <w:bCs/>
          <w:color w:val="000000"/>
        </w:rPr>
        <w:t>którym mowa w symulacji RF</w:t>
      </w:r>
      <w:r w:rsidRPr="008232F8">
        <w:rPr>
          <w:rFonts w:eastAsia="Calibri" w:cs="Calibri"/>
          <w:color w:val="000000"/>
        </w:rPr>
        <w:t xml:space="preserve">. </w:t>
      </w:r>
    </w:p>
    <w:p w14:paraId="67E5E5B4" w14:textId="77777777" w:rsidR="00D83D9A" w:rsidRPr="00D83D9A" w:rsidRDefault="00D83D9A" w:rsidP="00D83D9A">
      <w:pPr>
        <w:autoSpaceDE w:val="0"/>
        <w:autoSpaceDN w:val="0"/>
        <w:adjustRightInd w:val="0"/>
        <w:jc w:val="both"/>
        <w:rPr>
          <w:rFonts w:eastAsia="Calibri" w:cs="Calibri"/>
          <w:color w:val="000000"/>
        </w:rPr>
      </w:pPr>
      <w:r w:rsidRPr="00D83D9A">
        <w:rPr>
          <w:rFonts w:eastAsia="Calibri" w:cs="Calibri"/>
          <w:b/>
          <w:bCs/>
          <w:color w:val="000000"/>
        </w:rPr>
        <w:lastRenderedPageBreak/>
        <w:t>W świetle przedstawionych argumentów, szczegółowo omówionych w załączonych wyjaśnieniach MF, nieuzasadnione są postulaty sformułowane przez Radę Fiskalną</w:t>
      </w:r>
      <w:r w:rsidRPr="00D83D9A">
        <w:rPr>
          <w:rFonts w:eastAsia="Calibri" w:cs="Calibri"/>
          <w:color w:val="000000"/>
        </w:rPr>
        <w:t>, dotyczące konieczności:</w:t>
      </w:r>
    </w:p>
    <w:p w14:paraId="79AA0FD7" w14:textId="77777777" w:rsidR="00D83D9A" w:rsidRPr="00D83D9A" w:rsidRDefault="00D83D9A" w:rsidP="00D83D9A">
      <w:pPr>
        <w:numPr>
          <w:ilvl w:val="0"/>
          <w:numId w:val="29"/>
        </w:numPr>
        <w:autoSpaceDE w:val="0"/>
        <w:autoSpaceDN w:val="0"/>
        <w:adjustRightInd w:val="0"/>
        <w:jc w:val="both"/>
        <w:rPr>
          <w:rFonts w:eastAsia="Calibri" w:cs="Calibri"/>
          <w:color w:val="000000"/>
        </w:rPr>
      </w:pPr>
      <w:r w:rsidRPr="00D83D9A">
        <w:rPr>
          <w:rFonts w:eastAsia="Calibri" w:cs="Calibri"/>
          <w:color w:val="000000"/>
        </w:rPr>
        <w:t xml:space="preserve">utrzymania mechanizmu korekt ex post jako zabezpieczenia przed błędami prognoz – gdyż </w:t>
      </w:r>
      <w:r w:rsidRPr="00D83D9A">
        <w:rPr>
          <w:rFonts w:eastAsia="Calibri" w:cs="Calibri"/>
          <w:b/>
          <w:bCs/>
          <w:color w:val="000000"/>
        </w:rPr>
        <w:t>obecna korekta klauzuli obronnej w SRW, odnosząca się do wykonania wydatków z lat wcześniejszych, zaburza spójność</w:t>
      </w:r>
      <w:r w:rsidRPr="00D83D9A">
        <w:rPr>
          <w:rFonts w:eastAsia="Calibri" w:cs="Calibri"/>
          <w:color w:val="000000"/>
        </w:rPr>
        <w:t xml:space="preserve"> działania mechanizmu korygującego </w:t>
      </w:r>
      <w:r w:rsidRPr="00D83D9A">
        <w:rPr>
          <w:rFonts w:eastAsia="Calibri" w:cs="Calibri"/>
          <w:b/>
          <w:bCs/>
          <w:color w:val="000000"/>
        </w:rPr>
        <w:t>SRW z regułami UE</w:t>
      </w:r>
      <w:r w:rsidRPr="00D83D9A">
        <w:rPr>
          <w:rFonts w:eastAsia="Calibri" w:cs="Calibri"/>
          <w:color w:val="000000"/>
        </w:rPr>
        <w:t xml:space="preserve"> (aktualnie z rekomendowaną ścieżką wydatków); </w:t>
      </w:r>
    </w:p>
    <w:p w14:paraId="0C2EA910" w14:textId="77777777" w:rsidR="00D83D9A" w:rsidRPr="00D83D9A" w:rsidRDefault="00D83D9A" w:rsidP="00D83D9A">
      <w:pPr>
        <w:numPr>
          <w:ilvl w:val="0"/>
          <w:numId w:val="29"/>
        </w:numPr>
        <w:autoSpaceDE w:val="0"/>
        <w:autoSpaceDN w:val="0"/>
        <w:adjustRightInd w:val="0"/>
        <w:jc w:val="both"/>
        <w:rPr>
          <w:rFonts w:eastAsia="Calibri" w:cs="Calibri"/>
          <w:color w:val="000000"/>
        </w:rPr>
      </w:pPr>
      <w:r w:rsidRPr="00D83D9A">
        <w:rPr>
          <w:rFonts w:eastAsia="Calibri" w:cs="Calibri"/>
          <w:color w:val="000000"/>
        </w:rPr>
        <w:t xml:space="preserve">precyzyjnego zdefiniowania, na poziomie ustawy lub aktu wykonawczego, wydatków na cele obronne – gdyż </w:t>
      </w:r>
      <w:r w:rsidRPr="00D83D9A">
        <w:rPr>
          <w:rFonts w:eastAsia="Calibri" w:cs="Calibri"/>
          <w:b/>
          <w:bCs/>
          <w:color w:val="000000"/>
        </w:rPr>
        <w:t>w UE obowiązują już jednolite regulacje dotyczące definicji</w:t>
      </w:r>
      <w:r w:rsidRPr="00D83D9A">
        <w:rPr>
          <w:rFonts w:eastAsia="Calibri" w:cs="Calibri"/>
          <w:color w:val="000000"/>
        </w:rPr>
        <w:t xml:space="preserve"> (klasyfikacji) wydatków publicznych wg funkcji COFOG, w tym wydatków na obronę narodową, które są stosowane bezpośrednio i jednakowo we wszystkich państwach członkowskich;</w:t>
      </w:r>
    </w:p>
    <w:p w14:paraId="75188B53" w14:textId="77777777" w:rsidR="00D83D9A" w:rsidRPr="00D83D9A" w:rsidRDefault="00D83D9A" w:rsidP="00D83D9A">
      <w:pPr>
        <w:numPr>
          <w:ilvl w:val="0"/>
          <w:numId w:val="29"/>
        </w:numPr>
        <w:autoSpaceDE w:val="0"/>
        <w:autoSpaceDN w:val="0"/>
        <w:adjustRightInd w:val="0"/>
        <w:jc w:val="both"/>
        <w:rPr>
          <w:rFonts w:eastAsia="Calibri" w:cs="Calibri"/>
          <w:color w:val="000000"/>
        </w:rPr>
      </w:pPr>
      <w:r w:rsidRPr="00D83D9A">
        <w:rPr>
          <w:rFonts w:eastAsia="Calibri" w:cs="Calibri"/>
          <w:color w:val="000000"/>
        </w:rPr>
        <w:t xml:space="preserve">uniknięcia nakładania się unijnej klauzuli NEC i krajowej klauzuli obronnej – gdyż z uwagi na konstrukcję klauzuli obronnej w SRW oraz unijnej klauzuli NEC, </w:t>
      </w:r>
      <w:r w:rsidRPr="00D83D9A">
        <w:rPr>
          <w:rFonts w:eastAsia="Calibri" w:cs="Calibri"/>
          <w:b/>
          <w:bCs/>
          <w:color w:val="000000"/>
        </w:rPr>
        <w:t>mechanizmy te nie mogą być traktowane ani sumarycznie ani jako dublujące się. Mają one charakter kaskadowy</w:t>
      </w:r>
      <w:r w:rsidRPr="00D83D9A">
        <w:rPr>
          <w:rFonts w:eastAsia="Calibri" w:cs="Calibri"/>
          <w:color w:val="000000"/>
        </w:rPr>
        <w:t xml:space="preserve"> i służą </w:t>
      </w:r>
      <w:proofErr w:type="spellStart"/>
      <w:r w:rsidRPr="00D83D9A">
        <w:rPr>
          <w:rFonts w:eastAsia="Calibri" w:cs="Calibri"/>
          <w:color w:val="000000"/>
        </w:rPr>
        <w:t>uspójnieniu</w:t>
      </w:r>
      <w:proofErr w:type="spellEnd"/>
      <w:r w:rsidRPr="00D83D9A">
        <w:rPr>
          <w:rFonts w:eastAsia="Calibri" w:cs="Calibri"/>
          <w:color w:val="000000"/>
        </w:rPr>
        <w:t xml:space="preserve"> krajowych i unijnych ram fiskalnych, a nie kumulowaniu wyjątków;</w:t>
      </w:r>
    </w:p>
    <w:p w14:paraId="49A5D80D" w14:textId="77777777" w:rsidR="00D83D9A" w:rsidRPr="00D83D9A" w:rsidRDefault="00D83D9A" w:rsidP="00D83D9A">
      <w:pPr>
        <w:numPr>
          <w:ilvl w:val="0"/>
          <w:numId w:val="29"/>
        </w:numPr>
        <w:autoSpaceDE w:val="0"/>
        <w:autoSpaceDN w:val="0"/>
        <w:adjustRightInd w:val="0"/>
        <w:jc w:val="both"/>
        <w:rPr>
          <w:rFonts w:eastAsia="Calibri" w:cs="Calibri"/>
          <w:color w:val="000000"/>
        </w:rPr>
      </w:pPr>
      <w:r w:rsidRPr="00D83D9A">
        <w:rPr>
          <w:rFonts w:eastAsia="Calibri" w:cs="Calibri"/>
          <w:color w:val="000000"/>
        </w:rPr>
        <w:t>rezygnacji z mechanizmów destabilizujących SRW poprzez przesuwanie przestrzeni fiskalnej w czasie i wzmacniających ryzyko cyklu typu „boom-</w:t>
      </w:r>
      <w:proofErr w:type="spellStart"/>
      <w:r w:rsidRPr="00D83D9A">
        <w:rPr>
          <w:rFonts w:eastAsia="Calibri" w:cs="Calibri"/>
          <w:color w:val="000000"/>
        </w:rPr>
        <w:t>bust</w:t>
      </w:r>
      <w:proofErr w:type="spellEnd"/>
      <w:r w:rsidRPr="00D83D9A">
        <w:rPr>
          <w:rFonts w:eastAsia="Calibri" w:cs="Calibri"/>
          <w:color w:val="000000"/>
        </w:rPr>
        <w:t xml:space="preserve">” – gdyż </w:t>
      </w:r>
      <w:r w:rsidRPr="00D83D9A">
        <w:rPr>
          <w:rFonts w:eastAsia="Calibri" w:cs="Calibri"/>
          <w:b/>
          <w:bCs/>
          <w:color w:val="000000"/>
        </w:rPr>
        <w:t>reguły unijne, z którymi jest spójna SRW, zakładają stopniowe, a nie skokowe dostosowanie fiskalne</w:t>
      </w:r>
      <w:r w:rsidRPr="00D83D9A">
        <w:rPr>
          <w:rFonts w:eastAsia="Calibri" w:cs="Calibri"/>
          <w:color w:val="000000"/>
        </w:rPr>
        <w:t xml:space="preserve"> oraz oparcie konsolidacji na ujęciu memoriałowym, bez uwzględniania ewentualnych różnic w stosunku do podejścia kasowego;</w:t>
      </w:r>
    </w:p>
    <w:p w14:paraId="7A5E4FF3" w14:textId="77777777" w:rsidR="00D83D9A" w:rsidRPr="00D83D9A" w:rsidRDefault="00D83D9A" w:rsidP="00D83D9A">
      <w:pPr>
        <w:numPr>
          <w:ilvl w:val="0"/>
          <w:numId w:val="29"/>
        </w:numPr>
        <w:autoSpaceDE w:val="0"/>
        <w:autoSpaceDN w:val="0"/>
        <w:adjustRightInd w:val="0"/>
        <w:jc w:val="both"/>
        <w:rPr>
          <w:rFonts w:eastAsia="Calibri" w:cs="Calibri"/>
          <w:color w:val="000000"/>
        </w:rPr>
      </w:pPr>
      <w:r w:rsidRPr="00D83D9A">
        <w:rPr>
          <w:rFonts w:eastAsia="Calibri" w:cs="Calibri"/>
          <w:color w:val="000000"/>
        </w:rPr>
        <w:t xml:space="preserve">przeprowadzenia pogłębionych analiz symulacyjnych działania klauzuli obronnej w średnim i długim okresie – gdyż </w:t>
      </w:r>
      <w:r w:rsidRPr="00D83D9A">
        <w:rPr>
          <w:rFonts w:eastAsia="Calibri" w:cs="Calibri"/>
          <w:b/>
          <w:bCs/>
          <w:color w:val="000000"/>
        </w:rPr>
        <w:t>klauzula obronna w SRW ma charakter jednoroczny i nie tworzy przestrzeni wydatkowej w kolejnych latach</w:t>
      </w:r>
      <w:r w:rsidRPr="00D83D9A">
        <w:rPr>
          <w:rFonts w:eastAsia="Calibri" w:cs="Calibri"/>
          <w:color w:val="000000"/>
        </w:rPr>
        <w:t xml:space="preserve">, a jej celem jest korekta różnic pomiędzy krajowym (kasowym) i unijnym (memoriałowym) ujęciem wydatków obronnych; </w:t>
      </w:r>
      <w:r w:rsidRPr="00D83D9A" w:rsidDel="009727BC">
        <w:rPr>
          <w:rFonts w:eastAsia="Calibri" w:cs="Calibri"/>
          <w:color w:val="000000"/>
        </w:rPr>
        <w:t xml:space="preserve"> </w:t>
      </w:r>
    </w:p>
    <w:p w14:paraId="0F2E0655" w14:textId="77777777" w:rsidR="00D83D9A" w:rsidRPr="00D83D9A" w:rsidRDefault="00D83D9A" w:rsidP="00D83D9A">
      <w:pPr>
        <w:numPr>
          <w:ilvl w:val="0"/>
          <w:numId w:val="29"/>
        </w:numPr>
        <w:autoSpaceDE w:val="0"/>
        <w:autoSpaceDN w:val="0"/>
        <w:adjustRightInd w:val="0"/>
        <w:jc w:val="both"/>
        <w:rPr>
          <w:rFonts w:eastAsia="Calibri" w:cs="Calibri"/>
          <w:color w:val="000000"/>
        </w:rPr>
      </w:pPr>
      <w:r w:rsidRPr="00D83D9A">
        <w:rPr>
          <w:rFonts w:eastAsia="Calibri" w:cs="Calibri"/>
          <w:color w:val="000000"/>
        </w:rPr>
        <w:t xml:space="preserve">zapewnienia, aby wszelkie zmiany w klauzuli obronnej były poprzedzone oceną ich wpływu na dług publiczny, średniookresową ścieżkę wydatków oraz zgodność z celem stabilizującym reguły – gdyż </w:t>
      </w:r>
      <w:r w:rsidRPr="00D83D9A">
        <w:rPr>
          <w:rFonts w:eastAsia="Calibri" w:cs="Calibri"/>
          <w:b/>
          <w:bCs/>
          <w:color w:val="000000"/>
        </w:rPr>
        <w:t>SRW zapewnia zgodność polityki fiskalnej z regułami UE</w:t>
      </w:r>
      <w:r w:rsidRPr="00D83D9A">
        <w:rPr>
          <w:rFonts w:eastAsia="Calibri" w:cs="Calibri"/>
          <w:color w:val="000000"/>
        </w:rPr>
        <w:t xml:space="preserve"> oraz zobowiązaniami traktatowymi Polski poprzez zawarty w niej mechanizm korygujący, który dostosowuje tempo wzrostu wydatków SRW do rekomendowanego przez Radę Ecofin w ramach procedury EDP. Dodatkowo, </w:t>
      </w:r>
      <w:r w:rsidRPr="00D83D9A">
        <w:rPr>
          <w:rFonts w:eastAsia="Calibri" w:cs="Calibri"/>
          <w:b/>
          <w:bCs/>
          <w:color w:val="000000"/>
        </w:rPr>
        <w:t>w polskich ramach fiskalnych istnieją również inne reguły fiskalne (poza SRW) oraz zasady konstruowania budżetów i mechanizmy zabezpieczające</w:t>
      </w:r>
      <w:r w:rsidRPr="00D83D9A">
        <w:rPr>
          <w:rFonts w:eastAsia="Calibri" w:cs="Calibri"/>
          <w:color w:val="000000"/>
        </w:rPr>
        <w:t xml:space="preserve">. </w:t>
      </w:r>
    </w:p>
    <w:p w14:paraId="5704A952" w14:textId="77777777" w:rsidR="008232F8" w:rsidRPr="008232F8" w:rsidRDefault="008232F8" w:rsidP="008232F8">
      <w:pPr>
        <w:autoSpaceDE w:val="0"/>
        <w:autoSpaceDN w:val="0"/>
        <w:adjustRightInd w:val="0"/>
        <w:jc w:val="both"/>
        <w:rPr>
          <w:rFonts w:ascii="Calibri" w:eastAsia="Calibri" w:hAnsi="Calibri" w:cs="Calibri"/>
          <w:color w:val="000000"/>
        </w:rPr>
      </w:pPr>
    </w:p>
    <w:sectPr w:rsidR="008232F8" w:rsidRPr="008232F8" w:rsidSect="00F91444">
      <w:footerReference w:type="default" r:id="rId8"/>
      <w:headerReference w:type="first" r:id="rId9"/>
      <w:footerReference w:type="first" r:id="rId10"/>
      <w:pgSz w:w="11906" w:h="16838"/>
      <w:pgMar w:top="851" w:right="1985" w:bottom="1985" w:left="1985" w:header="907" w:footer="6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51A1" w14:textId="77777777" w:rsidR="00770EE2" w:rsidRDefault="00770EE2" w:rsidP="000E240B">
      <w:r>
        <w:separator/>
      </w:r>
    </w:p>
  </w:endnote>
  <w:endnote w:type="continuationSeparator" w:id="0">
    <w:p w14:paraId="00D7DB69" w14:textId="77777777" w:rsidR="00770EE2" w:rsidRDefault="00770EE2" w:rsidP="000E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EE"/>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Bona Nova">
    <w:altName w:val="Calibri"/>
    <w:charset w:val="EE"/>
    <w:family w:val="auto"/>
    <w:pitch w:val="variable"/>
    <w:sig w:usb0="A0002AFF" w:usb1="C200E0FB" w:usb2="01000008"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2610" w14:textId="77777777" w:rsidR="00E662CE" w:rsidRPr="009C24A4" w:rsidRDefault="00E662CE" w:rsidP="00E662CE">
    <w:pPr>
      <w:pStyle w:val="Nrstrony"/>
      <w:jc w:val="center"/>
    </w:pPr>
  </w:p>
  <w:p w14:paraId="6EB2D6BA" w14:textId="77777777" w:rsidR="000056C0" w:rsidRPr="00590C4E" w:rsidRDefault="000056C0" w:rsidP="009C24A4">
    <w:pPr>
      <w:pStyle w:val="Stopka"/>
    </w:pPr>
  </w:p>
  <w:p w14:paraId="5DE49023" w14:textId="77777777" w:rsidR="00590C4E" w:rsidRDefault="00590C4E" w:rsidP="009C24A4">
    <w:pPr>
      <w:pStyle w:val="Stopka"/>
    </w:pPr>
  </w:p>
  <w:p w14:paraId="247A7525" w14:textId="77777777" w:rsidR="00590C4E" w:rsidRDefault="00E662CE" w:rsidP="009C24A4">
    <w:pPr>
      <w:pStyle w:val="Stopka"/>
    </w:pPr>
    <w:r>
      <w:rPr>
        <w:noProof/>
        <w:lang w:eastAsia="pl-PL"/>
      </w:rPr>
      <mc:AlternateContent>
        <mc:Choice Requires="wps">
          <w:drawing>
            <wp:anchor distT="0" distB="0" distL="0" distR="0" simplePos="0" relativeHeight="251665408" behindDoc="0" locked="0" layoutInCell="1" allowOverlap="1" wp14:anchorId="0322BDBF" wp14:editId="010AFB36">
              <wp:simplePos x="0" y="0"/>
              <wp:positionH relativeFrom="column">
                <wp:posOffset>4702175</wp:posOffset>
              </wp:positionH>
              <wp:positionV relativeFrom="paragraph">
                <wp:posOffset>32385</wp:posOffset>
              </wp:positionV>
              <wp:extent cx="403200" cy="248400"/>
              <wp:effectExtent l="0" t="0" r="0" b="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00" cy="248400"/>
                      </a:xfrm>
                      <a:prstGeom prst="rect">
                        <a:avLst/>
                      </a:prstGeom>
                      <a:solidFill>
                        <a:srgbClr val="FFFFFF"/>
                      </a:solidFill>
                      <a:ln w="9525">
                        <a:noFill/>
                        <a:miter lim="800000"/>
                        <a:headEnd/>
                        <a:tailEnd/>
                      </a:ln>
                    </wps:spPr>
                    <wps:txbx>
                      <w:txbxContent>
                        <w:p w14:paraId="316B2BD8" w14:textId="77777777" w:rsidR="00E662CE" w:rsidRPr="009C24A4" w:rsidRDefault="00E662CE" w:rsidP="00E662CE">
                          <w:pPr>
                            <w:pStyle w:val="Nrstrony"/>
                          </w:pPr>
                          <w:r w:rsidRPr="009C24A4">
                            <w:fldChar w:fldCharType="begin"/>
                          </w:r>
                          <w:r w:rsidRPr="009C24A4">
                            <w:instrText>PAGE  \* Arabic  \* MERGEFORMAT</w:instrText>
                          </w:r>
                          <w:r w:rsidRPr="009C24A4">
                            <w:fldChar w:fldCharType="separate"/>
                          </w:r>
                          <w:r w:rsidR="003005A9">
                            <w:rPr>
                              <w:noProof/>
                            </w:rPr>
                            <w:t>2</w:t>
                          </w:r>
                          <w:r w:rsidRPr="009C24A4">
                            <w:fldChar w:fldCharType="end"/>
                          </w:r>
                          <w:r w:rsidRPr="009C24A4">
                            <w:t>/</w:t>
                          </w:r>
                          <w:r w:rsidR="001D2489">
                            <w:rPr>
                              <w:noProof/>
                            </w:rPr>
                            <w:fldChar w:fldCharType="begin"/>
                          </w:r>
                          <w:r w:rsidR="001D2489">
                            <w:rPr>
                              <w:noProof/>
                            </w:rPr>
                            <w:instrText>NUMPAGES  \* Arabic  \* MERGEFORMAT</w:instrText>
                          </w:r>
                          <w:r w:rsidR="001D2489">
                            <w:rPr>
                              <w:noProof/>
                            </w:rPr>
                            <w:fldChar w:fldCharType="separate"/>
                          </w:r>
                          <w:r w:rsidR="003005A9">
                            <w:rPr>
                              <w:noProof/>
                            </w:rPr>
                            <w:t>2</w:t>
                          </w:r>
                          <w:r w:rsidR="001D2489">
                            <w:rPr>
                              <w:noProof/>
                            </w:rPr>
                            <w:fldChar w:fldCharType="end"/>
                          </w:r>
                        </w:p>
                        <w:p w14:paraId="777DC76B" w14:textId="77777777" w:rsidR="00E662CE" w:rsidRDefault="00E662CE" w:rsidP="00E662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2BDBF" id="_x0000_t202" coordsize="21600,21600" o:spt="202" path="m,l,21600r21600,l21600,xe">
              <v:stroke joinstyle="miter"/>
              <v:path gradientshapeok="t" o:connecttype="rect"/>
            </v:shapetype>
            <v:shape id="Pole tekstowe 2" o:spid="_x0000_s1026" type="#_x0000_t202" style="position:absolute;margin-left:370.25pt;margin-top:2.55pt;width:31.75pt;height:19.5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" stroked="f">
              <v:textbox>
                <w:txbxContent>
                  <w:p w14:paraId="316B2BD8" w14:textId="77777777" w:rsidR="00E662CE" w:rsidRPr="009C24A4" w:rsidRDefault="00E662CE" w:rsidP="00E662CE">
                    <w:pPr>
                      <w:pStyle w:val="Nrstrony"/>
                    </w:pPr>
                    <w:r w:rsidRPr="009C24A4">
                      <w:fldChar w:fldCharType="begin"/>
                    </w:r>
                    <w:r w:rsidRPr="009C24A4">
                      <w:instrText>PAGE  \* Arabic  \* MERGEFORMAT</w:instrText>
                    </w:r>
                    <w:r w:rsidRPr="009C24A4">
                      <w:fldChar w:fldCharType="separate"/>
                    </w:r>
                    <w:r w:rsidR="003005A9">
                      <w:rPr>
                        <w:noProof/>
                      </w:rPr>
                      <w:t>2</w:t>
                    </w:r>
                    <w:r w:rsidRPr="009C24A4">
                      <w:fldChar w:fldCharType="end"/>
                    </w:r>
                    <w:r w:rsidRPr="009C24A4">
                      <w:t>/</w:t>
                    </w:r>
                    <w:r w:rsidR="001D2489">
                      <w:rPr>
                        <w:noProof/>
                      </w:rPr>
                      <w:fldChar w:fldCharType="begin"/>
                    </w:r>
                    <w:r w:rsidR="001D2489">
                      <w:rPr>
                        <w:noProof/>
                      </w:rPr>
                      <w:instrText>NUMPAGES  \* Arabic  \* MERGEFORMAT</w:instrText>
                    </w:r>
                    <w:r w:rsidR="001D2489">
                      <w:rPr>
                        <w:noProof/>
                      </w:rPr>
                      <w:fldChar w:fldCharType="separate"/>
                    </w:r>
                    <w:r w:rsidR="003005A9">
                      <w:rPr>
                        <w:noProof/>
                      </w:rPr>
                      <w:t>2</w:t>
                    </w:r>
                    <w:r w:rsidR="001D2489">
                      <w:rPr>
                        <w:noProof/>
                      </w:rPr>
                      <w:fldChar w:fldCharType="end"/>
                    </w:r>
                  </w:p>
                  <w:p w14:paraId="777DC76B" w14:textId="77777777" w:rsidR="00E662CE" w:rsidRDefault="00E662CE" w:rsidP="00E662CE"/>
                </w:txbxContent>
              </v:textbox>
              <w10:wrap type="square"/>
            </v:shape>
          </w:pict>
        </mc:Fallback>
      </mc:AlternateContent>
    </w:r>
  </w:p>
  <w:p w14:paraId="08ECCB89" w14:textId="77777777" w:rsidR="00590C4E" w:rsidRPr="00590C4E" w:rsidRDefault="00590C4E" w:rsidP="009C24A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F0C0" w14:textId="77777777" w:rsidR="00E662CE" w:rsidRPr="009C24A4" w:rsidRDefault="00E662CE" w:rsidP="00E662CE">
    <w:pPr>
      <w:pStyle w:val="Stopka"/>
    </w:pPr>
  </w:p>
  <w:p w14:paraId="701EB80F" w14:textId="77777777" w:rsidR="00E662CE" w:rsidRPr="009C24A4" w:rsidRDefault="00E662CE" w:rsidP="00E662CE">
    <w:pPr>
      <w:pStyle w:val="Stopka"/>
      <w:tabs>
        <w:tab w:val="clear" w:pos="6521"/>
        <w:tab w:val="left" w:pos="6663"/>
      </w:tabs>
    </w:pPr>
    <w:r w:rsidRPr="009C24A4">
      <w:rPr>
        <w:noProof/>
        <w:lang w:eastAsia="pl-PL"/>
      </w:rPr>
      <mc:AlternateContent>
        <mc:Choice Requires="wps">
          <w:drawing>
            <wp:anchor distT="0" distB="0" distL="114300" distR="114300" simplePos="0" relativeHeight="251661312" behindDoc="0" locked="0" layoutInCell="1" allowOverlap="1" wp14:anchorId="011177CF" wp14:editId="07BCC3EA">
              <wp:simplePos x="0" y="0"/>
              <wp:positionH relativeFrom="margin">
                <wp:posOffset>0</wp:posOffset>
              </wp:positionH>
              <wp:positionV relativeFrom="paragraph">
                <wp:posOffset>-120650</wp:posOffset>
              </wp:positionV>
              <wp:extent cx="5040000" cy="0"/>
              <wp:effectExtent l="0" t="0" r="27305" b="19050"/>
              <wp:wrapNone/>
              <wp:docPr id="31" name="Łącznik prosty 3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4C285" id="Łącznik prosty 3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" strokecolor="black [3213]" strokeweight=".5pt">
              <v:stroke joinstyle="miter"/>
              <w10:wrap anchorx="margin"/>
            </v:line>
          </w:pict>
        </mc:Fallback>
      </mc:AlternateContent>
    </w:r>
    <w:r w:rsidRPr="009C24A4">
      <w:t>tel.: +48 22</w:t>
    </w:r>
    <w:r w:rsidR="00DF547B">
      <w:t> 694 55 55</w:t>
    </w:r>
    <w:r w:rsidRPr="009C24A4">
      <w:tab/>
      <w:t xml:space="preserve">ul. Świętokrzyska 12 </w:t>
    </w:r>
  </w:p>
  <w:p w14:paraId="65880E22" w14:textId="77777777" w:rsidR="00E662CE" w:rsidRPr="009C24A4" w:rsidRDefault="00E662CE" w:rsidP="00E662CE">
    <w:pPr>
      <w:pStyle w:val="Stopka"/>
      <w:tabs>
        <w:tab w:val="clear" w:pos="6521"/>
        <w:tab w:val="left" w:pos="6663"/>
      </w:tabs>
    </w:pPr>
    <w:r w:rsidRPr="009C24A4">
      <w:t>fax: +48 22</w:t>
    </w:r>
    <w:r w:rsidR="00DF547B">
      <w:t> 694 36 84</w:t>
    </w:r>
    <w:r w:rsidRPr="009C24A4">
      <w:tab/>
      <w:t>00-916 Warszawa</w:t>
    </w:r>
  </w:p>
  <w:p w14:paraId="2F9323C4" w14:textId="77777777" w:rsidR="00E662CE" w:rsidRPr="009C24A4" w:rsidRDefault="00770EE2" w:rsidP="00E662CE">
    <w:pPr>
      <w:pStyle w:val="Stopka"/>
    </w:pPr>
    <w:hyperlink r:id="rId1" w:history="1">
      <w:r w:rsidR="00E662CE" w:rsidRPr="009C24A4">
        <w:rPr>
          <w:rStyle w:val="Hipercze"/>
          <w:color w:val="000000" w:themeColor="text1"/>
        </w:rPr>
        <w:t>gov.pl/finanse</w:t>
      </w:r>
    </w:hyperlink>
  </w:p>
  <w:p w14:paraId="3ACFE1E2" w14:textId="6A4B6936" w:rsidR="00E662CE" w:rsidRPr="00684AA8" w:rsidRDefault="00E662CE" w:rsidP="00E662CE">
    <w:pPr>
      <w:pStyle w:val="Stopka"/>
      <w:rPr>
        <w:lang w:val="en-US"/>
      </w:rPr>
    </w:pPr>
    <w:r w:rsidRPr="00684AA8">
      <w:rPr>
        <w:lang w:val="en-US"/>
      </w:rPr>
      <w:t>e-mai</w:t>
    </w:r>
    <w:r w:rsidR="00F776C3" w:rsidRPr="00684AA8">
      <w:rPr>
        <w:lang w:val="en-US"/>
      </w:rPr>
      <w:t>l</w:t>
    </w:r>
    <w:r w:rsidRPr="00684AA8">
      <w:rPr>
        <w:lang w:val="en-US"/>
      </w:rPr>
      <w:t xml:space="preserve">: </w:t>
    </w:r>
    <w:hyperlink r:id="rId2" w:history="1">
      <w:r w:rsidR="00DF547B" w:rsidRPr="00684AA8">
        <w:rPr>
          <w:rStyle w:val="Hipercze"/>
          <w:color w:val="000000" w:themeColor="text1"/>
          <w:lang w:val="en-US"/>
        </w:rPr>
        <w:t>kancelaria@mf.gov.pl</w:t>
      </w:r>
    </w:hyperlink>
  </w:p>
  <w:p w14:paraId="5419601C" w14:textId="77777777" w:rsidR="00E662CE" w:rsidRPr="00684AA8" w:rsidRDefault="00E662CE" w:rsidP="00E662CE">
    <w:pPr>
      <w:pStyle w:val="Stopka"/>
      <w:rPr>
        <w:lang w:val="en-US"/>
      </w:rPr>
    </w:pPr>
  </w:p>
  <w:p w14:paraId="6C88F72C" w14:textId="77777777" w:rsidR="00E662CE" w:rsidRDefault="00E662CE">
    <w:pPr>
      <w:pStyle w:val="Stopka"/>
    </w:pPr>
    <w:r>
      <w:rPr>
        <w:noProof/>
        <w:lang w:eastAsia="pl-PL"/>
      </w:rPr>
      <mc:AlternateContent>
        <mc:Choice Requires="wps">
          <w:drawing>
            <wp:anchor distT="0" distB="0" distL="0" distR="0" simplePos="0" relativeHeight="251663360" behindDoc="0" locked="0" layoutInCell="1" allowOverlap="1" wp14:anchorId="79CABDF6" wp14:editId="6FB4AAD7">
              <wp:simplePos x="0" y="0"/>
              <wp:positionH relativeFrom="column">
                <wp:posOffset>4702175</wp:posOffset>
              </wp:positionH>
              <wp:positionV relativeFrom="paragraph">
                <wp:posOffset>32385</wp:posOffset>
              </wp:positionV>
              <wp:extent cx="403200" cy="2484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00" cy="248400"/>
                      </a:xfrm>
                      <a:prstGeom prst="rect">
                        <a:avLst/>
                      </a:prstGeom>
                      <a:solidFill>
                        <a:srgbClr val="FFFFFF"/>
                      </a:solidFill>
                      <a:ln w="9525">
                        <a:noFill/>
                        <a:miter lim="800000"/>
                        <a:headEnd/>
                        <a:tailEnd/>
                      </a:ln>
                    </wps:spPr>
                    <wps:txbx>
                      <w:txbxContent>
                        <w:p w14:paraId="6C393C3A" w14:textId="77777777" w:rsidR="00E662CE" w:rsidRPr="009C24A4" w:rsidRDefault="00E662CE" w:rsidP="00E662CE">
                          <w:pPr>
                            <w:pStyle w:val="Nrstrony"/>
                          </w:pPr>
                          <w:r w:rsidRPr="009C24A4">
                            <w:fldChar w:fldCharType="begin"/>
                          </w:r>
                          <w:r w:rsidRPr="009C24A4">
                            <w:instrText>PAGE  \* Arabic  \* MERGEFORMAT</w:instrText>
                          </w:r>
                          <w:r w:rsidRPr="009C24A4">
                            <w:fldChar w:fldCharType="separate"/>
                          </w:r>
                          <w:r w:rsidR="003005A9">
                            <w:rPr>
                              <w:noProof/>
                            </w:rPr>
                            <w:t>1</w:t>
                          </w:r>
                          <w:r w:rsidRPr="009C24A4">
                            <w:fldChar w:fldCharType="end"/>
                          </w:r>
                          <w:r w:rsidRPr="009C24A4">
                            <w:t>/</w:t>
                          </w:r>
                          <w:r w:rsidR="001D2489">
                            <w:rPr>
                              <w:noProof/>
                            </w:rPr>
                            <w:fldChar w:fldCharType="begin"/>
                          </w:r>
                          <w:r w:rsidR="001D2489">
                            <w:rPr>
                              <w:noProof/>
                            </w:rPr>
                            <w:instrText>NUMPAGES  \* Arabic  \* MERGEFORMAT</w:instrText>
                          </w:r>
                          <w:r w:rsidR="001D2489">
                            <w:rPr>
                              <w:noProof/>
                            </w:rPr>
                            <w:fldChar w:fldCharType="separate"/>
                          </w:r>
                          <w:r w:rsidR="003005A9">
                            <w:rPr>
                              <w:noProof/>
                            </w:rPr>
                            <w:t>2</w:t>
                          </w:r>
                          <w:r w:rsidR="001D2489">
                            <w:rPr>
                              <w:noProof/>
                            </w:rPr>
                            <w:fldChar w:fldCharType="end"/>
                          </w:r>
                        </w:p>
                        <w:p w14:paraId="6AC87CE5" w14:textId="77777777" w:rsidR="00E662CE" w:rsidRDefault="00E662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CABDF6" id="_x0000_t202" coordsize="21600,21600" o:spt="202" path="m,l,21600r21600,l21600,xe">
              <v:stroke joinstyle="miter"/>
              <v:path gradientshapeok="t" o:connecttype="rect"/>
            </v:shapetype>
            <v:shape id="_x0000_s1027" type="#_x0000_t202" style="position:absolute;margin-left:370.25pt;margin-top:2.55pt;width:31.75pt;height:19.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" stroked="f">
              <v:textbox>
                <w:txbxContent>
                  <w:p w14:paraId="6C393C3A" w14:textId="77777777" w:rsidR="00E662CE" w:rsidRPr="009C24A4" w:rsidRDefault="00E662CE" w:rsidP="00E662CE">
                    <w:pPr>
                      <w:pStyle w:val="Nrstrony"/>
                    </w:pPr>
                    <w:r w:rsidRPr="009C24A4">
                      <w:fldChar w:fldCharType="begin"/>
                    </w:r>
                    <w:r w:rsidRPr="009C24A4">
                      <w:instrText>PAGE  \* Arabic  \* MERGEFORMAT</w:instrText>
                    </w:r>
                    <w:r w:rsidRPr="009C24A4">
                      <w:fldChar w:fldCharType="separate"/>
                    </w:r>
                    <w:r w:rsidR="003005A9">
                      <w:rPr>
                        <w:noProof/>
                      </w:rPr>
                      <w:t>1</w:t>
                    </w:r>
                    <w:r w:rsidRPr="009C24A4">
                      <w:fldChar w:fldCharType="end"/>
                    </w:r>
                    <w:r w:rsidRPr="009C24A4">
                      <w:t>/</w:t>
                    </w:r>
                    <w:r w:rsidR="001D2489">
                      <w:rPr>
                        <w:noProof/>
                      </w:rPr>
                      <w:fldChar w:fldCharType="begin"/>
                    </w:r>
                    <w:r w:rsidR="001D2489">
                      <w:rPr>
                        <w:noProof/>
                      </w:rPr>
                      <w:instrText>NUMPAGES  \* Arabic  \* MERGEFORMAT</w:instrText>
                    </w:r>
                    <w:r w:rsidR="001D2489">
                      <w:rPr>
                        <w:noProof/>
                      </w:rPr>
                      <w:fldChar w:fldCharType="separate"/>
                    </w:r>
                    <w:r w:rsidR="003005A9">
                      <w:rPr>
                        <w:noProof/>
                      </w:rPr>
                      <w:t>2</w:t>
                    </w:r>
                    <w:r w:rsidR="001D2489">
                      <w:rPr>
                        <w:noProof/>
                      </w:rPr>
                      <w:fldChar w:fldCharType="end"/>
                    </w:r>
                  </w:p>
                  <w:p w14:paraId="6AC87CE5" w14:textId="77777777" w:rsidR="00E662CE" w:rsidRDefault="00E662CE"/>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10C93" w14:textId="77777777" w:rsidR="00770EE2" w:rsidRDefault="00770EE2" w:rsidP="000E240B">
      <w:r>
        <w:separator/>
      </w:r>
    </w:p>
  </w:footnote>
  <w:footnote w:type="continuationSeparator" w:id="0">
    <w:p w14:paraId="6696B72B" w14:textId="77777777" w:rsidR="00770EE2" w:rsidRDefault="00770EE2" w:rsidP="000E240B">
      <w:r>
        <w:continuationSeparator/>
      </w:r>
    </w:p>
  </w:footnote>
  <w:footnote w:id="1">
    <w:p w14:paraId="68E08661" w14:textId="77777777" w:rsidR="008232F8" w:rsidRPr="00D83D9A" w:rsidRDefault="008232F8" w:rsidP="008232F8">
      <w:pPr>
        <w:pStyle w:val="Tekstprzypisudolnego1"/>
        <w:rPr>
          <w:rFonts w:cs="Calibri"/>
          <w:lang w:val="en-US"/>
        </w:rPr>
      </w:pPr>
      <w:r w:rsidRPr="00D83D9A">
        <w:rPr>
          <w:rStyle w:val="Odwoanieprzypisudolnego"/>
          <w:rFonts w:cs="Calibri"/>
        </w:rPr>
        <w:footnoteRef/>
      </w:r>
      <w:r w:rsidRPr="00D83D9A">
        <w:rPr>
          <w:rFonts w:cs="Calibri"/>
          <w:lang w:val="en-US"/>
        </w:rPr>
        <w:t xml:space="preserve"> Por. EFB -</w:t>
      </w:r>
      <w:r w:rsidRPr="00D83D9A">
        <w:rPr>
          <w:rFonts w:cs="Calibri"/>
          <w:color w:val="000000"/>
          <w:lang w:val="en-US"/>
        </w:rPr>
        <w:t xml:space="preserve"> </w:t>
      </w:r>
      <w:r w:rsidRPr="00D83D9A">
        <w:rPr>
          <w:rFonts w:cs="Calibri"/>
          <w:i/>
          <w:iCs/>
          <w:color w:val="000000"/>
          <w:lang w:val="en-US"/>
        </w:rPr>
        <w:t>Assessment of the fiscal stance appropriate for the euro area in 2026</w:t>
      </w:r>
      <w:r w:rsidRPr="00D83D9A">
        <w:rPr>
          <w:rFonts w:cs="Calibri"/>
          <w:color w:val="000000"/>
          <w:lang w:val="en-US"/>
        </w:rPr>
        <w:t xml:space="preserve"> – June 2025</w:t>
      </w:r>
    </w:p>
  </w:footnote>
  <w:footnote w:id="2">
    <w:p w14:paraId="08901E0B" w14:textId="77777777" w:rsidR="008232F8" w:rsidRPr="00D83D9A" w:rsidRDefault="008232F8" w:rsidP="008232F8">
      <w:pPr>
        <w:pStyle w:val="Tekstprzypisudolnego1"/>
        <w:rPr>
          <w:lang w:val="en-US"/>
        </w:rPr>
      </w:pPr>
      <w:r w:rsidRPr="00D83D9A">
        <w:rPr>
          <w:rStyle w:val="Odwoanieprzypisudolnego"/>
        </w:rPr>
        <w:footnoteRef/>
      </w:r>
      <w:r w:rsidRPr="00D83D9A">
        <w:rPr>
          <w:lang w:val="en-US"/>
        </w:rPr>
        <w:t xml:space="preserve"> </w:t>
      </w:r>
      <w:hyperlink r:id="rId1" w:history="1">
        <w:r w:rsidRPr="00D83D9A">
          <w:rPr>
            <w:rStyle w:val="Hipercze"/>
            <w:lang w:val="en-US"/>
          </w:rPr>
          <w:t>https://ec.europa.eu/eurostat/web/products-manuals-and-guidelines/-/ks-gq-19-010</w:t>
        </w:r>
      </w:hyperlink>
    </w:p>
  </w:footnote>
  <w:footnote w:id="3">
    <w:p w14:paraId="1BDD4791" w14:textId="77777777" w:rsidR="008232F8" w:rsidRPr="005F0E81" w:rsidRDefault="008232F8" w:rsidP="008232F8">
      <w:pPr>
        <w:pStyle w:val="Tekstprzypisudolnego1"/>
        <w:rPr>
          <w:lang w:val="en-US"/>
        </w:rPr>
      </w:pPr>
      <w:r w:rsidRPr="00D83D9A">
        <w:rPr>
          <w:rStyle w:val="Odwoanieprzypisudolnego"/>
        </w:rPr>
        <w:footnoteRef/>
      </w:r>
      <w:r w:rsidRPr="00D83D9A">
        <w:rPr>
          <w:lang w:val="en-US"/>
        </w:rPr>
        <w:t xml:space="preserve"> </w:t>
      </w:r>
      <w:hyperlink r:id="rId2" w:history="1">
        <w:r w:rsidRPr="00D83D9A">
          <w:rPr>
            <w:rStyle w:val="Hipercze"/>
            <w:lang w:val="en-US"/>
          </w:rPr>
          <w:t>https://ec.europa.eu/eurostat/web/government-finance-statistics/methodology/guidance</w:t>
        </w:r>
      </w:hyperlink>
    </w:p>
  </w:footnote>
  <w:footnote w:id="4">
    <w:p w14:paraId="130F48AA" w14:textId="77777777" w:rsidR="008232F8" w:rsidRDefault="008232F8" w:rsidP="008232F8">
      <w:pPr>
        <w:pStyle w:val="Tekstprzypisudolnego1"/>
      </w:pPr>
      <w:r>
        <w:rPr>
          <w:rStyle w:val="Odwoanieprzypisudolnego"/>
        </w:rPr>
        <w:footnoteRef/>
      </w:r>
      <w:r>
        <w:t xml:space="preserve"> Por. </w:t>
      </w:r>
      <w:hyperlink r:id="rId3" w:history="1">
        <w:r w:rsidRPr="009E029C">
          <w:rPr>
            <w:rStyle w:val="Hipercze"/>
            <w:bCs/>
          </w:rPr>
          <w:t>Zalecenie Rady zezwalające Polsce na odchylenie od maksymalnych stóp wzrostu wydatków netto ustalonych przez Radę na podstawie rozporządzenia (UE) 2024/1263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DA4D" w14:textId="4D8CFC62" w:rsidR="00F91444" w:rsidRPr="00D51843" w:rsidRDefault="00F91444" w:rsidP="00D51843">
    <w:r w:rsidRPr="00D51843">
      <w:rPr>
        <w:noProof/>
      </w:rPr>
      <w:drawing>
        <wp:anchor distT="0" distB="0" distL="114300" distR="114300" simplePos="0" relativeHeight="251667456" behindDoc="0" locked="0" layoutInCell="1" allowOverlap="1" wp14:anchorId="179DF2CA" wp14:editId="34BB0A47">
          <wp:simplePos x="0" y="0"/>
          <wp:positionH relativeFrom="column">
            <wp:posOffset>-927562</wp:posOffset>
          </wp:positionH>
          <wp:positionV relativeFrom="paragraph">
            <wp:posOffset>-13335</wp:posOffset>
          </wp:positionV>
          <wp:extent cx="2375535" cy="712470"/>
          <wp:effectExtent l="0" t="0" r="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5535" cy="712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402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74AD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82CC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5278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C657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DE6A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58B4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40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389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E8A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A054C"/>
    <w:multiLevelType w:val="multilevel"/>
    <w:tmpl w:val="A4BC4A64"/>
    <w:styleLink w:val="Biecalist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D91477"/>
    <w:multiLevelType w:val="hybridMultilevel"/>
    <w:tmpl w:val="032038AA"/>
    <w:lvl w:ilvl="0" w:tplc="D3B8B5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B4428C"/>
    <w:multiLevelType w:val="multilevel"/>
    <w:tmpl w:val="8DFEBA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08D139C"/>
    <w:multiLevelType w:val="hybridMultilevel"/>
    <w:tmpl w:val="4230A4D8"/>
    <w:lvl w:ilvl="0" w:tplc="6324D3CA">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25249E"/>
    <w:multiLevelType w:val="hybridMultilevel"/>
    <w:tmpl w:val="9554237E"/>
    <w:lvl w:ilvl="0" w:tplc="12E2E0E2">
      <w:start w:val="1"/>
      <w:numFmt w:val="decimal"/>
      <w:lvlText w:val="%1."/>
      <w:lvlJc w:val="left"/>
      <w:pPr>
        <w:ind w:left="502" w:hanging="360"/>
      </w:pPr>
      <w:rPr>
        <w:rFont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EE78F6"/>
    <w:multiLevelType w:val="hybridMultilevel"/>
    <w:tmpl w:val="BAE0BCF2"/>
    <w:lvl w:ilvl="0" w:tplc="4ADA04C6">
      <w:start w:val="1"/>
      <w:numFmt w:val="bullet"/>
      <w:pStyle w:val="ListapunktoryMF"/>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AF271D"/>
    <w:multiLevelType w:val="hybridMultilevel"/>
    <w:tmpl w:val="B5FAB682"/>
    <w:lvl w:ilvl="0" w:tplc="5BE2857C">
      <w:start w:val="1"/>
      <w:numFmt w:val="decimal"/>
      <w:pStyle w:val="ListanumeracjaMF"/>
      <w:lvlText w:val="%1."/>
      <w:lvlJc w:val="left"/>
      <w:pPr>
        <w:tabs>
          <w:tab w:val="num" w:pos="284"/>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6D5F45"/>
    <w:multiLevelType w:val="multilevel"/>
    <w:tmpl w:val="2F96D8D0"/>
    <w:styleLink w:val="Biecalist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633B0F"/>
    <w:multiLevelType w:val="hybridMultilevel"/>
    <w:tmpl w:val="EA161088"/>
    <w:lvl w:ilvl="0" w:tplc="9C2E1844">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96575E"/>
    <w:multiLevelType w:val="hybridMultilevel"/>
    <w:tmpl w:val="7096B9A6"/>
    <w:lvl w:ilvl="0" w:tplc="8B0606F2">
      <w:start w:val="1"/>
      <w:numFmt w:val="decimal"/>
      <w:lvlText w:val="%1."/>
      <w:lvlJc w:val="left"/>
      <w:pPr>
        <w:ind w:left="720" w:hanging="360"/>
      </w:pPr>
      <w:rPr>
        <w:rFont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8CD175C"/>
    <w:multiLevelType w:val="multilevel"/>
    <w:tmpl w:val="7ED8BF2C"/>
    <w:styleLink w:val="Biecalist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805E22"/>
    <w:multiLevelType w:val="hybridMultilevel"/>
    <w:tmpl w:val="4C04B6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F711C3"/>
    <w:multiLevelType w:val="multilevel"/>
    <w:tmpl w:val="D9647CF4"/>
    <w:styleLink w:val="Biecalista4"/>
    <w:lvl w:ilvl="0">
      <w:start w:val="1"/>
      <w:numFmt w:val="bullet"/>
      <w:lvlText w:val=""/>
      <w:lvlJc w:val="left"/>
      <w:pPr>
        <w:ind w:left="473"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8"/>
  </w:num>
  <w:num w:numId="4">
    <w:abstractNumId w:val="19"/>
  </w:num>
  <w:num w:numId="5">
    <w:abstractNumId w:val="1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2"/>
  </w:num>
  <w:num w:numId="17">
    <w:abstractNumId w:val="10"/>
  </w:num>
  <w:num w:numId="18">
    <w:abstractNumId w:val="20"/>
  </w:num>
  <w:num w:numId="19">
    <w:abstractNumId w:val="16"/>
  </w:num>
  <w:num w:numId="20">
    <w:abstractNumId w:val="15"/>
  </w:num>
  <w:num w:numId="21">
    <w:abstractNumId w:val="17"/>
  </w:num>
  <w:num w:numId="22">
    <w:abstractNumId w:val="22"/>
  </w:num>
  <w:num w:numId="23">
    <w:abstractNumId w:val="10"/>
  </w:num>
  <w:num w:numId="24">
    <w:abstractNumId w:val="20"/>
  </w:num>
  <w:num w:numId="25">
    <w:abstractNumId w:val="17"/>
  </w:num>
  <w:num w:numId="26">
    <w:abstractNumId w:val="22"/>
  </w:num>
  <w:num w:numId="27">
    <w:abstractNumId w:val="16"/>
  </w:num>
  <w:num w:numId="28">
    <w:abstractNumId w:val="1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2"/>
    <w:rsid w:val="000056C0"/>
    <w:rsid w:val="00010321"/>
    <w:rsid w:val="000410E8"/>
    <w:rsid w:val="000451E3"/>
    <w:rsid w:val="00055F10"/>
    <w:rsid w:val="00057F51"/>
    <w:rsid w:val="000635A5"/>
    <w:rsid w:val="0007380E"/>
    <w:rsid w:val="00073D56"/>
    <w:rsid w:val="00080927"/>
    <w:rsid w:val="000C34F6"/>
    <w:rsid w:val="000C3CB5"/>
    <w:rsid w:val="000E240B"/>
    <w:rsid w:val="000F0780"/>
    <w:rsid w:val="00112F3F"/>
    <w:rsid w:val="001135F1"/>
    <w:rsid w:val="001236B0"/>
    <w:rsid w:val="001303DF"/>
    <w:rsid w:val="00161062"/>
    <w:rsid w:val="001635DB"/>
    <w:rsid w:val="00166A88"/>
    <w:rsid w:val="001709E1"/>
    <w:rsid w:val="0017757E"/>
    <w:rsid w:val="00193720"/>
    <w:rsid w:val="001A0693"/>
    <w:rsid w:val="001B70EB"/>
    <w:rsid w:val="001C0F71"/>
    <w:rsid w:val="001C35A1"/>
    <w:rsid w:val="001D2489"/>
    <w:rsid w:val="001F4D78"/>
    <w:rsid w:val="001F5E03"/>
    <w:rsid w:val="00250C8D"/>
    <w:rsid w:val="002632AF"/>
    <w:rsid w:val="00266E35"/>
    <w:rsid w:val="00281F4D"/>
    <w:rsid w:val="002943AA"/>
    <w:rsid w:val="002B702B"/>
    <w:rsid w:val="002D53E6"/>
    <w:rsid w:val="003005A9"/>
    <w:rsid w:val="0033496F"/>
    <w:rsid w:val="00340185"/>
    <w:rsid w:val="00362A77"/>
    <w:rsid w:val="00371FD3"/>
    <w:rsid w:val="00387712"/>
    <w:rsid w:val="003D677C"/>
    <w:rsid w:val="003E3546"/>
    <w:rsid w:val="00421962"/>
    <w:rsid w:val="0043214D"/>
    <w:rsid w:val="00452699"/>
    <w:rsid w:val="00476563"/>
    <w:rsid w:val="00480AA1"/>
    <w:rsid w:val="004D6C78"/>
    <w:rsid w:val="004D7BEB"/>
    <w:rsid w:val="004E7021"/>
    <w:rsid w:val="00520B56"/>
    <w:rsid w:val="00523132"/>
    <w:rsid w:val="00541182"/>
    <w:rsid w:val="00553183"/>
    <w:rsid w:val="00581DD7"/>
    <w:rsid w:val="00583C00"/>
    <w:rsid w:val="00583C7C"/>
    <w:rsid w:val="00590C4E"/>
    <w:rsid w:val="005A44C2"/>
    <w:rsid w:val="005C1DD0"/>
    <w:rsid w:val="005D2A0B"/>
    <w:rsid w:val="005F5D30"/>
    <w:rsid w:val="00606A45"/>
    <w:rsid w:val="00610C81"/>
    <w:rsid w:val="00611DDD"/>
    <w:rsid w:val="00621468"/>
    <w:rsid w:val="006343C7"/>
    <w:rsid w:val="0064080D"/>
    <w:rsid w:val="00646551"/>
    <w:rsid w:val="00673E82"/>
    <w:rsid w:val="00684AA8"/>
    <w:rsid w:val="006C0069"/>
    <w:rsid w:val="006E1E29"/>
    <w:rsid w:val="007352E5"/>
    <w:rsid w:val="00770EE2"/>
    <w:rsid w:val="007770BC"/>
    <w:rsid w:val="00797577"/>
    <w:rsid w:val="007A56D5"/>
    <w:rsid w:val="007B2BD9"/>
    <w:rsid w:val="0080167F"/>
    <w:rsid w:val="008071F5"/>
    <w:rsid w:val="008232F8"/>
    <w:rsid w:val="00853045"/>
    <w:rsid w:val="00855B2E"/>
    <w:rsid w:val="008763B4"/>
    <w:rsid w:val="00894630"/>
    <w:rsid w:val="008B10E0"/>
    <w:rsid w:val="008E1267"/>
    <w:rsid w:val="008F1727"/>
    <w:rsid w:val="00905777"/>
    <w:rsid w:val="00907C2E"/>
    <w:rsid w:val="00912AAD"/>
    <w:rsid w:val="00921722"/>
    <w:rsid w:val="009276B2"/>
    <w:rsid w:val="0096081E"/>
    <w:rsid w:val="00967C4C"/>
    <w:rsid w:val="009C234C"/>
    <w:rsid w:val="009C24A4"/>
    <w:rsid w:val="009C3A97"/>
    <w:rsid w:val="009C796C"/>
    <w:rsid w:val="009E1415"/>
    <w:rsid w:val="009F5DDF"/>
    <w:rsid w:val="00A07AA4"/>
    <w:rsid w:val="00A54552"/>
    <w:rsid w:val="00A70CFF"/>
    <w:rsid w:val="00A731E2"/>
    <w:rsid w:val="00A8282A"/>
    <w:rsid w:val="00AA3FB2"/>
    <w:rsid w:val="00AD625D"/>
    <w:rsid w:val="00AF26B0"/>
    <w:rsid w:val="00AF7C88"/>
    <w:rsid w:val="00B27093"/>
    <w:rsid w:val="00B343BD"/>
    <w:rsid w:val="00B418D7"/>
    <w:rsid w:val="00B8101C"/>
    <w:rsid w:val="00B87744"/>
    <w:rsid w:val="00BE6F3C"/>
    <w:rsid w:val="00C03990"/>
    <w:rsid w:val="00C12437"/>
    <w:rsid w:val="00C41B11"/>
    <w:rsid w:val="00C8064A"/>
    <w:rsid w:val="00C85D56"/>
    <w:rsid w:val="00C878EE"/>
    <w:rsid w:val="00C93524"/>
    <w:rsid w:val="00CB0BC6"/>
    <w:rsid w:val="00CB78FA"/>
    <w:rsid w:val="00CC276E"/>
    <w:rsid w:val="00CE5C7F"/>
    <w:rsid w:val="00CF21C3"/>
    <w:rsid w:val="00D00457"/>
    <w:rsid w:val="00D132C0"/>
    <w:rsid w:val="00D349F3"/>
    <w:rsid w:val="00D51843"/>
    <w:rsid w:val="00D54335"/>
    <w:rsid w:val="00D73437"/>
    <w:rsid w:val="00D77CEE"/>
    <w:rsid w:val="00D83D9A"/>
    <w:rsid w:val="00D915C6"/>
    <w:rsid w:val="00DA1A22"/>
    <w:rsid w:val="00DA7CF2"/>
    <w:rsid w:val="00DC6004"/>
    <w:rsid w:val="00DE0794"/>
    <w:rsid w:val="00DF547B"/>
    <w:rsid w:val="00E077DF"/>
    <w:rsid w:val="00E3400A"/>
    <w:rsid w:val="00E55131"/>
    <w:rsid w:val="00E662CE"/>
    <w:rsid w:val="00E717E2"/>
    <w:rsid w:val="00EB0DBD"/>
    <w:rsid w:val="00ED3E4A"/>
    <w:rsid w:val="00ED6959"/>
    <w:rsid w:val="00EE21CD"/>
    <w:rsid w:val="00EE2B8C"/>
    <w:rsid w:val="00F105E8"/>
    <w:rsid w:val="00F13890"/>
    <w:rsid w:val="00F2541F"/>
    <w:rsid w:val="00F27DF2"/>
    <w:rsid w:val="00F3781E"/>
    <w:rsid w:val="00F53B9B"/>
    <w:rsid w:val="00F5713D"/>
    <w:rsid w:val="00F71593"/>
    <w:rsid w:val="00F72B7A"/>
    <w:rsid w:val="00F776C3"/>
    <w:rsid w:val="00F847A3"/>
    <w:rsid w:val="00F86826"/>
    <w:rsid w:val="00F91444"/>
    <w:rsid w:val="00FA6BD4"/>
    <w:rsid w:val="00FB0BAD"/>
    <w:rsid w:val="00FF4E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4944D"/>
  <w15:chartTrackingRefBased/>
  <w15:docId w15:val="{F6D03710-4630-44C6-B5CC-9187C8E3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pisma MF zly"/>
    <w:qFormat/>
    <w:rsid w:val="005A44C2"/>
  </w:style>
  <w:style w:type="paragraph" w:styleId="Nagwek1">
    <w:name w:val="heading 1"/>
    <w:basedOn w:val="Normalny"/>
    <w:next w:val="Normalny"/>
    <w:link w:val="Nagwek1Znak"/>
    <w:uiPriority w:val="9"/>
    <w:rsid w:val="001F4D78"/>
    <w:pPr>
      <w:keepNext/>
      <w:keepLines/>
      <w:spacing w:line="320" w:lineRule="exact"/>
      <w:outlineLvl w:val="0"/>
    </w:pPr>
    <w:rPr>
      <w:rFonts w:eastAsia="Times New Roman"/>
      <w:b/>
      <w:color w:val="000000"/>
      <w:sz w:val="28"/>
      <w:szCs w:val="32"/>
    </w:rPr>
  </w:style>
  <w:style w:type="paragraph" w:styleId="Nagwek2">
    <w:name w:val="heading 2"/>
    <w:basedOn w:val="Normalny"/>
    <w:next w:val="Normalny"/>
    <w:link w:val="Nagwek2Znak"/>
    <w:uiPriority w:val="9"/>
    <w:unhideWhenUsed/>
    <w:rsid w:val="001F4D78"/>
    <w:pPr>
      <w:keepNext/>
      <w:keepLines/>
      <w:spacing w:before="40"/>
      <w:outlineLvl w:val="1"/>
    </w:pPr>
    <w:rPr>
      <w:rFonts w:eastAsia="Times New Roman"/>
      <w:color w:val="2E74B5"/>
      <w:sz w:val="26"/>
      <w:szCs w:val="26"/>
    </w:rPr>
  </w:style>
  <w:style w:type="character" w:default="1" w:styleId="Domylnaczcionkaakapitu">
    <w:name w:val="Default Paragraph Font"/>
    <w:uiPriority w:val="1"/>
    <w:semiHidden/>
    <w:unhideWhenUsed/>
    <w:rsid w:val="005A44C2"/>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5A44C2"/>
  </w:style>
  <w:style w:type="paragraph" w:styleId="Stopka">
    <w:name w:val="footer"/>
    <w:link w:val="StopkaZnak"/>
    <w:uiPriority w:val="99"/>
    <w:unhideWhenUsed/>
    <w:rsid w:val="001F4D78"/>
    <w:pPr>
      <w:tabs>
        <w:tab w:val="left" w:pos="6521"/>
      </w:tabs>
      <w:spacing w:after="0" w:line="200" w:lineRule="exact"/>
      <w:ind w:right="-142"/>
    </w:pPr>
    <w:rPr>
      <w:rFonts w:ascii="Lato" w:eastAsia="Lato" w:hAnsi="Lato" w:cs="Times New Roman"/>
      <w:sz w:val="14"/>
      <w:szCs w:val="14"/>
    </w:rPr>
  </w:style>
  <w:style w:type="character" w:customStyle="1" w:styleId="StopkaZnak">
    <w:name w:val="Stopka Znak"/>
    <w:link w:val="Stopka"/>
    <w:uiPriority w:val="99"/>
    <w:rsid w:val="001F4D78"/>
    <w:rPr>
      <w:rFonts w:ascii="Lato" w:eastAsia="Lato" w:hAnsi="Lato" w:cs="Times New Roman"/>
      <w:sz w:val="14"/>
      <w:szCs w:val="14"/>
    </w:rPr>
  </w:style>
  <w:style w:type="paragraph" w:customStyle="1" w:styleId="SrodtytulpismaMF">
    <w:name w:val="Srodtytul pisma MF"/>
    <w:basedOn w:val="TekstpismaMF"/>
    <w:link w:val="SrodtytulpismaMFZnak"/>
    <w:qFormat/>
    <w:rsid w:val="001F4D78"/>
    <w:pPr>
      <w:spacing w:line="300" w:lineRule="exact"/>
      <w:jc w:val="both"/>
    </w:pPr>
    <w:rPr>
      <w:b/>
      <w:sz w:val="26"/>
    </w:rPr>
  </w:style>
  <w:style w:type="character" w:customStyle="1" w:styleId="SrodtytulpismaMFZnak">
    <w:name w:val="Srodtytul pisma MF Znak"/>
    <w:link w:val="SrodtytulpismaMF"/>
    <w:rsid w:val="001F4D78"/>
    <w:rPr>
      <w:rFonts w:ascii="Lato" w:hAnsi="Lato"/>
      <w:b/>
      <w:sz w:val="26"/>
    </w:rPr>
  </w:style>
  <w:style w:type="paragraph" w:styleId="Akapitzlist">
    <w:name w:val="List Paragraph"/>
    <w:link w:val="AkapitzlistZnak"/>
    <w:rsid w:val="001F4D78"/>
    <w:pPr>
      <w:spacing w:before="60" w:after="0" w:line="260" w:lineRule="exact"/>
      <w:ind w:left="720" w:hanging="360"/>
    </w:pPr>
    <w:rPr>
      <w:rFonts w:ascii="Lato" w:eastAsia="Lato" w:hAnsi="Lato"/>
      <w:lang w:eastAsia="pl-PL"/>
    </w:rPr>
  </w:style>
  <w:style w:type="paragraph" w:customStyle="1" w:styleId="MetrykapismaMF">
    <w:name w:val="Metryka pisma MF"/>
    <w:basedOn w:val="TekstpismaMF"/>
    <w:rsid w:val="001F4D78"/>
    <w:pPr>
      <w:tabs>
        <w:tab w:val="left" w:pos="1418"/>
      </w:tabs>
      <w:snapToGrid w:val="0"/>
      <w:spacing w:line="240" w:lineRule="exact"/>
      <w:ind w:left="1418" w:hanging="1418"/>
    </w:pPr>
  </w:style>
  <w:style w:type="character" w:customStyle="1" w:styleId="Nagwek1Znak">
    <w:name w:val="Nagłówek 1 Znak"/>
    <w:link w:val="Nagwek1"/>
    <w:uiPriority w:val="9"/>
    <w:rsid w:val="001F4D78"/>
    <w:rPr>
      <w:rFonts w:eastAsia="Times New Roman"/>
      <w:b/>
      <w:color w:val="000000"/>
      <w:sz w:val="28"/>
      <w:szCs w:val="32"/>
    </w:rPr>
  </w:style>
  <w:style w:type="character" w:customStyle="1" w:styleId="Nagwek2Znak">
    <w:name w:val="Nagłówek 2 Znak"/>
    <w:link w:val="Nagwek2"/>
    <w:uiPriority w:val="9"/>
    <w:rsid w:val="001F4D78"/>
    <w:rPr>
      <w:rFonts w:eastAsia="Times New Roman"/>
      <w:color w:val="2E74B5"/>
      <w:sz w:val="26"/>
      <w:szCs w:val="26"/>
    </w:rPr>
  </w:style>
  <w:style w:type="paragraph" w:styleId="Podpis">
    <w:name w:val="Signature"/>
    <w:basedOn w:val="Normalny"/>
    <w:link w:val="PodpisZnak"/>
    <w:uiPriority w:val="99"/>
    <w:unhideWhenUsed/>
    <w:rsid w:val="001F4D78"/>
    <w:pPr>
      <w:keepNext/>
      <w:keepLines/>
    </w:pPr>
  </w:style>
  <w:style w:type="character" w:customStyle="1" w:styleId="PodpisZnak">
    <w:name w:val="Podpis Znak"/>
    <w:link w:val="Podpis"/>
    <w:uiPriority w:val="99"/>
    <w:rsid w:val="001F4D78"/>
    <w:rPr>
      <w:sz w:val="24"/>
      <w:szCs w:val="24"/>
    </w:rPr>
  </w:style>
  <w:style w:type="character" w:styleId="Hipercze">
    <w:name w:val="Hyperlink"/>
    <w:uiPriority w:val="99"/>
    <w:unhideWhenUsed/>
    <w:rsid w:val="001F4D78"/>
    <w:rPr>
      <w:color w:val="0563C1"/>
      <w:u w:val="single"/>
    </w:rPr>
  </w:style>
  <w:style w:type="paragraph" w:customStyle="1" w:styleId="Nrstrony">
    <w:name w:val="Nr strony"/>
    <w:basedOn w:val="Stopka"/>
    <w:rsid w:val="001F4D78"/>
    <w:pPr>
      <w:ind w:right="-2"/>
      <w:jc w:val="right"/>
    </w:pPr>
    <w:rPr>
      <w:bCs/>
    </w:rPr>
  </w:style>
  <w:style w:type="paragraph" w:styleId="Tytu">
    <w:name w:val="Title"/>
    <w:aliases w:val="Tytuł pisma MF"/>
    <w:basedOn w:val="Normalny"/>
    <w:next w:val="Normalny"/>
    <w:link w:val="TytuZnak"/>
    <w:uiPriority w:val="10"/>
    <w:rsid w:val="001F4D78"/>
    <w:pPr>
      <w:spacing w:before="480" w:line="340" w:lineRule="exact"/>
    </w:pPr>
    <w:rPr>
      <w:rFonts w:eastAsia="Times New Roman"/>
      <w:b/>
      <w:spacing w:val="-10"/>
      <w:kern w:val="28"/>
      <w:sz w:val="30"/>
      <w:szCs w:val="56"/>
    </w:rPr>
  </w:style>
  <w:style w:type="character" w:customStyle="1" w:styleId="TytuZnak">
    <w:name w:val="Tytuł Znak"/>
    <w:aliases w:val="Tytuł pisma MF Znak"/>
    <w:link w:val="Tytu"/>
    <w:uiPriority w:val="10"/>
    <w:rsid w:val="001F4D78"/>
    <w:rPr>
      <w:rFonts w:eastAsia="Times New Roman"/>
      <w:b/>
      <w:spacing w:val="-10"/>
      <w:kern w:val="28"/>
      <w:sz w:val="30"/>
      <w:szCs w:val="56"/>
    </w:rPr>
  </w:style>
  <w:style w:type="paragraph" w:customStyle="1" w:styleId="ListanumeracjaMF">
    <w:name w:val="Lista numeracja MF"/>
    <w:link w:val="ListanumeracjaMFZnak"/>
    <w:qFormat/>
    <w:rsid w:val="001F4D78"/>
    <w:pPr>
      <w:numPr>
        <w:numId w:val="19"/>
      </w:numPr>
      <w:spacing w:before="60" w:after="0" w:line="260" w:lineRule="exact"/>
    </w:pPr>
    <w:rPr>
      <w:rFonts w:ascii="Lato" w:eastAsia="Lato" w:hAnsi="Lato"/>
      <w:lang w:eastAsia="pl-PL"/>
    </w:rPr>
  </w:style>
  <w:style w:type="character" w:styleId="UyteHipercze">
    <w:name w:val="FollowedHyperlink"/>
    <w:uiPriority w:val="99"/>
    <w:semiHidden/>
    <w:unhideWhenUsed/>
    <w:rsid w:val="001F4D78"/>
    <w:rPr>
      <w:color w:val="954F72"/>
      <w:u w:val="single"/>
    </w:rPr>
  </w:style>
  <w:style w:type="character" w:customStyle="1" w:styleId="AkapitzlistZnak">
    <w:name w:val="Akapit z listą Znak"/>
    <w:link w:val="Akapitzlist"/>
    <w:rsid w:val="001F4D78"/>
    <w:rPr>
      <w:rFonts w:ascii="Lato" w:eastAsia="Lato" w:hAnsi="Lato"/>
      <w:lang w:eastAsia="pl-PL"/>
    </w:rPr>
  </w:style>
  <w:style w:type="character" w:customStyle="1" w:styleId="ListanumeracjaMFZnak">
    <w:name w:val="Lista numeracja MF Znak"/>
    <w:basedOn w:val="AkapitzlistZnak"/>
    <w:link w:val="ListanumeracjaMF"/>
    <w:rsid w:val="001F4D78"/>
    <w:rPr>
      <w:rFonts w:ascii="Lato" w:eastAsia="Lato" w:hAnsi="Lato"/>
      <w:lang w:eastAsia="pl-PL"/>
    </w:rPr>
  </w:style>
  <w:style w:type="paragraph" w:customStyle="1" w:styleId="5mmprzerwy">
    <w:name w:val="5 mm przerwy"/>
    <w:basedOn w:val="Normalny"/>
    <w:link w:val="5mmprzerwyZnak"/>
    <w:rsid w:val="001F4D78"/>
    <w:pPr>
      <w:spacing w:line="280" w:lineRule="exact"/>
    </w:pPr>
    <w:rPr>
      <w:rFonts w:eastAsia="Times New Roman" w:cs="Lato"/>
      <w:sz w:val="28"/>
      <w:szCs w:val="28"/>
    </w:rPr>
  </w:style>
  <w:style w:type="character" w:customStyle="1" w:styleId="5mmprzerwyZnak">
    <w:name w:val="5 mm przerwy Znak"/>
    <w:link w:val="5mmprzerwy"/>
    <w:rsid w:val="001F4D78"/>
    <w:rPr>
      <w:rFonts w:eastAsia="Times New Roman" w:cs="Lato"/>
      <w:sz w:val="28"/>
      <w:szCs w:val="28"/>
    </w:rPr>
  </w:style>
  <w:style w:type="table" w:styleId="Tabela-Siatka">
    <w:name w:val="Table Grid"/>
    <w:basedOn w:val="Standardowy"/>
    <w:uiPriority w:val="39"/>
    <w:rsid w:val="001F4D78"/>
    <w:pPr>
      <w:spacing w:after="0" w:line="240" w:lineRule="auto"/>
    </w:pPr>
    <w:rPr>
      <w:rFonts w:ascii="Lato" w:eastAsia="Lato" w:hAnsi="Lato"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anopodpisemelektr">
    <w:name w:val="podpisano podpisem elektr/"/>
    <w:basedOn w:val="Podpis"/>
    <w:link w:val="podpisanopodpisemelektrZnak"/>
    <w:rsid w:val="001F4D78"/>
    <w:rPr>
      <w:color w:val="7F7F7F"/>
      <w:sz w:val="16"/>
      <w:szCs w:val="16"/>
    </w:rPr>
  </w:style>
  <w:style w:type="character" w:customStyle="1" w:styleId="podpisanopodpisemelektrZnak">
    <w:name w:val="podpisano podpisem elektr/ Znak"/>
    <w:link w:val="podpisanopodpisemelektr"/>
    <w:rsid w:val="001F4D78"/>
    <w:rPr>
      <w:color w:val="7F7F7F"/>
      <w:sz w:val="16"/>
      <w:szCs w:val="16"/>
    </w:rPr>
  </w:style>
  <w:style w:type="paragraph" w:styleId="Bibliografia">
    <w:name w:val="Bibliography"/>
    <w:basedOn w:val="Normalny"/>
    <w:next w:val="Normalny"/>
    <w:uiPriority w:val="37"/>
    <w:unhideWhenUsed/>
    <w:rsid w:val="001F4D78"/>
  </w:style>
  <w:style w:type="character" w:styleId="Tekstzastpczy">
    <w:name w:val="Placeholder Text"/>
    <w:uiPriority w:val="99"/>
    <w:semiHidden/>
    <w:rsid w:val="001F4D78"/>
    <w:rPr>
      <w:color w:val="808080"/>
    </w:rPr>
  </w:style>
  <w:style w:type="paragraph" w:styleId="Tekstprzypisukocowego">
    <w:name w:val="endnote text"/>
    <w:basedOn w:val="Normalny"/>
    <w:link w:val="TekstprzypisukocowegoZnak"/>
    <w:uiPriority w:val="99"/>
    <w:semiHidden/>
    <w:unhideWhenUsed/>
    <w:rsid w:val="001F4D78"/>
    <w:rPr>
      <w:szCs w:val="20"/>
    </w:rPr>
  </w:style>
  <w:style w:type="character" w:customStyle="1" w:styleId="TekstprzypisukocowegoZnak">
    <w:name w:val="Tekst przypisu końcowego Znak"/>
    <w:link w:val="Tekstprzypisukocowego"/>
    <w:uiPriority w:val="99"/>
    <w:semiHidden/>
    <w:rsid w:val="001F4D78"/>
    <w:rPr>
      <w:sz w:val="24"/>
      <w:szCs w:val="20"/>
    </w:rPr>
  </w:style>
  <w:style w:type="character" w:styleId="Odwoanieprzypisukocowego">
    <w:name w:val="endnote reference"/>
    <w:uiPriority w:val="99"/>
    <w:semiHidden/>
    <w:unhideWhenUsed/>
    <w:rsid w:val="001F4D78"/>
    <w:rPr>
      <w:vertAlign w:val="superscript"/>
    </w:rPr>
  </w:style>
  <w:style w:type="character" w:styleId="Pogrubienie">
    <w:name w:val="Strong"/>
    <w:aliases w:val="Pogrubienie tekstu pisma MF"/>
    <w:uiPriority w:val="22"/>
    <w:qFormat/>
    <w:rsid w:val="001F4D78"/>
    <w:rPr>
      <w:b/>
      <w:bCs/>
    </w:rPr>
  </w:style>
  <w:style w:type="paragraph" w:customStyle="1" w:styleId="CytatMF">
    <w:name w:val="Cytat MF"/>
    <w:basedOn w:val="TekstpismaMF"/>
    <w:qFormat/>
    <w:rsid w:val="001F4D78"/>
    <w:pPr>
      <w:pBdr>
        <w:left w:val="single" w:sz="8" w:space="8" w:color="000000"/>
      </w:pBdr>
      <w:spacing w:before="40" w:line="240" w:lineRule="exact"/>
      <w:ind w:left="510"/>
    </w:pPr>
    <w:rPr>
      <w:sz w:val="20"/>
    </w:rPr>
  </w:style>
  <w:style w:type="paragraph" w:customStyle="1" w:styleId="PodpisMF">
    <w:name w:val="Podpis MF"/>
    <w:basedOn w:val="TekstpismaMF"/>
    <w:rsid w:val="001F4D78"/>
    <w:pPr>
      <w:keepNext/>
      <w:keepLines/>
    </w:pPr>
  </w:style>
  <w:style w:type="paragraph" w:styleId="Nagwek">
    <w:name w:val="header"/>
    <w:basedOn w:val="Normalny"/>
    <w:link w:val="NagwekZnak"/>
    <w:uiPriority w:val="99"/>
    <w:unhideWhenUsed/>
    <w:rsid w:val="001F4D78"/>
    <w:pPr>
      <w:tabs>
        <w:tab w:val="center" w:pos="4536"/>
        <w:tab w:val="right" w:pos="9072"/>
      </w:tabs>
    </w:pPr>
  </w:style>
  <w:style w:type="character" w:customStyle="1" w:styleId="NagwekZnak">
    <w:name w:val="Nagłówek Znak"/>
    <w:link w:val="Nagwek"/>
    <w:uiPriority w:val="99"/>
    <w:rsid w:val="001F4D78"/>
    <w:rPr>
      <w:sz w:val="24"/>
      <w:szCs w:val="24"/>
    </w:rPr>
  </w:style>
  <w:style w:type="paragraph" w:customStyle="1" w:styleId="Metryka2MF">
    <w:name w:val="Metryka 2 MF"/>
    <w:basedOn w:val="TekstpismaMF"/>
    <w:rsid w:val="001F4D78"/>
    <w:pPr>
      <w:spacing w:before="720"/>
    </w:pPr>
  </w:style>
  <w:style w:type="paragraph" w:customStyle="1" w:styleId="Tekstzwyklybezodstepu">
    <w:name w:val="Tekst zwykly bez odstepu"/>
    <w:rsid w:val="001F4D78"/>
    <w:pPr>
      <w:spacing w:after="0" w:line="260" w:lineRule="exact"/>
    </w:pPr>
    <w:rPr>
      <w:rFonts w:ascii="Lato" w:hAnsi="Lato"/>
    </w:rPr>
  </w:style>
  <w:style w:type="paragraph" w:customStyle="1" w:styleId="Metryka3MF">
    <w:name w:val="Metryka 3 MF"/>
    <w:basedOn w:val="TekstpismaMF"/>
    <w:rsid w:val="001F4D78"/>
    <w:pPr>
      <w:spacing w:before="480"/>
    </w:pPr>
  </w:style>
  <w:style w:type="paragraph" w:customStyle="1" w:styleId="SzanownaPani">
    <w:name w:val="Szanowna Pani"/>
    <w:basedOn w:val="TekstpismaMF"/>
    <w:rsid w:val="001F4D78"/>
  </w:style>
  <w:style w:type="numbering" w:customStyle="1" w:styleId="Biecalista1">
    <w:name w:val="Bieżąca lista1"/>
    <w:uiPriority w:val="99"/>
    <w:rsid w:val="001F4D78"/>
    <w:pPr>
      <w:numPr>
        <w:numId w:val="17"/>
      </w:numPr>
    </w:pPr>
  </w:style>
  <w:style w:type="numbering" w:customStyle="1" w:styleId="Biecalista2">
    <w:name w:val="Bieżąca lista2"/>
    <w:uiPriority w:val="99"/>
    <w:rsid w:val="001F4D78"/>
    <w:pPr>
      <w:numPr>
        <w:numId w:val="18"/>
      </w:numPr>
    </w:pPr>
  </w:style>
  <w:style w:type="paragraph" w:customStyle="1" w:styleId="kreskadolna">
    <w:name w:val="kreska dolna"/>
    <w:basedOn w:val="Normalny"/>
    <w:rsid w:val="001F4D78"/>
    <w:pPr>
      <w:spacing w:before="160"/>
    </w:pPr>
    <w:rPr>
      <w:noProof/>
      <w:lang w:eastAsia="pl-PL"/>
    </w:rPr>
  </w:style>
  <w:style w:type="paragraph" w:customStyle="1" w:styleId="TekstpsmaMF">
    <w:name w:val="Tekst psma MF"/>
    <w:basedOn w:val="Normalny"/>
    <w:rsid w:val="001F4D78"/>
  </w:style>
  <w:style w:type="paragraph" w:customStyle="1" w:styleId="TytulpismaMF">
    <w:name w:val="Tytul pisma MF"/>
    <w:basedOn w:val="TekstpismaMF"/>
    <w:qFormat/>
    <w:rsid w:val="001F4D78"/>
    <w:pPr>
      <w:spacing w:before="480" w:line="340" w:lineRule="exact"/>
    </w:pPr>
    <w:rPr>
      <w:rFonts w:eastAsia="Times New Roman"/>
      <w:b/>
      <w:spacing w:val="-10"/>
      <w:kern w:val="28"/>
      <w:sz w:val="30"/>
      <w:szCs w:val="56"/>
    </w:rPr>
  </w:style>
  <w:style w:type="numbering" w:customStyle="1" w:styleId="Biecalista3">
    <w:name w:val="Bieżąca lista3"/>
    <w:uiPriority w:val="99"/>
    <w:rsid w:val="001F4D78"/>
    <w:pPr>
      <w:numPr>
        <w:numId w:val="21"/>
      </w:numPr>
    </w:pPr>
  </w:style>
  <w:style w:type="numbering" w:customStyle="1" w:styleId="Biecalista4">
    <w:name w:val="Bieżąca lista4"/>
    <w:uiPriority w:val="99"/>
    <w:rsid w:val="001F4D78"/>
    <w:pPr>
      <w:numPr>
        <w:numId w:val="22"/>
      </w:numPr>
    </w:pPr>
  </w:style>
  <w:style w:type="paragraph" w:customStyle="1" w:styleId="TekstpismaMF">
    <w:name w:val="Tekst pisma MF"/>
    <w:qFormat/>
    <w:rsid w:val="001F4D78"/>
    <w:pPr>
      <w:spacing w:before="240" w:after="0" w:line="260" w:lineRule="exact"/>
      <w:contextualSpacing/>
    </w:pPr>
    <w:rPr>
      <w:rFonts w:ascii="Lato" w:hAnsi="Lato"/>
    </w:rPr>
  </w:style>
  <w:style w:type="paragraph" w:customStyle="1" w:styleId="ListapunktoryMF">
    <w:name w:val="Lista punktory MF"/>
    <w:qFormat/>
    <w:rsid w:val="001F4D78"/>
    <w:pPr>
      <w:numPr>
        <w:numId w:val="20"/>
      </w:numPr>
      <w:adjustRightInd w:val="0"/>
      <w:snapToGrid w:val="0"/>
      <w:spacing w:before="60" w:after="0" w:line="260" w:lineRule="exact"/>
    </w:pPr>
    <w:rPr>
      <w:rFonts w:ascii="Lato" w:hAnsi="Lato"/>
    </w:rPr>
  </w:style>
  <w:style w:type="paragraph" w:customStyle="1" w:styleId="Tabelatytul">
    <w:name w:val="Tabela tytul"/>
    <w:basedOn w:val="SrodtytulpismaMF"/>
    <w:rsid w:val="001F4D78"/>
  </w:style>
  <w:style w:type="paragraph" w:customStyle="1" w:styleId="Tabelatekstzwykly">
    <w:name w:val="Tabela tekst zwykly"/>
    <w:qFormat/>
    <w:rsid w:val="001F4D78"/>
    <w:rPr>
      <w:rFonts w:ascii="Lato" w:eastAsia="Lato" w:hAnsi="Lato" w:cs="Times New Roman"/>
      <w:sz w:val="20"/>
      <w:szCs w:val="20"/>
      <w:lang w:eastAsia="pl-PL"/>
    </w:rPr>
  </w:style>
  <w:style w:type="paragraph" w:customStyle="1" w:styleId="TabelaMFlewybezodstepw">
    <w:name w:val="Tabela MF lewy bez odstepów"/>
    <w:basedOn w:val="Bezodstpw"/>
    <w:qFormat/>
    <w:rsid w:val="001F4D78"/>
  </w:style>
  <w:style w:type="paragraph" w:styleId="Bezodstpw">
    <w:name w:val="No Spacing"/>
    <w:uiPriority w:val="1"/>
    <w:rsid w:val="001F4D78"/>
    <w:pPr>
      <w:spacing w:after="0" w:line="240" w:lineRule="auto"/>
      <w:contextualSpacing/>
    </w:pPr>
    <w:rPr>
      <w:rFonts w:ascii="Lato" w:hAnsi="Lato"/>
    </w:rPr>
  </w:style>
  <w:style w:type="character" w:customStyle="1" w:styleId="a1arial11">
    <w:name w:val="a1 arial 11"/>
    <w:basedOn w:val="Domylnaczcionkaakapitu"/>
    <w:uiPriority w:val="1"/>
    <w:qFormat/>
    <w:rsid w:val="003005A9"/>
    <w:rPr>
      <w:rFonts w:ascii="Arial" w:hAnsi="Arial"/>
      <w:sz w:val="22"/>
    </w:rPr>
  </w:style>
  <w:style w:type="character" w:customStyle="1" w:styleId="a1arial111">
    <w:name w:val="a1 arial 111"/>
    <w:basedOn w:val="Domylnaczcionkaakapitu"/>
    <w:uiPriority w:val="1"/>
    <w:qFormat/>
    <w:rsid w:val="003005A9"/>
    <w:rPr>
      <w:rFonts w:ascii="Arial" w:hAnsi="Arial"/>
      <w:sz w:val="22"/>
    </w:rPr>
  </w:style>
  <w:style w:type="character" w:customStyle="1" w:styleId="Arial11">
    <w:name w:val="Arial 11"/>
    <w:basedOn w:val="Domylnaczcionkaakapitu"/>
    <w:uiPriority w:val="1"/>
    <w:qFormat/>
    <w:rsid w:val="003005A9"/>
    <w:rPr>
      <w:rFonts w:ascii="Arial" w:hAnsi="Arial"/>
      <w:sz w:val="22"/>
    </w:rPr>
  </w:style>
  <w:style w:type="character" w:customStyle="1" w:styleId="A10">
    <w:name w:val="A 10"/>
    <w:aliases w:val="5"/>
    <w:basedOn w:val="Domylnaczcionkaakapitu"/>
    <w:uiPriority w:val="1"/>
    <w:qFormat/>
    <w:rsid w:val="003005A9"/>
    <w:rPr>
      <w:rFonts w:ascii="Arial" w:hAnsi="Arial"/>
      <w:sz w:val="21"/>
    </w:rPr>
  </w:style>
  <w:style w:type="character" w:customStyle="1" w:styleId="A9">
    <w:name w:val="A9"/>
    <w:basedOn w:val="Domylnaczcionkaakapitu"/>
    <w:uiPriority w:val="1"/>
    <w:qFormat/>
    <w:rsid w:val="003005A9"/>
    <w:rPr>
      <w:rFonts w:ascii="Arial" w:hAnsi="Arial"/>
      <w:sz w:val="18"/>
    </w:rPr>
  </w:style>
  <w:style w:type="character" w:customStyle="1" w:styleId="A90">
    <w:name w:val="A 9"/>
    <w:aliases w:val="55"/>
    <w:basedOn w:val="Domylnaczcionkaakapitu"/>
    <w:uiPriority w:val="1"/>
    <w:qFormat/>
    <w:rsid w:val="003005A9"/>
    <w:rPr>
      <w:rFonts w:ascii="Arial" w:hAnsi="Arial"/>
      <w:sz w:val="19"/>
    </w:rPr>
  </w:style>
  <w:style w:type="character" w:customStyle="1" w:styleId="Arial10">
    <w:name w:val="Arial_10"/>
    <w:basedOn w:val="Domylnaczcionkaakapitu"/>
    <w:uiPriority w:val="1"/>
    <w:qFormat/>
    <w:rsid w:val="003005A9"/>
    <w:rPr>
      <w:rFonts w:ascii="Arial" w:hAnsi="Arial"/>
      <w:sz w:val="20"/>
    </w:rPr>
  </w:style>
  <w:style w:type="paragraph" w:customStyle="1" w:styleId="Default">
    <w:name w:val="Default"/>
    <w:rsid w:val="008232F8"/>
    <w:pPr>
      <w:autoSpaceDE w:val="0"/>
      <w:autoSpaceDN w:val="0"/>
      <w:adjustRightInd w:val="0"/>
      <w:spacing w:after="0" w:line="240" w:lineRule="auto"/>
    </w:pPr>
    <w:rPr>
      <w:rFonts w:ascii="Bona Nova" w:hAnsi="Bona Nova" w:cs="Bona Nova"/>
      <w:color w:val="000000"/>
      <w:sz w:val="24"/>
      <w:szCs w:val="24"/>
    </w:rPr>
  </w:style>
  <w:style w:type="paragraph" w:customStyle="1" w:styleId="Tekstprzypisudolnego1">
    <w:name w:val="Tekst przypisu dolnego1"/>
    <w:basedOn w:val="Normalny"/>
    <w:next w:val="Tekstprzypisudolnego"/>
    <w:link w:val="TekstprzypisudolnegoZnak"/>
    <w:uiPriority w:val="99"/>
    <w:semiHidden/>
    <w:unhideWhenUsed/>
    <w:rsid w:val="008232F8"/>
    <w:pPr>
      <w:spacing w:after="0" w:line="240" w:lineRule="auto"/>
    </w:pPr>
    <w:rPr>
      <w:sz w:val="20"/>
      <w:szCs w:val="20"/>
    </w:rPr>
  </w:style>
  <w:style w:type="character" w:customStyle="1" w:styleId="TekstprzypisudolnegoZnak">
    <w:name w:val="Tekst przypisu dolnego Znak"/>
    <w:basedOn w:val="Domylnaczcionkaakapitu"/>
    <w:link w:val="Tekstprzypisudolnego1"/>
    <w:uiPriority w:val="99"/>
    <w:semiHidden/>
    <w:rsid w:val="008232F8"/>
    <w:rPr>
      <w:sz w:val="20"/>
      <w:szCs w:val="20"/>
    </w:rPr>
  </w:style>
  <w:style w:type="character" w:styleId="Odwoanieprzypisudolnego">
    <w:name w:val="footnote reference"/>
    <w:basedOn w:val="Domylnaczcionkaakapitu"/>
    <w:uiPriority w:val="99"/>
    <w:semiHidden/>
    <w:unhideWhenUsed/>
    <w:rsid w:val="008232F8"/>
    <w:rPr>
      <w:vertAlign w:val="superscript"/>
    </w:rPr>
  </w:style>
  <w:style w:type="paragraph" w:styleId="Tekstprzypisudolnego">
    <w:name w:val="footnote text"/>
    <w:basedOn w:val="Normalny"/>
    <w:link w:val="TekstprzypisudolnegoZnak1"/>
    <w:uiPriority w:val="99"/>
    <w:semiHidden/>
    <w:unhideWhenUsed/>
    <w:rsid w:val="008232F8"/>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8232F8"/>
    <w:rPr>
      <w:sz w:val="20"/>
      <w:szCs w:val="20"/>
    </w:rPr>
  </w:style>
  <w:style w:type="character" w:styleId="Odwoaniedokomentarza">
    <w:name w:val="annotation reference"/>
    <w:basedOn w:val="Domylnaczcionkaakapitu"/>
    <w:uiPriority w:val="99"/>
    <w:semiHidden/>
    <w:unhideWhenUsed/>
    <w:rsid w:val="00DA1A22"/>
    <w:rPr>
      <w:sz w:val="16"/>
      <w:szCs w:val="16"/>
    </w:rPr>
  </w:style>
  <w:style w:type="paragraph" w:styleId="Tekstkomentarza">
    <w:name w:val="annotation text"/>
    <w:basedOn w:val="Normalny"/>
    <w:link w:val="TekstkomentarzaZnak"/>
    <w:uiPriority w:val="99"/>
    <w:semiHidden/>
    <w:unhideWhenUsed/>
    <w:rsid w:val="00DA1A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A1A22"/>
    <w:rPr>
      <w:sz w:val="20"/>
      <w:szCs w:val="20"/>
    </w:rPr>
  </w:style>
  <w:style w:type="paragraph" w:styleId="Tematkomentarza">
    <w:name w:val="annotation subject"/>
    <w:basedOn w:val="Tekstkomentarza"/>
    <w:next w:val="Tekstkomentarza"/>
    <w:link w:val="TematkomentarzaZnak"/>
    <w:uiPriority w:val="99"/>
    <w:semiHidden/>
    <w:unhideWhenUsed/>
    <w:rsid w:val="00DA1A22"/>
    <w:rPr>
      <w:b/>
      <w:bCs/>
    </w:rPr>
  </w:style>
  <w:style w:type="character" w:customStyle="1" w:styleId="TematkomentarzaZnak">
    <w:name w:val="Temat komentarza Znak"/>
    <w:basedOn w:val="TekstkomentarzaZnak"/>
    <w:link w:val="Tematkomentarza"/>
    <w:uiPriority w:val="99"/>
    <w:semiHidden/>
    <w:rsid w:val="00DA1A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kancelaria@mf.gov.pl" TargetMode="External"/><Relationship Id="rId1" Type="http://schemas.openxmlformats.org/officeDocument/2006/relationships/hyperlink" Target="file:///D:\!!!!PRACE\!!!Logosy\!!INowa%20identyfikacja\!!!Pisma\Podpisywane%20przez%20Ministra\gov.pl\finans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10475-2025-INIT/pl/pdf" TargetMode="External"/><Relationship Id="rId2" Type="http://schemas.openxmlformats.org/officeDocument/2006/relationships/hyperlink" Target="https://ec.europa.eu/eurostat/web/government-finance-statistics/methodology/guidance" TargetMode="External"/><Relationship Id="rId1" Type="http://schemas.openxmlformats.org/officeDocument/2006/relationships/hyperlink" Target="https://ec.europa.eu/eurostat/web/products-manuals-and-guidelines/-/ks-gq-19-0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iestandardowy 7">
      <a:majorFont>
        <a:latin typeface="Lato"/>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AA247-DCDE-40D6-89E9-376EE568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2955</Words>
  <Characters>17735</Characters>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Komunikat Ministerstwa Finansów w sprawie sposobu funkcjonowania klauzuli obronnej w SRW i regułach UE oraz procesu budżetowego w odniesieniu do stanowiska Rady Fiskalnej z dnia 15 kwietnia 2026 r.</dc:title>
  <dc:subject/>
  <dc:creator>Ministerstwo Finansów</dc:creator>
  <cp:keywords/>
  <dc:description/>
  <cp:lastPrinted>2022-09-08T13:34:00Z</cp:lastPrinted>
  <dcterms:created xsi:type="dcterms:W3CDTF">2026-04-21T12:37:00Z</dcterms:created>
  <dcterms:modified xsi:type="dcterms:W3CDTF">2026-04-21T14:00:00Z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UxC4dwLulzfINJ8nQH+xvX5LNGipWa4BRSZhPgxsCvne1xlUl5wQCBh4q6a2dCpYu9hVhVWyiYv0Oc0cqj/ACA==</vt:lpwstr>
  </property>
  <property fmtid="{D5CDD505-2E9C-101B-9397-08002B2CF9AE}" pid="4" name="MFClassificationDate">
    <vt:lpwstr>2022-12-30T11:11:11.4342049+01:00</vt:lpwstr>
  </property>
  <property fmtid="{D5CDD505-2E9C-101B-9397-08002B2CF9AE}" pid="5" name="MFClassifiedBySID">
    <vt:lpwstr>UxC4dwLulzfINJ8nQH+xvX5LNGipWa4BRSZhPgxsCvm42mrIC/DSDv0ggS+FjUN/2v1BBotkLlY5aAiEhoi6uc8T2ivudsVqnor9CgTgznLVXc8zMswHX3HGsO4SEira</vt:lpwstr>
  </property>
  <property fmtid="{D5CDD505-2E9C-101B-9397-08002B2CF9AE}" pid="6" name="MFGRNItemId">
    <vt:lpwstr>GRN-9a0f90ff-46e6-4005-80e0-b2d9f4227b10</vt:lpwstr>
  </property>
  <property fmtid="{D5CDD505-2E9C-101B-9397-08002B2CF9AE}" pid="7" name="MFHash">
    <vt:lpwstr>cMsPXglZ9zc5+KDho2VaZWAsOfdZ2YK9cSxuPxK2WjQ=</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