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DA61A" w14:textId="514AE265" w:rsidR="002B4C7C" w:rsidRPr="00DB0FD9" w:rsidRDefault="00DB0FD9" w:rsidP="00DB0FD9">
      <w:pPr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kern w:val="0"/>
          <w:sz w:val="52"/>
          <w:szCs w:val="52"/>
          <w14:ligatures w14:val="none"/>
        </w:rPr>
      </w:pPr>
      <w:r w:rsidRPr="00DB0FD9">
        <w:rPr>
          <w:rFonts w:ascii="Open Sans" w:eastAsia="Times New Roman" w:hAnsi="Open Sans" w:cs="Open Sans"/>
          <w:b/>
          <w:bCs/>
          <w:color w:val="1B1B1B"/>
          <w:kern w:val="0"/>
          <w:sz w:val="52"/>
          <w:szCs w:val="52"/>
          <w14:ligatures w14:val="none"/>
        </w:rPr>
        <w:t>Nawigacja po stronie internetowej</w:t>
      </w:r>
      <w:r w:rsidRPr="00410432">
        <w:rPr>
          <w:rFonts w:ascii="Open Sans" w:eastAsia="Times New Roman" w:hAnsi="Open Sans" w:cs="Open Sans"/>
          <w:b/>
          <w:bCs/>
          <w:color w:val="1B1B1B"/>
          <w:kern w:val="0"/>
          <w:sz w:val="52"/>
          <w:szCs w:val="52"/>
          <w14:ligatures w14:val="none"/>
        </w:rPr>
        <w:t xml:space="preserve"> </w:t>
      </w:r>
    </w:p>
    <w:p w14:paraId="66D20E05" w14:textId="77777777" w:rsidR="002B4C7C" w:rsidRPr="002B4C7C" w:rsidRDefault="002B4C7C" w:rsidP="002B4C7C">
      <w:pPr>
        <w:spacing w:before="408" w:after="144" w:line="240" w:lineRule="auto"/>
        <w:textAlignment w:val="baseline"/>
        <w:outlineLvl w:val="2"/>
        <w:rPr>
          <w:rFonts w:ascii="inherit" w:eastAsia="Times New Roman" w:hAnsi="inherit" w:cs="Open Sans"/>
          <w:color w:val="1B1B1B"/>
          <w:kern w:val="0"/>
          <w:sz w:val="28"/>
          <w:szCs w:val="28"/>
          <w14:ligatures w14:val="none"/>
        </w:rPr>
      </w:pPr>
      <w:r w:rsidRPr="002B4C7C">
        <w:rPr>
          <w:rFonts w:ascii="inherit" w:eastAsia="Times New Roman" w:hAnsi="inherit" w:cs="Open Sans"/>
          <w:color w:val="1B1B1B"/>
          <w:kern w:val="0"/>
          <w:sz w:val="36"/>
          <w:szCs w:val="36"/>
          <w14:ligatures w14:val="none"/>
        </w:rPr>
        <w:t>Na stronie internetowej można korzystać ze standardo</w:t>
      </w:r>
      <w:r w:rsidRPr="002B4C7C">
        <w:rPr>
          <w:rFonts w:ascii="inherit" w:eastAsia="Times New Roman" w:hAnsi="inherit" w:cs="Open Sans"/>
          <w:color w:val="1B1B1B"/>
          <w:kern w:val="0"/>
          <w:sz w:val="28"/>
          <w:szCs w:val="28"/>
          <w14:ligatures w14:val="none"/>
        </w:rPr>
        <w:t>wych skrótów klawiaturowych przeglądarki internetowej:</w:t>
      </w:r>
    </w:p>
    <w:p w14:paraId="2370BEF1" w14:textId="77777777" w:rsidR="002B4C7C" w:rsidRPr="002B4C7C" w:rsidRDefault="002B4C7C" w:rsidP="002B4C7C">
      <w:pPr>
        <w:spacing w:after="0" w:line="240" w:lineRule="auto"/>
        <w:textAlignment w:val="baseline"/>
        <w:rPr>
          <w:rFonts w:ascii="inherit" w:hAnsi="inherit" w:cs="Open Sans"/>
          <w:color w:val="1B1B1B"/>
          <w:kern w:val="0"/>
          <w14:ligatures w14:val="none"/>
        </w:rPr>
      </w:pPr>
      <w:r w:rsidRPr="002B4C7C">
        <w:rPr>
          <w:rFonts w:ascii="inherit" w:hAnsi="inherit" w:cs="Open Sans"/>
          <w:b/>
          <w:bCs/>
          <w:color w:val="1B1B1B"/>
          <w:kern w:val="0"/>
          <w14:ligatures w14:val="none"/>
        </w:rPr>
        <w:t>1)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 Użytkownicy korzystający wyłącznie z klawiatury mogą swobodnie poruszać się po serwisie za pomocą klawisza 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[</w:t>
      </w:r>
      <w:r w:rsidRPr="002B4C7C">
        <w:rPr>
          <w:rFonts w:ascii="inherit" w:hAnsi="inherit" w:cs="Open Sans"/>
          <w:b/>
          <w:bCs/>
          <w:color w:val="C0392B"/>
          <w:kern w:val="0"/>
          <w14:ligatures w14:val="none"/>
        </w:rPr>
        <w:t>TAB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]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. W całym serwisie włączony jest tzw. fokus, czyli domyślne oznaczenie aktywnego linka czy pola formularza. Fokus przemieszcza się po wszystkich widocznych elementach aktywnych strony w logicznej kolejności – klawiszem 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[</w:t>
      </w:r>
      <w:r w:rsidRPr="002B4C7C">
        <w:rPr>
          <w:rFonts w:ascii="inherit" w:hAnsi="inherit" w:cs="Open Sans"/>
          <w:b/>
          <w:bCs/>
          <w:color w:val="C0392B"/>
          <w:kern w:val="0"/>
          <w14:ligatures w14:val="none"/>
        </w:rPr>
        <w:t>TAB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]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. Aby się cofnąć do poprzedniego elementu należy skorzystać z kombinacji klawiszy 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[</w:t>
      </w:r>
      <w:r w:rsidRPr="002B4C7C">
        <w:rPr>
          <w:rFonts w:ascii="inherit" w:hAnsi="inherit" w:cs="Open Sans"/>
          <w:b/>
          <w:bCs/>
          <w:color w:val="C0392B"/>
          <w:kern w:val="0"/>
          <w14:ligatures w14:val="none"/>
        </w:rPr>
        <w:t>SHIFT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]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 + 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[</w:t>
      </w:r>
      <w:r w:rsidRPr="002B4C7C">
        <w:rPr>
          <w:rFonts w:ascii="inherit" w:hAnsi="inherit" w:cs="Open Sans"/>
          <w:b/>
          <w:bCs/>
          <w:color w:val="C0392B"/>
          <w:kern w:val="0"/>
          <w14:ligatures w14:val="none"/>
        </w:rPr>
        <w:t>TAB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]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;</w:t>
      </w:r>
    </w:p>
    <w:p w14:paraId="3759F752" w14:textId="77777777" w:rsidR="002B4C7C" w:rsidRPr="002B4C7C" w:rsidRDefault="002B4C7C" w:rsidP="002B4C7C">
      <w:pPr>
        <w:spacing w:after="0" w:line="240" w:lineRule="auto"/>
        <w:textAlignment w:val="baseline"/>
        <w:rPr>
          <w:rFonts w:ascii="inherit" w:hAnsi="inherit" w:cs="Open Sans"/>
          <w:color w:val="1B1B1B"/>
          <w:kern w:val="0"/>
          <w14:ligatures w14:val="none"/>
        </w:rPr>
      </w:pPr>
      <w:r w:rsidRPr="002B4C7C">
        <w:rPr>
          <w:rFonts w:ascii="inherit" w:hAnsi="inherit" w:cs="Open Sans"/>
          <w:b/>
          <w:bCs/>
          <w:color w:val="1B1B1B"/>
          <w:kern w:val="0"/>
          <w14:ligatures w14:val="none"/>
        </w:rPr>
        <w:t>2)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 Linki – także te prowadzące do serwisów zewnętrznych – otwierają się domyślnie w nowym oknie. W przypadku gdy strona otwiera się w tym samym oknie korzystając z kombinacji klawiszy 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[</w:t>
      </w:r>
      <w:r w:rsidRPr="002B4C7C">
        <w:rPr>
          <w:rFonts w:ascii="inherit" w:hAnsi="inherit" w:cs="Open Sans"/>
          <w:b/>
          <w:bCs/>
          <w:color w:val="C0392B"/>
          <w:kern w:val="0"/>
          <w14:ligatures w14:val="none"/>
        </w:rPr>
        <w:t>SHIFT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]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 + 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[</w:t>
      </w:r>
      <w:r w:rsidRPr="002B4C7C">
        <w:rPr>
          <w:rFonts w:ascii="inherit" w:hAnsi="inherit" w:cs="Open Sans"/>
          <w:b/>
          <w:bCs/>
          <w:color w:val="C0392B"/>
          <w:kern w:val="0"/>
          <w14:ligatures w14:val="none"/>
        </w:rPr>
        <w:t>ENTER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]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 możesz otworzyć dany link w nowym oknie;</w:t>
      </w:r>
    </w:p>
    <w:p w14:paraId="1171E17B" w14:textId="77777777" w:rsidR="002B4C7C" w:rsidRPr="002B4C7C" w:rsidRDefault="002B4C7C" w:rsidP="002B4C7C">
      <w:pPr>
        <w:spacing w:after="0" w:line="240" w:lineRule="auto"/>
        <w:textAlignment w:val="baseline"/>
        <w:rPr>
          <w:rFonts w:ascii="inherit" w:hAnsi="inherit" w:cs="Open Sans"/>
          <w:color w:val="1B1B1B"/>
          <w:kern w:val="0"/>
          <w14:ligatures w14:val="none"/>
        </w:rPr>
      </w:pPr>
      <w:r w:rsidRPr="002B4C7C">
        <w:rPr>
          <w:rFonts w:ascii="inherit" w:hAnsi="inherit" w:cs="Open Sans"/>
          <w:b/>
          <w:bCs/>
          <w:color w:val="1B1B1B"/>
          <w:kern w:val="0"/>
          <w14:ligatures w14:val="none"/>
        </w:rPr>
        <w:t>3) 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Zmiana rozmiaru strony – graficzne przeglądarki internetowe umożliwiają powiększenie lub pomniejszenie widoku wyświetlanej strony. Aby powiększyć widok na stronie internetowej należy wybrać odpowiednią kombinację klawiszy 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[</w:t>
      </w:r>
      <w:r w:rsidRPr="002B4C7C">
        <w:rPr>
          <w:rFonts w:ascii="inherit" w:hAnsi="inherit" w:cs="Open Sans"/>
          <w:b/>
          <w:bCs/>
          <w:color w:val="C0392B"/>
          <w:kern w:val="0"/>
          <w14:ligatures w14:val="none"/>
        </w:rPr>
        <w:t>CTRL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] 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+ 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[</w:t>
      </w:r>
      <w:r w:rsidRPr="002B4C7C">
        <w:rPr>
          <w:rFonts w:ascii="inherit" w:hAnsi="inherit" w:cs="Open Sans"/>
          <w:b/>
          <w:bCs/>
          <w:color w:val="C0392B"/>
          <w:kern w:val="0"/>
          <w14:ligatures w14:val="none"/>
        </w:rPr>
        <w:t>+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]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. Natomiast aby zmniejszyć widok należy wybrać odpowiednią kombinację klawiszy 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[</w:t>
      </w:r>
      <w:r w:rsidRPr="002B4C7C">
        <w:rPr>
          <w:rFonts w:ascii="inherit" w:hAnsi="inherit" w:cs="Open Sans"/>
          <w:b/>
          <w:bCs/>
          <w:color w:val="C0392B"/>
          <w:kern w:val="0"/>
          <w14:ligatures w14:val="none"/>
        </w:rPr>
        <w:t>CTRL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]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 + 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[</w:t>
      </w:r>
      <w:r w:rsidRPr="002B4C7C">
        <w:rPr>
          <w:rFonts w:ascii="inherit" w:hAnsi="inherit" w:cs="Open Sans"/>
          <w:b/>
          <w:bCs/>
          <w:color w:val="C0392B"/>
          <w:kern w:val="0"/>
          <w14:ligatures w14:val="none"/>
        </w:rPr>
        <w:t>–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]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. Aby powrócić do normalnego rozmiaru strony należy  wybrać odpowiednią kombinację klawiszy 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[</w:t>
      </w:r>
      <w:r w:rsidRPr="002B4C7C">
        <w:rPr>
          <w:rFonts w:ascii="inherit" w:hAnsi="inherit" w:cs="Open Sans"/>
          <w:b/>
          <w:bCs/>
          <w:color w:val="C0392B"/>
          <w:kern w:val="0"/>
          <w14:ligatures w14:val="none"/>
        </w:rPr>
        <w:t>CTRL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] 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+ 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[</w:t>
      </w:r>
      <w:r w:rsidRPr="002B4C7C">
        <w:rPr>
          <w:rFonts w:ascii="inherit" w:hAnsi="inherit" w:cs="Open Sans"/>
          <w:b/>
          <w:bCs/>
          <w:color w:val="C0392B"/>
          <w:kern w:val="0"/>
          <w14:ligatures w14:val="none"/>
        </w:rPr>
        <w:t>0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]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.</w:t>
      </w:r>
    </w:p>
    <w:p w14:paraId="58E3D33F" w14:textId="77777777" w:rsidR="002B4C7C" w:rsidRPr="002B4C7C" w:rsidRDefault="002B4C7C" w:rsidP="002B4C7C">
      <w:pPr>
        <w:spacing w:after="0" w:line="240" w:lineRule="auto"/>
        <w:textAlignment w:val="baseline"/>
        <w:rPr>
          <w:rFonts w:ascii="inherit" w:hAnsi="inherit" w:cs="Open Sans"/>
          <w:color w:val="1B1B1B"/>
          <w:kern w:val="0"/>
          <w14:ligatures w14:val="none"/>
        </w:rPr>
      </w:pPr>
      <w:r w:rsidRPr="002B4C7C">
        <w:rPr>
          <w:rFonts w:ascii="inherit" w:hAnsi="inherit" w:cs="Open Sans"/>
          <w:b/>
          <w:bCs/>
          <w:color w:val="1B1B1B"/>
          <w:kern w:val="0"/>
          <w14:ligatures w14:val="none"/>
        </w:rPr>
        <w:t>4) 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Przewinięcie strony -</w:t>
      </w:r>
      <w:r w:rsidRPr="002B4C7C">
        <w:rPr>
          <w:rFonts w:ascii="inherit" w:hAnsi="inherit" w:cs="Open Sans"/>
          <w:b/>
          <w:bCs/>
          <w:color w:val="1B1B1B"/>
          <w:kern w:val="0"/>
          <w14:ligatures w14:val="none"/>
        </w:rPr>
        <w:t> 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za pomocą klawisza 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[</w:t>
      </w:r>
      <w:proofErr w:type="spellStart"/>
      <w:r w:rsidRPr="002B4C7C">
        <w:rPr>
          <w:rFonts w:ascii="inherit" w:hAnsi="inherit" w:cs="Open Sans"/>
          <w:b/>
          <w:bCs/>
          <w:color w:val="C0392B"/>
          <w:kern w:val="0"/>
          <w14:ligatures w14:val="none"/>
        </w:rPr>
        <w:t>PgUp</w:t>
      </w:r>
      <w:proofErr w:type="spellEnd"/>
      <w:r w:rsidRPr="002B4C7C">
        <w:rPr>
          <w:rFonts w:ascii="inherit" w:hAnsi="inherit" w:cs="Open Sans"/>
          <w:color w:val="C0392B"/>
          <w:kern w:val="0"/>
          <w14:ligatures w14:val="none"/>
        </w:rPr>
        <w:t>]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 możesz przewinąć stronę o jeden ekran w górę, natomiast za pomocą klawisza 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[</w:t>
      </w:r>
      <w:proofErr w:type="spellStart"/>
      <w:r w:rsidRPr="002B4C7C">
        <w:rPr>
          <w:rFonts w:ascii="inherit" w:hAnsi="inherit" w:cs="Open Sans"/>
          <w:b/>
          <w:bCs/>
          <w:color w:val="C0392B"/>
          <w:kern w:val="0"/>
          <w14:ligatures w14:val="none"/>
        </w:rPr>
        <w:t>PgDn</w:t>
      </w:r>
      <w:proofErr w:type="spellEnd"/>
      <w:r w:rsidRPr="002B4C7C">
        <w:rPr>
          <w:rFonts w:ascii="inherit" w:hAnsi="inherit" w:cs="Open Sans"/>
          <w:color w:val="C0392B"/>
          <w:kern w:val="0"/>
          <w14:ligatures w14:val="none"/>
        </w:rPr>
        <w:t>]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 możesz przewinąć stronę o jeden ekran w dół. </w:t>
      </w:r>
    </w:p>
    <w:p w14:paraId="372BEE21" w14:textId="77777777" w:rsidR="002B4C7C" w:rsidRPr="002B4C7C" w:rsidRDefault="002B4C7C" w:rsidP="002B4C7C">
      <w:pPr>
        <w:spacing w:after="0" w:line="240" w:lineRule="auto"/>
        <w:textAlignment w:val="baseline"/>
        <w:rPr>
          <w:rFonts w:ascii="inherit" w:hAnsi="inherit" w:cs="Open Sans"/>
          <w:color w:val="1B1B1B"/>
          <w:kern w:val="0"/>
          <w14:ligatures w14:val="none"/>
        </w:rPr>
      </w:pPr>
      <w:r w:rsidRPr="002B4C7C">
        <w:rPr>
          <w:rFonts w:ascii="inherit" w:hAnsi="inherit" w:cs="Open Sans"/>
          <w:b/>
          <w:bCs/>
          <w:color w:val="1B1B1B"/>
          <w:kern w:val="0"/>
          <w14:ligatures w14:val="none"/>
        </w:rPr>
        <w:t>5)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 Góra i dół strony - po wybraniu klawisza 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[</w:t>
      </w:r>
      <w:r w:rsidRPr="002B4C7C">
        <w:rPr>
          <w:rFonts w:ascii="inherit" w:hAnsi="inherit" w:cs="Open Sans"/>
          <w:b/>
          <w:bCs/>
          <w:color w:val="C0392B"/>
          <w:kern w:val="0"/>
          <w14:ligatures w14:val="none"/>
        </w:rPr>
        <w:t>Home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]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 przeniesiesz się na początek strony, natomiast po wybraniu klawisza 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[</w:t>
      </w:r>
      <w:r w:rsidRPr="002B4C7C">
        <w:rPr>
          <w:rFonts w:ascii="inherit" w:hAnsi="inherit" w:cs="Open Sans"/>
          <w:b/>
          <w:bCs/>
          <w:color w:val="C0392B"/>
          <w:kern w:val="0"/>
          <w14:ligatures w14:val="none"/>
        </w:rPr>
        <w:t>End</w:t>
      </w:r>
      <w:r w:rsidRPr="002B4C7C">
        <w:rPr>
          <w:rFonts w:ascii="inherit" w:hAnsi="inherit" w:cs="Open Sans"/>
          <w:color w:val="C0392B"/>
          <w:kern w:val="0"/>
          <w14:ligatures w14:val="none"/>
        </w:rPr>
        <w:t>]</w:t>
      </w:r>
      <w:r w:rsidRPr="002B4C7C">
        <w:rPr>
          <w:rFonts w:ascii="inherit" w:hAnsi="inherit" w:cs="Open Sans"/>
          <w:color w:val="1B1B1B"/>
          <w:kern w:val="0"/>
          <w14:ligatures w14:val="none"/>
        </w:rPr>
        <w:t> przeniesiesz się na koniec strony.</w:t>
      </w:r>
    </w:p>
    <w:p w14:paraId="2B5B4474" w14:textId="77777777" w:rsidR="002B4C7C" w:rsidRPr="002B4C7C" w:rsidRDefault="002B4C7C" w:rsidP="002B4C7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9AD524" w14:textId="77777777" w:rsidR="00DB0FD9" w:rsidRPr="00410432" w:rsidRDefault="00DB0FD9"/>
    <w:sectPr w:rsidR="00DB0FD9" w:rsidRPr="00410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FD9"/>
    <w:rsid w:val="0023054D"/>
    <w:rsid w:val="002637D0"/>
    <w:rsid w:val="002B4C7C"/>
    <w:rsid w:val="003F4B7C"/>
    <w:rsid w:val="00410432"/>
    <w:rsid w:val="00734E5E"/>
    <w:rsid w:val="00C00030"/>
    <w:rsid w:val="00C32E40"/>
    <w:rsid w:val="00D71274"/>
    <w:rsid w:val="00DB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6FE9"/>
  <w15:chartTrackingRefBased/>
  <w15:docId w15:val="{C5723B42-10B3-CA4B-A03A-18342608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0F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0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0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0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0F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0F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0F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0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0F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0FD9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2B4C7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2B4C7C"/>
    <w:rPr>
      <w:b/>
      <w:bCs/>
    </w:rPr>
  </w:style>
  <w:style w:type="character" w:customStyle="1" w:styleId="apple-converted-space">
    <w:name w:val="apple-converted-space"/>
    <w:basedOn w:val="Domylnaczcionkaakapitu"/>
    <w:rsid w:val="002B4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kownacka</dc:creator>
  <cp:keywords/>
  <dc:description/>
  <cp:lastModifiedBy>KP PSP Namysłów</cp:lastModifiedBy>
  <cp:revision>2</cp:revision>
  <dcterms:created xsi:type="dcterms:W3CDTF">2026-06-09T11:26:00Z</dcterms:created>
  <dcterms:modified xsi:type="dcterms:W3CDTF">2026-06-09T11:26:00Z</dcterms:modified>
</cp:coreProperties>
</file>