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AFB25" w14:textId="77777777" w:rsidR="00BE5A22" w:rsidRPr="00342604" w:rsidRDefault="00BE5A22" w:rsidP="00BE5A22">
      <w:pPr>
        <w:pStyle w:val="Nagwek"/>
        <w:rPr>
          <w:sz w:val="22"/>
          <w:szCs w:val="22"/>
        </w:rPr>
      </w:pPr>
      <w:r w:rsidRPr="00342604">
        <w:rPr>
          <w:sz w:val="22"/>
          <w:szCs w:val="22"/>
        </w:rPr>
        <w:t xml:space="preserve">Załącznik B.71. </w:t>
      </w:r>
    </w:p>
    <w:p w14:paraId="6841AA75" w14:textId="77777777" w:rsidR="00BE5A22" w:rsidRPr="00342604" w:rsidRDefault="00BE5A22" w:rsidP="00BE5A22">
      <w:pPr>
        <w:pStyle w:val="Style2"/>
        <w:widowControl/>
        <w:spacing w:line="240" w:lineRule="auto"/>
        <w:rPr>
          <w:rStyle w:val="FontStyle19"/>
          <w:color w:val="auto"/>
          <w:sz w:val="22"/>
          <w:szCs w:val="22"/>
        </w:rPr>
      </w:pPr>
    </w:p>
    <w:p w14:paraId="3A35398C" w14:textId="77777777" w:rsidR="004226D9" w:rsidRPr="00342604" w:rsidRDefault="00C52F67" w:rsidP="00BE5A22">
      <w:pPr>
        <w:pStyle w:val="Style2"/>
        <w:widowControl/>
        <w:spacing w:after="240" w:line="240" w:lineRule="auto"/>
        <w:rPr>
          <w:rStyle w:val="FontStyle20"/>
          <w:color w:val="auto"/>
          <w:sz w:val="28"/>
          <w:szCs w:val="28"/>
        </w:rPr>
      </w:pPr>
      <w:r w:rsidRPr="00342604">
        <w:rPr>
          <w:rStyle w:val="FontStyle19"/>
          <w:color w:val="auto"/>
          <w:sz w:val="28"/>
          <w:szCs w:val="28"/>
        </w:rPr>
        <w:t>LECZENIE PRZEWLEKŁEGO WIRUSOWEGO ZAPALENIA WĄTROBY TYPU C TERAPIĄ BEZINTERFERONOWĄ (ICD-10 B 18</w:t>
      </w:r>
      <w:r w:rsidRPr="00342604">
        <w:rPr>
          <w:rStyle w:val="FontStyle20"/>
          <w:color w:val="auto"/>
          <w:sz w:val="28"/>
          <w:szCs w:val="28"/>
        </w:rPr>
        <w:t>.2)</w:t>
      </w:r>
    </w:p>
    <w:tbl>
      <w:tblPr>
        <w:tblW w:w="5000" w:type="pct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870"/>
        <w:gridCol w:w="4196"/>
        <w:gridCol w:w="5316"/>
      </w:tblGrid>
      <w:tr w:rsidR="00342604" w:rsidRPr="00342604" w14:paraId="02E21D08" w14:textId="77777777" w:rsidTr="00B25145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77777777" w:rsidR="004226D9" w:rsidRPr="00342604" w:rsidRDefault="004226D9" w:rsidP="006C59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342604" w:rsidRPr="00342604" w14:paraId="1DA5F8DA" w14:textId="77777777" w:rsidTr="00B25145">
        <w:trPr>
          <w:trHeight w:val="567"/>
        </w:trPr>
        <w:tc>
          <w:tcPr>
            <w:tcW w:w="1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342604" w:rsidRDefault="004226D9" w:rsidP="006C59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36348D4D" w:rsidR="004226D9" w:rsidRPr="00342604" w:rsidRDefault="004226D9" w:rsidP="006C59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 DAWKOWANIA LEKÓW W</w:t>
            </w:r>
            <w:r w:rsidR="006C59F3">
              <w:rPr>
                <w:b/>
                <w:bCs/>
                <w:sz w:val="20"/>
                <w:szCs w:val="20"/>
              </w:rPr>
              <w:t> 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2182B8D0" w:rsidR="004226D9" w:rsidRPr="00342604" w:rsidRDefault="004226D9" w:rsidP="006C59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 DIAGNOSTYCZNE WYKONYWANE W</w:t>
            </w:r>
            <w:r w:rsidR="006C59F3">
              <w:rPr>
                <w:b/>
                <w:bCs/>
                <w:sz w:val="20"/>
                <w:szCs w:val="20"/>
              </w:rPr>
              <w:t> </w:t>
            </w:r>
            <w:r w:rsidRPr="00342604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4226D9" w:rsidRPr="00BB731D" w14:paraId="564A6951" w14:textId="77777777" w:rsidTr="00B25145">
        <w:tc>
          <w:tcPr>
            <w:tcW w:w="19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2D27F9B6" w:rsidR="004226D9" w:rsidRPr="00BB731D" w:rsidRDefault="004226D9" w:rsidP="006C59F3">
            <w:pPr>
              <w:pStyle w:val="Akapitzlist"/>
              <w:numPr>
                <w:ilvl w:val="0"/>
                <w:numId w:val="44"/>
              </w:numPr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="000F750B" w:rsidRPr="00BB731D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62BD347B" w14:textId="7CE16A66" w:rsidR="007F6CD4" w:rsidRPr="00BB731D" w:rsidRDefault="0001712C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BB731D">
              <w:rPr>
                <w:rFonts w:ascii="Times New Roman" w:hAnsi="Times New Roman"/>
                <w:sz w:val="20"/>
                <w:szCs w:val="20"/>
              </w:rPr>
              <w:t xml:space="preserve">iek ≥ 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>18 r. ż.</w:t>
            </w:r>
            <w:r w:rsidR="0065442C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1AF4F552" w:rsidR="007F6CD4" w:rsidRPr="00BB731D" w:rsidRDefault="0001712C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r</w:t>
            </w:r>
            <w:r w:rsidR="007F6CD4" w:rsidRPr="00BB731D">
              <w:rPr>
                <w:rFonts w:ascii="Times New Roman" w:hAnsi="Times New Roman"/>
                <w:sz w:val="20"/>
                <w:szCs w:val="20"/>
              </w:rPr>
              <w:t xml:space="preserve">ozpoznanie 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przewlekłe</w:t>
            </w:r>
            <w:r w:rsidR="007F6CD4" w:rsidRPr="00BB731D">
              <w:rPr>
                <w:rFonts w:ascii="Times New Roman" w:hAnsi="Times New Roman"/>
                <w:sz w:val="20"/>
                <w:szCs w:val="20"/>
              </w:rPr>
              <w:t>go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wirusowe</w:t>
            </w:r>
            <w:r w:rsidR="007F6CD4" w:rsidRPr="00BB731D">
              <w:rPr>
                <w:rFonts w:ascii="Times New Roman" w:hAnsi="Times New Roman"/>
                <w:sz w:val="20"/>
                <w:szCs w:val="20"/>
              </w:rPr>
              <w:t>go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zapaleni</w:t>
            </w:r>
            <w:r w:rsidR="007F6CD4" w:rsidRPr="00BB731D">
              <w:rPr>
                <w:rFonts w:ascii="Times New Roman" w:hAnsi="Times New Roman"/>
                <w:sz w:val="20"/>
                <w:szCs w:val="20"/>
              </w:rPr>
              <w:t>a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wątroby typu C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77777777" w:rsidR="007F6CD4" w:rsidRPr="00BB731D" w:rsidRDefault="00D25BF6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obecność HCV RN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A w surowicy krwi lub w tkance</w:t>
            </w:r>
            <w:r w:rsidR="00717EF9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18452B04" w14:textId="77777777" w:rsidR="007F6CD4" w:rsidRPr="00BB731D" w:rsidRDefault="00B541CE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obecność przeciwciał anty-HCV;</w:t>
            </w:r>
          </w:p>
          <w:p w14:paraId="5EA2853A" w14:textId="77777777" w:rsidR="007F6CD4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stwierdzenie włóknienia wątroby określonego z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wykorzystaniem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elastografii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wątroby wykonanej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techniką umożliwiającą pomiar ilościowy w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lub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określonego z wykorzystaniem biopsji wątroby. W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przypadku podejrzenia współistnienia chorób wątroby o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innej etiologii, niezgodności wyniku badania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nieinwazyjnego ze stanem klinicznym chorego lub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rozbieżności pomiędzy wynikami różnych badań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nieinwazyjnych zalecane jest wykonanie biopsji wątroby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(o ile nie jest ona </w:t>
            </w:r>
            <w:r w:rsidR="002A7E67" w:rsidRPr="00BB731D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), której wynik ma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wówczas znaczenie rozstrzygające;</w:t>
            </w:r>
          </w:p>
          <w:p w14:paraId="5914E32E" w14:textId="2D1D7872" w:rsidR="000F750B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potwierdzona obecność zakażenia genotypem:</w:t>
            </w:r>
          </w:p>
          <w:p w14:paraId="1BF1D7B4" w14:textId="6118B72A" w:rsidR="000F750B" w:rsidRPr="00BB731D" w:rsidRDefault="004226D9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1 HCV - w przypadku kwalifikacji do terapii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skojarzeniu 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  <w:r w:rsidR="00541ED6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(i ewentualnie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)</w:t>
            </w:r>
            <w:r w:rsidR="00046335" w:rsidRPr="00BB731D">
              <w:rPr>
                <w:rFonts w:ascii="Times New Roman" w:hAnsi="Times New Roman"/>
                <w:sz w:val="20"/>
                <w:szCs w:val="20"/>
              </w:rPr>
              <w:t>,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29141" w14:textId="25E679DF" w:rsidR="00C04A5E" w:rsidRPr="00BB731D" w:rsidRDefault="00A94DF9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1 lub 4 HCV - w przypadku kwalif</w:t>
            </w:r>
            <w:r w:rsidR="00541ED6" w:rsidRPr="00BB731D">
              <w:rPr>
                <w:rFonts w:ascii="Times New Roman" w:hAnsi="Times New Roman"/>
                <w:sz w:val="20"/>
                <w:szCs w:val="20"/>
              </w:rPr>
              <w:t xml:space="preserve">ikacji do terapii </w:t>
            </w:r>
            <w:proofErr w:type="spellStart"/>
            <w:r w:rsidR="00541ED6" w:rsidRPr="00BB731D">
              <w:rPr>
                <w:rFonts w:ascii="Times New Roman" w:hAnsi="Times New Roman"/>
                <w:sz w:val="20"/>
                <w:szCs w:val="20"/>
              </w:rPr>
              <w:t>grazoprewirem</w:t>
            </w:r>
            <w:proofErr w:type="spellEnd"/>
            <w:r w:rsidR="00541ED6" w:rsidRPr="00BB731D">
              <w:rPr>
                <w:rFonts w:ascii="Times New Roman" w:hAnsi="Times New Roman"/>
                <w:sz w:val="20"/>
                <w:szCs w:val="20"/>
              </w:rPr>
              <w:t xml:space="preserve"> w skojarzeniu 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elbaswirem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(i ewentualnie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="00541ED6" w:rsidRPr="00BB731D">
              <w:rPr>
                <w:rFonts w:ascii="Times New Roman" w:hAnsi="Times New Roman"/>
                <w:sz w:val="20"/>
                <w:szCs w:val="20"/>
              </w:rPr>
              <w:t>)</w:t>
            </w:r>
            <w:r w:rsidR="005525E9" w:rsidRPr="00BB73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04A5E" w:rsidRPr="00BB731D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783D68A" w14:textId="2E420404" w:rsidR="006E40EB" w:rsidRPr="00BB731D" w:rsidRDefault="00541ED6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1,</w:t>
            </w:r>
            <w:r w:rsidR="00C04A5E" w:rsidRPr="00BB731D">
              <w:rPr>
                <w:rFonts w:ascii="Times New Roman" w:hAnsi="Times New Roman"/>
                <w:sz w:val="20"/>
                <w:szCs w:val="20"/>
              </w:rPr>
              <w:t>2,3,4,5,6 HCV- w</w:t>
            </w:r>
            <w:r w:rsidR="00927FEA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BB731D">
              <w:rPr>
                <w:rFonts w:ascii="Times New Roman" w:hAnsi="Times New Roman"/>
                <w:sz w:val="20"/>
                <w:szCs w:val="20"/>
              </w:rPr>
              <w:t xml:space="preserve">przypadku kwalifikacji do terapii </w:t>
            </w:r>
            <w:proofErr w:type="spellStart"/>
            <w:r w:rsidR="00C04A5E" w:rsidRPr="00BB731D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C04A5E" w:rsidRPr="00BB731D">
              <w:rPr>
                <w:rFonts w:ascii="Times New Roman" w:hAnsi="Times New Roman"/>
                <w:sz w:val="20"/>
                <w:szCs w:val="20"/>
              </w:rPr>
              <w:t xml:space="preserve"> w skojarzeniu z </w:t>
            </w:r>
            <w:proofErr w:type="spellStart"/>
            <w:r w:rsidR="00C04A5E" w:rsidRPr="00BB731D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4A5E" w:rsidRPr="00BB731D">
              <w:rPr>
                <w:rFonts w:ascii="Times New Roman" w:hAnsi="Times New Roman"/>
                <w:sz w:val="20"/>
                <w:szCs w:val="20"/>
              </w:rPr>
              <w:t xml:space="preserve"> (i ewentualnie </w:t>
            </w:r>
            <w:proofErr w:type="spellStart"/>
            <w:r w:rsidR="00C04A5E" w:rsidRPr="00BB731D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="00C04A5E" w:rsidRPr="00BB731D">
              <w:rPr>
                <w:rFonts w:ascii="Times New Roman" w:hAnsi="Times New Roman"/>
                <w:sz w:val="20"/>
                <w:szCs w:val="20"/>
              </w:rPr>
              <w:t>)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6E40EB" w:rsidRPr="00BB731D">
              <w:rPr>
                <w:rFonts w:ascii="Times New Roman" w:hAnsi="Times New Roman"/>
                <w:sz w:val="20"/>
                <w:szCs w:val="20"/>
              </w:rPr>
              <w:t>glekaprewirem</w:t>
            </w:r>
            <w:proofErr w:type="spellEnd"/>
            <w:r w:rsidR="006E40EB" w:rsidRPr="00BB731D">
              <w:rPr>
                <w:rFonts w:ascii="Times New Roman" w:hAnsi="Times New Roman"/>
                <w:sz w:val="20"/>
                <w:szCs w:val="20"/>
              </w:rPr>
              <w:t xml:space="preserve"> w skojarzeniu z </w:t>
            </w:r>
            <w:proofErr w:type="spellStart"/>
            <w:r w:rsidR="006E40EB" w:rsidRPr="00BB731D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EB47D0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4294D1" w14:textId="65A0ACE2" w:rsidR="00F56F21" w:rsidRDefault="00F56F21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przypadku niemożności oznaczenia genotypu z powodu niskiej wiremii należy zastosować lek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pangenotypowy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glekaprewir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pibrentaswir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sofosbuwir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welpataswir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01538A9" w14:textId="77777777" w:rsidR="006C59F3" w:rsidRDefault="006C59F3" w:rsidP="006C59F3">
            <w:pPr>
              <w:pStyle w:val="Akapitzlist"/>
              <w:spacing w:after="60" w:line="240" w:lineRule="auto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62495B" w14:textId="292B8E14" w:rsidR="002A7E67" w:rsidRPr="00BB731D" w:rsidRDefault="004226D9" w:rsidP="00BB731D">
            <w:pPr>
              <w:pStyle w:val="Akapitzlist"/>
              <w:numPr>
                <w:ilvl w:val="0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Kryteria uniemożliwiające kwalifikację do programu</w:t>
            </w:r>
          </w:p>
          <w:p w14:paraId="09A4F936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59F3">
              <w:rPr>
                <w:rFonts w:ascii="Times New Roman" w:hAnsi="Times New Roman"/>
                <w:sz w:val="20"/>
                <w:szCs w:val="20"/>
              </w:rPr>
              <w:t>nadw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rażliwość na substancję czynną lub substancję pomocniczą;</w:t>
            </w:r>
          </w:p>
          <w:p w14:paraId="18F9353B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niestwierdzenie HCV RNA w surowicy </w:t>
            </w:r>
            <w:r w:rsidR="002A7E67" w:rsidRPr="00BB731D">
              <w:rPr>
                <w:rFonts w:ascii="Times New Roman" w:hAnsi="Times New Roman"/>
                <w:sz w:val="20"/>
                <w:szCs w:val="20"/>
              </w:rPr>
              <w:t>l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ub w tkance wątrobowej przy obecności przeciwciał anty-HCV;</w:t>
            </w:r>
          </w:p>
          <w:p w14:paraId="2B7BDD25" w14:textId="412976C3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ciężka niewydolność wątroby (stopień C wg klasyfikacji Child-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Pugh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) - nie dotyczy </w:t>
            </w:r>
            <w:r w:rsidR="002A7E67" w:rsidRPr="00BB731D">
              <w:rPr>
                <w:rFonts w:ascii="Times New Roman" w:hAnsi="Times New Roman"/>
                <w:sz w:val="20"/>
                <w:szCs w:val="20"/>
              </w:rPr>
              <w:t xml:space="preserve">kwalifikowania do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terapii z użyciem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skojarzeniu 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  <w:r w:rsidR="002A7E67" w:rsidRPr="00BB731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907303" w:rsidRPr="00BB731D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907303" w:rsidRPr="00BB731D">
              <w:rPr>
                <w:rFonts w:ascii="Times New Roman" w:hAnsi="Times New Roman"/>
                <w:sz w:val="20"/>
                <w:szCs w:val="20"/>
              </w:rPr>
              <w:t xml:space="preserve"> oraz ewentualnie z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proofErr w:type="spellStart"/>
            <w:r w:rsidR="002A7E67" w:rsidRPr="00BB731D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7F2FBD5C" w:rsidR="00B541CE" w:rsidRPr="00BB731D" w:rsidRDefault="00B541CE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konieczność przyjmowania leków mogących obniżać aktywność osoczową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ledipaswiru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albo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964651" w:rsidRPr="00BB731D">
              <w:rPr>
                <w:rFonts w:ascii="Times New Roman" w:hAnsi="Times New Roman"/>
                <w:sz w:val="20"/>
                <w:szCs w:val="20"/>
              </w:rPr>
              <w:t>, w szczególności silnych induktorów glikoproteiny P w jelitach (o ile dotyczy);</w:t>
            </w:r>
          </w:p>
          <w:p w14:paraId="22ACCEAB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czynne uzależnienie od alkoholu lub środków odurzających;</w:t>
            </w:r>
          </w:p>
          <w:p w14:paraId="5A814DC9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ciąża lub karmienie piersią;</w:t>
            </w:r>
          </w:p>
          <w:p w14:paraId="2D9205CA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inne przeciwwskazania do stosowania określone w</w:t>
            </w:r>
            <w:r w:rsidR="002A7E67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odpowiednich charakterystykach:</w:t>
            </w:r>
          </w:p>
          <w:p w14:paraId="549A2AD5" w14:textId="0D9FFFF2" w:rsidR="00046335" w:rsidRPr="00BB731D" w:rsidRDefault="004226D9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046335" w:rsidRPr="00BB731D">
              <w:rPr>
                <w:rFonts w:ascii="Times New Roman" w:hAnsi="Times New Roman"/>
                <w:sz w:val="20"/>
                <w:szCs w:val="20"/>
              </w:rPr>
              <w:t>wiru</w:t>
            </w:r>
            <w:proofErr w:type="spellEnd"/>
            <w:r w:rsidR="00C347DC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BB731D">
              <w:rPr>
                <w:rFonts w:ascii="Times New Roman" w:hAnsi="Times New Roman"/>
                <w:sz w:val="20"/>
                <w:szCs w:val="20"/>
              </w:rPr>
              <w:t xml:space="preserve">z </w:t>
            </w:r>
            <w:proofErr w:type="spellStart"/>
            <w:r w:rsidR="00046335" w:rsidRPr="00BB731D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BB731D">
              <w:rPr>
                <w:rFonts w:ascii="Times New Roman" w:hAnsi="Times New Roman"/>
                <w:sz w:val="20"/>
                <w:szCs w:val="20"/>
              </w:rPr>
              <w:t>em</w:t>
            </w:r>
            <w:proofErr w:type="spellEnd"/>
            <w:r w:rsidR="00907303" w:rsidRPr="00BB731D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proofErr w:type="spellStart"/>
            <w:r w:rsidR="00907303" w:rsidRPr="00BB731D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907303" w:rsidRPr="00BB731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="00907303" w:rsidRPr="00BB731D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1C243F" w:rsidRPr="00BB731D"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="00907303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BB731D">
              <w:rPr>
                <w:rFonts w:ascii="Times New Roman" w:hAnsi="Times New Roman"/>
                <w:sz w:val="20"/>
                <w:szCs w:val="20"/>
              </w:rPr>
              <w:t>rybawiryny</w:t>
            </w:r>
            <w:proofErr w:type="spellEnd"/>
            <w:r w:rsidR="00907303" w:rsidRPr="00BB731D">
              <w:rPr>
                <w:rFonts w:ascii="Times New Roman" w:hAnsi="Times New Roman"/>
                <w:sz w:val="20"/>
                <w:szCs w:val="20"/>
              </w:rPr>
              <w:t xml:space="preserve"> (o ile dotyczy)</w:t>
            </w:r>
            <w:r w:rsidR="000F2BDF" w:rsidRPr="00BB731D">
              <w:rPr>
                <w:rFonts w:ascii="Times New Roman" w:hAnsi="Times New Roman"/>
                <w:sz w:val="20"/>
                <w:szCs w:val="20"/>
              </w:rPr>
              <w:t>, albo</w:t>
            </w:r>
          </w:p>
          <w:p w14:paraId="396A0F76" w14:textId="5DA7EE87" w:rsidR="000F2BDF" w:rsidRPr="00BB731D" w:rsidRDefault="000F2BDF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grazoprewiru</w:t>
            </w:r>
            <w:proofErr w:type="spellEnd"/>
            <w:r w:rsidR="0065442C" w:rsidRPr="00BB731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elbaswir</w:t>
            </w:r>
            <w:r w:rsidR="0065442C" w:rsidRPr="00BB731D">
              <w:rPr>
                <w:rFonts w:ascii="Times New Roman" w:hAnsi="Times New Roman"/>
                <w:sz w:val="20"/>
                <w:szCs w:val="20"/>
              </w:rPr>
              <w:t>em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rybawiryny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(o ile dotyczy)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,</w:t>
            </w:r>
            <w:r w:rsidR="004E2D35" w:rsidRPr="00BB731D">
              <w:rPr>
                <w:rFonts w:ascii="Times New Roman" w:hAnsi="Times New Roman"/>
                <w:sz w:val="20"/>
                <w:szCs w:val="20"/>
              </w:rPr>
              <w:t xml:space="preserve"> albo</w:t>
            </w:r>
          </w:p>
          <w:p w14:paraId="34DFF2CA" w14:textId="78228980" w:rsidR="004226D9" w:rsidRDefault="006E40EB" w:rsidP="006C59F3">
            <w:pPr>
              <w:pStyle w:val="Akapitzlist"/>
              <w:numPr>
                <w:ilvl w:val="3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glekaprewiru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A162C8" w:rsidRPr="00BB731D">
              <w:rPr>
                <w:rFonts w:ascii="Times New Roman" w:hAnsi="Times New Roman"/>
                <w:sz w:val="20"/>
                <w:szCs w:val="20"/>
              </w:rPr>
              <w:t xml:space="preserve"> (o ile dotyczy)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01FA38" w14:textId="77777777" w:rsidR="006C59F3" w:rsidRPr="00BB731D" w:rsidRDefault="006C59F3" w:rsidP="006C59F3">
            <w:pPr>
              <w:pStyle w:val="Akapitzlist"/>
              <w:spacing w:after="60" w:line="240" w:lineRule="auto"/>
              <w:ind w:left="56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46E926F6" w:rsidR="004226D9" w:rsidRPr="00BB731D" w:rsidRDefault="004226D9" w:rsidP="00BB731D">
            <w:pPr>
              <w:pStyle w:val="Akapitzlist"/>
              <w:numPr>
                <w:ilvl w:val="0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48D595FF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ujawnienie okoliczności określonych w ust. 2 w trakcie</w:t>
            </w:r>
            <w:r w:rsidR="006768D6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77777777" w:rsidR="004226D9" w:rsidRPr="00BB731D" w:rsidRDefault="004226D9" w:rsidP="006C59F3">
            <w:pPr>
              <w:pStyle w:val="Akapitzlist"/>
              <w:numPr>
                <w:ilvl w:val="2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działania niepożądane stosowanych w programie leków</w:t>
            </w:r>
            <w:r w:rsidR="006768D6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uzasadniające przerwanie leczenia:</w:t>
            </w:r>
          </w:p>
          <w:p w14:paraId="1DD2838F" w14:textId="77777777" w:rsidR="004226D9" w:rsidRPr="00BB731D" w:rsidRDefault="004226D9" w:rsidP="006C59F3">
            <w:pPr>
              <w:pStyle w:val="Akapitzlist"/>
              <w:numPr>
                <w:ilvl w:val="4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w opinii lekarza prowadzącego terapię lub</w:t>
            </w:r>
          </w:p>
          <w:p w14:paraId="000D9E9C" w14:textId="77777777" w:rsidR="008721CB" w:rsidRDefault="004226D9" w:rsidP="006C59F3">
            <w:pPr>
              <w:pStyle w:val="Akapitzlist"/>
              <w:numPr>
                <w:ilvl w:val="4"/>
                <w:numId w:val="4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zgodnie z charakterystykami odpowiednich</w:t>
            </w:r>
            <w:r w:rsidR="00CD7C22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produktów leczn</w:t>
            </w:r>
            <w:r w:rsidR="006768D6" w:rsidRPr="00BB731D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 w:rsidRPr="00BB73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6630FAAD" w:rsidR="006C59F3" w:rsidRPr="00BB731D" w:rsidRDefault="006C59F3" w:rsidP="006C59F3">
            <w:pPr>
              <w:pStyle w:val="Akapitzlist"/>
              <w:spacing w:after="60" w:line="240" w:lineRule="auto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A790" w14:textId="6F9A4AF1" w:rsidR="00BB49F8" w:rsidRDefault="00FB07B8" w:rsidP="006C59F3">
            <w:pPr>
              <w:pStyle w:val="Akapitzlist"/>
              <w:numPr>
                <w:ilvl w:val="0"/>
                <w:numId w:val="45"/>
              </w:numPr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ofosbuwir</w:t>
            </w:r>
            <w:proofErr w:type="spellEnd"/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4226D9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ledipaswir</w:t>
            </w:r>
            <w:proofErr w:type="spellEnd"/>
            <w:r w:rsidR="005A3B5B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 </w:t>
            </w:r>
            <w:proofErr w:type="spellStart"/>
            <w:r w:rsidR="005A3B5B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proofErr w:type="spellEnd"/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A3B5B"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welpataswir</w:t>
            </w:r>
            <w:proofErr w:type="spellEnd"/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w ramach</w:t>
            </w:r>
            <w:r w:rsidR="006768D6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programu </w:t>
            </w:r>
            <w:r w:rsidR="00046335" w:rsidRPr="00BB731D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się</w:t>
            </w:r>
            <w:r w:rsidR="006768D6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>zgodnie z odpowiednimi</w:t>
            </w:r>
            <w:r w:rsidR="005F7AF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aktualnymi na dzień wydania decyzji</w:t>
            </w:r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Charakterystykami</w:t>
            </w:r>
            <w:r w:rsidR="006768D6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bCs/>
                <w:sz w:val="20"/>
                <w:szCs w:val="20"/>
              </w:rPr>
              <w:t>Produktów Leczniczych</w:t>
            </w:r>
            <w:r w:rsidR="0065442C" w:rsidRPr="00BB731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73C4A45F" w14:textId="6FF6FF47" w:rsidR="00266598" w:rsidRDefault="00B32907" w:rsidP="006C59F3">
            <w:pPr>
              <w:pStyle w:val="Akapitzlist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</w:t>
            </w:r>
            <w:r w:rsidR="00F56F21" w:rsidRPr="00BB731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proofErr w:type="spellStart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sofosbuwirem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ledipaswirem</w:t>
            </w:r>
            <w:proofErr w:type="spellEnd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>sofosbuwirem</w:t>
            </w:r>
            <w:proofErr w:type="spellEnd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>welpataswirem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</w:t>
            </w:r>
            <w:r w:rsidR="005F7AF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aktualnej na dzień wydania decyzji </w:t>
            </w:r>
            <w:r w:rsidR="00C347DC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Charakterystyce Produktu Leczniczego zawierającego </w:t>
            </w:r>
            <w:proofErr w:type="spellStart"/>
            <w:r w:rsidR="00C347DC" w:rsidRPr="00BB731D">
              <w:rPr>
                <w:rFonts w:ascii="Times New Roman" w:hAnsi="Times New Roman"/>
                <w:bCs/>
                <w:sz w:val="20"/>
                <w:szCs w:val="20"/>
              </w:rPr>
              <w:t>sofosbuwir</w:t>
            </w:r>
            <w:proofErr w:type="spellEnd"/>
            <w:r w:rsidR="006C59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47DC" w:rsidRPr="00BB731D"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F949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347DC" w:rsidRPr="00BB731D">
              <w:rPr>
                <w:rFonts w:ascii="Times New Roman" w:hAnsi="Times New Roman"/>
                <w:bCs/>
                <w:sz w:val="20"/>
                <w:szCs w:val="20"/>
              </w:rPr>
              <w:t>ledipaswir</w:t>
            </w:r>
            <w:proofErr w:type="spellEnd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lub </w:t>
            </w:r>
            <w:proofErr w:type="spellStart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>sofosbuwir</w:t>
            </w:r>
            <w:proofErr w:type="spellEnd"/>
            <w:r w:rsidR="00F9491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6C59F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303C1" w:rsidRPr="00BB731D">
              <w:rPr>
                <w:rFonts w:ascii="Times New Roman" w:hAnsi="Times New Roman"/>
                <w:bCs/>
                <w:sz w:val="20"/>
                <w:szCs w:val="20"/>
              </w:rPr>
              <w:t>welpataswir</w:t>
            </w:r>
            <w:proofErr w:type="spellEnd"/>
            <w:r w:rsidR="00266598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14:paraId="569BEEC0" w14:textId="77777777" w:rsidR="006C59F3" w:rsidRPr="00BB731D" w:rsidRDefault="006C59F3" w:rsidP="006C59F3">
            <w:pPr>
              <w:pStyle w:val="Akapitzlist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D2944AE" w14:textId="07381FD8" w:rsidR="00D61FC0" w:rsidRPr="00BB731D" w:rsidRDefault="00D61FC0" w:rsidP="006C59F3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Grazoprewir</w:t>
            </w:r>
            <w:proofErr w:type="spellEnd"/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elbaswir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z odpowiednią </w:t>
            </w:r>
            <w:r w:rsidR="005F7AF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aktualną na dzień wydania decyzji </w:t>
            </w:r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Charakterystyką Produktu Leczniczego.</w:t>
            </w:r>
          </w:p>
          <w:p w14:paraId="733CA638" w14:textId="0F2A6881" w:rsidR="00D61FC0" w:rsidRDefault="00D61FC0" w:rsidP="006C59F3">
            <w:pPr>
              <w:pStyle w:val="Akapitzlist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niezbędną do terapii skojarzonej z</w:t>
            </w:r>
            <w:r w:rsidR="00F56F21" w:rsidRPr="00BB731D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proofErr w:type="spellStart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grazoprewirem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i </w:t>
            </w:r>
            <w:proofErr w:type="spellStart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elbaswirem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, należy stosować zgodnie ze schematem dawkowania określonym w </w:t>
            </w:r>
            <w:r w:rsidR="005F7AF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aktualnej na dzień wydania decyzji </w:t>
            </w:r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Charakterystyce Produktu Leczniczego zawierającego </w:t>
            </w:r>
            <w:proofErr w:type="spellStart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grazoprewir+elbaswir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8F7D7D4" w14:textId="77777777" w:rsidR="006C59F3" w:rsidRPr="00BB731D" w:rsidRDefault="006C59F3" w:rsidP="006C59F3">
            <w:pPr>
              <w:pStyle w:val="Akapitzlist"/>
              <w:spacing w:after="60" w:line="240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03239D" w14:textId="6CA1B93F" w:rsidR="00D61FC0" w:rsidRPr="00BB731D" w:rsidRDefault="006E40EB" w:rsidP="006C59F3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Glekaprewir</w:t>
            </w:r>
            <w:proofErr w:type="spellEnd"/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r w:rsidR="006C59F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t>pibrentaswir</w:t>
            </w:r>
            <w:proofErr w:type="spellEnd"/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 w ramach programu dawkuje się zgodnie z odpowiednią </w:t>
            </w:r>
            <w:r w:rsidR="005F7AF1" w:rsidRPr="00BB731D">
              <w:rPr>
                <w:rFonts w:ascii="Times New Roman" w:hAnsi="Times New Roman"/>
                <w:bCs/>
                <w:sz w:val="20"/>
                <w:szCs w:val="20"/>
              </w:rPr>
              <w:t xml:space="preserve">aktualną na dzień wydania decyzji </w:t>
            </w:r>
            <w:r w:rsidRPr="00BB731D">
              <w:rPr>
                <w:rFonts w:ascii="Times New Roman" w:hAnsi="Times New Roman"/>
                <w:bCs/>
                <w:sz w:val="20"/>
                <w:szCs w:val="20"/>
              </w:rPr>
              <w:t>Charakterystyką Produktu Leczniczego.</w:t>
            </w:r>
          </w:p>
        </w:tc>
        <w:tc>
          <w:tcPr>
            <w:tcW w:w="1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32887D00" w:rsidR="004226D9" w:rsidRPr="00BB731D" w:rsidRDefault="004226D9" w:rsidP="006C59F3">
            <w:pPr>
              <w:pStyle w:val="Akapitzlist"/>
              <w:numPr>
                <w:ilvl w:val="0"/>
                <w:numId w:val="46"/>
              </w:numPr>
              <w:spacing w:before="120" w:after="60" w:line="240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 przy kwalifikacji do leczenia</w:t>
            </w:r>
          </w:p>
          <w:p w14:paraId="31635B89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HCV</w:t>
            </w:r>
            <w:r w:rsidR="00D25BF6" w:rsidRPr="00BB731D">
              <w:rPr>
                <w:rFonts w:ascii="Times New Roman" w:hAnsi="Times New Roman"/>
                <w:sz w:val="20"/>
                <w:szCs w:val="20"/>
              </w:rPr>
              <w:t xml:space="preserve"> RNA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metodą ilościową;</w:t>
            </w:r>
          </w:p>
          <w:p w14:paraId="4BBB5CAD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DDF44BE" w14:textId="77777777" w:rsidR="003926D5" w:rsidRPr="00BB731D" w:rsidRDefault="008C520F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3926D5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4B7B674" w:rsidR="004226D9" w:rsidRPr="00BB731D" w:rsidRDefault="0037036E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stężenia albumin;</w:t>
            </w:r>
          </w:p>
          <w:p w14:paraId="7D0D19C6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stężenia bilirubiny;</w:t>
            </w:r>
          </w:p>
          <w:p w14:paraId="7AA2AA5A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czas lub wskaźnik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protrombinowy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6BC2" w14:textId="77777777" w:rsidR="004226D9" w:rsidRPr="00BB731D" w:rsidRDefault="00B1697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poziomu kreatyniny;</w:t>
            </w:r>
          </w:p>
          <w:p w14:paraId="2CED9D63" w14:textId="54C16356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przeciwciał anty-HIV</w:t>
            </w:r>
            <w:r w:rsidR="003A4FF2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oznaczenie antygenu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HBs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776D7E" w14:textId="06A2AB5A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USG jamy brzusznej (jeśli nie było wykonywane w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okresie ostatnich 6 miesięcy);</w:t>
            </w:r>
          </w:p>
          <w:p w14:paraId="46C12DA2" w14:textId="722A183D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badanie określające zaawansowanie włóknienia wątroby</w:t>
            </w:r>
            <w:r w:rsidR="005C7F87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elastografia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wątroby wykonana techniką umożliwiającą</w:t>
            </w:r>
            <w:r w:rsidR="005C7F87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pomiar ilościowy w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 xml:space="preserve"> lub biopsja wątroby (jeśli nie</w:t>
            </w:r>
            <w:r w:rsidR="005C7F87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było wykonywane wcześniej);</w:t>
            </w:r>
          </w:p>
          <w:p w14:paraId="2CB39C1F" w14:textId="393024F2" w:rsidR="00FD2978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genotypu HCV (z podtypem w przypadku</w:t>
            </w:r>
            <w:r w:rsidR="005C7F87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genotypu 1) - jeśli nie było wykonywane wcześniej</w:t>
            </w:r>
            <w:r w:rsidR="00A5102F" w:rsidRPr="00BB73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7061762" w14:textId="77777777" w:rsidR="006C59F3" w:rsidRPr="00BB731D" w:rsidRDefault="006C59F3" w:rsidP="006C59F3">
            <w:pPr>
              <w:pStyle w:val="Akapitzlist"/>
              <w:spacing w:after="60" w:line="240" w:lineRule="auto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0FBBB850" w:rsidR="004226D9" w:rsidRPr="00BB731D" w:rsidRDefault="004226D9" w:rsidP="006C59F3">
            <w:pPr>
              <w:pStyle w:val="Akapitzlist"/>
              <w:numPr>
                <w:ilvl w:val="0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sz w:val="20"/>
                <w:szCs w:val="20"/>
              </w:rPr>
              <w:t>Monitorowanie leczenia</w:t>
            </w:r>
          </w:p>
          <w:p w14:paraId="7E0BF2BC" w14:textId="77777777" w:rsidR="004226D9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w 1 dniu, przed podaniem leków:</w:t>
            </w:r>
          </w:p>
          <w:p w14:paraId="2B6C0DF5" w14:textId="77777777" w:rsidR="004226D9" w:rsidRPr="00BB731D" w:rsidRDefault="004226D9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B604CFD" w14:textId="189C4161" w:rsidR="004226D9" w:rsidRPr="00BB731D" w:rsidRDefault="004226D9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oznaczenie aktywności </w:t>
            </w:r>
            <w:proofErr w:type="spellStart"/>
            <w:r w:rsidR="001A6039" w:rsidRPr="00BB731D">
              <w:rPr>
                <w:rFonts w:ascii="Times New Roman" w:hAnsi="Times New Roman"/>
                <w:sz w:val="20"/>
                <w:szCs w:val="20"/>
              </w:rPr>
              <w:t>Al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766FB5" w14:textId="25C40E6D" w:rsidR="004226D9" w:rsidRPr="00BB731D" w:rsidRDefault="00675622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BB731D">
              <w:rPr>
                <w:rFonts w:ascii="Times New Roman" w:hAnsi="Times New Roman"/>
                <w:sz w:val="20"/>
                <w:szCs w:val="20"/>
              </w:rPr>
              <w:t>nie stężenia bilirubiny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85EE1" w14:textId="3D068403" w:rsidR="004226D9" w:rsidRPr="00BB731D" w:rsidRDefault="004226D9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04C9556" w14:textId="3C9C631E" w:rsidR="004226D9" w:rsidRPr="00BB731D" w:rsidRDefault="00F47305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w 4, 8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tygodniu oraz </w:t>
            </w:r>
            <w:r w:rsidR="00651E1D" w:rsidRPr="00BB731D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BB731D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eżeli dotyczy</w:t>
            </w:r>
            <w:r w:rsidR="00651E1D" w:rsidRPr="00BB731D">
              <w:rPr>
                <w:rFonts w:ascii="Times New Roman" w:hAnsi="Times New Roman"/>
                <w:sz w:val="20"/>
                <w:szCs w:val="20"/>
              </w:rPr>
              <w:t>)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w</w:t>
            </w:r>
            <w:r w:rsidR="004F0615" w:rsidRPr="00BB731D">
              <w:rPr>
                <w:rFonts w:ascii="Times New Roman" w:hAnsi="Times New Roman"/>
                <w:sz w:val="20"/>
                <w:szCs w:val="20"/>
              </w:rPr>
              <w:t xml:space="preserve"> 12,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16 i 24 tygodniu:</w:t>
            </w:r>
          </w:p>
          <w:p w14:paraId="0509D58B" w14:textId="77777777" w:rsidR="004226D9" w:rsidRPr="00BB731D" w:rsidRDefault="004226D9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morfologia krwi;</w:t>
            </w:r>
          </w:p>
          <w:p w14:paraId="6551EC0B" w14:textId="2EDA398C" w:rsidR="004226D9" w:rsidRPr="00BB731D" w:rsidRDefault="001A6039" w:rsidP="006C59F3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oznaczenie aktywności </w:t>
            </w:r>
            <w:proofErr w:type="spellStart"/>
            <w:r w:rsidRPr="00BB731D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4226D9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134B06" w14:textId="38FA1CE2" w:rsidR="005974CD" w:rsidRPr="00BB731D" w:rsidRDefault="005974CD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w 4 tygodniu</w:t>
            </w:r>
            <w:r w:rsidR="002C79A9" w:rsidRPr="00BB731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72B4478E" w:rsidR="005974CD" w:rsidRPr="00BB731D" w:rsidRDefault="005974CD" w:rsidP="00F9491C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stężenia bilirubiny – w przypadku występowania zwiększonego stężenia w 4 tygodniu terapii</w:t>
            </w:r>
            <w:r w:rsidR="003E561E" w:rsidRPr="00BB731D">
              <w:rPr>
                <w:rFonts w:ascii="Times New Roman" w:hAnsi="Times New Roman"/>
                <w:sz w:val="20"/>
                <w:szCs w:val="20"/>
              </w:rPr>
              <w:t>,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powtórzyć oznacz</w:t>
            </w:r>
            <w:r w:rsidR="003E561E" w:rsidRPr="00BB731D">
              <w:rPr>
                <w:rFonts w:ascii="Times New Roman" w:hAnsi="Times New Roman"/>
                <w:sz w:val="20"/>
                <w:szCs w:val="20"/>
              </w:rPr>
              <w:t>enia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w 8 tyg</w:t>
            </w:r>
            <w:r w:rsidR="00F47305" w:rsidRPr="00BB731D">
              <w:rPr>
                <w:rFonts w:ascii="Times New Roman" w:hAnsi="Times New Roman"/>
                <w:sz w:val="20"/>
                <w:szCs w:val="20"/>
              </w:rPr>
              <w:t>odniu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oraz jeżeli dotyczy w 12,</w:t>
            </w:r>
            <w:r w:rsidR="00F47305"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16 i 24 tyg</w:t>
            </w:r>
            <w:r w:rsidR="00F47305" w:rsidRPr="00BB731D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BB731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D47632" w14:textId="26F50B30" w:rsidR="00CC1C5D" w:rsidRPr="00BB731D" w:rsidRDefault="004226D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na zakończenie lecze</w:t>
            </w:r>
            <w:r w:rsidR="00CD7C22" w:rsidRPr="00BB731D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 w:rsidRPr="00BB731D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14:paraId="50522F1C" w14:textId="015BC751" w:rsidR="004226D9" w:rsidRPr="00BB731D" w:rsidRDefault="004226D9" w:rsidP="00F9491C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oznaczenie HCV RNA metodą ja</w:t>
            </w:r>
            <w:r w:rsidR="002C79A9" w:rsidRPr="00BB731D">
              <w:rPr>
                <w:rFonts w:ascii="Times New Roman" w:hAnsi="Times New Roman"/>
                <w:sz w:val="20"/>
                <w:szCs w:val="20"/>
              </w:rPr>
              <w:t>kościową lub ilościową;</w:t>
            </w:r>
          </w:p>
          <w:p w14:paraId="39057425" w14:textId="77777777" w:rsidR="00DF775E" w:rsidRPr="00BB731D" w:rsidRDefault="00706419" w:rsidP="006C59F3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po 12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 xml:space="preserve"> tygo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dniach od</w:t>
            </w:r>
            <w:r w:rsidR="00DF775E" w:rsidRPr="00BB731D">
              <w:rPr>
                <w:rFonts w:ascii="Times New Roman" w:hAnsi="Times New Roman"/>
                <w:sz w:val="20"/>
                <w:szCs w:val="20"/>
              </w:rPr>
              <w:t xml:space="preserve"> zakończenia leczenia (w 20, 24, 28 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lub 36 tygodniu terapii)</w:t>
            </w:r>
            <w:r w:rsidR="00DF775E" w:rsidRPr="00BB731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1E627F95" w:rsidR="00DF775E" w:rsidRPr="00BB731D" w:rsidRDefault="00706419" w:rsidP="00F9491C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BB731D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BB731D">
              <w:rPr>
                <w:rFonts w:ascii="Times New Roman" w:hAnsi="Times New Roman"/>
                <w:sz w:val="20"/>
                <w:szCs w:val="20"/>
              </w:rPr>
              <w:t>zenie HCV RNA metodą jakościową;</w:t>
            </w:r>
          </w:p>
          <w:p w14:paraId="51632252" w14:textId="09444807" w:rsidR="004F0615" w:rsidRDefault="004226D9" w:rsidP="00F9491C">
            <w:pPr>
              <w:pStyle w:val="Akapitzlist"/>
              <w:numPr>
                <w:ilvl w:val="3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USG jamy brzusznej</w:t>
            </w:r>
            <w:r w:rsidR="009438AD" w:rsidRPr="00BB731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B8BE09A" w14:textId="77777777" w:rsidR="00F9491C" w:rsidRPr="00BB731D" w:rsidRDefault="00F9491C" w:rsidP="00F9491C">
            <w:pPr>
              <w:pStyle w:val="Akapitzlist"/>
              <w:spacing w:after="60" w:line="240" w:lineRule="auto"/>
              <w:ind w:left="56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6034464A" w:rsidR="000F750B" w:rsidRPr="00BB731D" w:rsidRDefault="000F750B" w:rsidP="006C59F3">
            <w:pPr>
              <w:pStyle w:val="Akapitzlist"/>
              <w:numPr>
                <w:ilvl w:val="0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B731D">
              <w:rPr>
                <w:rFonts w:ascii="Times New Roman" w:hAnsi="Times New Roman"/>
                <w:b/>
                <w:sz w:val="20"/>
                <w:szCs w:val="20"/>
              </w:rPr>
              <w:t>Monitorowanie programu</w:t>
            </w:r>
          </w:p>
          <w:p w14:paraId="23C736E5" w14:textId="37FC102F" w:rsidR="000F750B" w:rsidRPr="00BB731D" w:rsidRDefault="000F750B" w:rsidP="00F9491C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gromadzenie w dokumentacji medycznej pacjenta danych dotyczących monitorowania leczenia i</w:t>
            </w:r>
            <w:r w:rsidR="00F56F21" w:rsidRPr="00BB731D">
              <w:rPr>
                <w:rFonts w:ascii="Times New Roman" w:hAnsi="Times New Roman"/>
                <w:sz w:val="20"/>
                <w:szCs w:val="20"/>
              </w:rPr>
              <w:t> </w:t>
            </w:r>
            <w:r w:rsidRPr="00BB731D">
              <w:rPr>
                <w:rFonts w:ascii="Times New Roman" w:hAnsi="Times New Roman"/>
                <w:sz w:val="20"/>
                <w:szCs w:val="20"/>
              </w:rPr>
              <w:t>każdorazowe ich przedstawianie na żądanie kontrolerów Narodowego Funduszu Zdrowia;</w:t>
            </w:r>
          </w:p>
          <w:p w14:paraId="2C91B3AD" w14:textId="77777777" w:rsidR="000F750B" w:rsidRPr="00BB731D" w:rsidRDefault="0020287F" w:rsidP="00F9491C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BB731D">
              <w:rPr>
                <w:rFonts w:ascii="Times New Roman" w:hAnsi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leczenia;</w:t>
            </w:r>
          </w:p>
          <w:p w14:paraId="6CA6CE6F" w14:textId="41BCD8F4" w:rsidR="00F9491C" w:rsidRPr="00F9491C" w:rsidRDefault="000F750B" w:rsidP="00F9491C">
            <w:pPr>
              <w:pStyle w:val="Akapitzlist"/>
              <w:numPr>
                <w:ilvl w:val="2"/>
                <w:numId w:val="46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B731D">
              <w:rPr>
                <w:rFonts w:ascii="Times New Roman" w:hAnsi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FB71EF7" w14:textId="21457966" w:rsidR="00C52F67" w:rsidRPr="00F9491C" w:rsidRDefault="00C52F67" w:rsidP="00F9491C">
      <w:pPr>
        <w:pStyle w:val="Style2"/>
        <w:widowControl/>
        <w:spacing w:after="60" w:line="240" w:lineRule="auto"/>
        <w:rPr>
          <w:b/>
          <w:sz w:val="2"/>
          <w:szCs w:val="2"/>
        </w:rPr>
      </w:pPr>
    </w:p>
    <w:sectPr w:rsidR="00C52F67" w:rsidRPr="00F9491C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192A5" w14:textId="77777777" w:rsidR="00FC529D" w:rsidRDefault="00FC529D" w:rsidP="00913AAA">
      <w:r>
        <w:separator/>
      </w:r>
    </w:p>
  </w:endnote>
  <w:endnote w:type="continuationSeparator" w:id="0">
    <w:p w14:paraId="2B582B71" w14:textId="77777777" w:rsidR="00FC529D" w:rsidRDefault="00FC529D" w:rsidP="00913AAA">
      <w:r>
        <w:continuationSeparator/>
      </w:r>
    </w:p>
  </w:endnote>
  <w:endnote w:type="continuationNotice" w:id="1">
    <w:p w14:paraId="126AACE1" w14:textId="77777777" w:rsidR="00FC529D" w:rsidRDefault="00FC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9B3F8" w14:textId="77777777" w:rsidR="00FC529D" w:rsidRDefault="00FC529D" w:rsidP="00913AAA">
      <w:r>
        <w:separator/>
      </w:r>
    </w:p>
  </w:footnote>
  <w:footnote w:type="continuationSeparator" w:id="0">
    <w:p w14:paraId="450E0A72" w14:textId="77777777" w:rsidR="00FC529D" w:rsidRDefault="00FC529D" w:rsidP="00913AAA">
      <w:r>
        <w:continuationSeparator/>
      </w:r>
    </w:p>
  </w:footnote>
  <w:footnote w:type="continuationNotice" w:id="1">
    <w:p w14:paraId="7170C0F0" w14:textId="77777777" w:rsidR="00FC529D" w:rsidRDefault="00FC52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B2F0C"/>
    <w:multiLevelType w:val="multilevel"/>
    <w:tmpl w:val="26AE3F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C7CAB"/>
    <w:multiLevelType w:val="multilevel"/>
    <w:tmpl w:val="26AE3F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8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0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1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5801326"/>
    <w:multiLevelType w:val="multilevel"/>
    <w:tmpl w:val="26AE3F1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24"/>
  </w:num>
  <w:num w:numId="5">
    <w:abstractNumId w:val="19"/>
  </w:num>
  <w:num w:numId="6">
    <w:abstractNumId w:val="40"/>
  </w:num>
  <w:num w:numId="7">
    <w:abstractNumId w:val="7"/>
  </w:num>
  <w:num w:numId="8">
    <w:abstractNumId w:val="15"/>
  </w:num>
  <w:num w:numId="9">
    <w:abstractNumId w:val="14"/>
  </w:num>
  <w:num w:numId="10">
    <w:abstractNumId w:val="13"/>
  </w:num>
  <w:num w:numId="11">
    <w:abstractNumId w:val="36"/>
  </w:num>
  <w:num w:numId="12">
    <w:abstractNumId w:val="21"/>
  </w:num>
  <w:num w:numId="13">
    <w:abstractNumId w:val="22"/>
  </w:num>
  <w:num w:numId="14">
    <w:abstractNumId w:val="33"/>
  </w:num>
  <w:num w:numId="15">
    <w:abstractNumId w:val="42"/>
  </w:num>
  <w:num w:numId="16">
    <w:abstractNumId w:val="9"/>
  </w:num>
  <w:num w:numId="17">
    <w:abstractNumId w:val="41"/>
  </w:num>
  <w:num w:numId="18">
    <w:abstractNumId w:val="0"/>
  </w:num>
  <w:num w:numId="19">
    <w:abstractNumId w:val="37"/>
  </w:num>
  <w:num w:numId="20">
    <w:abstractNumId w:val="43"/>
  </w:num>
  <w:num w:numId="21">
    <w:abstractNumId w:val="5"/>
  </w:num>
  <w:num w:numId="22">
    <w:abstractNumId w:val="18"/>
  </w:num>
  <w:num w:numId="23">
    <w:abstractNumId w:val="6"/>
  </w:num>
  <w:num w:numId="24">
    <w:abstractNumId w:val="20"/>
  </w:num>
  <w:num w:numId="25">
    <w:abstractNumId w:val="27"/>
  </w:num>
  <w:num w:numId="26">
    <w:abstractNumId w:val="23"/>
  </w:num>
  <w:num w:numId="27">
    <w:abstractNumId w:val="12"/>
  </w:num>
  <w:num w:numId="28">
    <w:abstractNumId w:val="3"/>
  </w:num>
  <w:num w:numId="29">
    <w:abstractNumId w:val="10"/>
  </w:num>
  <w:num w:numId="30">
    <w:abstractNumId w:val="25"/>
  </w:num>
  <w:num w:numId="31">
    <w:abstractNumId w:val="30"/>
  </w:num>
  <w:num w:numId="32">
    <w:abstractNumId w:val="1"/>
  </w:num>
  <w:num w:numId="33">
    <w:abstractNumId w:val="26"/>
  </w:num>
  <w:num w:numId="34">
    <w:abstractNumId w:val="34"/>
  </w:num>
  <w:num w:numId="35">
    <w:abstractNumId w:val="45"/>
  </w:num>
  <w:num w:numId="36">
    <w:abstractNumId w:val="28"/>
  </w:num>
  <w:num w:numId="37">
    <w:abstractNumId w:val="39"/>
  </w:num>
  <w:num w:numId="38">
    <w:abstractNumId w:val="29"/>
  </w:num>
  <w:num w:numId="39">
    <w:abstractNumId w:val="32"/>
  </w:num>
  <w:num w:numId="40">
    <w:abstractNumId w:val="35"/>
  </w:num>
  <w:num w:numId="41">
    <w:abstractNumId w:val="31"/>
  </w:num>
  <w:num w:numId="42">
    <w:abstractNumId w:val="17"/>
  </w:num>
  <w:num w:numId="43">
    <w:abstractNumId w:val="38"/>
  </w:num>
  <w:num w:numId="44">
    <w:abstractNumId w:val="2"/>
  </w:num>
  <w:num w:numId="45">
    <w:abstractNumId w:val="44"/>
  </w:num>
  <w:num w:numId="46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1712C"/>
    <w:rsid w:val="00046335"/>
    <w:rsid w:val="0005344F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357D6"/>
    <w:rsid w:val="001400C6"/>
    <w:rsid w:val="001415E6"/>
    <w:rsid w:val="001509B8"/>
    <w:rsid w:val="0015222E"/>
    <w:rsid w:val="001A6039"/>
    <w:rsid w:val="001A6A05"/>
    <w:rsid w:val="001B43E5"/>
    <w:rsid w:val="001B566C"/>
    <w:rsid w:val="001C243F"/>
    <w:rsid w:val="001E2E25"/>
    <w:rsid w:val="001F73BF"/>
    <w:rsid w:val="00201A12"/>
    <w:rsid w:val="0020287F"/>
    <w:rsid w:val="00266598"/>
    <w:rsid w:val="002818A3"/>
    <w:rsid w:val="002A2D05"/>
    <w:rsid w:val="002A659C"/>
    <w:rsid w:val="002A7E67"/>
    <w:rsid w:val="002B6B12"/>
    <w:rsid w:val="002C4E34"/>
    <w:rsid w:val="002C79A9"/>
    <w:rsid w:val="0031597D"/>
    <w:rsid w:val="00322C3F"/>
    <w:rsid w:val="003242DB"/>
    <w:rsid w:val="00342604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7AF1"/>
    <w:rsid w:val="00612C4F"/>
    <w:rsid w:val="00635EB7"/>
    <w:rsid w:val="00651E1D"/>
    <w:rsid w:val="0065225A"/>
    <w:rsid w:val="0065442C"/>
    <w:rsid w:val="00675622"/>
    <w:rsid w:val="006768D6"/>
    <w:rsid w:val="006A77AA"/>
    <w:rsid w:val="006B6526"/>
    <w:rsid w:val="006C1B22"/>
    <w:rsid w:val="006C4D75"/>
    <w:rsid w:val="006C59F3"/>
    <w:rsid w:val="006E40EB"/>
    <w:rsid w:val="00706419"/>
    <w:rsid w:val="00717EF9"/>
    <w:rsid w:val="00725F8A"/>
    <w:rsid w:val="00765D79"/>
    <w:rsid w:val="00777BFC"/>
    <w:rsid w:val="007C53C5"/>
    <w:rsid w:val="007D1A59"/>
    <w:rsid w:val="007D53EB"/>
    <w:rsid w:val="007D7064"/>
    <w:rsid w:val="007D75E6"/>
    <w:rsid w:val="007F41CA"/>
    <w:rsid w:val="007F6CD4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D6876"/>
    <w:rsid w:val="009D7505"/>
    <w:rsid w:val="009E2C03"/>
    <w:rsid w:val="009E5506"/>
    <w:rsid w:val="009E6D50"/>
    <w:rsid w:val="00A0009F"/>
    <w:rsid w:val="00A056F5"/>
    <w:rsid w:val="00A162C8"/>
    <w:rsid w:val="00A44B14"/>
    <w:rsid w:val="00A5102F"/>
    <w:rsid w:val="00A86969"/>
    <w:rsid w:val="00A94DF9"/>
    <w:rsid w:val="00A96385"/>
    <w:rsid w:val="00AC66D4"/>
    <w:rsid w:val="00AF71C9"/>
    <w:rsid w:val="00B16979"/>
    <w:rsid w:val="00B2319A"/>
    <w:rsid w:val="00B25145"/>
    <w:rsid w:val="00B32907"/>
    <w:rsid w:val="00B36FAE"/>
    <w:rsid w:val="00B541CE"/>
    <w:rsid w:val="00B718B0"/>
    <w:rsid w:val="00B92D8E"/>
    <w:rsid w:val="00B9696C"/>
    <w:rsid w:val="00BA3598"/>
    <w:rsid w:val="00BB49F8"/>
    <w:rsid w:val="00BB731D"/>
    <w:rsid w:val="00BE5A22"/>
    <w:rsid w:val="00BF2A36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A500C"/>
    <w:rsid w:val="00CC1C5D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E248E"/>
    <w:rsid w:val="00DF3792"/>
    <w:rsid w:val="00DF775E"/>
    <w:rsid w:val="00E13A86"/>
    <w:rsid w:val="00E51524"/>
    <w:rsid w:val="00E62CB6"/>
    <w:rsid w:val="00E82BFD"/>
    <w:rsid w:val="00EA5960"/>
    <w:rsid w:val="00EB47D0"/>
    <w:rsid w:val="00EC7808"/>
    <w:rsid w:val="00ED76A6"/>
    <w:rsid w:val="00EF24BE"/>
    <w:rsid w:val="00F03C0B"/>
    <w:rsid w:val="00F12A78"/>
    <w:rsid w:val="00F33D9B"/>
    <w:rsid w:val="00F40101"/>
    <w:rsid w:val="00F47305"/>
    <w:rsid w:val="00F51865"/>
    <w:rsid w:val="00F55B4D"/>
    <w:rsid w:val="00F56F21"/>
    <w:rsid w:val="00F61817"/>
    <w:rsid w:val="00F6279E"/>
    <w:rsid w:val="00F9491C"/>
    <w:rsid w:val="00F96DC7"/>
    <w:rsid w:val="00FB07B8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95FA3-0257-4617-8C12-58C94EBAB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798</Words>
  <Characters>5090</Characters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2018-07-16T11:55:00Z</cp:lastPrinted>
  <dcterms:created xsi:type="dcterms:W3CDTF">2020-07-08T22:20:00Z</dcterms:created>
  <dcterms:modified xsi:type="dcterms:W3CDTF">2020-07-30T12:31:00Z</dcterms:modified>
</cp:coreProperties>
</file>