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7F353" w14:textId="625BA6D4" w:rsidR="00816802" w:rsidRPr="002667F9" w:rsidRDefault="00816802" w:rsidP="00816802">
      <w:pPr>
        <w:jc w:val="center"/>
        <w:rPr>
          <w:rFonts w:ascii="Lato" w:hAnsi="Lato"/>
          <w:b/>
          <w:bCs/>
          <w:color w:val="00B0F0"/>
          <w:sz w:val="36"/>
          <w:szCs w:val="36"/>
          <w:u w:val="single"/>
        </w:rPr>
      </w:pPr>
      <w:r w:rsidRPr="002667F9">
        <w:rPr>
          <w:rFonts w:ascii="Lato" w:hAnsi="Lato"/>
          <w:b/>
          <w:bCs/>
          <w:color w:val="00B0F0"/>
          <w:sz w:val="36"/>
          <w:szCs w:val="36"/>
          <w:u w:val="single"/>
        </w:rPr>
        <w:t>PODSUMOWANIE REFUNDACJI W 202</w:t>
      </w:r>
      <w:r w:rsidR="001C7C0D" w:rsidRPr="002667F9">
        <w:rPr>
          <w:rFonts w:ascii="Lato" w:hAnsi="Lato"/>
          <w:b/>
          <w:bCs/>
          <w:color w:val="00B0F0"/>
          <w:sz w:val="36"/>
          <w:szCs w:val="36"/>
          <w:u w:val="single"/>
        </w:rPr>
        <w:t>3</w:t>
      </w:r>
      <w:r w:rsidRPr="002667F9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ROKU (OBWIESZCZENIA NR 6</w:t>
      </w:r>
      <w:r w:rsidR="001C7C0D" w:rsidRPr="002667F9">
        <w:rPr>
          <w:rFonts w:ascii="Lato" w:hAnsi="Lato"/>
          <w:b/>
          <w:bCs/>
          <w:color w:val="00B0F0"/>
          <w:sz w:val="36"/>
          <w:szCs w:val="36"/>
          <w:u w:val="single"/>
        </w:rPr>
        <w:t>7</w:t>
      </w:r>
      <w:r w:rsidRPr="002667F9">
        <w:rPr>
          <w:rFonts w:ascii="Lato" w:hAnsi="Lato"/>
          <w:b/>
          <w:bCs/>
          <w:color w:val="00B0F0"/>
          <w:sz w:val="36"/>
          <w:szCs w:val="36"/>
          <w:u w:val="single"/>
        </w:rPr>
        <w:t>-</w:t>
      </w:r>
      <w:r w:rsidR="001C7C0D" w:rsidRPr="002667F9">
        <w:rPr>
          <w:rFonts w:ascii="Lato" w:hAnsi="Lato"/>
          <w:b/>
          <w:bCs/>
          <w:color w:val="00B0F0"/>
          <w:sz w:val="36"/>
          <w:szCs w:val="36"/>
          <w:u w:val="single"/>
        </w:rPr>
        <w:t>72</w:t>
      </w:r>
      <w:r w:rsidRPr="002667F9">
        <w:rPr>
          <w:rFonts w:ascii="Lato" w:hAnsi="Lato"/>
          <w:b/>
          <w:bCs/>
          <w:color w:val="00B0F0"/>
          <w:sz w:val="36"/>
          <w:szCs w:val="36"/>
          <w:u w:val="single"/>
        </w:rPr>
        <w:t>)</w:t>
      </w:r>
    </w:p>
    <w:p w14:paraId="031E6709" w14:textId="77777777" w:rsidR="00816802" w:rsidRPr="002667F9" w:rsidRDefault="00816802" w:rsidP="00816802">
      <w:pPr>
        <w:spacing w:before="360"/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2667F9">
        <w:rPr>
          <w:rFonts w:ascii="Lato" w:hAnsi="Lato"/>
          <w:b/>
          <w:bCs/>
          <w:color w:val="00B0F0"/>
          <w:sz w:val="28"/>
          <w:szCs w:val="28"/>
        </w:rPr>
        <w:t>STATYSTYKI</w:t>
      </w:r>
    </w:p>
    <w:p w14:paraId="4EAA632A" w14:textId="54EFE776" w:rsidR="00816ED3" w:rsidRPr="002667F9" w:rsidRDefault="00816ED3" w:rsidP="00A541E2">
      <w:pPr>
        <w:rPr>
          <w:rFonts w:ascii="Lato" w:hAnsi="Lato" w:cstheme="majorHAnsi"/>
          <w:sz w:val="24"/>
          <w:szCs w:val="24"/>
        </w:rPr>
      </w:pPr>
      <w:r w:rsidRPr="002667F9">
        <w:rPr>
          <w:rFonts w:ascii="Lato" w:hAnsi="Lato" w:cstheme="majorHAnsi"/>
          <w:sz w:val="24"/>
          <w:szCs w:val="24"/>
        </w:rPr>
        <w:t>W 202</w:t>
      </w:r>
      <w:r w:rsidR="001C7C0D" w:rsidRPr="002667F9">
        <w:rPr>
          <w:rFonts w:ascii="Lato" w:hAnsi="Lato" w:cstheme="majorHAnsi"/>
          <w:sz w:val="24"/>
          <w:szCs w:val="24"/>
        </w:rPr>
        <w:t>3</w:t>
      </w:r>
      <w:r w:rsidRPr="002667F9">
        <w:rPr>
          <w:rFonts w:ascii="Lato" w:hAnsi="Lato" w:cstheme="majorHAnsi"/>
          <w:sz w:val="24"/>
          <w:szCs w:val="24"/>
        </w:rPr>
        <w:t xml:space="preserve"> r. obwieszczenia refundacyjne obowiązujące od stycznia (nr </w:t>
      </w:r>
      <w:r w:rsidR="007645CA" w:rsidRPr="002667F9">
        <w:rPr>
          <w:rFonts w:ascii="Lato" w:hAnsi="Lato" w:cstheme="majorHAnsi"/>
          <w:sz w:val="24"/>
          <w:szCs w:val="24"/>
        </w:rPr>
        <w:t>6</w:t>
      </w:r>
      <w:r w:rsidR="001C7C0D" w:rsidRPr="002667F9">
        <w:rPr>
          <w:rFonts w:ascii="Lato" w:hAnsi="Lato" w:cstheme="majorHAnsi"/>
          <w:sz w:val="24"/>
          <w:szCs w:val="24"/>
        </w:rPr>
        <w:t>7</w:t>
      </w:r>
      <w:r w:rsidRPr="002667F9">
        <w:rPr>
          <w:rFonts w:ascii="Lato" w:hAnsi="Lato" w:cstheme="majorHAnsi"/>
          <w:sz w:val="24"/>
          <w:szCs w:val="24"/>
        </w:rPr>
        <w:t>) do</w:t>
      </w:r>
      <w:r w:rsidR="002B1DA1" w:rsidRPr="002667F9">
        <w:rPr>
          <w:rFonts w:ascii="Lato" w:hAnsi="Lato" w:cstheme="majorHAnsi"/>
          <w:sz w:val="24"/>
          <w:szCs w:val="24"/>
        </w:rPr>
        <w:t xml:space="preserve"> listopada</w:t>
      </w:r>
      <w:r w:rsidRPr="002667F9">
        <w:rPr>
          <w:rFonts w:ascii="Lato" w:hAnsi="Lato" w:cstheme="majorHAnsi"/>
          <w:sz w:val="24"/>
          <w:szCs w:val="24"/>
        </w:rPr>
        <w:t xml:space="preserve"> (nr </w:t>
      </w:r>
      <w:r w:rsidR="001C7C0D" w:rsidRPr="002667F9">
        <w:rPr>
          <w:rFonts w:ascii="Lato" w:hAnsi="Lato" w:cstheme="majorHAnsi"/>
          <w:sz w:val="24"/>
          <w:szCs w:val="24"/>
        </w:rPr>
        <w:t>72</w:t>
      </w:r>
      <w:r w:rsidRPr="002667F9">
        <w:rPr>
          <w:rFonts w:ascii="Lato" w:hAnsi="Lato" w:cstheme="majorHAnsi"/>
          <w:sz w:val="24"/>
          <w:szCs w:val="24"/>
        </w:rPr>
        <w:t>) zawierały następujące zmiany:</w:t>
      </w:r>
    </w:p>
    <w:p w14:paraId="79AB1DE4" w14:textId="74B7747A" w:rsidR="00816ED3" w:rsidRPr="00652917" w:rsidRDefault="00816ED3" w:rsidP="00C64949">
      <w:pPr>
        <w:pStyle w:val="Akapitzlist"/>
        <w:numPr>
          <w:ilvl w:val="0"/>
          <w:numId w:val="1"/>
        </w:numPr>
        <w:ind w:left="567" w:hanging="567"/>
        <w:contextualSpacing w:val="0"/>
        <w:rPr>
          <w:rFonts w:ascii="Lato" w:hAnsi="Lato" w:cstheme="majorHAnsi"/>
          <w:sz w:val="24"/>
          <w:szCs w:val="24"/>
        </w:rPr>
      </w:pPr>
      <w:r w:rsidRPr="00652917">
        <w:rPr>
          <w:rFonts w:ascii="Lato" w:hAnsi="Lato" w:cstheme="majorHAnsi"/>
          <w:sz w:val="24"/>
          <w:szCs w:val="24"/>
        </w:rPr>
        <w:t>W związku z wydaniem pozytywnych decyzji o objęciu refundacją został</w:t>
      </w:r>
      <w:r w:rsidR="00652917" w:rsidRPr="00652917">
        <w:rPr>
          <w:rFonts w:ascii="Lato" w:hAnsi="Lato" w:cstheme="majorHAnsi"/>
          <w:sz w:val="24"/>
          <w:szCs w:val="24"/>
        </w:rPr>
        <w:t>y</w:t>
      </w:r>
      <w:r w:rsidRPr="00652917">
        <w:rPr>
          <w:rFonts w:ascii="Lato" w:hAnsi="Lato" w:cstheme="majorHAnsi"/>
          <w:sz w:val="24"/>
          <w:szCs w:val="24"/>
        </w:rPr>
        <w:t xml:space="preserve"> dodan</w:t>
      </w:r>
      <w:r w:rsidR="00652917" w:rsidRPr="00652917">
        <w:rPr>
          <w:rFonts w:ascii="Lato" w:hAnsi="Lato" w:cstheme="majorHAnsi"/>
          <w:sz w:val="24"/>
          <w:szCs w:val="24"/>
        </w:rPr>
        <w:t>e</w:t>
      </w:r>
      <w:r w:rsidRPr="00652917">
        <w:rPr>
          <w:rFonts w:ascii="Lato" w:hAnsi="Lato" w:cstheme="majorHAnsi"/>
          <w:sz w:val="24"/>
          <w:szCs w:val="24"/>
        </w:rPr>
        <w:t xml:space="preserve"> </w:t>
      </w:r>
      <w:r w:rsidR="00652917" w:rsidRPr="00652917">
        <w:rPr>
          <w:rFonts w:ascii="Lato" w:hAnsi="Lato" w:cstheme="majorHAnsi"/>
          <w:sz w:val="24"/>
          <w:szCs w:val="24"/>
        </w:rPr>
        <w:t>554</w:t>
      </w:r>
      <w:r w:rsidRPr="00652917">
        <w:rPr>
          <w:rFonts w:ascii="Lato" w:hAnsi="Lato" w:cstheme="majorHAnsi"/>
          <w:sz w:val="24"/>
          <w:szCs w:val="24"/>
        </w:rPr>
        <w:t xml:space="preserve"> produkt</w:t>
      </w:r>
      <w:r w:rsidR="00652917" w:rsidRPr="00652917">
        <w:rPr>
          <w:rFonts w:ascii="Lato" w:hAnsi="Lato" w:cstheme="majorHAnsi"/>
          <w:sz w:val="24"/>
          <w:szCs w:val="24"/>
        </w:rPr>
        <w:t>y</w:t>
      </w:r>
      <w:r w:rsidRPr="00652917">
        <w:rPr>
          <w:rFonts w:ascii="Lato" w:hAnsi="Lato" w:cstheme="majorHAnsi"/>
          <w:sz w:val="24"/>
          <w:szCs w:val="24"/>
        </w:rPr>
        <w:t xml:space="preserve"> bądź now</w:t>
      </w:r>
      <w:r w:rsidR="00652917" w:rsidRPr="00652917">
        <w:rPr>
          <w:rFonts w:ascii="Lato" w:hAnsi="Lato" w:cstheme="majorHAnsi"/>
          <w:sz w:val="24"/>
          <w:szCs w:val="24"/>
        </w:rPr>
        <w:t>e</w:t>
      </w:r>
      <w:r w:rsidRPr="00652917">
        <w:rPr>
          <w:rFonts w:ascii="Lato" w:hAnsi="Lato" w:cstheme="majorHAnsi"/>
          <w:sz w:val="24"/>
          <w:szCs w:val="24"/>
        </w:rPr>
        <w:t xml:space="preserve"> wskaza</w:t>
      </w:r>
      <w:r w:rsidR="00652917" w:rsidRPr="00652917">
        <w:rPr>
          <w:rFonts w:ascii="Lato" w:hAnsi="Lato" w:cstheme="majorHAnsi"/>
          <w:sz w:val="24"/>
          <w:szCs w:val="24"/>
        </w:rPr>
        <w:t>nia</w:t>
      </w:r>
      <w:r w:rsidRPr="00652917">
        <w:rPr>
          <w:rFonts w:ascii="Lato" w:hAnsi="Lato" w:cstheme="majorHAnsi"/>
          <w:sz w:val="24"/>
          <w:szCs w:val="24"/>
        </w:rPr>
        <w:t>.</w:t>
      </w:r>
    </w:p>
    <w:p w14:paraId="34A6B9A7" w14:textId="70170445" w:rsidR="00816ED3" w:rsidRPr="002541D7" w:rsidRDefault="00816ED3" w:rsidP="00C64949">
      <w:pPr>
        <w:pStyle w:val="Akapitzlist"/>
        <w:numPr>
          <w:ilvl w:val="0"/>
          <w:numId w:val="1"/>
        </w:numPr>
        <w:ind w:left="567" w:hanging="567"/>
        <w:contextualSpacing w:val="0"/>
        <w:rPr>
          <w:rFonts w:ascii="Lato" w:hAnsi="Lato" w:cstheme="majorHAnsi"/>
          <w:sz w:val="24"/>
          <w:szCs w:val="24"/>
        </w:rPr>
      </w:pPr>
      <w:r w:rsidRPr="002541D7">
        <w:rPr>
          <w:rFonts w:ascii="Lato" w:hAnsi="Lato" w:cstheme="majorHAnsi"/>
          <w:sz w:val="24"/>
          <w:szCs w:val="24"/>
        </w:rPr>
        <w:t xml:space="preserve">Dla </w:t>
      </w:r>
      <w:r w:rsidR="00652917" w:rsidRPr="002541D7">
        <w:rPr>
          <w:rFonts w:ascii="Lato" w:hAnsi="Lato" w:cstheme="majorHAnsi"/>
          <w:sz w:val="24"/>
          <w:szCs w:val="24"/>
        </w:rPr>
        <w:t>433</w:t>
      </w:r>
      <w:r w:rsidRPr="002541D7">
        <w:rPr>
          <w:rFonts w:ascii="Lato" w:hAnsi="Lato" w:cstheme="majorHAnsi"/>
          <w:sz w:val="24"/>
          <w:szCs w:val="24"/>
        </w:rPr>
        <w:t xml:space="preserve"> produktów wprowadzono obniżki urzędowych cen zbytu (od 0,01 zł do </w:t>
      </w:r>
      <w:r w:rsidR="00652917" w:rsidRPr="002541D7">
        <w:rPr>
          <w:rFonts w:ascii="Lato" w:hAnsi="Lato" w:cstheme="majorHAnsi"/>
          <w:sz w:val="24"/>
          <w:szCs w:val="24"/>
        </w:rPr>
        <w:t>16794,00</w:t>
      </w:r>
      <w:r w:rsidRPr="002541D7">
        <w:rPr>
          <w:rFonts w:ascii="Lato" w:hAnsi="Lato" w:cstheme="majorHAnsi"/>
          <w:sz w:val="24"/>
          <w:szCs w:val="24"/>
        </w:rPr>
        <w:t xml:space="preserve"> zł).</w:t>
      </w:r>
    </w:p>
    <w:p w14:paraId="7B2CFF06" w14:textId="4421F8A8" w:rsidR="00816ED3" w:rsidRPr="002541D7" w:rsidRDefault="00816ED3" w:rsidP="00C64949">
      <w:pPr>
        <w:pStyle w:val="Akapitzlist"/>
        <w:numPr>
          <w:ilvl w:val="0"/>
          <w:numId w:val="1"/>
        </w:numPr>
        <w:ind w:left="567" w:hanging="567"/>
        <w:contextualSpacing w:val="0"/>
        <w:rPr>
          <w:rFonts w:ascii="Lato" w:hAnsi="Lato" w:cstheme="majorHAnsi"/>
          <w:sz w:val="24"/>
          <w:szCs w:val="24"/>
        </w:rPr>
      </w:pPr>
      <w:r w:rsidRPr="002541D7">
        <w:rPr>
          <w:rFonts w:ascii="Lato" w:hAnsi="Lato" w:cstheme="majorHAnsi"/>
          <w:sz w:val="24"/>
          <w:szCs w:val="24"/>
        </w:rPr>
        <w:t xml:space="preserve">Dla </w:t>
      </w:r>
      <w:r w:rsidR="00131DAC" w:rsidRPr="002541D7">
        <w:rPr>
          <w:rFonts w:ascii="Lato" w:hAnsi="Lato" w:cstheme="majorHAnsi"/>
          <w:sz w:val="24"/>
          <w:szCs w:val="24"/>
        </w:rPr>
        <w:t>341</w:t>
      </w:r>
      <w:r w:rsidRPr="002541D7">
        <w:rPr>
          <w:rFonts w:ascii="Lato" w:hAnsi="Lato" w:cstheme="majorHAnsi"/>
          <w:sz w:val="24"/>
          <w:szCs w:val="24"/>
        </w:rPr>
        <w:t xml:space="preserve"> produktów podwyższono urzędowe ceny zbytu (od 0,</w:t>
      </w:r>
      <w:r w:rsidR="006110C1" w:rsidRPr="002541D7">
        <w:rPr>
          <w:rFonts w:ascii="Lato" w:hAnsi="Lato" w:cstheme="majorHAnsi"/>
          <w:sz w:val="24"/>
          <w:szCs w:val="24"/>
        </w:rPr>
        <w:t>0</w:t>
      </w:r>
      <w:r w:rsidR="00131DAC" w:rsidRPr="002541D7">
        <w:rPr>
          <w:rFonts w:ascii="Lato" w:hAnsi="Lato" w:cstheme="majorHAnsi"/>
          <w:sz w:val="24"/>
          <w:szCs w:val="24"/>
        </w:rPr>
        <w:t>2</w:t>
      </w:r>
      <w:r w:rsidRPr="002541D7">
        <w:rPr>
          <w:rFonts w:ascii="Lato" w:hAnsi="Lato" w:cstheme="majorHAnsi"/>
          <w:sz w:val="24"/>
          <w:szCs w:val="24"/>
        </w:rPr>
        <w:t xml:space="preserve"> zł do </w:t>
      </w:r>
      <w:r w:rsidR="00131DAC" w:rsidRPr="002541D7">
        <w:rPr>
          <w:rFonts w:ascii="Lato" w:hAnsi="Lato" w:cstheme="majorHAnsi"/>
          <w:sz w:val="24"/>
          <w:szCs w:val="24"/>
        </w:rPr>
        <w:t>2160</w:t>
      </w:r>
      <w:r w:rsidRPr="002541D7">
        <w:rPr>
          <w:rFonts w:ascii="Lato" w:hAnsi="Lato" w:cstheme="majorHAnsi"/>
          <w:sz w:val="24"/>
          <w:szCs w:val="24"/>
        </w:rPr>
        <w:t>,00 zł).</w:t>
      </w:r>
    </w:p>
    <w:p w14:paraId="084094B3" w14:textId="162788A3" w:rsidR="00816ED3" w:rsidRPr="002541D7" w:rsidRDefault="00816ED3" w:rsidP="00C64949">
      <w:pPr>
        <w:pStyle w:val="Akapitzlist"/>
        <w:numPr>
          <w:ilvl w:val="0"/>
          <w:numId w:val="1"/>
        </w:numPr>
        <w:ind w:left="567" w:hanging="567"/>
        <w:contextualSpacing w:val="0"/>
        <w:jc w:val="both"/>
        <w:rPr>
          <w:rFonts w:ascii="Lato" w:hAnsi="Lato" w:cstheme="majorHAnsi"/>
          <w:sz w:val="24"/>
          <w:szCs w:val="24"/>
        </w:rPr>
      </w:pPr>
      <w:r w:rsidRPr="002541D7">
        <w:rPr>
          <w:rFonts w:ascii="Lato" w:hAnsi="Lato" w:cstheme="majorHAnsi"/>
          <w:sz w:val="24"/>
          <w:szCs w:val="24"/>
        </w:rPr>
        <w:t xml:space="preserve">W związku z wpłynięciem wniosków o skrócenie terminu obowiązywania decyzji refundacyjnych lub upłynięciem terminu obowiązywania decyzji refundacyjnych lub odmową refundacji na kolejny okres z wykazów usunięto </w:t>
      </w:r>
      <w:r w:rsidR="00575184" w:rsidRPr="002541D7">
        <w:rPr>
          <w:rFonts w:ascii="Lato" w:hAnsi="Lato" w:cstheme="majorHAnsi"/>
          <w:sz w:val="24"/>
          <w:szCs w:val="24"/>
        </w:rPr>
        <w:t xml:space="preserve">267 </w:t>
      </w:r>
      <w:r w:rsidRPr="002541D7">
        <w:rPr>
          <w:rFonts w:ascii="Lato" w:hAnsi="Lato" w:cstheme="majorHAnsi"/>
          <w:sz w:val="24"/>
          <w:szCs w:val="24"/>
        </w:rPr>
        <w:t>produktów bądź wskazań.</w:t>
      </w:r>
    </w:p>
    <w:p w14:paraId="6B99FA0C" w14:textId="642E1995" w:rsidR="00816ED3" w:rsidRPr="002541D7" w:rsidRDefault="00816ED3" w:rsidP="00C64949">
      <w:pPr>
        <w:pStyle w:val="Akapitzlist"/>
        <w:numPr>
          <w:ilvl w:val="0"/>
          <w:numId w:val="1"/>
        </w:numPr>
        <w:ind w:left="567" w:hanging="567"/>
        <w:contextualSpacing w:val="0"/>
        <w:jc w:val="both"/>
        <w:rPr>
          <w:rFonts w:ascii="Lato" w:hAnsi="Lato" w:cstheme="majorHAnsi"/>
          <w:sz w:val="24"/>
          <w:szCs w:val="24"/>
        </w:rPr>
      </w:pPr>
      <w:r w:rsidRPr="002541D7">
        <w:rPr>
          <w:rFonts w:ascii="Lato" w:hAnsi="Lato" w:cstheme="majorHAnsi"/>
          <w:sz w:val="24"/>
          <w:szCs w:val="24"/>
        </w:rPr>
        <w:t xml:space="preserve">W związku z obwieszczeniami nr </w:t>
      </w:r>
      <w:r w:rsidR="00FD3BAC" w:rsidRPr="002541D7">
        <w:rPr>
          <w:rFonts w:ascii="Lato" w:hAnsi="Lato" w:cstheme="majorHAnsi"/>
          <w:sz w:val="24"/>
          <w:szCs w:val="24"/>
        </w:rPr>
        <w:t>6</w:t>
      </w:r>
      <w:r w:rsidR="006444BE" w:rsidRPr="002541D7">
        <w:rPr>
          <w:rFonts w:ascii="Lato" w:hAnsi="Lato" w:cstheme="majorHAnsi"/>
          <w:sz w:val="24"/>
          <w:szCs w:val="24"/>
        </w:rPr>
        <w:t>7</w:t>
      </w:r>
      <w:r w:rsidRPr="002541D7">
        <w:rPr>
          <w:rFonts w:ascii="Lato" w:hAnsi="Lato" w:cstheme="majorHAnsi"/>
          <w:sz w:val="24"/>
          <w:szCs w:val="24"/>
        </w:rPr>
        <w:t xml:space="preserve"> – </w:t>
      </w:r>
      <w:r w:rsidR="006444BE" w:rsidRPr="002541D7">
        <w:rPr>
          <w:rFonts w:ascii="Lato" w:hAnsi="Lato" w:cstheme="majorHAnsi"/>
          <w:sz w:val="24"/>
          <w:szCs w:val="24"/>
        </w:rPr>
        <w:t>72</w:t>
      </w:r>
      <w:r w:rsidRPr="002541D7">
        <w:rPr>
          <w:rFonts w:ascii="Lato" w:hAnsi="Lato" w:cstheme="majorHAnsi"/>
          <w:sz w:val="24"/>
          <w:szCs w:val="24"/>
        </w:rPr>
        <w:t xml:space="preserve"> wydano </w:t>
      </w:r>
      <w:r w:rsidR="004A60C6" w:rsidRPr="002541D7">
        <w:rPr>
          <w:rFonts w:ascii="Lato" w:hAnsi="Lato" w:cstheme="majorHAnsi"/>
          <w:sz w:val="24"/>
          <w:szCs w:val="24"/>
        </w:rPr>
        <w:t>5480</w:t>
      </w:r>
      <w:r w:rsidRPr="002541D7">
        <w:rPr>
          <w:rFonts w:ascii="Lato" w:hAnsi="Lato" w:cstheme="majorHAnsi"/>
          <w:sz w:val="24"/>
          <w:szCs w:val="24"/>
        </w:rPr>
        <w:t xml:space="preserve"> decyzj</w:t>
      </w:r>
      <w:r w:rsidR="004A60C6" w:rsidRPr="002541D7">
        <w:rPr>
          <w:rFonts w:ascii="Lato" w:hAnsi="Lato" w:cstheme="majorHAnsi"/>
          <w:sz w:val="24"/>
          <w:szCs w:val="24"/>
        </w:rPr>
        <w:t>i</w:t>
      </w:r>
      <w:r w:rsidRPr="002541D7">
        <w:rPr>
          <w:rFonts w:ascii="Lato" w:hAnsi="Lato" w:cstheme="majorHAnsi"/>
          <w:sz w:val="24"/>
          <w:szCs w:val="24"/>
        </w:rPr>
        <w:t xml:space="preserve"> administracyjn</w:t>
      </w:r>
      <w:r w:rsidR="004A60C6" w:rsidRPr="002541D7">
        <w:rPr>
          <w:rFonts w:ascii="Lato" w:hAnsi="Lato" w:cstheme="majorHAnsi"/>
          <w:sz w:val="24"/>
          <w:szCs w:val="24"/>
        </w:rPr>
        <w:t>ych</w:t>
      </w:r>
      <w:r w:rsidR="0010323F" w:rsidRPr="002541D7">
        <w:rPr>
          <w:rFonts w:ascii="Lato" w:hAnsi="Lato" w:cstheme="majorHAnsi"/>
          <w:sz w:val="24"/>
          <w:szCs w:val="24"/>
        </w:rPr>
        <w:t xml:space="preserve"> (do 1</w:t>
      </w:r>
      <w:r w:rsidR="00C67ADF" w:rsidRPr="002541D7">
        <w:rPr>
          <w:rFonts w:ascii="Lato" w:hAnsi="Lato" w:cstheme="majorHAnsi"/>
          <w:sz w:val="24"/>
          <w:szCs w:val="24"/>
        </w:rPr>
        <w:t>0</w:t>
      </w:r>
      <w:r w:rsidR="0010323F" w:rsidRPr="002541D7">
        <w:rPr>
          <w:rFonts w:ascii="Lato" w:hAnsi="Lato" w:cstheme="majorHAnsi"/>
          <w:sz w:val="24"/>
          <w:szCs w:val="24"/>
        </w:rPr>
        <w:t xml:space="preserve"> grudnia 202</w:t>
      </w:r>
      <w:r w:rsidR="00C67ADF" w:rsidRPr="002541D7">
        <w:rPr>
          <w:rFonts w:ascii="Lato" w:hAnsi="Lato" w:cstheme="majorHAnsi"/>
          <w:sz w:val="24"/>
          <w:szCs w:val="24"/>
        </w:rPr>
        <w:t>3</w:t>
      </w:r>
      <w:r w:rsidR="0010323F" w:rsidRPr="002541D7">
        <w:rPr>
          <w:rFonts w:ascii="Lato" w:hAnsi="Lato" w:cstheme="majorHAnsi"/>
          <w:sz w:val="24"/>
          <w:szCs w:val="24"/>
        </w:rPr>
        <w:t xml:space="preserve"> r.)</w:t>
      </w:r>
      <w:r w:rsidR="00652447" w:rsidRPr="002541D7">
        <w:rPr>
          <w:rFonts w:ascii="Lato" w:hAnsi="Lato" w:cstheme="majorHAnsi"/>
          <w:sz w:val="24"/>
          <w:szCs w:val="24"/>
        </w:rPr>
        <w:t xml:space="preserve"> (dla porównania w związku z obwieszczeniami </w:t>
      </w:r>
      <w:r w:rsidR="004A60C6" w:rsidRPr="002541D7">
        <w:rPr>
          <w:rFonts w:ascii="Lato" w:hAnsi="Lato" w:cstheme="majorHAnsi"/>
          <w:sz w:val="24"/>
          <w:szCs w:val="24"/>
        </w:rPr>
        <w:t>61</w:t>
      </w:r>
      <w:r w:rsidR="00652447" w:rsidRPr="002541D7">
        <w:rPr>
          <w:rFonts w:ascii="Lato" w:hAnsi="Lato" w:cstheme="majorHAnsi"/>
          <w:sz w:val="24"/>
          <w:szCs w:val="24"/>
        </w:rPr>
        <w:t xml:space="preserve"> – 6</w:t>
      </w:r>
      <w:r w:rsidR="004A60C6" w:rsidRPr="002541D7">
        <w:rPr>
          <w:rFonts w:ascii="Lato" w:hAnsi="Lato" w:cstheme="majorHAnsi"/>
          <w:sz w:val="24"/>
          <w:szCs w:val="24"/>
        </w:rPr>
        <w:t>6</w:t>
      </w:r>
      <w:r w:rsidR="00652447" w:rsidRPr="002541D7">
        <w:rPr>
          <w:rFonts w:ascii="Lato" w:hAnsi="Lato" w:cstheme="majorHAnsi"/>
          <w:sz w:val="24"/>
          <w:szCs w:val="24"/>
        </w:rPr>
        <w:t xml:space="preserve"> wydano </w:t>
      </w:r>
      <w:r w:rsidR="004A60C6" w:rsidRPr="002541D7">
        <w:rPr>
          <w:rFonts w:ascii="Lato" w:hAnsi="Lato" w:cstheme="majorHAnsi"/>
          <w:sz w:val="24"/>
          <w:szCs w:val="24"/>
        </w:rPr>
        <w:t>7893</w:t>
      </w:r>
      <w:r w:rsidR="00652447" w:rsidRPr="002541D7">
        <w:rPr>
          <w:rFonts w:ascii="Lato" w:hAnsi="Lato" w:cstheme="majorHAnsi"/>
          <w:sz w:val="24"/>
          <w:szCs w:val="24"/>
        </w:rPr>
        <w:t xml:space="preserve"> decyzji administracyjnych)</w:t>
      </w:r>
      <w:r w:rsidR="003C2525" w:rsidRPr="002541D7">
        <w:rPr>
          <w:rFonts w:ascii="Lato" w:hAnsi="Lato" w:cstheme="majorHAnsi"/>
          <w:sz w:val="24"/>
          <w:szCs w:val="24"/>
        </w:rPr>
        <w:t>.</w:t>
      </w:r>
    </w:p>
    <w:p w14:paraId="0D1A9CEB" w14:textId="7F0E1263" w:rsidR="00816ED3" w:rsidRPr="002541D7" w:rsidRDefault="00974E35" w:rsidP="00C64949">
      <w:pPr>
        <w:pStyle w:val="Akapitzlist"/>
        <w:numPr>
          <w:ilvl w:val="0"/>
          <w:numId w:val="1"/>
        </w:numPr>
        <w:ind w:left="567" w:hanging="567"/>
        <w:contextualSpacing w:val="0"/>
        <w:jc w:val="both"/>
        <w:rPr>
          <w:rFonts w:ascii="Lato" w:hAnsi="Lato" w:cstheme="majorHAnsi"/>
          <w:sz w:val="24"/>
          <w:szCs w:val="24"/>
        </w:rPr>
      </w:pPr>
      <w:r w:rsidRPr="002541D7">
        <w:rPr>
          <w:rFonts w:ascii="Lato" w:hAnsi="Lato" w:cstheme="majorHAnsi"/>
          <w:sz w:val="24"/>
          <w:szCs w:val="24"/>
        </w:rPr>
        <w:t>W 202</w:t>
      </w:r>
      <w:r w:rsidR="00C67ADF" w:rsidRPr="002541D7">
        <w:rPr>
          <w:rFonts w:ascii="Lato" w:hAnsi="Lato" w:cstheme="majorHAnsi"/>
          <w:sz w:val="24"/>
          <w:szCs w:val="24"/>
        </w:rPr>
        <w:t>3</w:t>
      </w:r>
      <w:r w:rsidRPr="002541D7">
        <w:rPr>
          <w:rFonts w:ascii="Lato" w:hAnsi="Lato" w:cstheme="majorHAnsi"/>
          <w:sz w:val="24"/>
          <w:szCs w:val="24"/>
        </w:rPr>
        <w:t xml:space="preserve"> r. (do 1</w:t>
      </w:r>
      <w:r w:rsidR="00C67ADF" w:rsidRPr="002541D7">
        <w:rPr>
          <w:rFonts w:ascii="Lato" w:hAnsi="Lato" w:cstheme="majorHAnsi"/>
          <w:sz w:val="24"/>
          <w:szCs w:val="24"/>
        </w:rPr>
        <w:t>0</w:t>
      </w:r>
      <w:r w:rsidRPr="002541D7">
        <w:rPr>
          <w:rFonts w:ascii="Lato" w:hAnsi="Lato" w:cstheme="majorHAnsi"/>
          <w:sz w:val="24"/>
          <w:szCs w:val="24"/>
        </w:rPr>
        <w:t xml:space="preserve"> </w:t>
      </w:r>
      <w:r w:rsidR="006110C1" w:rsidRPr="002541D7">
        <w:rPr>
          <w:rFonts w:ascii="Lato" w:hAnsi="Lato" w:cstheme="majorHAnsi"/>
          <w:sz w:val="24"/>
          <w:szCs w:val="24"/>
        </w:rPr>
        <w:t>grudnia</w:t>
      </w:r>
      <w:r w:rsidRPr="002541D7">
        <w:rPr>
          <w:rFonts w:ascii="Lato" w:hAnsi="Lato" w:cstheme="majorHAnsi"/>
          <w:sz w:val="24"/>
          <w:szCs w:val="24"/>
        </w:rPr>
        <w:t xml:space="preserve"> 202</w:t>
      </w:r>
      <w:r w:rsidR="00C67ADF" w:rsidRPr="002541D7">
        <w:rPr>
          <w:rFonts w:ascii="Lato" w:hAnsi="Lato" w:cstheme="majorHAnsi"/>
          <w:sz w:val="24"/>
          <w:szCs w:val="24"/>
        </w:rPr>
        <w:t>3</w:t>
      </w:r>
      <w:r w:rsidRPr="002541D7">
        <w:rPr>
          <w:rFonts w:ascii="Lato" w:hAnsi="Lato" w:cstheme="majorHAnsi"/>
          <w:sz w:val="24"/>
          <w:szCs w:val="24"/>
        </w:rPr>
        <w:t xml:space="preserve"> r.) </w:t>
      </w:r>
      <w:r w:rsidR="00816ED3" w:rsidRPr="002541D7">
        <w:rPr>
          <w:rFonts w:ascii="Lato" w:hAnsi="Lato" w:cstheme="majorHAnsi"/>
          <w:sz w:val="24"/>
          <w:szCs w:val="24"/>
        </w:rPr>
        <w:t xml:space="preserve">wpłynęło </w:t>
      </w:r>
      <w:r w:rsidR="006110C1" w:rsidRPr="002541D7">
        <w:rPr>
          <w:rFonts w:ascii="Lato" w:hAnsi="Lato" w:cstheme="majorHAnsi"/>
          <w:sz w:val="24"/>
          <w:szCs w:val="24"/>
        </w:rPr>
        <w:t>2</w:t>
      </w:r>
      <w:r w:rsidR="00E106D9" w:rsidRPr="002541D7">
        <w:rPr>
          <w:rFonts w:ascii="Lato" w:hAnsi="Lato" w:cstheme="majorHAnsi"/>
          <w:sz w:val="24"/>
          <w:szCs w:val="24"/>
        </w:rPr>
        <w:t>899</w:t>
      </w:r>
      <w:r w:rsidR="006110C1" w:rsidRPr="002541D7">
        <w:rPr>
          <w:rFonts w:ascii="Lato" w:hAnsi="Lato" w:cstheme="majorHAnsi"/>
          <w:sz w:val="24"/>
          <w:szCs w:val="24"/>
        </w:rPr>
        <w:t xml:space="preserve"> </w:t>
      </w:r>
      <w:r w:rsidR="00816ED3" w:rsidRPr="002541D7">
        <w:rPr>
          <w:rFonts w:ascii="Lato" w:hAnsi="Lato" w:cstheme="majorHAnsi"/>
          <w:sz w:val="24"/>
          <w:szCs w:val="24"/>
        </w:rPr>
        <w:t>wniosk</w:t>
      </w:r>
      <w:r w:rsidR="00E106D9" w:rsidRPr="002541D7">
        <w:rPr>
          <w:rFonts w:ascii="Lato" w:hAnsi="Lato" w:cstheme="majorHAnsi"/>
          <w:sz w:val="24"/>
          <w:szCs w:val="24"/>
        </w:rPr>
        <w:t>ów</w:t>
      </w:r>
      <w:r w:rsidR="00816ED3" w:rsidRPr="002541D7">
        <w:rPr>
          <w:rFonts w:ascii="Lato" w:hAnsi="Lato" w:cstheme="majorHAnsi"/>
          <w:sz w:val="24"/>
          <w:szCs w:val="24"/>
        </w:rPr>
        <w:t xml:space="preserve"> </w:t>
      </w:r>
      <w:r w:rsidRPr="002541D7">
        <w:rPr>
          <w:rFonts w:ascii="Lato" w:hAnsi="Lato" w:cstheme="majorHAnsi"/>
          <w:sz w:val="24"/>
          <w:szCs w:val="24"/>
        </w:rPr>
        <w:t xml:space="preserve">(łącznie: </w:t>
      </w:r>
      <w:r w:rsidR="00816ED3" w:rsidRPr="002541D7">
        <w:rPr>
          <w:rFonts w:ascii="Lato" w:hAnsi="Lato" w:cstheme="majorHAnsi"/>
          <w:sz w:val="24"/>
          <w:szCs w:val="24"/>
        </w:rPr>
        <w:t>o objęcie refundacją,</w:t>
      </w:r>
      <w:r w:rsidRPr="002541D7">
        <w:rPr>
          <w:rFonts w:ascii="Lato" w:hAnsi="Lato" w:cstheme="majorHAnsi"/>
          <w:sz w:val="24"/>
          <w:szCs w:val="24"/>
        </w:rPr>
        <w:t xml:space="preserve"> podwyższenie, obniżenie ceny oraz skrócenie obowiązywania decyzji) (dla porównania </w:t>
      </w:r>
      <w:r w:rsidR="00BC5518" w:rsidRPr="002541D7">
        <w:rPr>
          <w:rFonts w:ascii="Lato" w:hAnsi="Lato" w:cstheme="majorHAnsi"/>
          <w:sz w:val="24"/>
          <w:szCs w:val="24"/>
        </w:rPr>
        <w:t xml:space="preserve">w </w:t>
      </w:r>
      <w:r w:rsidRPr="002541D7">
        <w:rPr>
          <w:rFonts w:ascii="Lato" w:hAnsi="Lato" w:cstheme="majorHAnsi"/>
          <w:sz w:val="24"/>
          <w:szCs w:val="24"/>
        </w:rPr>
        <w:t>202</w:t>
      </w:r>
      <w:r w:rsidR="00C67ADF" w:rsidRPr="002541D7">
        <w:rPr>
          <w:rFonts w:ascii="Lato" w:hAnsi="Lato" w:cstheme="majorHAnsi"/>
          <w:sz w:val="24"/>
          <w:szCs w:val="24"/>
        </w:rPr>
        <w:t>2</w:t>
      </w:r>
      <w:r w:rsidR="00816ED3" w:rsidRPr="002541D7">
        <w:rPr>
          <w:rFonts w:ascii="Lato" w:hAnsi="Lato" w:cstheme="majorHAnsi"/>
          <w:sz w:val="24"/>
          <w:szCs w:val="24"/>
        </w:rPr>
        <w:t xml:space="preserve"> wpłynęło</w:t>
      </w:r>
      <w:r w:rsidR="00BC5518" w:rsidRPr="002541D7">
        <w:rPr>
          <w:rFonts w:ascii="Lato" w:hAnsi="Lato" w:cstheme="majorHAnsi"/>
          <w:sz w:val="24"/>
          <w:szCs w:val="24"/>
        </w:rPr>
        <w:t xml:space="preserve"> </w:t>
      </w:r>
      <w:r w:rsidR="002541D7" w:rsidRPr="002541D7">
        <w:rPr>
          <w:rFonts w:ascii="Lato" w:hAnsi="Lato" w:cstheme="majorHAnsi"/>
          <w:sz w:val="24"/>
          <w:szCs w:val="24"/>
        </w:rPr>
        <w:t>2511</w:t>
      </w:r>
      <w:r w:rsidR="00BC5518" w:rsidRPr="002541D7">
        <w:rPr>
          <w:rFonts w:ascii="Lato" w:hAnsi="Lato" w:cstheme="majorHAnsi"/>
          <w:sz w:val="24"/>
          <w:szCs w:val="24"/>
        </w:rPr>
        <w:t xml:space="preserve"> </w:t>
      </w:r>
      <w:r w:rsidR="00804B8E" w:rsidRPr="002541D7">
        <w:rPr>
          <w:rFonts w:ascii="Lato" w:hAnsi="Lato" w:cstheme="majorHAnsi"/>
          <w:sz w:val="24"/>
          <w:szCs w:val="24"/>
        </w:rPr>
        <w:t>wniosków</w:t>
      </w:r>
      <w:r w:rsidR="00BC5518" w:rsidRPr="002541D7">
        <w:rPr>
          <w:rFonts w:ascii="Lato" w:hAnsi="Lato" w:cstheme="majorHAnsi"/>
          <w:sz w:val="24"/>
          <w:szCs w:val="24"/>
        </w:rPr>
        <w:t>)</w:t>
      </w:r>
      <w:r w:rsidR="00804B8E" w:rsidRPr="002541D7">
        <w:rPr>
          <w:rFonts w:ascii="Lato" w:hAnsi="Lato" w:cstheme="majorHAnsi"/>
          <w:sz w:val="24"/>
          <w:szCs w:val="24"/>
        </w:rPr>
        <w:t>.</w:t>
      </w:r>
    </w:p>
    <w:p w14:paraId="51028EE7" w14:textId="145FC488" w:rsidR="00816ED3" w:rsidRPr="002541D7" w:rsidRDefault="00816ED3" w:rsidP="00C64949">
      <w:pPr>
        <w:pStyle w:val="Akapitzlist"/>
        <w:numPr>
          <w:ilvl w:val="0"/>
          <w:numId w:val="1"/>
        </w:numPr>
        <w:ind w:left="567" w:hanging="567"/>
        <w:contextualSpacing w:val="0"/>
        <w:jc w:val="both"/>
        <w:rPr>
          <w:rFonts w:ascii="Lato" w:hAnsi="Lato" w:cstheme="majorHAnsi"/>
          <w:sz w:val="24"/>
          <w:szCs w:val="24"/>
        </w:rPr>
      </w:pPr>
      <w:r w:rsidRPr="002541D7">
        <w:rPr>
          <w:rFonts w:ascii="Lato" w:hAnsi="Lato" w:cstheme="majorHAnsi"/>
          <w:sz w:val="24"/>
          <w:szCs w:val="24"/>
        </w:rPr>
        <w:t>W 202</w:t>
      </w:r>
      <w:r w:rsidR="00575184" w:rsidRPr="002541D7">
        <w:rPr>
          <w:rFonts w:ascii="Lato" w:hAnsi="Lato" w:cstheme="majorHAnsi"/>
          <w:sz w:val="24"/>
          <w:szCs w:val="24"/>
        </w:rPr>
        <w:t>3</w:t>
      </w:r>
      <w:r w:rsidRPr="002541D7">
        <w:rPr>
          <w:rFonts w:ascii="Lato" w:hAnsi="Lato" w:cstheme="majorHAnsi"/>
          <w:sz w:val="24"/>
          <w:szCs w:val="24"/>
        </w:rPr>
        <w:t xml:space="preserve"> r. refundacją objęto </w:t>
      </w:r>
      <w:r w:rsidR="006110C1" w:rsidRPr="002541D7">
        <w:rPr>
          <w:rFonts w:ascii="Lato" w:hAnsi="Lato" w:cstheme="majorHAnsi"/>
          <w:sz w:val="24"/>
          <w:szCs w:val="24"/>
        </w:rPr>
        <w:t>1</w:t>
      </w:r>
      <w:r w:rsidR="00575184" w:rsidRPr="002541D7">
        <w:rPr>
          <w:rFonts w:ascii="Lato" w:hAnsi="Lato" w:cstheme="majorHAnsi"/>
          <w:sz w:val="24"/>
          <w:szCs w:val="24"/>
        </w:rPr>
        <w:t>4</w:t>
      </w:r>
      <w:r w:rsidR="006110C1" w:rsidRPr="002541D7">
        <w:rPr>
          <w:rFonts w:ascii="Lato" w:hAnsi="Lato" w:cstheme="majorHAnsi"/>
          <w:sz w:val="24"/>
          <w:szCs w:val="24"/>
        </w:rPr>
        <w:t>5</w:t>
      </w:r>
      <w:r w:rsidRPr="002541D7">
        <w:rPr>
          <w:rFonts w:ascii="Lato" w:hAnsi="Lato" w:cstheme="majorHAnsi"/>
          <w:sz w:val="24"/>
          <w:szCs w:val="24"/>
        </w:rPr>
        <w:t xml:space="preserve"> nowych cząsteczko</w:t>
      </w:r>
      <w:r w:rsidR="002B1197" w:rsidRPr="002541D7">
        <w:rPr>
          <w:rFonts w:ascii="Lato" w:hAnsi="Lato" w:cstheme="majorHAnsi"/>
          <w:sz w:val="24"/>
          <w:szCs w:val="24"/>
        </w:rPr>
        <w:t>-</w:t>
      </w:r>
      <w:r w:rsidRPr="002541D7">
        <w:rPr>
          <w:rFonts w:ascii="Lato" w:hAnsi="Lato" w:cstheme="majorHAnsi"/>
          <w:sz w:val="24"/>
          <w:szCs w:val="24"/>
        </w:rPr>
        <w:t>wskazań</w:t>
      </w:r>
      <w:r w:rsidR="00B25313" w:rsidRPr="002541D7">
        <w:rPr>
          <w:rFonts w:ascii="Lato" w:hAnsi="Lato" w:cstheme="majorHAnsi"/>
          <w:sz w:val="24"/>
          <w:szCs w:val="24"/>
        </w:rPr>
        <w:t xml:space="preserve"> (dla porównania w 202</w:t>
      </w:r>
      <w:r w:rsidR="00575184" w:rsidRPr="002541D7">
        <w:rPr>
          <w:rFonts w:ascii="Lato" w:hAnsi="Lato" w:cstheme="majorHAnsi"/>
          <w:sz w:val="24"/>
          <w:szCs w:val="24"/>
        </w:rPr>
        <w:t>2</w:t>
      </w:r>
      <w:r w:rsidR="00B25313" w:rsidRPr="002541D7">
        <w:rPr>
          <w:rFonts w:ascii="Lato" w:hAnsi="Lato" w:cstheme="majorHAnsi"/>
          <w:sz w:val="24"/>
          <w:szCs w:val="24"/>
        </w:rPr>
        <w:t xml:space="preserve"> r. refundacją objęto </w:t>
      </w:r>
      <w:r w:rsidR="00575184" w:rsidRPr="002541D7">
        <w:rPr>
          <w:rFonts w:ascii="Lato" w:hAnsi="Lato" w:cstheme="majorHAnsi"/>
          <w:sz w:val="24"/>
          <w:szCs w:val="24"/>
        </w:rPr>
        <w:t>115</w:t>
      </w:r>
      <w:r w:rsidR="00B25313" w:rsidRPr="002541D7">
        <w:rPr>
          <w:rFonts w:ascii="Lato" w:hAnsi="Lato" w:cstheme="majorHAnsi"/>
          <w:sz w:val="24"/>
          <w:szCs w:val="24"/>
        </w:rPr>
        <w:t xml:space="preserve"> nowych cząsteczko</w:t>
      </w:r>
      <w:r w:rsidR="002B1197" w:rsidRPr="002541D7">
        <w:rPr>
          <w:rFonts w:ascii="Lato" w:hAnsi="Lato" w:cstheme="majorHAnsi"/>
          <w:sz w:val="24"/>
          <w:szCs w:val="24"/>
        </w:rPr>
        <w:t>-</w:t>
      </w:r>
      <w:r w:rsidR="00B25313" w:rsidRPr="002541D7">
        <w:rPr>
          <w:rFonts w:ascii="Lato" w:hAnsi="Lato" w:cstheme="majorHAnsi"/>
          <w:sz w:val="24"/>
          <w:szCs w:val="24"/>
        </w:rPr>
        <w:t>wskazań)</w:t>
      </w:r>
      <w:r w:rsidRPr="002541D7">
        <w:rPr>
          <w:rFonts w:ascii="Lato" w:hAnsi="Lato" w:cstheme="majorHAnsi"/>
          <w:sz w:val="24"/>
          <w:szCs w:val="24"/>
        </w:rPr>
        <w:t>. Podział ze względu na rodzaj wskazań, kategorię dostępności, choroby rzadkie przedstawiono na wykresach poniżej.</w:t>
      </w:r>
    </w:p>
    <w:p w14:paraId="79FA59D7" w14:textId="731A1EC3" w:rsidR="00816ED3" w:rsidRPr="002667F9" w:rsidRDefault="00816ED3" w:rsidP="00816ED3">
      <w:pPr>
        <w:jc w:val="both"/>
        <w:rPr>
          <w:rFonts w:ascii="Lato" w:hAnsi="Lato"/>
          <w:color w:val="FF0000"/>
          <w:sz w:val="24"/>
          <w:szCs w:val="24"/>
        </w:rPr>
      </w:pPr>
    </w:p>
    <w:p w14:paraId="69411C75" w14:textId="2BBB53A0" w:rsidR="00816802" w:rsidRPr="002667F9" w:rsidRDefault="00051253" w:rsidP="00816802">
      <w:pPr>
        <w:rPr>
          <w:rFonts w:ascii="Lato" w:hAnsi="Lato"/>
          <w:noProof/>
        </w:rPr>
      </w:pPr>
      <w:r>
        <w:rPr>
          <w:noProof/>
        </w:rPr>
        <w:lastRenderedPageBreak/>
        <w:drawing>
          <wp:inline distT="0" distB="0" distL="0" distR="0" wp14:anchorId="0F1A066B" wp14:editId="36E0D62F">
            <wp:extent cx="2924175" cy="2959100"/>
            <wp:effectExtent l="0" t="0" r="9525" b="12700"/>
            <wp:docPr id="448310115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EC6264FB-FD58-49E5-89F0-4DFCA70BD4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B8735B" w:rsidRPr="002667F9">
        <w:rPr>
          <w:rFonts w:ascii="Lato" w:hAnsi="Lato"/>
          <w:noProof/>
        </w:rPr>
        <w:t xml:space="preserve"> </w:t>
      </w:r>
      <w:r w:rsidR="00C510DE">
        <w:rPr>
          <w:noProof/>
        </w:rPr>
        <w:drawing>
          <wp:inline distT="0" distB="0" distL="0" distR="0" wp14:anchorId="6F582F45" wp14:editId="173A6928">
            <wp:extent cx="2923540" cy="2973070"/>
            <wp:effectExtent l="0" t="0" r="10160" b="17780"/>
            <wp:docPr id="1527414753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6B5F9B1B-E4F9-4A2F-8C0A-EDCEDEE59B9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B8735B" w:rsidRPr="002667F9">
        <w:rPr>
          <w:rFonts w:ascii="Lato" w:hAnsi="Lato"/>
          <w:noProof/>
        </w:rPr>
        <w:t xml:space="preserve"> </w:t>
      </w:r>
      <w:r w:rsidR="00D019FD">
        <w:rPr>
          <w:noProof/>
        </w:rPr>
        <w:drawing>
          <wp:inline distT="0" distB="0" distL="0" distR="0" wp14:anchorId="099362E7" wp14:editId="6A859AD2">
            <wp:extent cx="2858770" cy="2987012"/>
            <wp:effectExtent l="0" t="0" r="17780" b="4445"/>
            <wp:docPr id="100081427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C43F10CD-66D6-4C36-8917-38AAEB39D0C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BB115A" w:rsidRPr="002667F9">
        <w:rPr>
          <w:rFonts w:ascii="Lato" w:hAnsi="Lato"/>
          <w:noProof/>
        </w:rPr>
        <w:t xml:space="preserve"> </w:t>
      </w:r>
    </w:p>
    <w:p w14:paraId="02485099" w14:textId="1D4000E1" w:rsidR="00BA1ACD" w:rsidRPr="002667F9" w:rsidRDefault="0028574E" w:rsidP="00097FDB">
      <w:pPr>
        <w:suppressAutoHyphens w:val="0"/>
        <w:spacing w:line="252" w:lineRule="auto"/>
        <w:textAlignment w:val="auto"/>
        <w:rPr>
          <w:rFonts w:ascii="Lato" w:hAnsi="Lato"/>
          <w:b/>
          <w:bCs/>
          <w:color w:val="00B0F0"/>
          <w:sz w:val="28"/>
          <w:szCs w:val="28"/>
        </w:rPr>
      </w:pPr>
      <w:r w:rsidRPr="002667F9">
        <w:rPr>
          <w:rFonts w:ascii="Lato" w:hAnsi="Lato"/>
          <w:b/>
          <w:bCs/>
          <w:color w:val="00B0F0"/>
          <w:sz w:val="28"/>
          <w:szCs w:val="28"/>
        </w:rPr>
        <w:t xml:space="preserve"> </w:t>
      </w:r>
      <w:r w:rsidR="009E560E">
        <w:rPr>
          <w:noProof/>
        </w:rPr>
        <w:drawing>
          <wp:inline distT="0" distB="0" distL="0" distR="0" wp14:anchorId="2A8BDCC6" wp14:editId="33A28179">
            <wp:extent cx="4346812" cy="2948940"/>
            <wp:effectExtent l="0" t="0" r="15875" b="3810"/>
            <wp:docPr id="597807106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69F9A193-17B8-4E0A-8F85-B5AD1F1CDC3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CD04F5" w:rsidRPr="002667F9">
        <w:rPr>
          <w:rFonts w:ascii="Lato" w:hAnsi="Lato"/>
          <w:b/>
          <w:bCs/>
          <w:color w:val="00B0F0"/>
          <w:sz w:val="28"/>
          <w:szCs w:val="28"/>
        </w:rPr>
        <w:t xml:space="preserve"> </w:t>
      </w:r>
      <w:r w:rsidR="0040222E">
        <w:rPr>
          <w:noProof/>
        </w:rPr>
        <w:drawing>
          <wp:inline distT="0" distB="0" distL="0" distR="0" wp14:anchorId="11A00CC5" wp14:editId="48C387E5">
            <wp:extent cx="4352925" cy="2944173"/>
            <wp:effectExtent l="0" t="0" r="9525" b="8890"/>
            <wp:docPr id="72316015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6053501B-B86A-49A7-902E-BBDFC455FDB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1EDA114" w14:textId="77777777" w:rsidR="00816802" w:rsidRPr="002667F9" w:rsidRDefault="00816802" w:rsidP="00816802">
      <w:pPr>
        <w:jc w:val="center"/>
        <w:rPr>
          <w:rFonts w:ascii="Lato" w:hAnsi="Lato" w:cstheme="majorHAnsi"/>
          <w:b/>
          <w:bCs/>
          <w:color w:val="00B0F0"/>
          <w:sz w:val="28"/>
          <w:szCs w:val="28"/>
        </w:rPr>
      </w:pPr>
      <w:r w:rsidRPr="002667F9">
        <w:rPr>
          <w:rFonts w:ascii="Lato" w:hAnsi="Lato" w:cstheme="majorHAnsi"/>
          <w:b/>
          <w:bCs/>
          <w:color w:val="00B0F0"/>
          <w:sz w:val="28"/>
          <w:szCs w:val="28"/>
        </w:rPr>
        <w:lastRenderedPageBreak/>
        <w:t>NOWE WSKAZANIA ORAZ ZMIANY W PROGRAMACH LEKOWYCH i CHEMIOTERAPII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592"/>
        <w:gridCol w:w="1509"/>
        <w:gridCol w:w="1853"/>
        <w:gridCol w:w="1996"/>
        <w:gridCol w:w="3401"/>
        <w:gridCol w:w="4643"/>
      </w:tblGrid>
      <w:tr w:rsidR="00816802" w:rsidRPr="002667F9" w14:paraId="57DBB0A2" w14:textId="77777777" w:rsidTr="004D78D6">
        <w:trPr>
          <w:cantSplit/>
          <w:trHeight w:val="19"/>
        </w:trPr>
        <w:tc>
          <w:tcPr>
            <w:tcW w:w="5000" w:type="pct"/>
            <w:gridSpan w:val="6"/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93750" w14:textId="77777777" w:rsidR="00816802" w:rsidRPr="002667F9" w:rsidRDefault="00816802" w:rsidP="00C61F3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  <w:sz w:val="20"/>
                <w:szCs w:val="20"/>
              </w:rPr>
            </w:pPr>
            <w:r w:rsidRPr="002667F9">
              <w:rPr>
                <w:rFonts w:ascii="Lato" w:hAnsi="Lato" w:cstheme="majorHAnsi"/>
                <w:b/>
                <w:bCs/>
                <w:color w:val="FFFFFF"/>
                <w:sz w:val="20"/>
                <w:szCs w:val="20"/>
              </w:rPr>
              <w:t>Programy lekowe i chemioterapia</w:t>
            </w:r>
          </w:p>
        </w:tc>
      </w:tr>
      <w:tr w:rsidR="00816802" w:rsidRPr="002667F9" w14:paraId="7B0FB716" w14:textId="77777777" w:rsidTr="004D78D6">
        <w:trPr>
          <w:cantSplit/>
          <w:trHeight w:val="19"/>
        </w:trPr>
        <w:tc>
          <w:tcPr>
            <w:tcW w:w="5000" w:type="pct"/>
            <w:gridSpan w:val="6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42D04" w14:textId="0EB001CC" w:rsidR="00816802" w:rsidRPr="002667F9" w:rsidRDefault="00816802" w:rsidP="00C61F3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  <w:sz w:val="20"/>
                <w:szCs w:val="20"/>
              </w:rPr>
            </w:pPr>
            <w:r w:rsidRPr="002667F9">
              <w:rPr>
                <w:rFonts w:ascii="Lato" w:hAnsi="Lato" w:cstheme="majorHAnsi"/>
                <w:b/>
                <w:bCs/>
                <w:color w:val="FFFFFF"/>
                <w:sz w:val="20"/>
                <w:szCs w:val="20"/>
              </w:rPr>
              <w:t xml:space="preserve">Nowe </w:t>
            </w:r>
            <w:r w:rsidR="00E26A4D" w:rsidRPr="002667F9">
              <w:rPr>
                <w:rFonts w:ascii="Lato" w:hAnsi="Lato" w:cstheme="majorHAnsi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2667F9">
              <w:rPr>
                <w:rFonts w:ascii="Lato" w:hAnsi="Lato" w:cstheme="majorHAnsi"/>
                <w:b/>
                <w:bCs/>
                <w:color w:val="FFFFFF"/>
                <w:sz w:val="20"/>
                <w:szCs w:val="20"/>
              </w:rPr>
              <w:t>wskazania onkologiczne</w:t>
            </w:r>
          </w:p>
        </w:tc>
      </w:tr>
      <w:tr w:rsidR="00816802" w:rsidRPr="002667F9" w14:paraId="4ECF3EF6" w14:textId="77777777" w:rsidTr="00C64949">
        <w:trPr>
          <w:cantSplit/>
          <w:trHeight w:val="19"/>
        </w:trPr>
        <w:tc>
          <w:tcPr>
            <w:tcW w:w="212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FAF85" w14:textId="77777777" w:rsidR="00816802" w:rsidRPr="002667F9" w:rsidRDefault="00816802" w:rsidP="00C61F3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</w:pPr>
            <w:r w:rsidRPr="002667F9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39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D43C8" w14:textId="77777777" w:rsidR="00816802" w:rsidRPr="002667F9" w:rsidRDefault="00816802" w:rsidP="00C61F3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</w:pPr>
            <w:r w:rsidRPr="002667F9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Nazwa leku</w:t>
            </w:r>
          </w:p>
        </w:tc>
        <w:tc>
          <w:tcPr>
            <w:tcW w:w="662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E078D" w14:textId="77777777" w:rsidR="00816802" w:rsidRPr="002667F9" w:rsidRDefault="00816802" w:rsidP="00C61F3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</w:pPr>
            <w:r w:rsidRPr="002667F9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Substancja czynna</w:t>
            </w:r>
          </w:p>
        </w:tc>
        <w:tc>
          <w:tcPr>
            <w:tcW w:w="713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49965" w14:textId="77777777" w:rsidR="00816802" w:rsidRPr="002667F9" w:rsidRDefault="00816802" w:rsidP="00C61F3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</w:pPr>
            <w:r w:rsidRPr="002667F9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Numer programu lekowego/załącznika chemioterapii</w:t>
            </w:r>
          </w:p>
        </w:tc>
        <w:tc>
          <w:tcPr>
            <w:tcW w:w="1215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D841E" w14:textId="77777777" w:rsidR="00816802" w:rsidRPr="002667F9" w:rsidRDefault="00816802" w:rsidP="00C61F3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</w:pPr>
            <w:r w:rsidRPr="002667F9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 xml:space="preserve">Nazwa programu lekowego / </w:t>
            </w:r>
          </w:p>
          <w:p w14:paraId="6402573A" w14:textId="77777777" w:rsidR="00816802" w:rsidRPr="002667F9" w:rsidRDefault="00816802" w:rsidP="00C61F38">
            <w:pPr>
              <w:spacing w:before="60" w:after="60" w:line="240" w:lineRule="auto"/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2667F9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Załącznika chemioterapii</w:t>
            </w:r>
          </w:p>
        </w:tc>
        <w:tc>
          <w:tcPr>
            <w:tcW w:w="1659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92E3A" w14:textId="77777777" w:rsidR="00816802" w:rsidRPr="002667F9" w:rsidRDefault="00816802" w:rsidP="00C61F3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</w:pPr>
            <w:r w:rsidRPr="002667F9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Doprecyzowanie wskazania</w:t>
            </w:r>
          </w:p>
        </w:tc>
      </w:tr>
      <w:tr w:rsidR="00004386" w:rsidRPr="002667F9" w14:paraId="248583B6" w14:textId="77777777" w:rsidTr="00004386">
        <w:trPr>
          <w:cantSplit/>
          <w:trHeight w:val="853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326D7" w14:textId="77898C6F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36644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5CA97" w14:textId="35CE8BC2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Opdivo + Yervoy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9DD71" w14:textId="4FD46AB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niwolumab + ipilimumab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1290B" w14:textId="230ED522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B.4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0618A" w14:textId="0B134D5A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ZAAWANSOWANEGO RAKA JELITA GRUBEGO (ICD-10: C18 – C20)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ABD1B" w14:textId="7E8B1A8E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w II albo III albo IV albo V linii chorych na zaawansowanego raka jelita grubego z potwierdzoną niestabilnością mikrosatelitarną wysokiego stopnia (ang. MSI-H) lub zaburzeniami mechanizmów naprawy uszkodzeń DNA o typie niedopasowania (ang. dMMR) z wykorzystaniem substancji czynnej niwolumab w skojarzeniu z ipilimumabem.</w:t>
            </w:r>
          </w:p>
        </w:tc>
      </w:tr>
      <w:tr w:rsidR="00004386" w:rsidRPr="002667F9" w14:paraId="1CB92584" w14:textId="77777777" w:rsidTr="00004386">
        <w:trPr>
          <w:cantSplit/>
          <w:trHeight w:val="64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7FBF5" w14:textId="72DD735C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36644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99E94" w14:textId="3986C7E0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Keytruda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54C90" w14:textId="02AEB3D2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pembrolizumab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6FE04" w14:textId="033531CB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B.4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BA0CA" w14:textId="2AC3FC8F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ZAAWANSOWANEGO RAKA JELITA GRUBEGO (ICD-10: C18 – C20)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44E36" w14:textId="3BBCD32F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w I linii chorych na zaawansowanego raka jelita grubego z potwierdzoną niestabilnością mikrosatelitarną wysokiego stopnia (ang. MSI-H) lub zaburzeniami mechanizmów naprawy uszkodzeń DNA o typie niedopasowania (ang. dMMR) z wykorzystaniem substancji czynnej pembrolizumab w monoterapii.</w:t>
            </w:r>
          </w:p>
        </w:tc>
      </w:tr>
      <w:tr w:rsidR="00004386" w:rsidRPr="002667F9" w14:paraId="193B4753" w14:textId="77777777" w:rsidTr="00004386">
        <w:trPr>
          <w:cantSplit/>
          <w:trHeight w:val="331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CDF8F" w14:textId="349F8623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36644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9763E" w14:textId="55FE9115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Imfinzi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A2E20" w14:textId="2210B8C2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durwalumab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83002" w14:textId="768CB40E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680E9" w14:textId="0EE4652A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C4FBA" w14:textId="6B09BB45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w I linii chorych na drobnokomórkowego raka płuca z zastosowaniem durwalumabu (w skojarzeniu z pochodną platyny (cisplatyna lub karboplatyna) i etopozydem w fazie indukcji).</w:t>
            </w:r>
          </w:p>
        </w:tc>
      </w:tr>
      <w:tr w:rsidR="00004386" w:rsidRPr="002667F9" w14:paraId="044EEB5D" w14:textId="77777777" w:rsidTr="00004386">
        <w:trPr>
          <w:cantSplit/>
          <w:trHeight w:val="188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B38F7" w14:textId="2DC431AE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36644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4.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52B01" w14:textId="6B1D5DF0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Tagrisso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FA5F2" w14:textId="60A9A2CB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ozymertynib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E13EC" w14:textId="4222BC8B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F2ADD" w14:textId="661D0C93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C29DD" w14:textId="03785D7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uzupełniające po radykalnej resekcji guza u pacjentów z niedrobnokomórkowym rakiem płuca.</w:t>
            </w:r>
          </w:p>
        </w:tc>
      </w:tr>
      <w:tr w:rsidR="00004386" w:rsidRPr="002667F9" w14:paraId="45CA1288" w14:textId="77777777" w:rsidTr="00004386">
        <w:trPr>
          <w:cantSplit/>
          <w:trHeight w:val="64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1945C" w14:textId="112049DF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36644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5.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57605" w14:textId="3BA64D96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Tagrisso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D8D88" w14:textId="75FB4589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ozymertynib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B93F1" w14:textId="49A807F9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75000" w14:textId="0F0C0123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50CD4" w14:textId="5A9450EA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III i kolejnych linii niedrobnokomórkowego raka płuca u pacjentów z potwierdzoną obecnością mutacji T790M w genie EGFR.</w:t>
            </w:r>
          </w:p>
        </w:tc>
      </w:tr>
      <w:tr w:rsidR="00004386" w:rsidRPr="002667F9" w14:paraId="2ECFFB00" w14:textId="77777777" w:rsidTr="00C64949">
        <w:trPr>
          <w:cantSplit/>
          <w:trHeight w:val="1023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EA77F" w14:textId="11175528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36644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6.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CB12B" w14:textId="06F0F980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Libtayo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5862E" w14:textId="65A06AD4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cemiplimab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95819" w14:textId="4E46AF60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57234" w14:textId="6E590630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AF46E" w14:textId="684F443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I linii w monoterapii pacjentów z rozsianym niedrobnokomórkowym rakiem płuca o wysokiej ekspresji PD-L1 (Pd-L1 </w:t>
            </w:r>
            <w:r w:rsidRPr="00004386">
              <w:rPr>
                <w:rFonts w:ascii="Cambria Math" w:hAnsi="Cambria Math" w:cs="Cambria Math"/>
                <w:color w:val="000000"/>
                <w:sz w:val="18"/>
                <w:szCs w:val="18"/>
              </w:rPr>
              <w:t>⩾</w:t>
            </w: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50%).</w:t>
            </w:r>
          </w:p>
        </w:tc>
      </w:tr>
      <w:tr w:rsidR="00004386" w:rsidRPr="002667F9" w14:paraId="2693D9E7" w14:textId="77777777" w:rsidTr="00004386">
        <w:trPr>
          <w:cantSplit/>
          <w:trHeight w:val="502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3979D" w14:textId="484DBA4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36644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lastRenderedPageBreak/>
              <w:t>7.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C5115" w14:textId="43F8D7A9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Tecentriq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F4D72" w14:textId="3C76348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atezolizumab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AFECE" w14:textId="08C2E080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E105C" w14:textId="6874C6BD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665FF" w14:textId="62F91F71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I linii w monoterapii pacjentów z rozsianym niedrobnokomórkowym rakiem płuca o wysokiej ekspresji PD-L1 (Pd-L1 </w:t>
            </w:r>
            <w:r w:rsidRPr="00004386">
              <w:rPr>
                <w:rFonts w:ascii="Cambria Math" w:hAnsi="Cambria Math" w:cs="Cambria Math"/>
                <w:color w:val="000000"/>
                <w:sz w:val="18"/>
                <w:szCs w:val="18"/>
              </w:rPr>
              <w:t>⩾</w:t>
            </w: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50%).</w:t>
            </w:r>
          </w:p>
        </w:tc>
      </w:tr>
      <w:tr w:rsidR="00004386" w:rsidRPr="002667F9" w14:paraId="045D80D5" w14:textId="77777777" w:rsidTr="00C64949">
        <w:trPr>
          <w:cantSplit/>
          <w:trHeight w:val="979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9DED2" w14:textId="5B249C13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36644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8.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5EE75" w14:textId="0A3829A4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Rozlytrek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0C58" w14:textId="27A22829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entrektynib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85FF7" w14:textId="372B542F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651F5" w14:textId="6CD3F78D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30BEF" w14:textId="1ACCBD55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I lub II linii niedrobnokomórkowego raka płuc u pacjentów z fuzją genu ROS-1 (chorzy z niepowodzeniem wcześniejszej chemioterapii).</w:t>
            </w:r>
          </w:p>
        </w:tc>
      </w:tr>
      <w:tr w:rsidR="00004386" w:rsidRPr="002667F9" w14:paraId="5F9B6B42" w14:textId="77777777" w:rsidTr="008B21D7">
        <w:trPr>
          <w:cantSplit/>
          <w:trHeight w:val="696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416EA" w14:textId="4371FFCF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36644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9.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FD6F1" w14:textId="3B8828F1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Opdivo + Yervoy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59D69" w14:textId="71976ED4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niwolumab + ipilimumab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4B862" w14:textId="14496612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6F61" w14:textId="2BA6FCA1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7A5AB" w14:textId="40367B9D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I linii niedrobnokomórkowego raka płuca u pacjentów</w:t>
            </w:r>
            <w:r w:rsidRPr="00004386">
              <w:rPr>
                <w:rFonts w:ascii="Lato" w:hAnsi="Lato"/>
                <w:sz w:val="18"/>
                <w:szCs w:val="18"/>
              </w:rPr>
              <w:t xml:space="preserve"> </w:t>
            </w: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z ekspresją PD-L1 &lt; 50% z zastosowaniem w skojarzeniu niwolumabu i ipilimumabu w połączeniu z dwoma cyklami chemioterapii.</w:t>
            </w:r>
          </w:p>
        </w:tc>
      </w:tr>
      <w:tr w:rsidR="00004386" w:rsidRPr="002667F9" w14:paraId="34F09147" w14:textId="77777777" w:rsidTr="008B21D7">
        <w:trPr>
          <w:cantSplit/>
          <w:trHeight w:val="79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EB085" w14:textId="5E0FF1F5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36644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10.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6CD95" w14:textId="053108AF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Opdivo + Yervoy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9C337" w14:textId="4526E276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niwolumab + ipilimumab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2F903" w14:textId="5EDD6F98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7AE5F" w14:textId="1D8B7783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95AE3" w14:textId="0A74A12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I linii pacjentów chorych na nieoperacyjnego złośliwego międzybłoniaka opłucnej niwolumabem w skojarzeniu z ipilimumabem.</w:t>
            </w:r>
          </w:p>
        </w:tc>
      </w:tr>
      <w:tr w:rsidR="00004386" w:rsidRPr="002667F9" w14:paraId="3F773586" w14:textId="77777777" w:rsidTr="00C64949">
        <w:trPr>
          <w:cantSplit/>
          <w:trHeight w:val="897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2EB11" w14:textId="24C21B4C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36644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11.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0A88C" w14:textId="2327E89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Lorviqua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EAD46" w14:textId="4D12B96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lorlatynib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A0290" w14:textId="625F885F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127A0" w14:textId="05FF8A31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A1E40" w14:textId="37653FEF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I linia leczenia pacjentów z NDRP z mutacją w genie ALK (chorzy wcześniej nie poddawani systemowemu leczeniu z powodu zaawansowanego nowotworu).</w:t>
            </w:r>
          </w:p>
        </w:tc>
      </w:tr>
      <w:tr w:rsidR="00004386" w:rsidRPr="002667F9" w14:paraId="2635A340" w14:textId="77777777" w:rsidTr="00C64949">
        <w:trPr>
          <w:cantSplit/>
          <w:trHeight w:val="897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D80C8" w14:textId="459DFD8A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36644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12.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23893" w14:textId="42528E43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Lumykras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1108F" w14:textId="74288364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sotorasib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4F76C" w14:textId="5145987A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4A9EE" w14:textId="75F7519D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7C2B6" w14:textId="2C02F750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II lub kolejne linie leczenia pacjentów z NDRP z mutacją G12C w genie KRAS po niepowodzeniu co najmniej jednej wcześniejszej linii leczenia systemowego.</w:t>
            </w:r>
          </w:p>
        </w:tc>
      </w:tr>
      <w:tr w:rsidR="00004386" w:rsidRPr="002667F9" w14:paraId="7AB11D7A" w14:textId="77777777" w:rsidTr="00F83F44">
        <w:trPr>
          <w:cantSplit/>
          <w:trHeight w:val="256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F9FD0" w14:textId="5914632F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36644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13.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2D6F1" w14:textId="08D67489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Tecentriq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C9000" w14:textId="26414F4A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atezolizumab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D2F89" w14:textId="328B811B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5706B" w14:textId="2CE4BDA1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65D97" w14:textId="5E4B94A4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adjuwantowe po całkowitej resekcji i chemioterapii opartej na związkach platyny u dorosłych pacjentów z NDRP o wysokim ryzyku wystąpienia nawrotu, u których w tkance nowotworowej ekspresja PD-L1 wynosi ≥50% na komórkach guza.</w:t>
            </w:r>
          </w:p>
        </w:tc>
      </w:tr>
      <w:tr w:rsidR="00004386" w:rsidRPr="002667F9" w14:paraId="6E637C2C" w14:textId="77777777" w:rsidTr="00C64949">
        <w:trPr>
          <w:cantSplit/>
          <w:trHeight w:val="897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E5B8C" w14:textId="7E2DE9EC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36644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14.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AD1B7" w14:textId="170DB3BC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Keytruda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C3ABE" w14:textId="03B4E61A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pembrolizumab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635A8" w14:textId="4DEC2CC4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B.9.FM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5556F" w14:textId="787E3351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PIERSI (ICD-10: C50)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B5046" w14:textId="1C839BA5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pembrolizumabem w skojarzeniu z chemioterapią jako leczenie przedoperacyjne (neoadjuwantowe) i kontynuacja pembrolizumabu jako leczenie pooperacyjne (adjuwantowe) po zabiegu chirurgicznym u chorych na potrójnie ujemnego raka piersi miejscowo zaawansowanego lub we wczesnym stadium z dużym ryzykiem nawrotu.</w:t>
            </w:r>
          </w:p>
        </w:tc>
      </w:tr>
      <w:tr w:rsidR="00004386" w:rsidRPr="002667F9" w14:paraId="6DC80542" w14:textId="77777777" w:rsidTr="00C64949">
        <w:trPr>
          <w:cantSplit/>
          <w:trHeight w:val="897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9FB72" w14:textId="4273F97F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36644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lastRenderedPageBreak/>
              <w:t>15.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00C93" w14:textId="7FF6CE19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Keytruda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F13CE" w14:textId="3A4D8806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pembrolizumab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7ACB7" w14:textId="4B681A3B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B.9.FM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9AB05" w14:textId="73C33148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PIERSI (ICD-10: C50)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29DAF" w14:textId="22468DEB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pembrolizumabem przerzutowego potrójnie ujemnego raka piersi z ekspresją PD-L1 w skojarzeniu z paklitakselem albo z gemcytabiną i karboplatyną (pierwsza linia leczenia). Do leczenia kwalifikowani są pacjenci, u których stwierdzono brak wcześniejszego farmakologicznego leczenia systemowego nieoperacyjnego lub przerzutowego potrójnie ujemnego raka piersi, przy czym za leczenie systemowe nie uznaje się wcześniejszej terapii z założeniem radykalnym zakończonej w okresie powyżej 6 miesięcy. Zastosowanie terapii nie jest możliwe po wcześniejszym zastosowaniu immunoterapii pembrolizumabem w leczeniu okołooperacyjnym.</w:t>
            </w:r>
          </w:p>
        </w:tc>
      </w:tr>
      <w:tr w:rsidR="00004386" w:rsidRPr="002667F9" w14:paraId="20D06339" w14:textId="77777777" w:rsidTr="00C64949">
        <w:trPr>
          <w:cantSplit/>
          <w:trHeight w:val="897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E0AE0" w14:textId="7637533A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36644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16.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3DE03" w14:textId="07BF4678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sz w:val="18"/>
                <w:szCs w:val="18"/>
              </w:rPr>
              <w:t>Tukysa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8DA20" w14:textId="4FFF11C1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sz w:val="18"/>
                <w:szCs w:val="18"/>
              </w:rPr>
              <w:t>tukatynib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4F0F2" w14:textId="075900BE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B.9.FM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C1601" w14:textId="7C7E3483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sz w:val="18"/>
                <w:szCs w:val="18"/>
              </w:rPr>
              <w:t>LECZENIE CHORYCH NA RAKA PIERSI (ICD-10: C50)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51702" w14:textId="10B18E56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tukatynibem w skojarzeniu z trastuzumabem i kapecytabiną w trzeciej lub czwartej linii leczenia, a w drugiej tylko w przypadku, gdy w pierwszej linii stosowano trastuzumab +/- pertuzumab albo trastuzumab emtanzyna oraz występują przerzuty do ośrodkowego układu nerwowego. Podanie tukatynibu wymaga zastosowania wcześniej co najmniej jednej linii paliatywnej terapii anty-HER2.</w:t>
            </w:r>
          </w:p>
        </w:tc>
      </w:tr>
      <w:tr w:rsidR="00004386" w:rsidRPr="002667F9" w14:paraId="142C482A" w14:textId="77777777" w:rsidTr="00C64949">
        <w:trPr>
          <w:cantSplit/>
          <w:trHeight w:val="897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7FB16" w14:textId="4380CCF5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36644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17.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8591B" w14:textId="65A93D0E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sz w:val="18"/>
                <w:szCs w:val="18"/>
              </w:rPr>
              <w:t>Enhertu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F19AF" w14:textId="28982152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sz w:val="18"/>
                <w:szCs w:val="18"/>
              </w:rPr>
              <w:t>trastuzumab derukstekan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8FCE1" w14:textId="6F431B75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sz w:val="18"/>
                <w:szCs w:val="18"/>
              </w:rPr>
              <w:t>B.9.FM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A2752" w14:textId="7C813B15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PIERSI (ICD-10: C50)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34EA1" w14:textId="04C47DE8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II lub III lub IV linii chorych z powodu nieoperacyjnego lub zaawansowanego HER2-dodatniego raka piersi  po zastosowaniu co najmniej jednej linii terapii anty-HER2.</w:t>
            </w:r>
          </w:p>
        </w:tc>
      </w:tr>
      <w:tr w:rsidR="00004386" w:rsidRPr="002667F9" w14:paraId="7F1B4CC5" w14:textId="77777777" w:rsidTr="00C64949">
        <w:trPr>
          <w:cantSplit/>
          <w:trHeight w:val="897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32790" w14:textId="3F43BAA1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36644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18.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1B4A6" w14:textId="011EE8B4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Lynparza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C2F62" w14:textId="19D1F671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olaparyb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2655E" w14:textId="26E8179C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sz w:val="18"/>
                <w:szCs w:val="18"/>
              </w:rPr>
              <w:t>B.9.FM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7ABC7" w14:textId="30DE7063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PIERSI (ICD-10: C50)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5C8F5" w14:textId="608A445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uzupełniające chorych z germinalnymi mutacjami BRCA1/2, u których występuje hormonozależny HER2-ujemny lub potrójnie ujemny wczesny rak piersi wysokiego ryzyka, leczony wcześniej chemioterapią neoadjuwantową lub adjuwantową.</w:t>
            </w:r>
          </w:p>
        </w:tc>
      </w:tr>
      <w:tr w:rsidR="00004386" w:rsidRPr="002667F9" w14:paraId="27A4834A" w14:textId="77777777" w:rsidTr="00C64949">
        <w:trPr>
          <w:cantSplit/>
          <w:trHeight w:val="897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D882A" w14:textId="245B9459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36644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19.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D79C5" w14:textId="336CB2E8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Lynparza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52B20" w14:textId="6C1842A6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olaparyb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412B6" w14:textId="79C1C85F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sz w:val="18"/>
                <w:szCs w:val="18"/>
              </w:rPr>
              <w:t>B.9.FM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EB0C6" w14:textId="1A30DE46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PIERSI (ICD-10: C50)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081E9" w14:textId="5FCBDD59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II lub III linii przerzutowego lub miejscowo zaawansowanego hormonozależnego HER2-ujemnego raka piersi z obecnością mutacji germinalnych w genach BRCA1/2, po uprzednim zastosowaniu hormonoterapii z lub bez inhibitorów CDK4/6 w leczeniu paliatywnym (dopuszczalne jest wcześniejsze stosowanie 1-2 linii chemioterapii paliatywnej lub chemioterapii okołooperacyjnej z udziałem antracykliny i taksoidu i 1 linii chemioterapii paliatywnej).</w:t>
            </w:r>
          </w:p>
        </w:tc>
      </w:tr>
      <w:tr w:rsidR="00004386" w:rsidRPr="002667F9" w14:paraId="1470707A" w14:textId="77777777" w:rsidTr="00C64949">
        <w:trPr>
          <w:cantSplit/>
          <w:trHeight w:val="897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9B0DA" w14:textId="6856D659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36644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lastRenderedPageBreak/>
              <w:t>20.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28CDC" w14:textId="2AF788D5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Lynparza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2C2D0" w14:textId="754923A0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olaparyb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89F2B" w14:textId="11E89F93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sz w:val="18"/>
                <w:szCs w:val="18"/>
              </w:rPr>
              <w:t>B.9.FM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F2D55" w14:textId="243E73FD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PIERSI (ICD-10: C50)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AE142" w14:textId="0AF4837C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I lub II lub III linii przerzutowego lub miejscowo zaawansowanego potrójnie ujemnego raka piersi z obecnością mutacji germinalnych w genach BRCA 1/2, gdy leczenie miejscowe jest nieskuteczne lub niemożliwe do zastosowania pacjenci musieli otrzymać wcześniej chemioterapię zawierającą taksoid lub antracyklinę w leczeniu okołooperacyjnym lub paliatywnym (dopuszczalne jest wcześniejsze stosowanie nie więcej niż 2 linii chemioterapii paliatywnej lub chemioterapii okołooperacyjnej i 1 linii chemioterapii paliatywnej).</w:t>
            </w:r>
          </w:p>
        </w:tc>
      </w:tr>
      <w:tr w:rsidR="00004386" w:rsidRPr="002667F9" w14:paraId="1E3119B4" w14:textId="77777777" w:rsidTr="00F83F44">
        <w:trPr>
          <w:cantSplit/>
          <w:trHeight w:val="64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B7125" w14:textId="666A0120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36644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21.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05CA1" w14:textId="121AC756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Keytruda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E4B33" w14:textId="285DF6D9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pembrolizumab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7E501" w14:textId="37D3BD0C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sz w:val="18"/>
                <w:szCs w:val="18"/>
              </w:rPr>
              <w:t>B.10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2C69" w14:textId="51084382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RAKIEM NERKI (ICD-10: C64)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971D7" w14:textId="4512BD60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adjuwantowe po zabiegu nefrektomii u dorosłych pacjentów z rakiem nerki.</w:t>
            </w:r>
          </w:p>
        </w:tc>
      </w:tr>
      <w:tr w:rsidR="00004386" w:rsidRPr="002667F9" w14:paraId="2EC123C2" w14:textId="77777777" w:rsidTr="00C64949">
        <w:trPr>
          <w:cantSplit/>
          <w:trHeight w:val="897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E5367" w14:textId="0BBA1EF1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36644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22.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2561B" w14:textId="42A1A4C3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Tecartus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E32C9" w14:textId="4E3AB72A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breksukabtagen autoleucel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F0EDA" w14:textId="3D91966E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B.12.FM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9A61F" w14:textId="1544E171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CHŁONIAKI B-KOMÓRKOWE (ICD-10: C82, C83, C85)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9599C" w14:textId="7777777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III lub kolejne linie leczenia terapią CAR-T (breksukabtagen autoleucel) u dorosłych pacjentów z opornym lub nawrotowym chłoniakiem z komórek płaszcza (MCL), którzy uprzednio otrzymali co najmniej dwie linie leczenia systemowego, w tym inhibitor kinazy tyrozynowej Brutona.</w:t>
            </w:r>
          </w:p>
          <w:p w14:paraId="17C7451C" w14:textId="77777777" w:rsidR="006E21D3" w:rsidRDefault="006E21D3" w:rsidP="006E21D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(TLI - Technologia lekowa o wysokim stopniu innowacyjności) </w:t>
            </w:r>
          </w:p>
          <w:p w14:paraId="27B6E6CE" w14:textId="6220DBFC" w:rsidR="00004386" w:rsidRPr="00F83F44" w:rsidRDefault="00004386" w:rsidP="00F83F44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004386" w:rsidRPr="002667F9" w14:paraId="2E9F8B19" w14:textId="77777777" w:rsidTr="00C64949">
        <w:trPr>
          <w:cantSplit/>
          <w:trHeight w:val="897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E3F34" w14:textId="7E41AFC1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36644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23.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B6A48" w14:textId="1496486B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Minjuvi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9356E" w14:textId="6464E325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tafasytamab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39EBF" w14:textId="0D6AFE14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B.12.FM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DBA70" w14:textId="5CA1ED80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CHŁONIAKI B-KOMÓRKOWE (ICD-10: C82, C83, C85)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13618" w14:textId="7777777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tafasytamabem w skojarzeniu z lenalidomidem dorosłych chorych na opornego/nawrotowego chłoniaka rozlanego z dużych komórek B (DLBCL), niekwalifikujących się do przeszczepienia autologicznych krwiotwórczych komórek macierzystych.</w:t>
            </w:r>
          </w:p>
          <w:p w14:paraId="618839EA" w14:textId="77777777" w:rsid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(TLI - Technologia lekowa o wysokim stopniu innowacyjności) </w:t>
            </w:r>
          </w:p>
          <w:p w14:paraId="2A16253E" w14:textId="24516479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004386" w:rsidRPr="002667F9" w14:paraId="4018EB12" w14:textId="77777777" w:rsidTr="00C64949">
        <w:trPr>
          <w:cantSplit/>
          <w:trHeight w:val="897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5D1E1" w14:textId="390085C3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36644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24.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17D87" w14:textId="5026A27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Imbruvica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98740" w14:textId="753390EF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ibrutynib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6689B" w14:textId="564C1BA1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B.12.FM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7F1A7" w14:textId="40CCE49A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CHŁONIAKI B-KOMÓRKOWE (ICD-10: C82, C83, C85)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ABE1E" w14:textId="7777777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ibrutynibem w monoterapii dorosłych chorych na opornego/nawrotowego chłoniaka z komórek płaszcza (MCL).</w:t>
            </w:r>
          </w:p>
          <w:p w14:paraId="2C0E6A83" w14:textId="0D0C3408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004386" w:rsidRPr="002667F9" w14:paraId="7A97B4A4" w14:textId="77777777" w:rsidTr="00C64949">
        <w:trPr>
          <w:cantSplit/>
          <w:trHeight w:val="897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99D1" w14:textId="64184D0C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36644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lastRenderedPageBreak/>
              <w:t>25.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5CC27" w14:textId="3648AD36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Scemblix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5DD38" w14:textId="1D29B448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asciminib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47A4C" w14:textId="63F5E274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B.14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47DFE" w14:textId="6AFD7419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PRZEWLEKŁĄ BIAŁACZKĘ SZPIKOWĄ (ICD-10: C92.1)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BDBDF" w14:textId="7777777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asciminibem dorosłych chorych na przewlekłą białaczkę szpikową od III linii leczenia, po uprzednim leczeniu przynajmniej dwoma inhibitorami kinazy tyrozynowej, po których wystąpiła nietolerancja lub niepowodzenie leczenia.</w:t>
            </w:r>
          </w:p>
          <w:p w14:paraId="38323E95" w14:textId="170EA5FF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004386" w:rsidRPr="002667F9" w14:paraId="23F7C9E5" w14:textId="77777777" w:rsidTr="00C64949">
        <w:trPr>
          <w:cantSplit/>
          <w:trHeight w:val="897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F894C" w14:textId="1350C2F1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36644">
              <w:rPr>
                <w:rFonts w:ascii="Lato" w:hAnsi="Lato" w:cstheme="majorHAnsi"/>
                <w:sz w:val="18"/>
                <w:szCs w:val="18"/>
              </w:rPr>
              <w:t>26.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31807" w14:textId="5FA53BB2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Sarclisa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DA247" w14:textId="60F00EE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izatuksymab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7608D" w14:textId="74789BB1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B.54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FC423" w14:textId="51F9C518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SZPICZAKA PLAZMOCYTOWEGO (ICD-10: C90.0)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B03DB" w14:textId="7777777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izatuksymabem w skojarzeniu z pomalidomidem i deksametazonem (schemat IsaPd) od III linii leczenia dorosłych chorych na opornego lub nawrotowego szpiczaka plazmocytowego z niewydolnością nerek (RI), i u których w którymkolwiek z poprzedzających protokołów leczenia zastosowano lenalidomid i inhibitor proteasomu.</w:t>
            </w:r>
          </w:p>
          <w:p w14:paraId="61D42E0E" w14:textId="1F9FD61B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004386" w:rsidRPr="002667F9" w14:paraId="7CAEA500" w14:textId="77777777" w:rsidTr="00C64949">
        <w:trPr>
          <w:cantSplit/>
          <w:trHeight w:val="897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98D72" w14:textId="1C535B83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36644">
              <w:rPr>
                <w:rFonts w:ascii="Lato" w:hAnsi="Lato" w:cstheme="majorHAnsi"/>
                <w:sz w:val="18"/>
                <w:szCs w:val="18"/>
              </w:rPr>
              <w:t>27.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432F7" w14:textId="51E592DD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Kyprolis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424CB" w14:textId="6F4005F1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karfilzomib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44B59" w14:textId="0630F0B5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B.54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B79BC" w14:textId="1E8EF080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SZPICZAKA PLAZMOCYTOWEGO (ICD-10: C90.0)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D206F" w14:textId="7777777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karfilzomibem w skojarzeniu z lenalidomidem i deksametazonem (schemat KRd) dorosłych chorych na opornego lub nawrotowego szpiczaka plazmocytowego w II-IV linii leczenia (tj. rozszerzenie dotychczas refundowanego wskazania w schemacie KRd).</w:t>
            </w:r>
          </w:p>
          <w:p w14:paraId="7B3A0A6B" w14:textId="48C23C88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004386" w:rsidRPr="002667F9" w14:paraId="02F3174F" w14:textId="77777777" w:rsidTr="00F83F44">
        <w:trPr>
          <w:cantSplit/>
          <w:trHeight w:val="1191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B8FE6" w14:textId="735AA050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36644">
              <w:rPr>
                <w:rFonts w:ascii="Lato" w:hAnsi="Lato" w:cstheme="majorHAnsi"/>
                <w:sz w:val="18"/>
                <w:szCs w:val="18"/>
              </w:rPr>
              <w:t>28.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C66CA" w14:textId="3757105D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Darzalex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00D28" w14:textId="221B864B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daratumumab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56CBB" w14:textId="015D7D9C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B.54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91A6C" w14:textId="195493B6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SZPICZAKA PLAZMOCYTOWEGO (ICD-10: C90.0)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36769" w14:textId="7777777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I linii daratumumabem w skojarzeniu z bortezomibem, talidomidem i deksametazonem (schemat DVTd) dorosłych pacjentów z uprzednio nieleczonym szpiczakiem plazmocytowym (I linia leczenia), kwalifikujących się do leczenia chemioterapią wysokodawkową z przeszczepieniem autologicznych krwiotwórczych komórek macierzystych.</w:t>
            </w:r>
          </w:p>
          <w:p w14:paraId="1EB78EEF" w14:textId="69930D1F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004386" w:rsidRPr="002667F9" w14:paraId="6302BDAC" w14:textId="77777777" w:rsidTr="00C64949">
        <w:trPr>
          <w:cantSplit/>
          <w:trHeight w:val="1037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23054" w14:textId="021D7599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36644">
              <w:rPr>
                <w:rFonts w:ascii="Lato" w:hAnsi="Lato" w:cstheme="majorHAnsi"/>
                <w:sz w:val="18"/>
                <w:szCs w:val="18"/>
              </w:rPr>
              <w:t>29.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4D0B2" w14:textId="496B4045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Darzalex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70FC3" w14:textId="328D6106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daratumumab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4702C" w14:textId="74CFE15E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B.54.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03B00" w14:textId="6605CA35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SZPICZAKA PLAZMOCYTOWEGO (ICD-10: C90.0)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B4539" w14:textId="7777777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daratumumabem w skojarzeniu z bortezomibem i deksametazonem (schemat DVd) w II-IV linii leczenia dorosłych chorych na opornego lub nawrotowego szpiczaka plazmocytowego, u których nie stwierdzono oporności na leczenie bortezomibem. </w:t>
            </w:r>
          </w:p>
          <w:p w14:paraId="220B59C0" w14:textId="7777777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(Rozszerzenie aktualnie refundowanego wskazania)</w:t>
            </w:r>
          </w:p>
          <w:p w14:paraId="2D2441F2" w14:textId="287EDD83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004386" w:rsidRPr="002667F9" w14:paraId="0CFAB685" w14:textId="77777777" w:rsidTr="00F83F44">
        <w:trPr>
          <w:cantSplit/>
          <w:trHeight w:val="64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36ABD" w14:textId="71660DC8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36644">
              <w:rPr>
                <w:rFonts w:ascii="Lato" w:hAnsi="Lato" w:cstheme="majorHAnsi"/>
                <w:sz w:val="18"/>
                <w:szCs w:val="18"/>
              </w:rPr>
              <w:lastRenderedPageBreak/>
              <w:t>30.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2CD24" w14:textId="2604BE5D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Darzalex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4E147" w14:textId="1F07AC1C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daratumumab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33CBA" w14:textId="20732068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B.54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DA6E6" w14:textId="513FA153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SZPICZAKA PLAZMOCYTOWEGO (ICD-10: C90.0)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CC99E" w14:textId="7777777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daratumumabem w skojarzeniu z lenalidomidem i deksametazonem (schemat DRd) w II-IV linii leczenia dorosłych chorych na opornego lub nawrotowego szpiczaka plazmocytowego.</w:t>
            </w:r>
          </w:p>
          <w:p w14:paraId="0F88C503" w14:textId="186F6B6C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004386" w:rsidRPr="002667F9" w14:paraId="02A7B50D" w14:textId="77777777" w:rsidTr="00F83F44">
        <w:trPr>
          <w:cantSplit/>
          <w:trHeight w:val="64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1D676" w14:textId="6ABE1FD9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36644">
              <w:rPr>
                <w:rFonts w:ascii="Lato" w:hAnsi="Lato" w:cstheme="majorHAnsi"/>
                <w:sz w:val="18"/>
                <w:szCs w:val="18"/>
              </w:rPr>
              <w:t>31.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D1AA7" w14:textId="0578CA7B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sz w:val="18"/>
                <w:szCs w:val="18"/>
              </w:rPr>
              <w:t>Empliciti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42B79" w14:textId="05FC85A9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sz w:val="18"/>
                <w:szCs w:val="18"/>
              </w:rPr>
              <w:t>elotuzumab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47A48" w14:textId="7BAF0B6C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B.54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3CDE9" w14:textId="7BC1DBE0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SZPICZAKA PLAZMOCYTOWEGO (ICD-10: C90.0)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D1C75" w14:textId="7777777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elotuzumabem w skojarzeniu z pomalidomidem i deksametazonem (schemat EloPd) od III linii leczenia dorosłych chorych na opornego lub nawrotowego szpiczaka plazmocytowego.</w:t>
            </w:r>
          </w:p>
          <w:p w14:paraId="32FF2E80" w14:textId="12D9868E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004386" w:rsidRPr="002667F9" w14:paraId="7CA3C681" w14:textId="77777777" w:rsidTr="00C64949">
        <w:trPr>
          <w:cantSplit/>
          <w:trHeight w:val="1406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5795B" w14:textId="1AD8AB90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36644">
              <w:rPr>
                <w:rFonts w:ascii="Lato" w:hAnsi="Lato" w:cstheme="majorHAnsi"/>
                <w:sz w:val="18"/>
                <w:szCs w:val="18"/>
              </w:rPr>
              <w:t>32.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D696E" w14:textId="2A65B06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Lynparza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284D6" w14:textId="1A2D2C86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olaparyb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F0AD1" w14:textId="5211C0A2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B.56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EBE2F" w14:textId="0E17EA49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GRUCZOŁU KROKOWEGO (ICD-10: C61)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2C4C7" w14:textId="4683A76B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Leczenie w II albo III linii chorych na opornego na kastrację raka gruczołu krokowego po progresji choroby podczas terapii lekiem hormonalnym nowej generacji oraz obecnością patogennej lub prawdopodobnie patogennej mutacji (germinalnej lub somatycznej) w genie BRCA1 lub BRCA2.</w:t>
            </w:r>
          </w:p>
        </w:tc>
      </w:tr>
      <w:tr w:rsidR="00004386" w:rsidRPr="002667F9" w14:paraId="329870B3" w14:textId="77777777" w:rsidTr="00F83F44">
        <w:trPr>
          <w:cantSplit/>
          <w:trHeight w:val="64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B0A7E" w14:textId="053A841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36644">
              <w:rPr>
                <w:rFonts w:ascii="Lato" w:hAnsi="Lato" w:cstheme="majorHAnsi"/>
                <w:sz w:val="18"/>
                <w:szCs w:val="18"/>
              </w:rPr>
              <w:t>33.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E6AF4" w14:textId="43BA96DA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Erleada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9CAB0" w14:textId="683A0102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apalutamid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196AF" w14:textId="1445A570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B.56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E7BC2" w14:textId="4EE868E4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GRUCZOŁU KROKOWEGO (ICD-10: C61)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EA68F" w14:textId="450CDD4D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Leczenie w I linii chorych na wrażliwego na kastrację raka gruczołu krokowego o małym obciążeniu przerzutami (z ang. low volume disease).</w:t>
            </w:r>
          </w:p>
        </w:tc>
      </w:tr>
      <w:tr w:rsidR="00004386" w:rsidRPr="002667F9" w14:paraId="0E7845A7" w14:textId="77777777" w:rsidTr="00C64949">
        <w:trPr>
          <w:cantSplit/>
          <w:trHeight w:val="1406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E700B" w14:textId="30EA127D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36644">
              <w:rPr>
                <w:rFonts w:ascii="Lato" w:hAnsi="Lato" w:cstheme="majorHAnsi"/>
                <w:sz w:val="18"/>
                <w:szCs w:val="18"/>
              </w:rPr>
              <w:t>34.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D1289" w14:textId="1992B116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sz w:val="18"/>
                <w:szCs w:val="18"/>
              </w:rPr>
              <w:t>Cabazitaxel Ever Pharma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D08FA" w14:textId="2BA051DD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sz w:val="18"/>
                <w:szCs w:val="18"/>
              </w:rPr>
              <w:t>kabazytaksel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E5EB8" w14:textId="40715FF4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sz w:val="18"/>
                <w:szCs w:val="18"/>
              </w:rPr>
              <w:t>B.56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4BB5F" w14:textId="587AF738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sz w:val="18"/>
                <w:szCs w:val="18"/>
              </w:rPr>
              <w:t>LECZENIE CHORYCH NA RAKA GRUCZOŁU KROKOWEGO (ICD-10: C61)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4EF2B" w14:textId="006B088C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Leczenie w I albo II albo III linii chorych na opornego na kastrację raka gruczołu krokowego z przerzutami kabazytakselem, leczonych wcześniej docetakselem.</w:t>
            </w:r>
          </w:p>
        </w:tc>
      </w:tr>
      <w:tr w:rsidR="00004386" w:rsidRPr="002667F9" w14:paraId="5356A094" w14:textId="77777777" w:rsidTr="00C64949">
        <w:trPr>
          <w:cantSplit/>
          <w:trHeight w:val="1406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3BE0D" w14:textId="1ED41EBA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36644">
              <w:rPr>
                <w:rFonts w:ascii="Lato" w:hAnsi="Lato" w:cstheme="majorHAnsi"/>
                <w:sz w:val="18"/>
                <w:szCs w:val="18"/>
              </w:rPr>
              <w:t>35.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EB8A4" w14:textId="2533973C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Keytruda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E1CBA" w14:textId="473DB15D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pembrolizumab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111C5" w14:textId="24CA169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B.58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37256" w14:textId="77D159E5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ZAAWANSOWANEGO RAKA PRZEŁYKU I ŻOŁĄDKA (ICD-10: C15-C16)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5F074" w14:textId="3572AB7D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w I linii chorych </w:t>
            </w:r>
            <w:bookmarkStart w:id="0" w:name="_Hlk90641900"/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na miejscowo zaawansowanego raka przełyku nieoperacyjnego lub z przerzutami, lub HER-2 ujemnego gruczolakoraka połączenia przełykowo-żołądkowego</w:t>
            </w:r>
            <w:bookmarkEnd w:id="0"/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wykorzystaniem substancji czynnej pembrolizumab </w:t>
            </w:r>
            <w:bookmarkStart w:id="1" w:name="_Hlk89686969"/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w skojarzeniu z chemioterapią zawierającą pochodną platyny i fluoropirymidynę</w:t>
            </w:r>
            <w:bookmarkEnd w:id="1"/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004386" w:rsidRPr="002667F9" w14:paraId="43829E09" w14:textId="77777777" w:rsidTr="00C64949">
        <w:trPr>
          <w:cantSplit/>
          <w:trHeight w:val="141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1651D" w14:textId="4AAB8CD4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36644">
              <w:rPr>
                <w:rFonts w:ascii="Lato" w:hAnsi="Lato" w:cstheme="majorHAnsi"/>
                <w:sz w:val="18"/>
                <w:szCs w:val="18"/>
              </w:rPr>
              <w:t>36.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0D73D" w14:textId="7CF99DFB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sz w:val="18"/>
                <w:szCs w:val="18"/>
              </w:rPr>
              <w:t>Opdivo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E007F" w14:textId="0F2EA67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sz w:val="18"/>
                <w:szCs w:val="18"/>
              </w:rPr>
              <w:t>niwolumab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5F0F7" w14:textId="0BB4D583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sz w:val="18"/>
                <w:szCs w:val="18"/>
              </w:rPr>
              <w:t>B.58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9EBA1" w14:textId="336FB17F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PRZEŁYKU, POŁĄCZENIA ŻOŁĄDKOWO-PRZEŁYKOWEGO I ŻOŁĄDKA (ICD-10: C15-C16)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1464C" w14:textId="5EF923BC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adjuwantowe niwolumabem w monoterapii dorosłych pacjentów z rakiem przełyku (płaskonabłonkowym lub gruczołowym) lub połączenia żołądkowo-przełykowego, z chorobą resztkową, po wcześniejszej chemioradioterapii neoadjuwantowej.</w:t>
            </w:r>
          </w:p>
        </w:tc>
      </w:tr>
      <w:tr w:rsidR="00004386" w:rsidRPr="002667F9" w14:paraId="6EDFA7EC" w14:textId="77777777" w:rsidTr="00C64949">
        <w:trPr>
          <w:cantSplit/>
          <w:trHeight w:val="141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C59F8" w14:textId="324670E4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36644">
              <w:rPr>
                <w:rFonts w:ascii="Lato" w:hAnsi="Lato" w:cstheme="majorHAnsi"/>
                <w:sz w:val="18"/>
                <w:szCs w:val="18"/>
              </w:rPr>
              <w:lastRenderedPageBreak/>
              <w:t>37.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4654B" w14:textId="16DCD1E5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sz w:val="18"/>
                <w:szCs w:val="18"/>
              </w:rPr>
              <w:t>Opdivo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EE527" w14:textId="306CF591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sz w:val="18"/>
                <w:szCs w:val="18"/>
              </w:rPr>
              <w:t>niwolumab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1390" w14:textId="5F157811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sz w:val="18"/>
                <w:szCs w:val="18"/>
              </w:rPr>
              <w:t>B.58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D41AC" w14:textId="55AC0D73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PRZEŁYKU, POŁĄCZENIA ŻOŁĄDKOWO-PRZEŁYKOWEGO I ŻOŁĄDKA (ICD-10: C15-C16)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D2C77" w14:textId="448CD67C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I linia leczenia niwolumabem w skojarzeniu z chemioterapią skojarzoną opartą na fluoropirymidynie (5FU) i pochodnej platyny (oksaliplatynie lub kapecytabinie - według schematu CAPOX lub FOLFOX) dorosłych pacjentów z HER2-ujemnym zaawansowanym lub przerzutowym gruczolakorakiem przełyku, połączenia żołądkowo-przełykowego lub żołądka z ekspresją PD-L1 wg skali CPS ≥ 5.</w:t>
            </w:r>
          </w:p>
        </w:tc>
      </w:tr>
      <w:tr w:rsidR="00004386" w:rsidRPr="002667F9" w14:paraId="05B3561F" w14:textId="77777777" w:rsidTr="00C64949">
        <w:trPr>
          <w:cantSplit/>
          <w:trHeight w:val="141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6A693" w14:textId="5365A66E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36644">
              <w:rPr>
                <w:rFonts w:ascii="Lato" w:hAnsi="Lato" w:cstheme="majorHAnsi"/>
                <w:sz w:val="18"/>
                <w:szCs w:val="18"/>
              </w:rPr>
              <w:t>38.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139E1" w14:textId="6A0D277D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sz w:val="18"/>
                <w:szCs w:val="18"/>
              </w:rPr>
              <w:t>Opdivo + Yervoy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65CD5" w14:textId="15B0DB73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sz w:val="18"/>
                <w:szCs w:val="18"/>
              </w:rPr>
              <w:t>niwolumab + ipilimumab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42707" w14:textId="3CDF99FA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sz w:val="18"/>
                <w:szCs w:val="18"/>
              </w:rPr>
              <w:t>B.58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A149B" w14:textId="6922E56F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PRZEŁYKU, POŁĄCZENIA ŻOŁĄDKOWO-PRZEŁYKOWEGO I ŻOŁĄDKA (ICD-10: C15-C16)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548B6" w14:textId="7AC8B673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I linia leczenia niwolumabem w skojarzeniu z chemioterapią zawierającą fluoropirymidynę i pochodną platyny albo z ipilimumabem dorosłych pacjentów z zaawansowanym nieoperacyjnym, nawrotowym lub przerzutowym płaskonabłonkowym rakiem przełyku z ekspresją PD-L1 ≥ 1%.</w:t>
            </w:r>
          </w:p>
        </w:tc>
      </w:tr>
      <w:tr w:rsidR="00004386" w:rsidRPr="002667F9" w14:paraId="18F7CD5A" w14:textId="77777777" w:rsidTr="00C64949">
        <w:trPr>
          <w:cantSplit/>
          <w:trHeight w:val="141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5E7E9" w14:textId="7DAEAE5D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36644">
              <w:rPr>
                <w:rFonts w:ascii="Lato" w:hAnsi="Lato" w:cstheme="majorHAnsi"/>
                <w:sz w:val="18"/>
                <w:szCs w:val="18"/>
              </w:rPr>
              <w:t>38.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909D" w14:textId="010C65E6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sz w:val="18"/>
                <w:szCs w:val="18"/>
              </w:rPr>
              <w:t>Lonsurf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EAF00" w14:textId="53ADCF71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sz w:val="18"/>
                <w:szCs w:val="18"/>
              </w:rPr>
              <w:t>triflurydyna + typiracyl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C7647" w14:textId="4DFC064E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sz w:val="18"/>
                <w:szCs w:val="18"/>
              </w:rPr>
              <w:t>B.58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2757B" w14:textId="588AC4FD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PRZEŁYKU, POŁĄCZENIA ŻOŁĄDKOWO-PRZEŁYKOWEGO I ŻOŁĄDKA (ICD-10: C15-C16)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1DAE8" w14:textId="5EB3F1E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III linia leczenia triflurydyną z typiracylem pacjentów z gruczolakorakiem żołądka lub połączenia żołądkowo-przełykowego w stadium uogólnionym, u których udokumentowano nieskuteczność dwóch wcześniejszych standardowych schematów leczenia choroby zaawansowanej, w tym obejmujących fluoropirymidynę, platynę i taksany lub irynotekan.</w:t>
            </w:r>
          </w:p>
        </w:tc>
      </w:tr>
      <w:tr w:rsidR="00004386" w:rsidRPr="002667F9" w14:paraId="29F0788A" w14:textId="77777777" w:rsidTr="00F83F44">
        <w:trPr>
          <w:cantSplit/>
          <w:trHeight w:val="157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5ADAD" w14:textId="669CD47D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36644">
              <w:rPr>
                <w:rFonts w:ascii="Lato" w:hAnsi="Lato" w:cstheme="majorHAnsi"/>
                <w:sz w:val="18"/>
                <w:szCs w:val="18"/>
              </w:rPr>
              <w:t>40.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4BC77" w14:textId="3E0BA51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sz w:val="18"/>
                <w:szCs w:val="18"/>
              </w:rPr>
              <w:t>Adcetris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EC2F4" w14:textId="5FC94356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sz w:val="18"/>
                <w:szCs w:val="18"/>
              </w:rPr>
              <w:t>brentuksymab vedotin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9B414" w14:textId="6F5E6529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B.66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3646" w14:textId="11DF6E2B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CHŁONIAKI T-KOMÓRKOWE (ICD-10: C84)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22E34" w14:textId="7777777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brentuksymabem vedotin w skojarzeniu z cyklofosfamidem, doksorubicyną i prednizonem (CHP) w I linii leczenia dorosłych chorych na 13.układowego chłoniaka anaplastycznego z dużych komórek (sALCL).</w:t>
            </w:r>
          </w:p>
          <w:p w14:paraId="38F4FF3C" w14:textId="5A035EC6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sz w:val="18"/>
                <w:szCs w:val="18"/>
              </w:rPr>
              <w:t>(Choroba rzadka)</w:t>
            </w:r>
          </w:p>
        </w:tc>
      </w:tr>
      <w:tr w:rsidR="00004386" w:rsidRPr="002667F9" w14:paraId="53519397" w14:textId="77777777" w:rsidTr="00F83F44">
        <w:trPr>
          <w:cantSplit/>
          <w:trHeight w:val="64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39579" w14:textId="2CCC8CFB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36644">
              <w:rPr>
                <w:rFonts w:ascii="Lato" w:hAnsi="Lato" w:cstheme="majorHAnsi"/>
                <w:sz w:val="18"/>
                <w:szCs w:val="18"/>
              </w:rPr>
              <w:t>41.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A1F6C" w14:textId="4E57C29F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sz w:val="18"/>
                <w:szCs w:val="18"/>
              </w:rPr>
              <w:t>Imbruvica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42B42" w14:textId="17D22ECC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sz w:val="18"/>
                <w:szCs w:val="18"/>
              </w:rPr>
              <w:t>ibrutynib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C3F38" w14:textId="135BD8A6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B.79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222AF" w14:textId="19600C4B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PRZEWLEKŁĄ BIAŁACZKĘ LIMFOCYTOWĄ (ICD-10: C91.1)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46527" w14:textId="7777777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ibrutynibem w monoterapii w I linii leczenia dorosłych chorych na przewlekłą białaczkę limfocytową z delecją 17p (del17p) / mutacją w genie </w:t>
            </w: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TP53</w:t>
            </w: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(mut</w:t>
            </w: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TP53</w:t>
            </w: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 lub niezmutowanym statusem </w:t>
            </w: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IgHV.</w:t>
            </w:r>
          </w:p>
          <w:p w14:paraId="1AB9572A" w14:textId="4D693CB8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004386" w:rsidRPr="002667F9" w14:paraId="1857779B" w14:textId="77777777" w:rsidTr="00C64949">
        <w:trPr>
          <w:cantSplit/>
          <w:trHeight w:val="1521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70D2E" w14:textId="1D87446A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36644">
              <w:rPr>
                <w:rFonts w:ascii="Lato" w:hAnsi="Lato" w:cstheme="majorHAnsi"/>
                <w:sz w:val="18"/>
                <w:szCs w:val="18"/>
              </w:rPr>
              <w:t>42.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18B55" w14:textId="594B377C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sz w:val="18"/>
                <w:szCs w:val="18"/>
              </w:rPr>
              <w:t>Imbruvica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B0BC0" w14:textId="359C6551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sz w:val="18"/>
                <w:szCs w:val="18"/>
              </w:rPr>
              <w:t>ibrutynib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EB6B6" w14:textId="00AD5CA3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B.79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46EF6" w14:textId="10660BC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PRZEWLEKŁĄ BIAŁACZKĘ LIMFOCYTOWĄ (ICD-10: C91.1)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E88AA" w14:textId="7777777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ibrutynibem w monoterapii od II linii leczenia dorosłych chorych na oporną lub nawrotową przewlekłą białaczkę limfocytową, bez względu na status delecji 17p (del17p) / mutacji w genie </w:t>
            </w: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TP53</w:t>
            </w: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(mut</w:t>
            </w: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TP53</w:t>
            </w: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).</w:t>
            </w:r>
          </w:p>
          <w:p w14:paraId="352DC484" w14:textId="7777777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(Rozszerzenie aktualnie refundowanego wskazania dla pacjentów bez delecji 17p (del17p) / mutacji w genie </w:t>
            </w: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TP53</w:t>
            </w: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(mut</w:t>
            </w: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TP53</w:t>
            </w: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))</w:t>
            </w:r>
          </w:p>
          <w:p w14:paraId="06E19D2D" w14:textId="37D8BEDD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004386" w:rsidRPr="002667F9" w14:paraId="2FCB8661" w14:textId="77777777" w:rsidTr="008B21D7">
        <w:trPr>
          <w:cantSplit/>
          <w:trHeight w:val="1271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8C929" w14:textId="7E9911FF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36644">
              <w:rPr>
                <w:rFonts w:ascii="Lato" w:hAnsi="Lato" w:cstheme="majorHAnsi"/>
                <w:sz w:val="18"/>
                <w:szCs w:val="18"/>
              </w:rPr>
              <w:lastRenderedPageBreak/>
              <w:t>43.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9F040" w14:textId="111F05FF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sz w:val="18"/>
                <w:szCs w:val="18"/>
              </w:rPr>
              <w:t>Calquence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2B697" w14:textId="6E35B5B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sz w:val="18"/>
                <w:szCs w:val="18"/>
              </w:rPr>
              <w:t>akalabrutynib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3BBEA" w14:textId="15C77A56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B.79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CB98E" w14:textId="30FE17AB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PRZEWLEKŁĄ BIAŁACZKĘ LIMFOCYTOWĄ (ICD-10: C91.1)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EBC50" w14:textId="7777777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akalabrutynibem w monoterapii w I linii leczenia dorosłych chorych na przewlekłą białaczkę limfocytową z delecją 17p (del17p) / mutacją w genie </w:t>
            </w: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TP53</w:t>
            </w: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(mut</w:t>
            </w: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TP53</w:t>
            </w: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 lub niezmutowanym statusem </w:t>
            </w: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IgHV.</w:t>
            </w:r>
          </w:p>
          <w:p w14:paraId="54A7433E" w14:textId="61EAFD96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004386" w:rsidRPr="002667F9" w14:paraId="3E334ABB" w14:textId="77777777" w:rsidTr="00C64949">
        <w:trPr>
          <w:cantSplit/>
          <w:trHeight w:val="1456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EFD73" w14:textId="2B1CFC95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36644">
              <w:rPr>
                <w:rFonts w:ascii="Lato" w:hAnsi="Lato" w:cstheme="majorHAnsi"/>
                <w:sz w:val="18"/>
                <w:szCs w:val="18"/>
              </w:rPr>
              <w:t>44.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DDFD2" w14:textId="0F0F49FF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sz w:val="18"/>
                <w:szCs w:val="18"/>
              </w:rPr>
              <w:t>Calquence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05A3A" w14:textId="589681B2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sz w:val="18"/>
                <w:szCs w:val="18"/>
              </w:rPr>
              <w:t>akalabrutynib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21BDE" w14:textId="20ACF3A9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B.79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3E15A" w14:textId="3FD3C88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PRZEWLEKŁĄ BIAŁACZKĘ LIMFOCYTOWĄ (ICD-10: C91.1)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0C174" w14:textId="7777777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akalabrutynibem w monoterapii od II linii leczenia dorosłych chorych na oporną lub nawrotową przewlekłą białaczkę limfocytową z delecją 17p (del17p) / mutacją w genie </w:t>
            </w: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TP53</w:t>
            </w: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(mut</w:t>
            </w: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TP53</w:t>
            </w: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 oraz dorosłych chorych na oporną lub nawrotową przewlekłą białaczkę limfocytową bez delecji 17p (del17p) / mutacji w genie </w:t>
            </w: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TP53</w:t>
            </w: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(mut</w:t>
            </w: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TP53)</w:t>
            </w: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, po wcześniejszym leczeniu wenetoklaksem w skojarzeniu z przeciwciałem anty-CD20 lub w przypadku przeciwwskazań do zastosowania wenetoklaksu z przeciwciałem anty-CD20.</w:t>
            </w:r>
          </w:p>
          <w:p w14:paraId="0B28FB09" w14:textId="0FCA53E3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004386" w:rsidRPr="002667F9" w14:paraId="4D7191B0" w14:textId="77777777" w:rsidTr="00C64949">
        <w:trPr>
          <w:cantSplit/>
          <w:trHeight w:val="1456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E6F5A" w14:textId="1212BD31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36644">
              <w:rPr>
                <w:rFonts w:ascii="Lato" w:hAnsi="Lato" w:cstheme="majorHAnsi"/>
                <w:sz w:val="18"/>
                <w:szCs w:val="18"/>
              </w:rPr>
              <w:t>45.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29442" w14:textId="259CA8AD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Jakavi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E7A2D" w14:textId="05FFC639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ruksolitynib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1CDCA" w14:textId="40643639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B.81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0961F" w14:textId="5F81076A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CHORYCH NA NOWOTWORY MIELOPROLIFERACYJNE </w:t>
            </w: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br/>
              <w:t>Ph (-) (ICD-10: D45, D47.1)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65E1F" w14:textId="7777777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ruksolitynibem dorosłych chorych na czerwienicę prawdziwą z grupy wysokiego ryzyka, z opornością lub nietolerancją na leczenie hydroksymocznikiem.</w:t>
            </w:r>
          </w:p>
          <w:p w14:paraId="653C1800" w14:textId="3355CBB1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004386" w:rsidRPr="002667F9" w14:paraId="4FE6FE57" w14:textId="77777777" w:rsidTr="00F83F44">
        <w:trPr>
          <w:cantSplit/>
          <w:trHeight w:val="64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7767B" w14:textId="73F0CB34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36644">
              <w:rPr>
                <w:rFonts w:ascii="Lato" w:hAnsi="Lato" w:cstheme="majorHAnsi"/>
                <w:sz w:val="18"/>
                <w:szCs w:val="18"/>
              </w:rPr>
              <w:t>46.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92A6B" w14:textId="14CC7840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Libtayo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D2DA0" w14:textId="032DFE2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cemiplimab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C3C8C" w14:textId="167BDBE9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B.88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BB680" w14:textId="28B046E6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PACJENTÓW CHORYCH NA RAKA </w:t>
            </w:r>
            <w:r w:rsidRPr="00004386">
              <w:rPr>
                <w:rFonts w:ascii="Lato" w:hAnsi="Lato" w:cstheme="majorHAnsi"/>
                <w:sz w:val="18"/>
                <w:szCs w:val="18"/>
              </w:rPr>
              <w:t>PODSTAWNOKOMÓRKOWEGO</w:t>
            </w: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SKÓRY (ICD-10: C44)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53F37" w14:textId="0D9CBA74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cemiplimabem w II linii leczenia, u pacjentów, u których nastąpiła progresja choroby lub nietolerancja w trakcie terapii inhibitorem szlaku Hedgehog.</w:t>
            </w:r>
          </w:p>
        </w:tc>
      </w:tr>
      <w:tr w:rsidR="00004386" w:rsidRPr="002667F9" w14:paraId="5949341F" w14:textId="77777777" w:rsidTr="00C64949">
        <w:trPr>
          <w:cantSplit/>
          <w:trHeight w:val="1456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1BF66" w14:textId="77B071E3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36644">
              <w:rPr>
                <w:rFonts w:ascii="Lato" w:hAnsi="Lato" w:cstheme="majorHAnsi"/>
                <w:sz w:val="18"/>
                <w:szCs w:val="18"/>
              </w:rPr>
              <w:t>47.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868F9" w14:textId="5B094043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Retsevmo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FE5C8" w14:textId="0CF329E0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selpercetynib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F14E0" w14:textId="679A408D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B.108.FM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0D2CE" w14:textId="23AB5AAF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RAKIEM RDZENIASTYM TARCZYCY (ICD-10: C73)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2AFE8" w14:textId="7777777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II linia leczenia pacjentów z zaawansowanym rakiem rdzeniastym tarczycy z obecnością fuzji genu RET, którzy wymagają terapii systemowej po wcześniejszym leczeniu wandetanibem lub kabozantynibem.</w:t>
            </w:r>
          </w:p>
          <w:p w14:paraId="2D0E2AC8" w14:textId="138C0EA7" w:rsid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(TLI - Technologia lekowa o wysokim stopniu innowacyjności)</w:t>
            </w:r>
          </w:p>
          <w:p w14:paraId="74040538" w14:textId="7F1AE7E4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004386" w:rsidRPr="002667F9" w14:paraId="6C6A9954" w14:textId="77777777" w:rsidTr="00C64949">
        <w:trPr>
          <w:cantSplit/>
          <w:trHeight w:val="1456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93FBE" w14:textId="470E162A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36644">
              <w:rPr>
                <w:rFonts w:ascii="Lato" w:hAnsi="Lato" w:cstheme="majorHAnsi"/>
                <w:sz w:val="18"/>
                <w:szCs w:val="18"/>
              </w:rPr>
              <w:lastRenderedPageBreak/>
              <w:t>48.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F2887" w14:textId="50A99FE6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sz w:val="18"/>
                <w:szCs w:val="18"/>
              </w:rPr>
              <w:t>Onureg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287FA" w14:textId="16681765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azacytydyna (postać doustna)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75FDC" w14:textId="32563331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sz w:val="18"/>
                <w:szCs w:val="18"/>
              </w:rPr>
              <w:t>B.114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52CD2" w14:textId="2FF6ACCD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sz w:val="18"/>
                <w:szCs w:val="18"/>
              </w:rPr>
              <w:t>LECZENIE CHORYCH NA OSTRĄ BIAŁACZKĘ SZPIKOWĄ (ICD-10: C92.0)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011AF" w14:textId="7777777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podtrzymujące azacytydyną doustną w monoterapii dorosłych chorych na ostrą białaczkę szpikową w potwierdzonej pierwszej całkowitej remisji lub potwierdzonej remisji z niepełną regeneracją morfologii krwi po chemioterapii indukującej albo indukującej i konsolidującej.</w:t>
            </w:r>
          </w:p>
          <w:p w14:paraId="7D457370" w14:textId="0BC33EEB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004386" w:rsidRPr="002667F9" w14:paraId="4EFDFD42" w14:textId="77777777" w:rsidTr="00F83F44">
        <w:trPr>
          <w:cantSplit/>
          <w:trHeight w:val="64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E5E" w14:textId="0275171D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36644">
              <w:rPr>
                <w:rFonts w:ascii="Lato" w:hAnsi="Lato" w:cstheme="majorHAnsi"/>
                <w:sz w:val="18"/>
                <w:szCs w:val="18"/>
              </w:rPr>
              <w:t>49.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671FA" w14:textId="0A27F431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sz w:val="18"/>
                <w:szCs w:val="18"/>
              </w:rPr>
              <w:t>Opdivo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F57E4" w14:textId="39CFC2E9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sz w:val="18"/>
                <w:szCs w:val="18"/>
              </w:rPr>
              <w:t>niwolumab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B9807" w14:textId="72752694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sz w:val="18"/>
                <w:szCs w:val="18"/>
              </w:rPr>
              <w:t>B.141.FM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401FC" w14:textId="1355F5FA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RAKIEM UROTELIALNYM (ICD-10: C61, C65, C66, C67, C68)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CF849" w14:textId="63CA352F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uzupełniające raka urotelialnego naciekającego błonę mięśniową u dorosłych z ekspresją PD-L1 na komórkach guza ≥ 1% i z wysokim ryzykiem nawrotu po radykalnej cystekomii z cechą R0.</w:t>
            </w:r>
          </w:p>
        </w:tc>
      </w:tr>
      <w:tr w:rsidR="00004386" w:rsidRPr="002667F9" w14:paraId="7533CB28" w14:textId="77777777" w:rsidTr="00C64949">
        <w:trPr>
          <w:cantSplit/>
          <w:trHeight w:val="1456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0ACDB" w14:textId="37A44C75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50.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41D36" w14:textId="5F674335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Padcev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15751" w14:textId="178A411E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enfortumab wedotyny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F88D5" w14:textId="2DF0CEDA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sz w:val="18"/>
                <w:szCs w:val="18"/>
              </w:rPr>
              <w:t>B.141.FM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11504" w14:textId="0A3C4875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RAKIEM UROTELIALNYM (ICD-10: C61, C65, C66, C67, C68)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45A04" w14:textId="7777777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II lub III linii raka urotelialnego miejscowo zaawansowanego lub z przerzutami u dorosłych chorych, którzy otrzymali wcześniej chemioterapię opartą na pochodnych platyny i inhibitor receptora programowanej śmierci komórki 1 (PD-1) lub inhibitor ligandu programowanej śmierci komórki 1 (PD-L1) (nawrót choroby w okresie nie wcześniej niż 6 miesięcy od zakończenia leczenia I linii).</w:t>
            </w:r>
          </w:p>
          <w:p w14:paraId="693018C9" w14:textId="32EE170F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(TLI - Technologia lekowa o wysokim stopniu innowacyjności)</w:t>
            </w:r>
          </w:p>
        </w:tc>
      </w:tr>
      <w:tr w:rsidR="00004386" w:rsidRPr="002667F9" w14:paraId="74DF4845" w14:textId="77777777" w:rsidTr="00C64949">
        <w:trPr>
          <w:cantSplit/>
          <w:trHeight w:val="1456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FAD9D" w14:textId="1CC3B6C6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51.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45932" w14:textId="01264E7E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Vitrakvi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EA1FD" w14:textId="359DE3AF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larotrektynib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9440D" w14:textId="053474FD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B.144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451BB" w14:textId="4878C6A1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GUZAMI LITYMI Z FUZJĄ GENU RECEPTOROWEJ KINAZY TYROZYNOWEJ DLA NEUROTROFIN (NTRK)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056D1" w14:textId="5C68FB95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chorych z różnymi typami nowotworów litych, w przypadku których stwierdza się fuzję genu receptorowej kinazy tyrozynowej dla neurotrofin (NTRK). Leczenie dotyczy pacjentów z nowotworami w stadium miejscowo zaawansowanym lub przerzutowym, u których brak jest możliwości leczenia miejscowego lub jego podjęcie może doprowadzić do poważnych i niekorzystnych następstw zdrowotnych. Dodatkowo terapia jest wskazana w przypadkach wyczerpania innych możliwości oraz w przypadkach braku innych terapii o potwierdzonych korzyściach klinicznych w danym wskazaniu. Kwalifikacja do leczenia będzie przeprowadzana przez Zespół Koordynacyjny. </w:t>
            </w:r>
          </w:p>
        </w:tc>
      </w:tr>
      <w:tr w:rsidR="00004386" w:rsidRPr="002667F9" w14:paraId="4217AAAF" w14:textId="77777777" w:rsidTr="00C64949">
        <w:trPr>
          <w:cantSplit/>
          <w:trHeight w:val="91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CC17B" w14:textId="30D76078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52.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77FC0" w14:textId="419E9CA5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Rozlytrek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CAA2B" w14:textId="7CEC2F4B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entrectinib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8D6B0" w14:textId="0BDF553F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B.144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0F813" w14:textId="11D61540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GUZAMI LITYMI Z FUZJĄ GENU RECEPTOROWEJ KINAZY TYROZYNOWEJ DLA NEUROTROFIN (NTRK)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9F70A" w14:textId="7777777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Dodanie drugiego, obok larotrektynibu, leku z grupy inhibitorów kinaz tyrozynowych receptora tropomiozynowego do leczenia guzów litych z fuzją genu NTRK w programie.</w:t>
            </w:r>
          </w:p>
          <w:p w14:paraId="3739DE73" w14:textId="7C871CB6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004386" w:rsidRPr="002667F9" w14:paraId="56367A51" w14:textId="77777777" w:rsidTr="00C64949">
        <w:trPr>
          <w:cantSplit/>
          <w:trHeight w:val="91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604B9" w14:textId="2E82BFAB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53.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FF477" w14:textId="357AD189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sz w:val="18"/>
                <w:szCs w:val="18"/>
              </w:rPr>
              <w:t>Darzalex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2491C" w14:textId="43C531D6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sz w:val="18"/>
                <w:szCs w:val="18"/>
              </w:rPr>
              <w:t>daratumumab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B5C68" w14:textId="7F15BA00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sz w:val="18"/>
                <w:szCs w:val="18"/>
              </w:rPr>
              <w:t>B.145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50C8C" w14:textId="7F8D9B5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sz w:val="18"/>
                <w:szCs w:val="18"/>
              </w:rPr>
              <w:t>LECZENIE CHORYCH NA UKŁADOWĄ AMYLOIDOZĘ ŁAŃCUCHÓW LEKKICH (AL) (ICD-10: E85.8)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D56DB" w14:textId="7777777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daratumumabem w skojarzeniu z bortezomibem, cyklofosfamidem i deksametazonem (schemat D-VCd) w I linii leczenia dorosłych chorych na układową amyloidozę łańcuchów lekkich (AL).</w:t>
            </w:r>
          </w:p>
          <w:p w14:paraId="58AF3FFC" w14:textId="274A124F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004386" w:rsidRPr="002667F9" w14:paraId="279F2845" w14:textId="77777777" w:rsidTr="00C64949">
        <w:trPr>
          <w:cantSplit/>
          <w:trHeight w:val="91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01CFE" w14:textId="4321852B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54.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4DE25" w14:textId="5FAD3930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Brukinsa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AFFD0" w14:textId="1377D423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zanubrutynib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4A09B" w14:textId="7711F331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B.146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2568B" w14:textId="06AB8CA6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MAKROGLOBULINEMIĘ WALDENSTRÖMA (ICD-10: C88.0)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F7ADE" w14:textId="7777777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zanubrutynibem w monoterapii dorosłych chorych na makroglobulinemię Waldenströma, wcześniej nieleczonych i niekwalifikujących się do immunochemioterapii albo po wcześniejszej co najmniej 1 linii leczenia.</w:t>
            </w:r>
          </w:p>
          <w:p w14:paraId="1A6ECC45" w14:textId="64598A30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004386" w:rsidRPr="002667F9" w14:paraId="2800FA37" w14:textId="77777777" w:rsidTr="00C64949">
        <w:trPr>
          <w:cantSplit/>
          <w:trHeight w:val="91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A7044" w14:textId="11D41058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55.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19634" w14:textId="5441D43F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Jemperli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C16E4" w14:textId="7C78529E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dostarlimab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7060A" w14:textId="2F068085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B.148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F85F8" w14:textId="277D3161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ENDOMETRIUM (ICD-10 C54)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38137" w14:textId="08DC1F86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II linia leczenia pacjentek z nawrotowym lub zaawansowanym rakiem endometrium z upośledzeniem naprawy nieprawidłowo sparowanych nukleotydów (dMMR) lub wysoką niestabilnością mikrosatelitarną (MSI-H).</w:t>
            </w:r>
          </w:p>
        </w:tc>
      </w:tr>
      <w:tr w:rsidR="00004386" w:rsidRPr="002667F9" w14:paraId="69EB8F44" w14:textId="77777777" w:rsidTr="00C64949">
        <w:trPr>
          <w:cantSplit/>
          <w:trHeight w:val="91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9BFF5" w14:textId="16E7550B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56.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5D45F" w14:textId="7FB1FD84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Jakavi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12D75" w14:textId="6A57A6BD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ruksolitynib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9BF64" w14:textId="3FA48F2E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B.149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029A8" w14:textId="2715AE7B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CHOROBĄ PRZESZCZEP PRZECIWKO GOSPODARZOWI (ICD-10: T86.0)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36533" w14:textId="7777777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ruksolitynibem pacjentów od 12 roku życia z ostrą lub przewlekłą chorobą przeszczep przeciwko gospodarzowi (GvHD) po przeszczepieniu allogenicznych krwiotwórczych komórek macierzystych i z niewystarczającą odpowiedzią na leczenie kortykosteroidami.</w:t>
            </w:r>
          </w:p>
          <w:p w14:paraId="091AF311" w14:textId="19DE1811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004386" w:rsidRPr="002667F9" w14:paraId="67566343" w14:textId="77777777" w:rsidTr="00C64949">
        <w:trPr>
          <w:cantSplit/>
          <w:trHeight w:val="91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D4CD8" w14:textId="31A7C191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57.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9D36A" w14:textId="1DCBB6C3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02DED" w14:textId="477E9FF6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karboplatyna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E9B37" w14:textId="5FCB7F00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C.6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556B6" w14:textId="1CD40CA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CARBOPLATIN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61A7E" w14:textId="7777777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Objęcie finasowaniem karboplatyny w nowotworach przełyku – wszystkie lokalizacje (ICD-10 C.15.) wraz z usunięciem dotychczasowego zawężenia wskazania.</w:t>
            </w:r>
          </w:p>
          <w:p w14:paraId="4AEC53C4" w14:textId="3563139D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off-label)</w:t>
            </w:r>
          </w:p>
        </w:tc>
      </w:tr>
      <w:tr w:rsidR="00004386" w:rsidRPr="002667F9" w14:paraId="4E6CDAD7" w14:textId="77777777" w:rsidTr="00C64949">
        <w:trPr>
          <w:cantSplit/>
          <w:trHeight w:val="91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1815D" w14:textId="3C0A15E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58.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C8C54" w14:textId="4818A6AC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02731" w14:textId="56F3CAE5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gemcytabina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C50E0" w14:textId="61BB94D2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sz w:val="18"/>
                <w:szCs w:val="18"/>
              </w:rPr>
              <w:t>C.28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7858F" w14:textId="74493020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/>
                <w:bCs/>
                <w:sz w:val="18"/>
                <w:szCs w:val="18"/>
              </w:rPr>
              <w:t>GEMCITABINE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834C9" w14:textId="77777777" w:rsidR="00004386" w:rsidRPr="00004386" w:rsidRDefault="00004386" w:rsidP="00004386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sz w:val="18"/>
                <w:szCs w:val="18"/>
              </w:rPr>
              <w:t>Rozszerzenie załącznika C.28 o wskazania pozarejestracyjne:</w:t>
            </w:r>
          </w:p>
          <w:p w14:paraId="399DD1EB" w14:textId="77777777" w:rsidR="00004386" w:rsidRPr="00004386" w:rsidRDefault="00004386" w:rsidP="00004386">
            <w:pPr>
              <w:pStyle w:val="Akapitzlist"/>
              <w:numPr>
                <w:ilvl w:val="0"/>
                <w:numId w:val="21"/>
              </w:num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sz w:val="18"/>
                <w:szCs w:val="18"/>
              </w:rPr>
              <w:t>C.66 Nowotwór złośliwy moczowodu,</w:t>
            </w:r>
          </w:p>
          <w:p w14:paraId="005B6CE2" w14:textId="768B0879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sz w:val="18"/>
                <w:szCs w:val="18"/>
              </w:rPr>
              <w:t>C.68 Nowotwór złośliwy innych i nieokreślonych narządów moczowych.</w:t>
            </w:r>
          </w:p>
        </w:tc>
      </w:tr>
      <w:tr w:rsidR="00004386" w:rsidRPr="002667F9" w14:paraId="683BB564" w14:textId="77777777" w:rsidTr="00C64949">
        <w:trPr>
          <w:cantSplit/>
          <w:trHeight w:val="91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266A1" w14:textId="46302B26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59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7FBD0" w14:textId="5DC680EF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445C9" w14:textId="1911BE16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paklitaksel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60716" w14:textId="58B6114E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C.47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AB360" w14:textId="5BC2C9D5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PACLITAXEL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5CAD1" w14:textId="7777777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Objęcie finasowaniem paklitakselu w nowotworach przełyku- wszystkie lokalizacje (ICD-10 C.15.) wraz z usunięciem dotychczasowego zawężenia wskazania oraz dodanie możliwości finasowania podania paklitakselu w terapii nowotwór złośliwy odbytu i kanału odbytu (ICD-10 C21).</w:t>
            </w:r>
          </w:p>
          <w:p w14:paraId="5B8068A7" w14:textId="710296FA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off-label)</w:t>
            </w:r>
          </w:p>
        </w:tc>
      </w:tr>
      <w:tr w:rsidR="00004386" w:rsidRPr="002667F9" w14:paraId="478398BF" w14:textId="77777777" w:rsidTr="00C64949">
        <w:trPr>
          <w:cantSplit/>
          <w:trHeight w:val="91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3D27A" w14:textId="3663FC4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60.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E6D22" w14:textId="62480EFB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D90E2" w14:textId="2967516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sz w:val="18"/>
                <w:szCs w:val="18"/>
              </w:rPr>
              <w:t>bewacyzumab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C1EA6" w14:textId="7BAAA89E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sz w:val="18"/>
                <w:szCs w:val="18"/>
              </w:rPr>
              <w:t>C.82.a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0730A" w14:textId="5D13AB2F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sz w:val="18"/>
                <w:szCs w:val="18"/>
              </w:rPr>
              <w:t>BEVACIZUMAB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A0AF8" w14:textId="569B1898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bewcyzumabem w skojarzeniu z karboplatyną i gemcytabiną lub w skojarzeniu z karboplatyną i paklitakselem pacjentek z pierwszym nawrotem wrażliwego na związki platyny raka jajnika, jajowodu lub pierwotnego raka otrzewnej.</w:t>
            </w:r>
          </w:p>
        </w:tc>
      </w:tr>
      <w:tr w:rsidR="00004386" w:rsidRPr="002667F9" w14:paraId="75FE5775" w14:textId="77777777" w:rsidTr="00C64949">
        <w:trPr>
          <w:cantSplit/>
          <w:trHeight w:val="91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93F5D" w14:textId="2A052222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61.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095FF" w14:textId="0D1B7222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produkty handlowe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72EDA" w14:textId="7EAFD8AF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sz w:val="18"/>
                <w:szCs w:val="18"/>
              </w:rPr>
              <w:t>bewacyzumab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D4B85" w14:textId="3B18A0B2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sz w:val="18"/>
                <w:szCs w:val="18"/>
              </w:rPr>
              <w:t>C.82.a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6FD7D" w14:textId="3AD98E8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sz w:val="18"/>
                <w:szCs w:val="18"/>
              </w:rPr>
              <w:t>BEVACIZUMAB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78BE3" w14:textId="473D9DEB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bewcyzumabem w skojarzeniu z paklitakselem, topotekanem inj. lub pegylowaną liposomalną doksorubicyną pacjentek z nawrotem opornego na związki platyny raka jajnika, jajowodu lub pierwotnego raka otrzewnej.</w:t>
            </w:r>
          </w:p>
        </w:tc>
      </w:tr>
      <w:tr w:rsidR="00004386" w:rsidRPr="002667F9" w14:paraId="39005D91" w14:textId="77777777" w:rsidTr="00C64949">
        <w:trPr>
          <w:cantSplit/>
          <w:trHeight w:val="91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E6514" w14:textId="73D2A3DF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62.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895F2" w14:textId="6000EFA6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D2B0B" w14:textId="1EF69863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sz w:val="18"/>
                <w:szCs w:val="18"/>
              </w:rPr>
              <w:t>lenalidomid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945CC" w14:textId="5B991DBF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C.84.a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7863D" w14:textId="507ABB86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LENALIDOMIDUM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8E3D1" w14:textId="7777777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lenalidomidem w skojarzeniu z melfalanem i prednizonem dorosłych pacjentów z nieleczonym uprzednio szpiczakiem plazmocytowym, którzy nie kwalifikują się do przeszczepienia autologicznych krwiotwórczych komórek macierzystych (auto-HSCT).</w:t>
            </w:r>
          </w:p>
          <w:p w14:paraId="776D591B" w14:textId="2BC87E20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004386" w:rsidRPr="002667F9" w14:paraId="212C88E8" w14:textId="77777777" w:rsidTr="00C64949">
        <w:trPr>
          <w:cantSplit/>
          <w:trHeight w:val="981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247C9" w14:textId="771201A8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63.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8C820" w14:textId="459B6A1E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27939" w14:textId="7642C83A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sz w:val="18"/>
                <w:szCs w:val="18"/>
              </w:rPr>
              <w:t>lenalidomid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15474" w14:textId="20258CD9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C.84.a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1AA54" w14:textId="09E2A95A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LENALIDOMIDUM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7A727" w14:textId="7777777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lenalidomidem w skojarzeniu z deksametazonem dorosłych pacjentów ze szpiczakiem plazmocytowym, u których stosowano uprzednio co najmniej jeden schemat leczenia.</w:t>
            </w:r>
          </w:p>
          <w:p w14:paraId="0A246B9F" w14:textId="77777777" w:rsidR="00004386" w:rsidRPr="006E21D3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E21D3">
              <w:rPr>
                <w:rFonts w:ascii="Lato" w:hAnsi="Lato" w:cstheme="majorHAnsi"/>
                <w:color w:val="000000"/>
                <w:sz w:val="18"/>
                <w:szCs w:val="18"/>
              </w:rPr>
              <w:t>(Rozszerzenie aktualnie refundowanego wskazania)</w:t>
            </w:r>
          </w:p>
          <w:p w14:paraId="22F80D8C" w14:textId="32416E2E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004386" w:rsidRPr="002667F9" w14:paraId="3BA356CF" w14:textId="77777777" w:rsidTr="00C64949">
        <w:trPr>
          <w:cantSplit/>
          <w:trHeight w:val="98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CE5FA" w14:textId="793E3ED4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64.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F7C69" w14:textId="132CB620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4CB1F" w14:textId="3553B42E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sz w:val="18"/>
                <w:szCs w:val="18"/>
              </w:rPr>
              <w:t>lenalidomid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12B38" w14:textId="1C171C14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C.84.a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3DDB4" w14:textId="54947E9C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LENALIDOMIDUM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A1B8F" w14:textId="7777777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lenalidomidem w monoterapii w leczeniu podtrzymującym dorosłych pacjentów ze szpiczakiem plazmocytowym po przeszczepieniu autologicznych krwiotwórczych komórek macierzystych (auto-HSCT) stosowanych po pierwszej linii leczenia.</w:t>
            </w:r>
          </w:p>
          <w:p w14:paraId="12E6CF17" w14:textId="67902493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004386" w:rsidRPr="002667F9" w14:paraId="3C6CBE16" w14:textId="77777777" w:rsidTr="00C64949">
        <w:trPr>
          <w:cantSplit/>
          <w:trHeight w:val="1404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92B7D" w14:textId="7593903D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65.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60DBD" w14:textId="1FD7FD43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9CF66" w14:textId="3C1BAF5C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sz w:val="18"/>
                <w:szCs w:val="18"/>
              </w:rPr>
              <w:t>lenalidomid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63752" w14:textId="3D9CF020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C.84.c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538A1" w14:textId="17FCFB83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LENALIDOMIDUM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97CCC" w14:textId="7777777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lenalidomidem w skojarzeniu z rytuksymabem dorosłych pacjentów z uprzednio leczonym chłoniakiem grudkowym w stopniu 1-3a.</w:t>
            </w:r>
          </w:p>
          <w:p w14:paraId="293A4B70" w14:textId="21457E65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004386" w:rsidRPr="002667F9" w14:paraId="6B5E4A94" w14:textId="77777777" w:rsidTr="00C64949">
        <w:trPr>
          <w:cantSplit/>
          <w:trHeight w:val="121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7E92B" w14:textId="41A30C63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66.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912EE" w14:textId="0CA648F2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7F521" w14:textId="62491C1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lenalidomid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39D19" w14:textId="29C796B1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C.84.d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EA511" w14:textId="68ECD333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sz w:val="18"/>
                <w:szCs w:val="18"/>
              </w:rPr>
              <w:t>LENALIDOMIDUM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F2FA1" w14:textId="7777777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lenalidomidem w skojarzeniu z rytuksymabem dorosłych pacjentów z uprzednio nieleczonym chłoniakiem grudkowym w stopniu 1-3a. </w:t>
            </w:r>
          </w:p>
          <w:p w14:paraId="2483271B" w14:textId="7777777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(Wskazanie off-label) </w:t>
            </w:r>
          </w:p>
          <w:p w14:paraId="103F66FA" w14:textId="567FF4B3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004386" w:rsidRPr="002667F9" w14:paraId="0303BDFB" w14:textId="77777777" w:rsidTr="00C64949">
        <w:trPr>
          <w:cantSplit/>
          <w:trHeight w:val="121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7E444" w14:textId="3835A67D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67.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CED28" w14:textId="05DB5238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2DE6A" w14:textId="49EDE3FE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lenalidomid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B5BE7" w14:textId="46506336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sz w:val="18"/>
                <w:szCs w:val="18"/>
              </w:rPr>
              <w:t>C.84.d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18D1F" w14:textId="14FAE39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sz w:val="18"/>
                <w:szCs w:val="18"/>
              </w:rPr>
              <w:t>LENALIDOMIDUM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9CA94" w14:textId="29FAA0EB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lenalidomidem w skojarzeniu z rytuksymabem dorosłych pacjentów z uprzednio leczonymi</w:t>
            </w:r>
            <w:r w:rsidR="00F83F4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chłoniakiami strefy brzeżnej.</w:t>
            </w:r>
          </w:p>
          <w:p w14:paraId="44DD8ED8" w14:textId="7777777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(Wskazanie off-label) </w:t>
            </w:r>
          </w:p>
          <w:p w14:paraId="7F6FE727" w14:textId="02BDD0B6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004386" w:rsidRPr="002667F9" w14:paraId="28440E8E" w14:textId="77777777" w:rsidTr="00C64949">
        <w:trPr>
          <w:cantSplit/>
          <w:trHeight w:val="121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03B58" w14:textId="2DBC0955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68.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161A8" w14:textId="46FC7A3C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C36D6" w14:textId="5EEA186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lenalidomid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6A30" w14:textId="55B718A2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sz w:val="18"/>
                <w:szCs w:val="18"/>
              </w:rPr>
              <w:t>C.84.d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680FD" w14:textId="6C38EA4C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sz w:val="18"/>
                <w:szCs w:val="18"/>
              </w:rPr>
              <w:t>LENALIDOMIDUM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15194" w14:textId="7777777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lenalidomidem w skojarzeniu z rytuksymabem dorosłych pacjentów z nawracającym lub opornym na leczenie chłoniakiem z komórek płaszcza.</w:t>
            </w:r>
          </w:p>
          <w:p w14:paraId="2223913B" w14:textId="7777777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(Wskazanie off-label) </w:t>
            </w:r>
          </w:p>
          <w:p w14:paraId="582F43AC" w14:textId="49873E94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004386" w:rsidRPr="002667F9" w14:paraId="79BB4D43" w14:textId="77777777" w:rsidTr="00C64949">
        <w:trPr>
          <w:cantSplit/>
          <w:trHeight w:val="121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73E31" w14:textId="1E312F62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69.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9C281" w14:textId="020EABD5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sz w:val="18"/>
                <w:szCs w:val="18"/>
              </w:rPr>
              <w:t>Besremi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2B444" w14:textId="7777777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sz w:val="18"/>
                <w:szCs w:val="18"/>
              </w:rPr>
              <w:t>ropeginterferon</w:t>
            </w:r>
          </w:p>
          <w:p w14:paraId="6097AD7F" w14:textId="1F2A5CCA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alfa-2b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7CAC9" w14:textId="48B4D2B1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C.85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B5F35" w14:textId="3EB90B3F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ROPEGINTERFERONUM ALFA-2B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14767" w14:textId="7777777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ropeginterferonem alfa-2b pacjentów chorych na czerwienicę prawdziwą, którzy</w:t>
            </w:r>
            <w:r w:rsidRPr="00004386">
              <w:rPr>
                <w:rFonts w:ascii="Lato" w:hAnsi="Lato"/>
                <w:sz w:val="18"/>
                <w:szCs w:val="18"/>
              </w:rPr>
              <w:t xml:space="preserve"> </w:t>
            </w: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nie odpowiadają na leczenie hydroksymocznikiem lub mają objawy niepożądane, młodych chorych wysokiego ryzyka ze wskazaniami do leczenia cytoredukcyjnego, kobiet w ciąży z czerwienicą prawdziwą wymagających leczenia cytoredukcyjnego.</w:t>
            </w:r>
          </w:p>
          <w:p w14:paraId="04603419" w14:textId="524D1A40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004386" w:rsidRPr="002667F9" w14:paraId="11BAEE71" w14:textId="77777777" w:rsidTr="00F83F44">
        <w:trPr>
          <w:cantSplit/>
          <w:trHeight w:val="365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C9339" w14:textId="0FFEA4C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70.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8AB2D" w14:textId="1C020265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produkty handlowe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BC366" w14:textId="295D427A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sz w:val="18"/>
                <w:szCs w:val="18"/>
              </w:rPr>
              <w:t>trastuzumab i.v.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4092D" w14:textId="79CC1603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sz w:val="18"/>
                <w:szCs w:val="18"/>
              </w:rPr>
              <w:t>C.86.c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0FD7B" w14:textId="25756D2C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sz w:val="18"/>
                <w:szCs w:val="18"/>
              </w:rPr>
              <w:t>TRASTUZUMAB I.V.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A0308" w14:textId="7777777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Leczenie trastuzumabem w skojarzeniu z paklitakselem i karboplatyną chorych z zaawansowanym lub nawrotowym surowiczym rakiem endometrium z nadekspresją białka HER2.</w:t>
            </w:r>
          </w:p>
          <w:p w14:paraId="72D9345E" w14:textId="40831FC6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off-label)</w:t>
            </w:r>
          </w:p>
        </w:tc>
      </w:tr>
      <w:tr w:rsidR="00004386" w:rsidRPr="002667F9" w14:paraId="30B5FC26" w14:textId="77777777" w:rsidTr="00F83F44">
        <w:trPr>
          <w:cantSplit/>
          <w:trHeight w:val="382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6B03C" w14:textId="1054A372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71.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3DD38" w14:textId="0C55F9EB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produkty handlowe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A64A5" w14:textId="59616BC2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octan abirateronu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3C35E" w14:textId="096FE4F2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C.87.a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AB42F" w14:textId="24AEC7DF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OCTAN ABIRATERONU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F358B" w14:textId="60367314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Leczenia chorych na nowo rozpoznanego hormonowrażliwego raka gruczołu krokowego wysokiego ryzyka z przerzutami (mHSPC).</w:t>
            </w:r>
          </w:p>
        </w:tc>
      </w:tr>
      <w:tr w:rsidR="00004386" w:rsidRPr="002667F9" w14:paraId="330371A0" w14:textId="77777777" w:rsidTr="00F83F44">
        <w:trPr>
          <w:cantSplit/>
          <w:trHeight w:val="839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67BA5" w14:textId="2060BF4B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72.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24FD1" w14:textId="23E9A188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produkty handlowe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CEDE8" w14:textId="54E69B06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octan abirateronu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7CC1" w14:textId="2DD60CFF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C.87.b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1B6AD" w14:textId="07BD67FC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OCTAN ABIRATERONU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ADDC1" w14:textId="7777777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Leczenia chorych na wrażliwego na kastrację raka gruczołu krokowego z przerzutami (mHSPC) oraz leczenia pacjentów na opornego na kastrację raka gruczołu krokowego bez przerzutów (nmCRPC) z wysokim ryzykiem wystąpienia przerzutów.</w:t>
            </w:r>
          </w:p>
          <w:p w14:paraId="57AA1564" w14:textId="3B29F939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(Wskazanie </w:t>
            </w:r>
            <w:r w:rsidRPr="00F83F4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off-label</w:t>
            </w: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004386" w:rsidRPr="002667F9" w14:paraId="1BD56362" w14:textId="77777777" w:rsidTr="00F83F44">
        <w:trPr>
          <w:cantSplit/>
          <w:trHeight w:val="514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EF13A" w14:textId="6637171D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73.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8F824" w14:textId="7973DAD4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4E27" w14:textId="6C9EE95B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sunitynib</w:t>
            </w:r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6F62D" w14:textId="276B2918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color w:val="000000"/>
                <w:sz w:val="18"/>
                <w:szCs w:val="18"/>
              </w:rPr>
              <w:t>C.88.b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EE52E" w14:textId="551439E3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sz w:val="18"/>
                <w:szCs w:val="18"/>
              </w:rPr>
              <w:t>SUNITINIB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D8DD7" w14:textId="77777777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sz w:val="18"/>
                <w:szCs w:val="18"/>
              </w:rPr>
              <w:t>Leczenie sunitynibem mięsaków tkanek miękkich u pacjentów z samotnym guzem włóknistym (</w:t>
            </w:r>
            <w:r w:rsidRPr="00004386">
              <w:rPr>
                <w:rFonts w:ascii="Lato" w:hAnsi="Lato" w:cstheme="majorHAnsi"/>
                <w:i/>
                <w:iCs/>
                <w:sz w:val="18"/>
                <w:szCs w:val="18"/>
              </w:rPr>
              <w:t>solitary fibrous tumor</w:t>
            </w:r>
            <w:r w:rsidRPr="00004386">
              <w:rPr>
                <w:rFonts w:ascii="Lato" w:hAnsi="Lato" w:cstheme="majorHAnsi"/>
                <w:sz w:val="18"/>
                <w:szCs w:val="18"/>
              </w:rPr>
              <w:t>), a także u wcześniej poddanych chemioterapii pacjentów z mięsakiem naczyniowym (</w:t>
            </w:r>
            <w:r w:rsidRPr="00004386">
              <w:rPr>
                <w:rFonts w:ascii="Lato" w:hAnsi="Lato" w:cstheme="majorHAnsi"/>
                <w:i/>
                <w:iCs/>
                <w:sz w:val="18"/>
                <w:szCs w:val="18"/>
              </w:rPr>
              <w:t>angiosarcoma</w:t>
            </w:r>
            <w:r w:rsidRPr="00004386">
              <w:rPr>
                <w:rFonts w:ascii="Lato" w:hAnsi="Lato" w:cstheme="majorHAnsi"/>
                <w:sz w:val="18"/>
                <w:szCs w:val="18"/>
              </w:rPr>
              <w:t>).</w:t>
            </w:r>
          </w:p>
          <w:p w14:paraId="421ADE77" w14:textId="31371273" w:rsidR="00004386" w:rsidRPr="00004386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(Wskazanie off-label) </w:t>
            </w:r>
          </w:p>
        </w:tc>
      </w:tr>
    </w:tbl>
    <w:p w14:paraId="686D2E82" w14:textId="77777777" w:rsidR="00816802" w:rsidRPr="002667F9" w:rsidRDefault="00816802" w:rsidP="00816802">
      <w:pPr>
        <w:rPr>
          <w:rFonts w:ascii="Lato" w:hAnsi="Lato" w:cstheme="majorHAnsi"/>
          <w:sz w:val="20"/>
          <w:szCs w:val="20"/>
        </w:rPr>
      </w:pPr>
    </w:p>
    <w:p w14:paraId="3F9E140F" w14:textId="0EFC303D" w:rsidR="00816802" w:rsidRPr="002667F9" w:rsidRDefault="00816802" w:rsidP="00816802">
      <w:pPr>
        <w:suppressAutoHyphens w:val="0"/>
        <w:rPr>
          <w:rFonts w:ascii="Lato" w:hAnsi="Lato" w:cstheme="majorHAnsi"/>
          <w:sz w:val="20"/>
          <w:szCs w:val="20"/>
        </w:rPr>
      </w:pPr>
    </w:p>
    <w:p w14:paraId="2E744D54" w14:textId="77777777" w:rsidR="00816802" w:rsidRPr="002667F9" w:rsidRDefault="00816802" w:rsidP="00816802">
      <w:pPr>
        <w:rPr>
          <w:rFonts w:ascii="Lato" w:hAnsi="Lato" w:cstheme="majorHAnsi"/>
          <w:sz w:val="20"/>
          <w:szCs w:val="20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587"/>
        <w:gridCol w:w="1500"/>
        <w:gridCol w:w="1842"/>
        <w:gridCol w:w="1981"/>
        <w:gridCol w:w="3526"/>
        <w:gridCol w:w="4477"/>
      </w:tblGrid>
      <w:tr w:rsidR="00816802" w:rsidRPr="002667F9" w14:paraId="03B15345" w14:textId="77777777" w:rsidTr="00CC71A7">
        <w:trPr>
          <w:cantSplit/>
          <w:trHeight w:val="14"/>
        </w:trPr>
        <w:tc>
          <w:tcPr>
            <w:tcW w:w="5000" w:type="pct"/>
            <w:gridSpan w:val="6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76D1A" w14:textId="692091DA" w:rsidR="00816802" w:rsidRPr="002667F9" w:rsidRDefault="00816802" w:rsidP="00C61F3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2667F9">
              <w:rPr>
                <w:rFonts w:ascii="Lato" w:hAnsi="Lato" w:cstheme="majorHAnsi"/>
                <w:b/>
                <w:bCs/>
                <w:sz w:val="20"/>
                <w:szCs w:val="20"/>
              </w:rPr>
              <w:t>Nowe wskazania nieonkologiczne</w:t>
            </w:r>
          </w:p>
        </w:tc>
      </w:tr>
      <w:tr w:rsidR="00816802" w:rsidRPr="002667F9" w14:paraId="0B21BDF5" w14:textId="77777777" w:rsidTr="00CC71A7">
        <w:trPr>
          <w:cantSplit/>
          <w:trHeight w:val="14"/>
        </w:trPr>
        <w:tc>
          <w:tcPr>
            <w:tcW w:w="211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422DB" w14:textId="77777777" w:rsidR="00816802" w:rsidRPr="002667F9" w:rsidRDefault="00816802" w:rsidP="00C61F38">
            <w:pPr>
              <w:spacing w:before="60" w:after="60" w:line="240" w:lineRule="auto"/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2667F9">
              <w:rPr>
                <w:rFonts w:ascii="Lato" w:hAnsi="Lato" w:cstheme="maj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39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A0C85" w14:textId="77777777" w:rsidR="00816802" w:rsidRPr="002667F9" w:rsidRDefault="00816802" w:rsidP="00C61F38">
            <w:pPr>
              <w:spacing w:before="60" w:after="60" w:line="240" w:lineRule="auto"/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2667F9">
              <w:rPr>
                <w:rFonts w:ascii="Lato" w:hAnsi="Lato" w:cstheme="majorHAnsi"/>
                <w:b/>
                <w:bCs/>
                <w:sz w:val="20"/>
                <w:szCs w:val="20"/>
              </w:rPr>
              <w:t>Nazwa leku</w:t>
            </w:r>
          </w:p>
        </w:tc>
        <w:tc>
          <w:tcPr>
            <w:tcW w:w="662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EFF71" w14:textId="77777777" w:rsidR="00816802" w:rsidRPr="002667F9" w:rsidRDefault="00816802" w:rsidP="00C61F38">
            <w:pPr>
              <w:spacing w:before="60" w:after="60" w:line="240" w:lineRule="auto"/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2667F9">
              <w:rPr>
                <w:rFonts w:ascii="Lato" w:hAnsi="Lato" w:cstheme="majorHAnsi"/>
                <w:b/>
                <w:bCs/>
                <w:sz w:val="20"/>
                <w:szCs w:val="20"/>
              </w:rPr>
              <w:t>Substancja czynna</w:t>
            </w:r>
          </w:p>
        </w:tc>
        <w:tc>
          <w:tcPr>
            <w:tcW w:w="712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A6393" w14:textId="77777777" w:rsidR="00816802" w:rsidRPr="002667F9" w:rsidRDefault="00816802" w:rsidP="00C61F38">
            <w:pPr>
              <w:spacing w:before="60" w:after="60" w:line="240" w:lineRule="auto"/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2667F9">
              <w:rPr>
                <w:rFonts w:ascii="Lato" w:hAnsi="Lato" w:cstheme="majorHAnsi"/>
                <w:b/>
                <w:bCs/>
                <w:sz w:val="20"/>
                <w:szCs w:val="20"/>
              </w:rPr>
              <w:t>Numer programu lekowego/załącznika chemioterapii</w:t>
            </w:r>
          </w:p>
        </w:tc>
        <w:tc>
          <w:tcPr>
            <w:tcW w:w="1267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AC9DC" w14:textId="77777777" w:rsidR="00816802" w:rsidRPr="002667F9" w:rsidRDefault="00816802" w:rsidP="00C61F3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2667F9">
              <w:rPr>
                <w:rFonts w:ascii="Lato" w:hAnsi="Lato" w:cstheme="majorHAnsi"/>
                <w:b/>
                <w:bCs/>
                <w:sz w:val="20"/>
                <w:szCs w:val="20"/>
              </w:rPr>
              <w:t xml:space="preserve">Nazwa programu lekowego / </w:t>
            </w:r>
          </w:p>
          <w:p w14:paraId="735EAD06" w14:textId="77777777" w:rsidR="00816802" w:rsidRPr="002667F9" w:rsidRDefault="00816802" w:rsidP="00C61F38">
            <w:pPr>
              <w:spacing w:before="60" w:after="60" w:line="240" w:lineRule="auto"/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2667F9">
              <w:rPr>
                <w:rFonts w:ascii="Lato" w:hAnsi="Lato" w:cstheme="majorHAnsi"/>
                <w:b/>
                <w:bCs/>
                <w:sz w:val="20"/>
                <w:szCs w:val="20"/>
              </w:rPr>
              <w:t>Załącznika chemioterapii</w:t>
            </w:r>
          </w:p>
        </w:tc>
        <w:tc>
          <w:tcPr>
            <w:tcW w:w="1608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0B08D" w14:textId="77777777" w:rsidR="00816802" w:rsidRPr="002667F9" w:rsidRDefault="00816802" w:rsidP="00C61F38">
            <w:pPr>
              <w:spacing w:before="60" w:after="60" w:line="240" w:lineRule="auto"/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2667F9">
              <w:rPr>
                <w:rFonts w:ascii="Lato" w:hAnsi="Lato" w:cstheme="majorHAnsi"/>
                <w:b/>
                <w:bCs/>
                <w:sz w:val="20"/>
                <w:szCs w:val="20"/>
              </w:rPr>
              <w:t>Doprecyzowanie wskazania</w:t>
            </w:r>
          </w:p>
        </w:tc>
      </w:tr>
      <w:tr w:rsidR="00004386" w:rsidRPr="00CC71A7" w14:paraId="02884D36" w14:textId="77777777" w:rsidTr="00CC71A7">
        <w:trPr>
          <w:cantSplit/>
          <w:trHeight w:val="221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60EF6" w14:textId="55149B31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</w:pPr>
            <w:r w:rsidRPr="00CC71A7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8C569" w14:textId="68AE8FC3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Adynovi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A4960" w14:textId="0BCE248E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CC71A7">
              <w:rPr>
                <w:rFonts w:ascii="Lato" w:hAnsi="Lato"/>
                <w:i/>
                <w:iCs/>
                <w:sz w:val="18"/>
                <w:szCs w:val="18"/>
              </w:rPr>
              <w:t>rurioktokog alfa pegol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DC802" w14:textId="7E5D0099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B.15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ED049" w14:textId="50ECE372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sz w:val="18"/>
                <w:szCs w:val="18"/>
              </w:rPr>
              <w:t>ZAPOBIEGANIE KRWAWIENIOM U DZIECI Z HEMOFILIĄ A I B (ICD-10: D66, D67)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E5B9D" w14:textId="77777777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Leczenie i profilaktyka krwawień u pacjentów w wieku 12 lat i powyżej z hemofilią A.</w:t>
            </w:r>
          </w:p>
          <w:p w14:paraId="75A97F5F" w14:textId="2F6D6FA7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004386" w:rsidRPr="00CC71A7" w14:paraId="01B1F83D" w14:textId="77777777" w:rsidTr="00CC71A7">
        <w:trPr>
          <w:cantSplit/>
          <w:trHeight w:val="1106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62925" w14:textId="1292898F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</w:pPr>
            <w:r w:rsidRPr="00CC71A7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5780F" w14:textId="4E2EC220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Mavenclad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BCEF5" w14:textId="72DA20F6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/>
                <w:i/>
                <w:iCs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kladrybina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F8257" w14:textId="352F6751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B.29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82EAE" w14:textId="769B6244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STWARDNIENIE ROZSIANE (ICD-10: G35)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5D4B9" w14:textId="77777777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kladrybiną w I linii pacjentów z rzutowo-remisyjną postacią stwardnienia rozsianego (RRMS). </w:t>
            </w:r>
          </w:p>
          <w:p w14:paraId="3A239257" w14:textId="5A8E8729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I linia leczenia zdefiniowana jako wystąpienie minimum 2 rzutów klinicznych niezależnie od zmian MRI w okresie 12 miesięcy przed kwalifikacją.</w:t>
            </w:r>
          </w:p>
        </w:tc>
      </w:tr>
      <w:tr w:rsidR="00004386" w:rsidRPr="00CC71A7" w14:paraId="190A9085" w14:textId="77777777" w:rsidTr="00CC71A7">
        <w:trPr>
          <w:cantSplit/>
          <w:trHeight w:val="1106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1066A" w14:textId="1AB3F5DD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</w:pPr>
            <w:r w:rsidRPr="00CC71A7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FF55D" w14:textId="28E41473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Ocrevus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4B6FE" w14:textId="50F15079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/>
                <w:i/>
                <w:iCs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okrelizumab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D0FAD" w14:textId="54A923D9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B.29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F6526" w14:textId="77D11944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STWARDNIENIE ROZSIANE (ICD-10: G35)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332F3" w14:textId="77777777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Leczenie okrelizumabem w I linii pacjentów z rzutowo-remisyjną postacią stwardnienia rozsianego (RRMS).</w:t>
            </w:r>
          </w:p>
          <w:p w14:paraId="13B81BAE" w14:textId="7A8667D2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I linia leczenia zdefiniowana jako wystąpienie minimum 1 rzutu klinicznego albo co najmniej 1 nowe ognisko GD+ w okresie 12 miesięcy przed kwalifikacją.</w:t>
            </w:r>
          </w:p>
        </w:tc>
      </w:tr>
      <w:tr w:rsidR="00004386" w:rsidRPr="00CC71A7" w14:paraId="1AD17E55" w14:textId="77777777" w:rsidTr="00CC71A7">
        <w:trPr>
          <w:cantSplit/>
          <w:trHeight w:val="255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5EE91" w14:textId="04EBDAA2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</w:pPr>
            <w:r w:rsidRPr="00CC71A7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4.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E099D" w14:textId="1149D170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b/>
                <w:bCs/>
                <w:color w:val="000000" w:themeColor="text1"/>
                <w:sz w:val="18"/>
                <w:szCs w:val="18"/>
              </w:rPr>
              <w:t>Jyseleca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3BD2D" w14:textId="57F469C3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/>
                <w:i/>
                <w:iCs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i/>
                <w:iCs/>
                <w:color w:val="000000" w:themeColor="text1"/>
                <w:sz w:val="18"/>
                <w:szCs w:val="18"/>
              </w:rPr>
              <w:t>filgotynib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D4BD5" w14:textId="568A40E5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B.33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2CDBE" w14:textId="10E86FFB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LECZENIE CHORYCH Z AKTYWNĄ POSTACIĄ REUMATOIDALNEGO ZAPALENIA STAWÓW I MŁODZIEŃCZEGO IDIOPATYCZNEGO ZAPALENIA STAWÓW (ICD-10: M05, M06, M08)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BE80A" w14:textId="401C9B0B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Leczenie chorych z RZS  kolejnym lekiem z grupy inhibitorów kinaz janusowych (JAK).</w:t>
            </w:r>
          </w:p>
        </w:tc>
      </w:tr>
      <w:tr w:rsidR="00004386" w:rsidRPr="00CC71A7" w14:paraId="1035CA4A" w14:textId="77777777" w:rsidTr="00CC71A7">
        <w:trPr>
          <w:cantSplit/>
          <w:trHeight w:val="1106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CFA5B" w14:textId="672F26EE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</w:pPr>
            <w:r w:rsidRPr="00CC71A7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5.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D5EA1" w14:textId="2474CAF1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b/>
                <w:bCs/>
                <w:color w:val="000000" w:themeColor="text1"/>
                <w:sz w:val="18"/>
                <w:szCs w:val="18"/>
              </w:rPr>
              <w:t>Cosentyx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44412" w14:textId="2F9A4024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/>
                <w:i/>
                <w:iCs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i/>
                <w:iCs/>
                <w:color w:val="000000" w:themeColor="text1"/>
                <w:sz w:val="18"/>
                <w:szCs w:val="18"/>
              </w:rPr>
              <w:t>sekukinumab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42A80" w14:textId="4B9B6E95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B.33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F40AD" w14:textId="24EE2B3D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LECZENIE CHORYCH Z AKTYWNĄ POSTACIĄ REUMATOIDALNEGO ZAPALENIA STAWÓW I MŁODZIEŃCZEGO IDIOPATYCZNEGO ZAPALENIA STAWÓW (ICD-10: M05, M06, M08)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0EDF5" w14:textId="5FFD8638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Leczenie chorych z MIZS: w zapaleniu stawów z zapaleniem przyczepów ścięgien (ERA) i młodzieńczym łuszczycowym zapaleniem stawów (MŁZS)-kolejnym inhibitorem interleukin  (IL-17A).</w:t>
            </w:r>
          </w:p>
        </w:tc>
      </w:tr>
      <w:tr w:rsidR="00004386" w:rsidRPr="00CC71A7" w14:paraId="45A45478" w14:textId="77777777" w:rsidTr="00CC71A7">
        <w:trPr>
          <w:cantSplit/>
          <w:trHeight w:val="555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A98B4" w14:textId="16F56D80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</w:pPr>
            <w:r w:rsidRPr="00CC71A7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6.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10A8E" w14:textId="14611670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Skyrizi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EC945" w14:textId="6BA68613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CC71A7">
              <w:rPr>
                <w:rFonts w:ascii="Lato" w:hAnsi="Lato"/>
                <w:i/>
                <w:iCs/>
                <w:sz w:val="18"/>
                <w:szCs w:val="18"/>
              </w:rPr>
              <w:t>ryzankizumab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C342F" w14:textId="6E727A5D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B.35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AB9EE" w14:textId="38CD3E8B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sz w:val="18"/>
                <w:szCs w:val="18"/>
              </w:rPr>
              <w:t>LECZENIE CHORYCH Z ŁUSZCZYCOWYM ZAPALENIEM STAWÓW (ŁZS) (ICD-10: L40.5, M07.1, M07.2, M07.3)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BA48B" w14:textId="34E51E9B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łuszczycowym zapaleniem stawów kolejnym inhibitorem interleukin.</w:t>
            </w:r>
          </w:p>
        </w:tc>
      </w:tr>
      <w:tr w:rsidR="00004386" w:rsidRPr="00CC71A7" w14:paraId="26688C9E" w14:textId="77777777" w:rsidTr="00CC71A7">
        <w:trPr>
          <w:cantSplit/>
          <w:trHeight w:val="64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BEEB1" w14:textId="607696B3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</w:pPr>
            <w:r w:rsidRPr="00CC71A7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lastRenderedPageBreak/>
              <w:t>7.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0E2BA" w14:textId="54D3FE6B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Tremfya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6DF07" w14:textId="63D42E1A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="Calibri Light"/>
                <w:i/>
                <w:iCs/>
                <w:sz w:val="18"/>
                <w:szCs w:val="18"/>
              </w:rPr>
              <w:t>guselkumab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6C0C6" w14:textId="5DF9967A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B.35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E2C5F" w14:textId="4B0EA9E6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sz w:val="18"/>
                <w:szCs w:val="18"/>
              </w:rPr>
              <w:t>LECZENIE CHORYCH Z ŁUSZCZYCOWYM ZAPALENIEM STAWÓW (ŁZS) (ICD-10: L40.5, M07.1, M07.2, M07.3)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8F415" w14:textId="0C98C5C2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łuszczycowym zapaleniem stawów kolejnym inhibitorem interleukin.</w:t>
            </w:r>
          </w:p>
        </w:tc>
      </w:tr>
      <w:tr w:rsidR="00004386" w:rsidRPr="00CC71A7" w14:paraId="465AD285" w14:textId="77777777" w:rsidTr="00CC71A7">
        <w:trPr>
          <w:cantSplit/>
          <w:trHeight w:val="1106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278C2" w14:textId="40802AA4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</w:pPr>
            <w:r w:rsidRPr="00CC71A7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8.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F91CE" w14:textId="26128641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b/>
                <w:bCs/>
                <w:color w:val="000000" w:themeColor="text1"/>
                <w:sz w:val="18"/>
                <w:szCs w:val="18"/>
              </w:rPr>
              <w:t>Xeljanz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951E5" w14:textId="2FB51FC4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i/>
                <w:iCs/>
                <w:color w:val="000000" w:themeColor="text1"/>
                <w:sz w:val="18"/>
                <w:szCs w:val="18"/>
              </w:rPr>
              <w:t>tofacytynib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791AA" w14:textId="529065DD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B.36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BE792" w14:textId="08A0A9F4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LECZENIE CHORYCH Z AKTYWNĄ POSTACIĄ ZESZTYWNIAJĄCEGO ZAPALENIA STAWÓW KRĘGOSŁUPA (ZZSK) (ICD-10: M45)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FAA73" w14:textId="16A4A0E1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Leczenie chorych z ZZSK-kolejnym lekiemz grupy inhibitorów kinaz janusowych (JAK).</w:t>
            </w:r>
          </w:p>
        </w:tc>
      </w:tr>
      <w:tr w:rsidR="00004386" w:rsidRPr="00CC71A7" w14:paraId="7D2CD424" w14:textId="77777777" w:rsidTr="00CC71A7">
        <w:trPr>
          <w:cantSplit/>
          <w:trHeight w:val="57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3B9F0" w14:textId="0FF0B8B6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</w:pPr>
            <w:r w:rsidRPr="00CC71A7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9.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0EE46" w14:textId="01330EE9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b/>
                <w:bCs/>
                <w:sz w:val="18"/>
                <w:szCs w:val="18"/>
              </w:rPr>
              <w:t>Evrenzo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1D536" w14:textId="1ECFA36A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i/>
                <w:iCs/>
                <w:sz w:val="18"/>
                <w:szCs w:val="18"/>
              </w:rPr>
              <w:t>roksadustat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D5407" w14:textId="1EBCD7C7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B.37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EAA19" w14:textId="77777777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NIEDOKRWISTOŚCI U CHORYCH Z PRZEWLEKŁĄ NIEWYDOLNOŚCIĄ NEREK </w:t>
            </w:r>
          </w:p>
          <w:p w14:paraId="3BFD8176" w14:textId="40C05723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(ICD-10: N18)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C5B72" w14:textId="2DDBB7FA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Leczenie niedokrwistości u pacjentów z przewlekłą niewydolnością nerek, niedializowanych, powyżej 18 r.ż. za pomocą roksadustatu (terapia doustna).</w:t>
            </w:r>
          </w:p>
        </w:tc>
      </w:tr>
      <w:tr w:rsidR="00004386" w:rsidRPr="00CC71A7" w14:paraId="56FE626A" w14:textId="77777777" w:rsidTr="00CC71A7">
        <w:trPr>
          <w:cantSplit/>
          <w:trHeight w:val="1209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12457" w14:textId="6D409153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</w:pPr>
            <w:r w:rsidRPr="00CC71A7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10.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BEA41" w14:textId="38CC7DC7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  <w:shd w:val="clear" w:color="auto" w:fill="FFFFFF"/>
              </w:rPr>
            </w:pPr>
            <w:r w:rsidRPr="00CC71A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Synagis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B8D9" w14:textId="180203E7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</w:pPr>
            <w:r w:rsidRPr="00CC71A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paliwizumab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E32C7" w14:textId="205C68C5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B.40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EBCE2" w14:textId="142C1BB8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PROFILAKTYKA ZAKAŻEŃ WIRUSEM RS (ICD-10: P07.2, P07.3, P27.1, P07.0, P07.1, Q20-Q24)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0F39C" w14:textId="7B3026A0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Profilaktyka zakażeń wirusem RS u pacjentów z hemodynamicznie istotną wadą serca z jawną niewydolnością serca utrzymującą się pomimo leczenia farmakologicznego, umiarkowanym lub ciężkim wtórnym nadciśnieniem płucnym lub sinicznymi wadami serca z przezskórnym utlenowaniem krwi tętniczej utrzymującej się oraz u dzieci urodzone w wieku ciążowym ≤ 35 tygodni o masie urodzeniowej ≤ 1500 g.</w:t>
            </w:r>
          </w:p>
        </w:tc>
      </w:tr>
      <w:tr w:rsidR="00004386" w:rsidRPr="00CC71A7" w14:paraId="6101D43D" w14:textId="77777777" w:rsidTr="00CC71A7">
        <w:trPr>
          <w:cantSplit/>
          <w:trHeight w:val="64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EE62A" w14:textId="5B2FE3CF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</w:pPr>
            <w:r w:rsidRPr="00CC71A7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11.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0A0A9" w14:textId="0146BE97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b/>
                <w:bCs/>
                <w:sz w:val="18"/>
                <w:szCs w:val="18"/>
              </w:rPr>
              <w:t>Bimzelx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07792" w14:textId="120A6114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bimekizumab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7DF67" w14:textId="333AF4EA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B.47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23135" w14:textId="77D28045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LECZENIE UMIARKOWANEJ I CIĘŻKIEJ POSTACI ŁUSZCZYCY PLACKOWATEJ (ICD-10: L40.0)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6A055" w14:textId="618FD5A8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Leczenie ciężkiej i umiarkowanej postaci łuszczycy bez ograniczeń czasowych u pacjentów powyżej 18 roku życia.</w:t>
            </w:r>
          </w:p>
        </w:tc>
      </w:tr>
      <w:tr w:rsidR="00004386" w:rsidRPr="00CC71A7" w14:paraId="0AE7FCCC" w14:textId="77777777" w:rsidTr="00CC71A7">
        <w:trPr>
          <w:cantSplit/>
          <w:trHeight w:val="342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23C18" w14:textId="4D7F2CD9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</w:pPr>
            <w:r w:rsidRPr="00CC71A7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12.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854A9" w14:textId="6604768E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Cosentyx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4BF78" w14:textId="54450E56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sekukinumab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243E6" w14:textId="7843D088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B.47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39836" w14:textId="5CA3E2B2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LECZENIE UMIARKOWANEJ I CIĘŻKIEJ POSTACI ŁUSZCZYCY PLACKOWATEJ (ICD-10: L40.0)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3184D" w14:textId="163CB915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Rozszerzenie wskazania o umiarkowaną postać łuszczycy plackowatej, zniesienie limitu czasu leczenia oraz objęcie refundacją pacjentów powyżej 6 roku życia.</w:t>
            </w:r>
          </w:p>
        </w:tc>
      </w:tr>
      <w:tr w:rsidR="00004386" w:rsidRPr="00CC71A7" w14:paraId="5CEE5ECE" w14:textId="77777777" w:rsidTr="00CC71A7">
        <w:trPr>
          <w:cantSplit/>
          <w:trHeight w:val="817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69537" w14:textId="469DADA6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</w:pPr>
            <w:r w:rsidRPr="00CC71A7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13.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75E48" w14:textId="32951C1E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Skyrizi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8E14B" w14:textId="1D647B4D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risankizumab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8053C" w14:textId="32DAE8A1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B.47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DCCE7" w14:textId="131B300C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LECZENIE UMIARKOWANEJ I CIĘŻKIEJ POSTACI ŁUSZCZYCY PLACKOWATEJ (ICD-10: L40.0)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A885E" w14:textId="150F01BF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Rozszerzenie wskazania o umiarkowaną postać łuszczycy plackowatej  i zniesienie limitu czasu leczenia.</w:t>
            </w:r>
          </w:p>
        </w:tc>
      </w:tr>
      <w:tr w:rsidR="00004386" w:rsidRPr="00CC71A7" w14:paraId="5E6310AA" w14:textId="77777777" w:rsidTr="00CC71A7">
        <w:trPr>
          <w:cantSplit/>
          <w:trHeight w:val="977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8FC8D" w14:textId="7E44EB7B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</w:pPr>
            <w:r w:rsidRPr="00CC71A7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14.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D7BF9" w14:textId="7BC2B780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Tremfya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9D59F" w14:textId="7806B5C3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guselkumab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5309E" w14:textId="3477FB3E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B.47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700E8" w14:textId="79EE47AC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LECZENIE UMIARKOWANEJ I CIĘŻKIEJ POSTACI ŁUSZCZYCY PLACKOWATEJ (ICD-10: L40.0)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A8026" w14:textId="45407CA2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Rozszerzenie wskazania o umiarkowaną postać łuszczycy plackowatej  i zniesienie limitu czasu leczenia.</w:t>
            </w:r>
          </w:p>
        </w:tc>
      </w:tr>
      <w:tr w:rsidR="00004386" w:rsidRPr="00CC71A7" w14:paraId="251E50CC" w14:textId="77777777" w:rsidTr="00CC71A7">
        <w:trPr>
          <w:cantSplit/>
          <w:trHeight w:val="101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210E6" w14:textId="350AD228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</w:pPr>
            <w:r w:rsidRPr="00CC71A7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lastRenderedPageBreak/>
              <w:t>15.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F3062" w14:textId="45DCCC77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Zeposia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FD77F" w14:textId="429CC06E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ozanimod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B104E" w14:textId="128F1594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B.55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D7321" w14:textId="163B8B89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sz w:val="18"/>
                <w:szCs w:val="18"/>
              </w:rPr>
              <w:t>LECZENIE PACJENTÓW Z WRZODZIEJĄCYM ZAPALENIEM JELITA GRUBEGO (WZJG) (ICD-10: K51)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676F5" w14:textId="0564C62A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za pomocą modulatora receptora fosforanu sfingozyny 1 (ozanimodem) z rozpoznaną ciężką lub umiarkowaną postacią wrzodziejącego zapalenia jelita grubego.</w:t>
            </w:r>
          </w:p>
        </w:tc>
      </w:tr>
      <w:tr w:rsidR="00004386" w:rsidRPr="00CC71A7" w14:paraId="5B6B6924" w14:textId="77777777" w:rsidTr="00CC71A7">
        <w:trPr>
          <w:cantSplit/>
          <w:trHeight w:val="101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86F79" w14:textId="7B2D27C3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</w:pPr>
            <w:r w:rsidRPr="00CC71A7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16.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92271" w14:textId="0612E000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b/>
                <w:bCs/>
                <w:sz w:val="18"/>
                <w:szCs w:val="18"/>
              </w:rPr>
              <w:t>Jyseleca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B0657" w14:textId="1D280FF5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i/>
                <w:iCs/>
                <w:sz w:val="18"/>
                <w:szCs w:val="18"/>
              </w:rPr>
              <w:t>filgotynib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F27C6" w14:textId="24F8E713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B.55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5AD9F" w14:textId="7BC578CC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sz w:val="18"/>
                <w:szCs w:val="18"/>
              </w:rPr>
              <w:t>LECZENIE PACJENTÓW Z WRZODZIEJĄCYM ZAPALENIEM JELITA GRUBEGO (WZJG) (ICD-10: K51)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28CAB" w14:textId="61B83374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za pomocą kolejnego leku z grupy inhibitorów JAK (filgotynibem) z rozpoznaną ciężką lub umiarkowaną postacią wrzodziejącego zapalenia jelita grubego.</w:t>
            </w:r>
          </w:p>
        </w:tc>
      </w:tr>
      <w:tr w:rsidR="00004386" w:rsidRPr="00CC71A7" w14:paraId="261884D0" w14:textId="77777777" w:rsidTr="00CC71A7">
        <w:trPr>
          <w:cantSplit/>
          <w:trHeight w:val="101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CEEEB" w14:textId="0E5B5EE0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</w:pPr>
            <w:r w:rsidRPr="00CC71A7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17.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65F7F" w14:textId="70930B49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Dysport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A78D5" w14:textId="5424E528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toksyna botulinowa typu A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A65C3" w14:textId="26781044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B.57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EB047" w14:textId="6714C749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ZE SPASTYCZNOŚCIĄ KOŃCZYN Z UŻYCIEM TOKSYNY BOTULINOWEJ TYPU A (ICD–10: I61, I63, I69, G35, G80, G82, G83, T90, T91)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E1968" w14:textId="77777777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Rozszerzenie wskazania stosowania toksyny botulinową o leczenie pacjentów ze spastycznością  o etiologii innej niż udarowa, tj.:</w:t>
            </w:r>
          </w:p>
          <w:p w14:paraId="3A91751C" w14:textId="77777777" w:rsidR="00004386" w:rsidRPr="00CC71A7" w:rsidRDefault="00004386" w:rsidP="00004386">
            <w:pPr>
              <w:pStyle w:val="Akapitzlist"/>
              <w:numPr>
                <w:ilvl w:val="0"/>
                <w:numId w:val="22"/>
              </w:numPr>
              <w:spacing w:before="60" w:after="60" w:line="240" w:lineRule="auto"/>
              <w:ind w:left="310" w:hanging="283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po przebytym urazie OUN,</w:t>
            </w:r>
          </w:p>
          <w:p w14:paraId="79469433" w14:textId="77777777" w:rsidR="00004386" w:rsidRPr="00CC71A7" w:rsidRDefault="00004386" w:rsidP="00004386">
            <w:pPr>
              <w:pStyle w:val="Akapitzlist"/>
              <w:numPr>
                <w:ilvl w:val="0"/>
                <w:numId w:val="22"/>
              </w:numPr>
              <w:spacing w:before="60" w:after="60" w:line="240" w:lineRule="auto"/>
              <w:ind w:left="310" w:hanging="283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z rozpoznaniem stwardnienia rozsianego,</w:t>
            </w:r>
          </w:p>
          <w:p w14:paraId="0ADB29BA" w14:textId="77777777" w:rsidR="00004386" w:rsidRPr="00CC71A7" w:rsidRDefault="00004386" w:rsidP="00004386">
            <w:pPr>
              <w:pStyle w:val="Akapitzlist"/>
              <w:numPr>
                <w:ilvl w:val="0"/>
                <w:numId w:val="22"/>
              </w:numPr>
              <w:spacing w:before="60" w:after="60" w:line="240" w:lineRule="auto"/>
              <w:ind w:left="310" w:hanging="283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z rozpoznaniem mózgowego porażenia dziecięcego,</w:t>
            </w:r>
          </w:p>
          <w:p w14:paraId="19AD3D61" w14:textId="600715C6" w:rsidR="00004386" w:rsidRPr="00CC71A7" w:rsidRDefault="00004386" w:rsidP="00004386">
            <w:pPr>
              <w:pStyle w:val="Akapitzlist"/>
              <w:numPr>
                <w:ilvl w:val="0"/>
                <w:numId w:val="22"/>
              </w:numPr>
              <w:spacing w:before="60" w:after="60" w:line="240" w:lineRule="auto"/>
              <w:ind w:left="310" w:hanging="283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 rozpoznaniem paraplegii spastycznej. </w:t>
            </w:r>
          </w:p>
        </w:tc>
      </w:tr>
      <w:tr w:rsidR="00004386" w:rsidRPr="00CC71A7" w14:paraId="73D0BC50" w14:textId="77777777" w:rsidTr="00CC71A7">
        <w:trPr>
          <w:cantSplit/>
          <w:trHeight w:val="101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C17BB" w14:textId="625374BD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</w:pPr>
            <w:r w:rsidRPr="00CC71A7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18.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70C52" w14:textId="74618823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Ultomiris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05FC9" w14:textId="5CB0899E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rawulizumab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76C20" w14:textId="7B9C699B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B.95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BD3C1" w14:textId="3A8C5F23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ATYPOWYM ZESPOŁEM HEMOLITYCZNO-MOCZNICOWYM (aHUS) (ICD-10 D 59.3)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A970F" w14:textId="77777777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atypowym zespołem hemolityczno-mocznicowym za pomocą rawulizumabu (kolejnego leku z grupy inhibitorów białka C5 dopełniacza).</w:t>
            </w:r>
          </w:p>
          <w:p w14:paraId="50875B91" w14:textId="1AF1F005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004386" w:rsidRPr="00CC71A7" w14:paraId="41D1A3B4" w14:textId="77777777" w:rsidTr="00CC71A7">
        <w:trPr>
          <w:cantSplit/>
          <w:trHeight w:val="101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8C7F6" w14:textId="36B26DCC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</w:pPr>
            <w:r w:rsidRPr="00CC71A7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19.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BF817" w14:textId="4E91B3ED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b/>
                <w:bCs/>
                <w:sz w:val="18"/>
                <w:szCs w:val="18"/>
              </w:rPr>
              <w:t>Ultomiris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96E62" w14:textId="46B06935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i/>
                <w:iCs/>
                <w:sz w:val="18"/>
                <w:szCs w:val="18"/>
              </w:rPr>
              <w:t>rawulizumab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C9240" w14:textId="78C0F57C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B.96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36343" w14:textId="1D969115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NOCNĄ NAPADOWĄ HEMOGLOBINURIĄ (PNH) (ICD-10 D59.5)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88FFF" w14:textId="77777777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nocną napadową hemoglobinurią za pomocą rawulizumabu (kolejnego leku z grupy inhibitorów białka C5 dopełniacza).</w:t>
            </w:r>
          </w:p>
          <w:p w14:paraId="5273DC27" w14:textId="5EC8FA68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004386" w:rsidRPr="00CC71A7" w14:paraId="7E41DC9A" w14:textId="77777777" w:rsidTr="00CC71A7">
        <w:trPr>
          <w:cantSplit/>
          <w:trHeight w:val="101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B9485" w14:textId="762AFD9A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</w:pPr>
            <w:r w:rsidRPr="00CC71A7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20.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D76E0" w14:textId="5F3B60A4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Aspaveli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650EE" w14:textId="03F74CE6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pegcetakoplan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BA755" w14:textId="414DB473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B.96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F3ECD" w14:textId="5D106FA6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NOCNĄ NAPADOWĄ HEMOGLOBINURIĄ (PNH) (ICD-10 D59.5)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82545" w14:textId="77777777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II linia leczenia pacjentów z nocną napadową hemoglobinurią, u których wystąpiła niedokrwistość po leczeniu inhibitorem białka C5 dopełniacza.</w:t>
            </w:r>
          </w:p>
          <w:p w14:paraId="68C8E68F" w14:textId="19DAAC79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004386" w:rsidRPr="00CC71A7" w14:paraId="05C85326" w14:textId="77777777" w:rsidTr="00CC71A7">
        <w:trPr>
          <w:cantSplit/>
          <w:trHeight w:val="101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CC920" w14:textId="199B4D62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</w:pPr>
            <w:r w:rsidRPr="00CC71A7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21.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C8740" w14:textId="184F3954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Doptelet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D65AF" w14:textId="3257086F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awatrombopag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2D6B2" w14:textId="68EB2686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B.97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3489F" w14:textId="128E6688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LECZENIE DOROSŁYCH CHORYCH NA PIERWOTNĄ MAŁOPŁYTKOWOŚĆ IMMUNOLOGICZNĄ (ICD-10: D69.3)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0201B" w14:textId="77777777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Leczenie pierwotnej małopłytkowości immunologicznej awatrombopagiem u dorosłych pacjentów.</w:t>
            </w:r>
          </w:p>
          <w:p w14:paraId="5935F36C" w14:textId="2BDCAE8F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004386" w:rsidRPr="00CC71A7" w14:paraId="3A87AFEC" w14:textId="77777777" w:rsidTr="00CC71A7">
        <w:trPr>
          <w:cantSplit/>
          <w:trHeight w:val="844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EB13D" w14:textId="75F47879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</w:pPr>
            <w:r w:rsidRPr="00CC71A7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22.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2430F" w14:textId="35B9832A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b/>
                <w:bCs/>
                <w:sz w:val="18"/>
                <w:szCs w:val="18"/>
              </w:rPr>
              <w:t>Nplate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35E62" w14:textId="28E9BB6D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i/>
                <w:iCs/>
                <w:sz w:val="18"/>
                <w:szCs w:val="18"/>
              </w:rPr>
              <w:t>romiplostym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89777" w14:textId="29C7FDEB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B.97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77D1B" w14:textId="7864F87C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LECZENIE DOROSŁYCH CHORYCH NA PIERWOTNĄ MAŁOPŁYTKOWOŚĆ IMMUNOLOGICZNĄ (ICD-10 D69.3)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D9E43" w14:textId="77777777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Rozszerzenie populacji o pacjentów, u których nie wykonano splenektomii.</w:t>
            </w:r>
          </w:p>
          <w:p w14:paraId="28575C96" w14:textId="3DCD5BDD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004386" w:rsidRPr="00CC71A7" w14:paraId="1DC35289" w14:textId="77777777" w:rsidTr="00CC71A7">
        <w:trPr>
          <w:cantSplit/>
          <w:trHeight w:val="844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5BCD1" w14:textId="3EBEABEC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</w:pPr>
            <w:r w:rsidRPr="00CC71A7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lastRenderedPageBreak/>
              <w:t>23.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9A6BF" w14:textId="69CF0E07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Lojuxta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EBAF0" w14:textId="475A0A9E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="Helvetica"/>
                <w:i/>
                <w:iCs/>
                <w:color w:val="333333"/>
                <w:sz w:val="18"/>
                <w:szCs w:val="18"/>
                <w:shd w:val="clear" w:color="auto" w:fill="FFFFFF"/>
              </w:rPr>
              <w:t>lomitapid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662F4" w14:textId="645634B3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B.101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EF558" w14:textId="5A30A70B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ZABURZENIAMI LIPIDOWYMI (ICD-10: E78.01, I21, I22, I25)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5400B" w14:textId="77777777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Leczenie dorosłych pacjentów z homozygotyczną hipercholesterolemią rodzinną (HoFH).</w:t>
            </w:r>
          </w:p>
          <w:p w14:paraId="04070E7C" w14:textId="6DF6A0D0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004386" w:rsidRPr="00CC71A7" w14:paraId="718BC22A" w14:textId="77777777" w:rsidTr="00CC71A7">
        <w:trPr>
          <w:cantSplit/>
          <w:trHeight w:val="844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DF3EC" w14:textId="33D66137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</w:pPr>
            <w:r w:rsidRPr="00CC71A7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24.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38E89" w14:textId="29843BF5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Ozurdex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FE388" w14:textId="50FCEB29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deksametazon w postaci implantu doszklistkowego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9001" w14:textId="11D676D6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B.105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947A9" w14:textId="6B99BBA4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CHORYCH NA ZAPALENIE BŁONY NACZYNIOWEJ OKA (ZBN) (ICD-10: H20.0, H30.0).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EFB4D" w14:textId="03C082DC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Leczenie klinicznie znamiennego obrzęku plamki w przebiegu zapalenia błony naczyniowej oka.</w:t>
            </w:r>
          </w:p>
        </w:tc>
      </w:tr>
      <w:tr w:rsidR="00004386" w:rsidRPr="00CC71A7" w14:paraId="5493BFEC" w14:textId="77777777" w:rsidTr="00CC71A7">
        <w:trPr>
          <w:cantSplit/>
          <w:trHeight w:val="844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EC5DE" w14:textId="425C44B6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</w:pPr>
            <w:r w:rsidRPr="00CC71A7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25.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9BE8C" w14:textId="1B705695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Adtralza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FE617" w14:textId="3FB640CF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tralokinumab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AC30B" w14:textId="4DE12542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B.124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949CC" w14:textId="515F2992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ATOPOWYM ZAPALENIEM SKÓRY (ICD-10: L20)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AA2A6" w14:textId="77777777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Leczenie chorych w wieku 12 lat i powyżej z ciężką postacią atopowego zapalenia skóry.</w:t>
            </w:r>
          </w:p>
          <w:p w14:paraId="5FE0F7EA" w14:textId="5ACEA7A0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Kolejna opcja terapeutyczna stanowiąca przeciwciało monoklonalne obok obecnego już w programie lekowym dupilumabu. </w:t>
            </w:r>
          </w:p>
        </w:tc>
      </w:tr>
      <w:tr w:rsidR="00004386" w:rsidRPr="00CC71A7" w14:paraId="68460CB9" w14:textId="77777777" w:rsidTr="00CC71A7">
        <w:trPr>
          <w:cantSplit/>
          <w:trHeight w:val="844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8402A" w14:textId="68C4C9C4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</w:pPr>
            <w:r w:rsidRPr="00CC71A7">
              <w:rPr>
                <w:rFonts w:ascii="Lato" w:hAnsi="Lato" w:cstheme="majorHAnsi"/>
                <w:sz w:val="18"/>
                <w:szCs w:val="18"/>
              </w:rPr>
              <w:t>26.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25238" w14:textId="45017F7D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b/>
                <w:bCs/>
                <w:sz w:val="18"/>
                <w:szCs w:val="18"/>
              </w:rPr>
              <w:t>Cibinqo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8E259" w14:textId="6584BA7F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i/>
                <w:iCs/>
                <w:sz w:val="18"/>
                <w:szCs w:val="18"/>
              </w:rPr>
              <w:t>abrocytynib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0260F" w14:textId="2FF37D0B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B.124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0C9FE" w14:textId="2B10DFD8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ATOPOWYM ZAPALENIEM SKÓRY (ICD-10: L20)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83AEF" w14:textId="77777777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Leczenie chorych w wieku 18 lat i powyżej z ciężką postacią atopowego zapalenia skóry.</w:t>
            </w:r>
          </w:p>
          <w:p w14:paraId="0FE1E620" w14:textId="56A9B804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Kolejna opcja terapeutyczna z grupy leków należących do inhibitorów JAK obok obecnych w programie lekowym barycytynibu oraz upadacytynibu.</w:t>
            </w:r>
          </w:p>
        </w:tc>
      </w:tr>
      <w:tr w:rsidR="00004386" w:rsidRPr="00CC71A7" w14:paraId="451A4CCE" w14:textId="77777777" w:rsidTr="00CC71A7">
        <w:trPr>
          <w:cantSplit/>
          <w:trHeight w:val="844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70DAD" w14:textId="607D4143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</w:pPr>
            <w:r w:rsidRPr="00CC71A7">
              <w:rPr>
                <w:rFonts w:ascii="Lato" w:hAnsi="Lato" w:cstheme="majorHAnsi"/>
                <w:sz w:val="18"/>
                <w:szCs w:val="18"/>
              </w:rPr>
              <w:t>27.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49BC9" w14:textId="42C21E77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Ofev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9441C" w14:textId="2C1782CA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nintedanib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6DB0F" w14:textId="1D0144C5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B.135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EB612" w14:textId="54B7F4AF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CHOROBĄ ŚRÓDMIĄŻSZOWĄ PŁUC (ICD-10: D86, J67.0-J67.9, J84.1, J84.8, J84.9, J99.0, J99.1, M34)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BD8D6" w14:textId="3032C37A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chorobą śródmiąższową płuc przebiegającą z włóknieniem o fenotypie postępującym (PF-ILD).</w:t>
            </w:r>
          </w:p>
        </w:tc>
      </w:tr>
      <w:tr w:rsidR="00004386" w:rsidRPr="00CC71A7" w14:paraId="0E58374A" w14:textId="77777777" w:rsidTr="00CC71A7">
        <w:trPr>
          <w:cantSplit/>
          <w:trHeight w:val="844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774FF" w14:textId="16012BD0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</w:pPr>
            <w:r w:rsidRPr="00CC71A7">
              <w:rPr>
                <w:rFonts w:ascii="Lato" w:hAnsi="Lato" w:cstheme="majorHAnsi"/>
                <w:sz w:val="18"/>
                <w:szCs w:val="18"/>
              </w:rPr>
              <w:t>28.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018FA" w14:textId="4C217C70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Reblozyl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B0D75" w14:textId="3BAFC262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luspatercept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004CB" w14:textId="3017009C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B.142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49792" w14:textId="673ADCE5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LECZENIE DOROSŁYCH PACJENTÓW Z ZESPOŁAMI MIELODYSPLASTYCZNYMI Z TOWARZYSZĄCĄ NIEDOKRWISTOŚCIĄ ZALEŻNĄ OD TRANSFUZJI (ICD-10: D46.1)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921F8" w14:textId="77777777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Niedokrwistość zależna od przetoczeń u osób dorosłych w przebiegu zespołów mielodysplastycznych o bardzo niskim, niskim lub pośrednim ryzyku z pierścieniowatymi syderoblastami, u których wystąpiła niedostateczna odpowiedź na leki stymulujące erytropoezę, lub którzy nie kwalifikują się do takiego leczenia. </w:t>
            </w:r>
          </w:p>
          <w:p w14:paraId="01F77BE2" w14:textId="22D90CB3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004386" w:rsidRPr="00CC71A7" w14:paraId="12C598CC" w14:textId="77777777" w:rsidTr="00CC71A7">
        <w:trPr>
          <w:cantSplit/>
          <w:trHeight w:val="844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DED2A" w14:textId="366E8F8C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</w:pPr>
            <w:r w:rsidRPr="00CC71A7">
              <w:rPr>
                <w:rFonts w:ascii="Lato" w:hAnsi="Lato" w:cstheme="majorHAnsi"/>
                <w:sz w:val="18"/>
                <w:szCs w:val="18"/>
              </w:rPr>
              <w:t>29.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00C0B" w14:textId="1DCF991F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Carbaglu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AED24" w14:textId="40320B2F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kwas kargluminowy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874B0" w14:textId="5AE3EA81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B.143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17261" w14:textId="74A84E4C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LECZENIE KWASEM KARGLUMINOWYM CHORYCH Z ACYDURIAMI ORGANICZNYMI: PROPIONOWĄ, METYLOMALONOWĄ I IZOWALERIANOWĄ (ICD-10: E71.1)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DE98D" w14:textId="77D0A7FA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Leczenie kwasic organicznych: propionowej, metylomalonowej i izowalerianowej, genetycznie uwarunkowanych zaburzeń metabolicznych, dotyczących metabolizmu aminokwasów, szczególnie aminokwasów rozgałęzionych (izoleucyna, leucyna i walina).</w:t>
            </w: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br/>
            </w:r>
            <w:r w:rsidRPr="00CC71A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004386" w:rsidRPr="00CC71A7" w14:paraId="30B0E2FF" w14:textId="77777777" w:rsidTr="00CC71A7">
        <w:trPr>
          <w:cantSplit/>
          <w:trHeight w:val="1004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66701" w14:textId="06AA4DF7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</w:pPr>
            <w:r w:rsidRPr="00CC71A7">
              <w:rPr>
                <w:rFonts w:ascii="Lato" w:hAnsi="Lato" w:cstheme="majorHAnsi"/>
                <w:sz w:val="18"/>
                <w:szCs w:val="18"/>
              </w:rPr>
              <w:lastRenderedPageBreak/>
              <w:t>30.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A880D" w14:textId="70EB650A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Spravato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229C6" w14:textId="1190157D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esketamina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95C9B" w14:textId="5F9522C4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B.147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291AF" w14:textId="7763A88B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DEPRESJĘ LEKOOPORNĄ (ICD-10: F33.1, F33.2)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BA54B" w14:textId="4545D98D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Leczenie esketaminą depresji lekoopornej zdefiniowanej jako zaburzenia depresyjne u osób dorosłych, u których nie wystąpiła odpowiedź na co najmniej dwa różne leki przeciwdepresyjne w obecnym epizodzie depresji o stopniu nasilenia od umiarkowanego do ciężkiego.</w:t>
            </w:r>
          </w:p>
        </w:tc>
      </w:tr>
      <w:tr w:rsidR="00004386" w:rsidRPr="00CC71A7" w14:paraId="69B43A60" w14:textId="77777777" w:rsidTr="00CC71A7">
        <w:trPr>
          <w:cantSplit/>
          <w:trHeight w:val="832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7A297" w14:textId="4795AAA6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</w:pPr>
            <w:r w:rsidRPr="00CC71A7">
              <w:rPr>
                <w:rFonts w:ascii="Lato" w:hAnsi="Lato" w:cstheme="majorHAnsi"/>
                <w:sz w:val="18"/>
                <w:szCs w:val="18"/>
              </w:rPr>
              <w:t>31.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52770" w14:textId="398EFF30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Saphnelo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6D073" w14:textId="3DE09F97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anifrolumab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7A0AC" w14:textId="6D5744CF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B.150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BB89A" w14:textId="47F7BB0D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TOCZNIEM RUMIENIOWATYM UKŁADOWYM (TRU, SLE) (ICD-10: M32)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5EF25" w14:textId="05CFB353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Leczenie uzupełniające u dorosłych pacjentów z aktywnym, seropozytywnym toczniem rumieniowatym układowym.</w:t>
            </w:r>
          </w:p>
        </w:tc>
      </w:tr>
      <w:tr w:rsidR="00004386" w:rsidRPr="00CC71A7" w14:paraId="28D56BDA" w14:textId="77777777" w:rsidTr="00CC71A7">
        <w:trPr>
          <w:cantSplit/>
          <w:trHeight w:val="64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7F9BE" w14:textId="1B0E219D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</w:pPr>
            <w:r w:rsidRPr="00CC71A7">
              <w:rPr>
                <w:rFonts w:ascii="Lato" w:hAnsi="Lato" w:cstheme="majorHAnsi"/>
                <w:sz w:val="18"/>
                <w:szCs w:val="18"/>
              </w:rPr>
              <w:t>32.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4ADDC" w14:textId="43A38F27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Crysvita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EC7D4" w14:textId="74B7ADC5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burosumab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51A55" w14:textId="45926044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B.151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014B5" w14:textId="1B83FABB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HIPOFOSFATEMIĘ SPRZĘŻONĄ Z CHROMOSOMEM X (XLH) (ICD-10 E.83.3)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68C3C" w14:textId="77777777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color w:val="000000"/>
                <w:sz w:val="18"/>
                <w:szCs w:val="18"/>
              </w:rPr>
              <w:t>Leczenie chorych w wieku od 1 roku do 17 lat, z rozpoznaną hipofosfatemią sprzężoną z chromosomem X (XLH), potwierdzoną obecnością mutacji w genie PHEX u chorego lub bezpośrednio spokrewnionego członka rodziny (z którym związane jest dziedziczenie sprzężone z chromosomem X) oraz radiologicznie potwierdzoną chorobą kości (RSS ≥2).</w:t>
            </w:r>
          </w:p>
          <w:p w14:paraId="0E6737D4" w14:textId="14AEAB66" w:rsidR="00004386" w:rsidRPr="00CC71A7" w:rsidRDefault="00004386" w:rsidP="0000438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71A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</w:tbl>
    <w:p w14:paraId="45E40E76" w14:textId="77777777" w:rsidR="00816802" w:rsidRPr="002667F9" w:rsidRDefault="00816802" w:rsidP="00816802">
      <w:pPr>
        <w:rPr>
          <w:rFonts w:ascii="Lato" w:hAnsi="Lato" w:cstheme="majorHAnsi"/>
          <w:sz w:val="20"/>
          <w:szCs w:val="20"/>
        </w:rPr>
      </w:pPr>
    </w:p>
    <w:p w14:paraId="590BA29A" w14:textId="77777777" w:rsidR="00816802" w:rsidRPr="002667F9" w:rsidRDefault="00816802" w:rsidP="00816802">
      <w:pPr>
        <w:suppressAutoHyphens w:val="0"/>
        <w:rPr>
          <w:rFonts w:ascii="Lato" w:hAnsi="Lato" w:cstheme="majorHAnsi"/>
          <w:sz w:val="20"/>
          <w:szCs w:val="20"/>
        </w:rPr>
      </w:pPr>
      <w:r w:rsidRPr="002667F9">
        <w:rPr>
          <w:rFonts w:ascii="Lato" w:hAnsi="Lato" w:cstheme="majorHAnsi"/>
          <w:sz w:val="20"/>
          <w:szCs w:val="20"/>
        </w:rPr>
        <w:br w:type="page"/>
      </w:r>
    </w:p>
    <w:p w14:paraId="2E69D0B4" w14:textId="77777777" w:rsidR="00816802" w:rsidRPr="002667F9" w:rsidRDefault="00816802" w:rsidP="00816802">
      <w:pPr>
        <w:rPr>
          <w:rFonts w:ascii="Lato" w:hAnsi="Lato" w:cstheme="maj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1509"/>
        <w:gridCol w:w="3846"/>
        <w:gridCol w:w="8049"/>
      </w:tblGrid>
      <w:tr w:rsidR="00816802" w:rsidRPr="002667F9" w14:paraId="1E1407AE" w14:textId="77777777" w:rsidTr="00E23C62">
        <w:trPr>
          <w:cantSplit/>
          <w:trHeight w:val="20"/>
        </w:trPr>
        <w:tc>
          <w:tcPr>
            <w:tcW w:w="5000" w:type="pct"/>
            <w:gridSpan w:val="4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84C4E" w14:textId="77777777" w:rsidR="00816802" w:rsidRPr="002667F9" w:rsidRDefault="00816802" w:rsidP="00C61F38">
            <w:pPr>
              <w:spacing w:before="60" w:after="60" w:line="240" w:lineRule="auto"/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2667F9"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  <w:t>Zmiany w programach lekowych i chemioterapii</w:t>
            </w:r>
          </w:p>
        </w:tc>
      </w:tr>
      <w:tr w:rsidR="00816802" w:rsidRPr="002667F9" w14:paraId="48C5C608" w14:textId="77777777" w:rsidTr="00DA0796">
        <w:trPr>
          <w:cantSplit/>
          <w:trHeight w:val="20"/>
        </w:trPr>
        <w:tc>
          <w:tcPr>
            <w:tcW w:w="211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772A9" w14:textId="77777777" w:rsidR="00816802" w:rsidRPr="002667F9" w:rsidRDefault="00816802" w:rsidP="00C61F38">
            <w:pPr>
              <w:spacing w:before="60" w:after="60" w:line="240" w:lineRule="auto"/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2667F9">
              <w:rPr>
                <w:rFonts w:ascii="Lato" w:hAnsi="Lato" w:cstheme="maj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39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665B4" w14:textId="77777777" w:rsidR="00816802" w:rsidRPr="002667F9" w:rsidRDefault="00816802" w:rsidP="00C61F38">
            <w:pPr>
              <w:spacing w:before="60" w:after="60" w:line="240" w:lineRule="auto"/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2667F9">
              <w:rPr>
                <w:rFonts w:ascii="Lato" w:hAnsi="Lato" w:cstheme="majorHAnsi"/>
                <w:b/>
                <w:bCs/>
                <w:sz w:val="20"/>
                <w:szCs w:val="20"/>
              </w:rPr>
              <w:t>Numer programu lekowego lub numeru załącznika</w:t>
            </w:r>
          </w:p>
        </w:tc>
        <w:tc>
          <w:tcPr>
            <w:tcW w:w="1374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89FF3" w14:textId="77777777" w:rsidR="00816802" w:rsidRPr="002667F9" w:rsidRDefault="00816802" w:rsidP="00C61F38">
            <w:pPr>
              <w:spacing w:before="60" w:after="60" w:line="240" w:lineRule="auto"/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2667F9">
              <w:rPr>
                <w:rFonts w:ascii="Lato" w:hAnsi="Lato" w:cstheme="majorHAnsi"/>
                <w:b/>
                <w:bCs/>
                <w:sz w:val="20"/>
                <w:szCs w:val="20"/>
              </w:rPr>
              <w:t>Nazwa programu lekowego lub załącznika chemioterapii</w:t>
            </w:r>
          </w:p>
        </w:tc>
        <w:tc>
          <w:tcPr>
            <w:tcW w:w="2876" w:type="pct"/>
            <w:shd w:val="clear" w:color="auto" w:fill="A7E8FF"/>
            <w:vAlign w:val="center"/>
          </w:tcPr>
          <w:p w14:paraId="548D38B8" w14:textId="77777777" w:rsidR="00816802" w:rsidRPr="002667F9" w:rsidRDefault="00816802" w:rsidP="00C61F38">
            <w:pPr>
              <w:spacing w:before="60" w:after="60" w:line="240" w:lineRule="auto"/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2667F9">
              <w:rPr>
                <w:rFonts w:ascii="Lato" w:hAnsi="Lato" w:cstheme="majorHAnsi"/>
                <w:b/>
                <w:bCs/>
                <w:sz w:val="20"/>
                <w:szCs w:val="20"/>
              </w:rPr>
              <w:t>Krótki opis zmian dokonanych w obrębie programu lekowego / załącznika chemioterapii</w:t>
            </w:r>
          </w:p>
        </w:tc>
      </w:tr>
      <w:tr w:rsidR="007854B3" w:rsidRPr="002667F9" w14:paraId="4E890C39" w14:textId="77777777" w:rsidTr="006E1B8C">
        <w:trPr>
          <w:cantSplit/>
          <w:trHeight w:val="1509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D3734" w14:textId="0EA3B9F6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B892B" w14:textId="1D8C366C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B.4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A3387" w14:textId="2710A08E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/>
                <w:sz w:val="18"/>
                <w:szCs w:val="18"/>
              </w:rPr>
              <w:t>LECZENIE CHORYCH NA RAKA JELITA GRUBEGO (ICD-10: C18 – C20)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43EC40D3" w14:textId="77777777" w:rsidR="007854B3" w:rsidRPr="007854B3" w:rsidRDefault="007854B3" w:rsidP="007854B3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Kompleksowa zmiana programu lekowego wpływająca na paradygmat leczenia raka jelita grubego.</w:t>
            </w:r>
          </w:p>
          <w:p w14:paraId="597FC54E" w14:textId="77777777" w:rsidR="007854B3" w:rsidRPr="007854B3" w:rsidRDefault="007854B3" w:rsidP="007854B3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Zastosowano techniczny podział na leczenie systemowe oraz chemioterapię. Główną zmianą jest umożliwienie stosowania terapii finansowanych w ramach pierwszej lub kolejnych liniach chemioterapii po uprzednim leczeniu immunoterapią. Ponadto, w stosunku do części terapii finansowanych w programie zniesiono lub zmieniono zdefiniowaną dotychczas linię leczenia zgodnie z aktualną praktyką kliniczną, eliminując przy tym możliwe konflikty terapeutyczne.</w:t>
            </w:r>
          </w:p>
          <w:p w14:paraId="15C11555" w14:textId="6AD3C7C2" w:rsidR="007854B3" w:rsidRPr="007854B3" w:rsidRDefault="007854B3" w:rsidP="007854B3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Co więcej, poza istotnymi zmianami pod względem klinicznym, zapisy programu zostały maksymalnie ujednolicone, na skutek odejścia od opisów każdej terapii z osobna. Usystematyzowaniem objęto wszystkie zapisy programu obejmujące: kryteria kwalifikacji, kryteria wyłączenia, dawkowanie, badania diagnostyczne i monitorujące.</w:t>
            </w:r>
          </w:p>
          <w:p w14:paraId="47C79417" w14:textId="2B5C291C" w:rsidR="007854B3" w:rsidRPr="007854B3" w:rsidRDefault="007854B3" w:rsidP="007854B3">
            <w:pPr>
              <w:spacing w:before="60" w:after="60" w:line="240" w:lineRule="auto"/>
              <w:ind w:right="97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Wprowadzono również zapisy dotyczące monitorowania skuteczności terapii.</w:t>
            </w:r>
          </w:p>
        </w:tc>
      </w:tr>
      <w:tr w:rsidR="007854B3" w:rsidRPr="002667F9" w14:paraId="3EA88DB2" w14:textId="77777777" w:rsidTr="006E1B8C">
        <w:trPr>
          <w:cantSplit/>
          <w:trHeight w:val="19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9999C" w14:textId="3A21D74D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6C851" w14:textId="6AB497A5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FB2AE" w14:textId="2D2A8C01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9167C3B" w14:textId="5449CDE4" w:rsidR="007854B3" w:rsidRPr="007854B3" w:rsidRDefault="007854B3" w:rsidP="007854B3">
            <w:pPr>
              <w:spacing w:before="60" w:after="60" w:line="240" w:lineRule="auto"/>
              <w:ind w:left="142" w:right="97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Dodano zapisy dotyczące monitorowania wskaźników skuteczności leczenia wykorzystywanego w programie oraz podkreślono brak możliwości uprzedniego leczenia immunoterapią lub immunochemioterapią pacjentów kwalifikowanych do leczenia immunoterapią w I linii leczenia NDRP.</w:t>
            </w:r>
          </w:p>
        </w:tc>
      </w:tr>
      <w:tr w:rsidR="007854B3" w:rsidRPr="002667F9" w14:paraId="7F757960" w14:textId="77777777" w:rsidTr="00433F1E">
        <w:trPr>
          <w:cantSplit/>
          <w:trHeight w:val="573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AFCEB" w14:textId="1BA7BBFF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  <w:highlight w:val="green"/>
              </w:rPr>
            </w:pPr>
            <w:r w:rsidRPr="007854B3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59F4E" w14:textId="78703F9F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D6EAB" w14:textId="7CB8F0FC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4151F01E" w14:textId="5E01F027" w:rsidR="007854B3" w:rsidRPr="007854B3" w:rsidRDefault="007854B3" w:rsidP="007854B3">
            <w:pPr>
              <w:spacing w:before="60" w:after="60" w:line="240" w:lineRule="auto"/>
              <w:ind w:left="142" w:right="97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Umożliwienie zastosowania leczenia u pacjentów w III stadium zaawansowania choroby, u których nie jest możliwe leczenie radykalne oraz umożliwienie kontynuacji terapii u chorych z chorobą oligometastatyczną. Dodatkowo wprowadzono możliwość zastosowania terapii u chorych z niedrobnokomórkowym rakiem płuca, u których występują inne nowotwory kontrolowane leczeniem.</w:t>
            </w:r>
          </w:p>
        </w:tc>
      </w:tr>
      <w:tr w:rsidR="007854B3" w:rsidRPr="002667F9" w14:paraId="14C7639F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32439" w14:textId="0CE3D811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4.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1A91A" w14:textId="612961F5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110CE" w14:textId="0B9FDDA8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3E7E77D1" w14:textId="0F072DDB" w:rsidR="007854B3" w:rsidRPr="007854B3" w:rsidRDefault="007854B3" w:rsidP="007854B3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Dodanie możliwości kwalifikacji pacjentów z przerzutami do ośrodkowego układu nerwowego (OUN) w leczeniu drobnokomórkowego raka płuca durwalumabem albo atezolizumabem.</w:t>
            </w:r>
          </w:p>
        </w:tc>
      </w:tr>
      <w:tr w:rsidR="007854B3" w:rsidRPr="002667F9" w14:paraId="6519FDD0" w14:textId="77777777" w:rsidTr="006E1B8C">
        <w:trPr>
          <w:cantSplit/>
          <w:trHeight w:val="584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D1783" w14:textId="1BE4C105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lastRenderedPageBreak/>
              <w:t>5.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BCB57" w14:textId="7E8B9094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B.8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49EC5" w14:textId="4B366A7C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LECZENIE CHORYCH NA MIĘSAKI TKANEK MIĘKKICH (ICD-10: C48, C49)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30EBE76D" w14:textId="01A00678" w:rsidR="007854B3" w:rsidRPr="007854B3" w:rsidRDefault="007854B3" w:rsidP="007854B3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Kompleksowa zmiana budowy programu lekowego dotyczącego leczenia pacjentów z mięsakami tkanek miękkich zainicjowana przeniesieniem sunitynibu do katalogu chemioterapii. Ujednolicono oraz uproszczono kryteria kwalifikacji oraz wyłączenia z programu wobec dwóch pozostałych terapii. W przypadku trabektedyny rozszerzono kryterium włączenia o pacjentów ze stanem sprawności ocenionym na 2 wg ECOG. Zmiany porządkujące objęły także zapisy dotyczące dawkowania, jak również badań diagnostycznych wykonywanych w trakcie kwalifikacji i monitorowania leczenia.</w:t>
            </w:r>
          </w:p>
        </w:tc>
      </w:tr>
      <w:tr w:rsidR="007854B3" w:rsidRPr="002667F9" w14:paraId="6C126BF9" w14:textId="77777777" w:rsidTr="006E1B8C">
        <w:trPr>
          <w:cantSplit/>
          <w:trHeight w:val="19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DAE13" w14:textId="31CDA32D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6.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BEA77" w14:textId="2E93F3FF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B.9.FM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EAFB8" w14:textId="7D043920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LECZENIE CHORYCH NA RAKA PIERSI (ICD-10: C50)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4F81389" w14:textId="2610895F" w:rsidR="007854B3" w:rsidRPr="007854B3" w:rsidRDefault="007854B3" w:rsidP="007854B3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Zmiany ujednolicające zapisy dedykowane programom onkologicznym.</w:t>
            </w:r>
          </w:p>
        </w:tc>
      </w:tr>
      <w:tr w:rsidR="007854B3" w:rsidRPr="002667F9" w14:paraId="46E53710" w14:textId="77777777" w:rsidTr="006E1B8C">
        <w:trPr>
          <w:cantSplit/>
          <w:trHeight w:val="151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7AE68" w14:textId="38F9BE54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7.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ABA14" w14:textId="2176EA66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B.9.FM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15321" w14:textId="6A0B1B9A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LECZENIE CHORYCH NA RAKA PIERSI (ICD-10: C50)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C9EE5DE" w14:textId="19D15301" w:rsidR="007854B3" w:rsidRPr="007854B3" w:rsidRDefault="007854B3" w:rsidP="007854B3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Korekta zapisów dotyczących linii leczenia dla dwóch substancji: talazoparyb oraz sacytuzumab gowetika</w:t>
            </w:r>
            <w:r w:rsidR="006E1B8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 </w:t>
            </w: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stosowanych w leczeniu przerzutowego potrójnie ujemnego raka piersi.</w:t>
            </w:r>
          </w:p>
        </w:tc>
      </w:tr>
      <w:tr w:rsidR="007854B3" w:rsidRPr="002667F9" w14:paraId="78C797DD" w14:textId="77777777" w:rsidTr="006E1B8C">
        <w:trPr>
          <w:cantSplit/>
          <w:trHeight w:val="236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613F0" w14:textId="60077335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8.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7B0AF" w14:textId="7949822D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B.10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202E3" w14:textId="1414036B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LECZENIE PACJENTÓW Z RAKIEM NERKI (ICD-10 C64)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12A5AC17" w14:textId="5ED3D824" w:rsidR="007854B3" w:rsidRPr="007854B3" w:rsidRDefault="007854B3" w:rsidP="007854B3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Ujednolicenie kryteriów kwalifikacji, wyłączenia oraz badań diagnostycznych, a także monitorowania bezpieczeństwa i skuteczności leczenia.</w:t>
            </w:r>
          </w:p>
        </w:tc>
      </w:tr>
      <w:tr w:rsidR="007854B3" w:rsidRPr="002667F9" w14:paraId="26E1F0B8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9EF7B" w14:textId="3B6949EA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9.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52904" w14:textId="022FA241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B.12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31E13" w14:textId="0560B3BF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CHŁONIAKI B-KOMÓRKOWE (ICD-10: C82, C83, C85)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9DC5E81" w14:textId="41E50FB2" w:rsidR="007854B3" w:rsidRPr="007854B3" w:rsidRDefault="007854B3" w:rsidP="006E1B8C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Połączenie w jeden program lekowy „Leczenie chorych na chłoniaki B-komórkowe (ICD-10: C82, C83, C85)” aktualnie refundowanych terapii we wskazaniu leczenie chorych na chłoniaki B-komórkowe w ramach programów lekowych:</w:t>
            </w:r>
          </w:p>
          <w:p w14:paraId="46227CF0" w14:textId="77777777" w:rsidR="007854B3" w:rsidRPr="007854B3" w:rsidRDefault="007854B3" w:rsidP="007854B3">
            <w:pPr>
              <w:pStyle w:val="Akapitzlist"/>
              <w:numPr>
                <w:ilvl w:val="0"/>
                <w:numId w:val="11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B.12. „Leczenie chorych na chłoniaki złośliwe (ICD-10 C82.0; C82.1; C82.7)” oraz </w:t>
            </w:r>
          </w:p>
          <w:p w14:paraId="341FE99E" w14:textId="77777777" w:rsidR="007854B3" w:rsidRPr="007854B3" w:rsidRDefault="007854B3" w:rsidP="007854B3">
            <w:pPr>
              <w:pStyle w:val="Akapitzlist"/>
              <w:numPr>
                <w:ilvl w:val="0"/>
                <w:numId w:val="11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B.93. „Leczenie chorych na chłoniaki rozlane z dużych komórek B oraz inne chłoniaki B-komórkowe (ICD-10: C83, C85)”,</w:t>
            </w:r>
          </w:p>
          <w:p w14:paraId="61A58B68" w14:textId="4752117D" w:rsidR="007854B3" w:rsidRPr="007854B3" w:rsidRDefault="007854B3" w:rsidP="006E1B8C">
            <w:pPr>
              <w:spacing w:before="60" w:after="60" w:line="240" w:lineRule="auto"/>
              <w:ind w:left="142" w:right="97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z jednoczesnym przeniesieniem lenalidomidu z programu lekowego B.93. do katalogu chemioterapii.</w:t>
            </w:r>
          </w:p>
        </w:tc>
      </w:tr>
      <w:tr w:rsidR="007854B3" w:rsidRPr="002667F9" w14:paraId="60FBF0E0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43BEC" w14:textId="51457ADC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10.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BB6FB" w14:textId="788F96DA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B.14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7AAC0" w14:textId="379B2461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PRZEWLEKŁĄ BIAŁACZKĘ SZPIKOWĄ (ICD-10: C92.1)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55CF6864" w14:textId="77777777" w:rsidR="007854B3" w:rsidRPr="007854B3" w:rsidRDefault="007854B3" w:rsidP="006E1B8C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Wprowadzenie kompleksowych zmian w zapisach programu lekowego, w tym zmian porządkujących i dostosowujących zapisy programu lekowego do aktualnych wytycznych klinicznych, m.in.:</w:t>
            </w:r>
          </w:p>
          <w:p w14:paraId="10E4A54A" w14:textId="77777777" w:rsidR="007854B3" w:rsidRPr="007854B3" w:rsidRDefault="007854B3" w:rsidP="007854B3">
            <w:pPr>
              <w:pStyle w:val="Akapitzlist"/>
              <w:numPr>
                <w:ilvl w:val="0"/>
                <w:numId w:val="23"/>
              </w:numPr>
              <w:suppressAutoHyphens w:val="0"/>
              <w:autoSpaceDE w:val="0"/>
              <w:adjustRightInd w:val="0"/>
              <w:spacing w:before="120" w:after="12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ujednolicenie kryteriów wyłączenia dla wszystkich terapii dostępnych w ramach programu,</w:t>
            </w:r>
          </w:p>
          <w:p w14:paraId="2EA5BD02" w14:textId="77777777" w:rsidR="007854B3" w:rsidRPr="007854B3" w:rsidRDefault="007854B3" w:rsidP="007854B3">
            <w:pPr>
              <w:pStyle w:val="Akapitzlist"/>
              <w:numPr>
                <w:ilvl w:val="0"/>
                <w:numId w:val="23"/>
              </w:numPr>
              <w:suppressAutoHyphens w:val="0"/>
              <w:autoSpaceDE w:val="0"/>
              <w:adjustRightInd w:val="0"/>
              <w:spacing w:before="120" w:after="12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uogólnienie zapisów dotyczących stosowania inhibitorów kinazy tyrozynowej w przypadku oporności lub nietolerancji,</w:t>
            </w:r>
          </w:p>
          <w:p w14:paraId="2750C740" w14:textId="77777777" w:rsidR="007854B3" w:rsidRPr="007854B3" w:rsidRDefault="007854B3" w:rsidP="007854B3">
            <w:pPr>
              <w:pStyle w:val="Akapitzlist"/>
              <w:numPr>
                <w:ilvl w:val="0"/>
                <w:numId w:val="23"/>
              </w:numPr>
              <w:suppressAutoHyphens w:val="0"/>
              <w:autoSpaceDE w:val="0"/>
              <w:adjustRightInd w:val="0"/>
              <w:spacing w:before="120" w:after="12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dodanie zapisów i wskaźników dotyczących oceny skuteczności terapii,</w:t>
            </w:r>
          </w:p>
          <w:p w14:paraId="30DE7359" w14:textId="60F8ADB3" w:rsidR="007854B3" w:rsidRPr="007854B3" w:rsidRDefault="007854B3" w:rsidP="007854B3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z jednoczesnym udostępnieniem w ramach programu terapii asciminibem oraz przeniesieniem dazatynibu do katalogu chemioterapii.</w:t>
            </w:r>
          </w:p>
        </w:tc>
      </w:tr>
      <w:tr w:rsidR="007854B3" w:rsidRPr="002667F9" w14:paraId="6758F8B7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DB74" w14:textId="7187367E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lastRenderedPageBreak/>
              <w:t>11.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8D625" w14:textId="523B6176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B.37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C1D97" w14:textId="4B16C57B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LECZENIE NIEDOKRWISTOŚCI U CHORYCH Z PRZEWLEKŁĄ NIEWYDOLNOŚĆ NEREK (ICD-10: N18)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43A2E2D0" w14:textId="77777777" w:rsidR="007854B3" w:rsidRPr="007854B3" w:rsidRDefault="007854B3" w:rsidP="007854B3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Wprowadzenie do programu leku Evrenzo (roxadustatum) do leczenia niedokrwistości u pacjentów powyżej 18 roku życia, niedializowanych, chorujących na przewlekłą niewydolność nerek.</w:t>
            </w:r>
          </w:p>
          <w:p w14:paraId="5AE42B50" w14:textId="77777777" w:rsidR="007854B3" w:rsidRPr="007854B3" w:rsidRDefault="007854B3" w:rsidP="007854B3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Kompleksowe przeredagowanie treści programu lekowego.</w:t>
            </w:r>
          </w:p>
          <w:p w14:paraId="4E77DCA8" w14:textId="7E5E8F86" w:rsidR="007854B3" w:rsidRPr="007854B3" w:rsidRDefault="007854B3" w:rsidP="007854B3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Zmiany w zakresie wieku osób kwalifikowanych do programu i dawkowania poszczególnych terapii (zgodnie z Charakterystykami Produktów Leczniczych objętych finansowaniem w ramach programu lekowego).</w:t>
            </w:r>
          </w:p>
        </w:tc>
      </w:tr>
      <w:tr w:rsidR="007854B3" w:rsidRPr="002667F9" w14:paraId="311502FE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89049" w14:textId="6B42612E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12.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409F3" w14:textId="2495DAA8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B.47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E896A" w14:textId="23F231E7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LECZENIE UMIARKOWANEJ I CIĘŻKIEJ POSTACI ŁUSZCZYCY PLACKOWATEJ (ICD-10: L40.0)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5F5A950D" w14:textId="1D7140B7" w:rsidR="007854B3" w:rsidRPr="007854B3" w:rsidRDefault="007854B3" w:rsidP="007854B3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Rozszerzenie wskazania o umiarkowaną postać łuszczycy plackowatej dla leków dotychczas dostępnych w ciężkiej postaci łuszczycy, zniesienie limitu czasu leczenia oraz obniżenie wieku leczenia adalimumabem do pacjentów powyżej 4 roku życia i leczenia ustekinumabem, iksekizumabem, sekukinumabem</w:t>
            </w:r>
            <w:r w:rsidRPr="007854B3">
              <w:rPr>
                <w:rFonts w:ascii="Lato" w:hAnsi="Lato"/>
                <w:sz w:val="18"/>
                <w:szCs w:val="18"/>
              </w:rPr>
              <w:t xml:space="preserve"> </w:t>
            </w:r>
            <w:r w:rsidRPr="007854B3">
              <w:rPr>
                <w:rFonts w:ascii="Lato" w:hAnsi="Lato" w:cstheme="majorHAnsi"/>
                <w:sz w:val="18"/>
                <w:szCs w:val="18"/>
              </w:rPr>
              <w:t>do pacjentów</w:t>
            </w:r>
            <w:r w:rsidRPr="007854B3">
              <w:rPr>
                <w:rFonts w:ascii="Lato" w:hAnsi="Lato"/>
                <w:sz w:val="18"/>
                <w:szCs w:val="18"/>
              </w:rPr>
              <w:t xml:space="preserve"> </w:t>
            </w: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powyżej 6 roku życia. Dodatkowo wprowadzono monitorowanie skuteczności leczenia przez Zespół Koordynacyjny,  możliwość przeprowadzenia wizyty w programie w formie zdalnej konsultacji oraz uregulowano sprawę leczenia w warunkach domowych.</w:t>
            </w:r>
          </w:p>
        </w:tc>
      </w:tr>
      <w:tr w:rsidR="007854B3" w:rsidRPr="002667F9" w14:paraId="3A9AEA69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E46D8" w14:textId="7800992C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13.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0A6C3" w14:textId="5F60086A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B.54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A3599" w14:textId="6A53A6CD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 xml:space="preserve">LECZENIE CHORYCH NA SZPICZAKA </w:t>
            </w:r>
            <w:r w:rsidRPr="007854B3">
              <w:rPr>
                <w:rFonts w:ascii="Lato" w:hAnsi="Lato" w:cstheme="majorHAnsi"/>
                <w:sz w:val="18"/>
                <w:szCs w:val="18"/>
              </w:rPr>
              <w:br/>
              <w:t xml:space="preserve">PLAZMOCYTOWEGO </w:t>
            </w:r>
            <w:r w:rsidRPr="007854B3">
              <w:rPr>
                <w:rFonts w:ascii="Lato" w:hAnsi="Lato" w:cstheme="majorHAnsi"/>
                <w:sz w:val="18"/>
                <w:szCs w:val="18"/>
              </w:rPr>
              <w:br/>
              <w:t>(ICD-10: C90.0)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632E868" w14:textId="77777777" w:rsidR="007854B3" w:rsidRPr="007854B3" w:rsidRDefault="007854B3" w:rsidP="007854B3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Wprowadzenie kompleksowych zmian w dotychczasowym opisie programu lekowego B.54. uwzględniających m.in.: </w:t>
            </w:r>
          </w:p>
          <w:p w14:paraId="0A0AA0C5" w14:textId="77777777" w:rsidR="007854B3" w:rsidRPr="007854B3" w:rsidRDefault="007854B3" w:rsidP="007854B3">
            <w:pPr>
              <w:pStyle w:val="Akapitzlist"/>
              <w:numPr>
                <w:ilvl w:val="0"/>
                <w:numId w:val="12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udostępnienie nowych, dotychczas nierefundowanych terapii DVTd, DRd, EloPd oraz </w:t>
            </w:r>
          </w:p>
          <w:p w14:paraId="54C667E1" w14:textId="77777777" w:rsidR="007854B3" w:rsidRPr="007854B3" w:rsidRDefault="007854B3" w:rsidP="007854B3">
            <w:pPr>
              <w:pStyle w:val="Akapitzlist"/>
              <w:numPr>
                <w:ilvl w:val="0"/>
                <w:numId w:val="12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zmiany w kryteriach kwalifikacji dla aktualnie refundowanych terapii Pd, DVd, KRd, IRd,</w:t>
            </w:r>
          </w:p>
          <w:p w14:paraId="2475145D" w14:textId="5A8BF30F" w:rsidR="007854B3" w:rsidRPr="007854B3" w:rsidRDefault="007854B3" w:rsidP="006E1B8C">
            <w:pPr>
              <w:spacing w:before="60" w:after="60" w:line="240" w:lineRule="auto"/>
              <w:ind w:right="97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z jednoczesnym przeniesieniem lenalidomidu z programu lekowego B.54. do katalogu chemioterapii.</w:t>
            </w:r>
          </w:p>
        </w:tc>
      </w:tr>
      <w:tr w:rsidR="007854B3" w:rsidRPr="002667F9" w14:paraId="3BAB9668" w14:textId="77777777" w:rsidTr="006E1B8C">
        <w:trPr>
          <w:cantSplit/>
          <w:trHeight w:val="151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5C4CE" w14:textId="4A012817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14.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BE808" w14:textId="60A55A3B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B.55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1428A" w14:textId="42836512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LECZENIE PACJENTÓW Z WRZODZIEJĄCYM ZAPALENIEM JELITA GRUBEGO (WZJG) (ICD-10: K51)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4532747C" w14:textId="45C942FF" w:rsidR="007854B3" w:rsidRPr="007854B3" w:rsidRDefault="007854B3" w:rsidP="007854B3">
            <w:pPr>
              <w:spacing w:before="60" w:after="60" w:line="240" w:lineRule="auto"/>
              <w:ind w:left="142" w:right="97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Zniesienie zapisów dotyczących leczenia cyklosporyną w kolumnie Świadczeniobiorcy dla pacjentów kwalifikujących się do leczenia ciężkiej lub umiarkowanej postaci wrzodziejącego zapalenia jelita grubego.</w:t>
            </w:r>
          </w:p>
        </w:tc>
      </w:tr>
      <w:tr w:rsidR="007854B3" w:rsidRPr="002667F9" w14:paraId="00A61D4E" w14:textId="77777777" w:rsidTr="006E1B8C">
        <w:trPr>
          <w:cantSplit/>
          <w:trHeight w:val="988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0F7BD" w14:textId="296BE4FB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15.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CB6CB" w14:textId="442B54FA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B.56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D7F3C" w14:textId="4D67E6DE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LECZENIE CHORYCH NA RAKA GRUCZOŁU KROKOWEGO (ICD-10: C61)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37B6F372" w14:textId="2610A9A4" w:rsidR="007854B3" w:rsidRPr="007854B3" w:rsidRDefault="007854B3" w:rsidP="007854B3">
            <w:pPr>
              <w:spacing w:before="60" w:after="60" w:line="240" w:lineRule="auto"/>
              <w:ind w:left="142" w:right="97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Zasadniczą zmianą w programie lekowym jest kompleksowe uwzględnienie wszystkich opcji leczenia w ramach jednego programu lekowego, czego efektem, jest zmiana jego nazwy z „B.56. Leczenie chorych na opornego na kastrację raka gruczołu krokowego (ICD-10: C61)” na „B.56. Leczenie chorych na raka gruczołu krokowego (ICD-10: C61)”. Zmiana ta obejmuje uwzględnienie refundowanych już w ramach obecnego programu opcji terapeutycznych, jak również nowych możliwości terapeutycznych znajdujących się w procesie refundacyjnym (tj. apalutamid w mHSPC oraz kabazytaksel, olaparyb w mCRPC). Zmiany zapisów mają charakter porządkujący oraz dostosowują zapisy programu lekowego do aktualnych wytycznych klinicznych. Główną zmianą są zapisy odnoszące się do progresji choroby w kryteriach wyłączenia z programu lekowego.</w:t>
            </w:r>
          </w:p>
        </w:tc>
      </w:tr>
      <w:tr w:rsidR="007854B3" w:rsidRPr="002667F9" w14:paraId="4855223D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7E4C8" w14:textId="4011B9A4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  <w:highlight w:val="green"/>
              </w:rPr>
            </w:pPr>
            <w:r w:rsidRPr="007854B3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16.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09FE7" w14:textId="6B48B54C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B.61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33330" w14:textId="68B498F6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CYSTYNOZĘ NEFROPATYCZNĄ (ICD-10: E72.0)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14EFA337" w14:textId="735D00BD" w:rsidR="007854B3" w:rsidRPr="007854B3" w:rsidRDefault="007854B3" w:rsidP="007854B3">
            <w:pPr>
              <w:spacing w:before="60" w:after="60" w:line="240" w:lineRule="auto"/>
              <w:ind w:left="142" w:right="97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Dodano zapisy porządkujące schemat leczenia chorych na cystynozę nefropatyczną w ramach programu lekowego. </w:t>
            </w:r>
          </w:p>
        </w:tc>
      </w:tr>
      <w:tr w:rsidR="007854B3" w:rsidRPr="002667F9" w14:paraId="554DE859" w14:textId="77777777" w:rsidTr="006E1B8C">
        <w:trPr>
          <w:cantSplit/>
          <w:trHeight w:val="1718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43CEF" w14:textId="030B9E00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lastRenderedPageBreak/>
              <w:t>17.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27ADB" w14:textId="6497843F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B.65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0222F" w14:textId="23B94433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LECZENIE CHORYCH NA OSTRĄ BIAŁACZKĘ LIMFOBLASTYCZNĄ (ICD-10: C91.0)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157A0DCE" w14:textId="77777777" w:rsidR="007854B3" w:rsidRPr="007854B3" w:rsidRDefault="007854B3" w:rsidP="006E1B8C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Wprowadzenie kompleksowych zmian w zapisach programu lekowego, m.in.:</w:t>
            </w:r>
          </w:p>
          <w:p w14:paraId="067050EF" w14:textId="77777777" w:rsidR="007854B3" w:rsidRPr="007854B3" w:rsidRDefault="007854B3" w:rsidP="007854B3">
            <w:pPr>
              <w:pStyle w:val="Akapitzlist"/>
              <w:numPr>
                <w:ilvl w:val="0"/>
                <w:numId w:val="23"/>
              </w:numPr>
              <w:suppressAutoHyphens w:val="0"/>
              <w:autoSpaceDE w:val="0"/>
              <w:adjustRightInd w:val="0"/>
              <w:spacing w:before="120" w:after="12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zmian porządkujących i dostosowujących zapisy programu lekowego do aktualnych wytycznych klinicznych,</w:t>
            </w:r>
          </w:p>
          <w:p w14:paraId="1DDDA40A" w14:textId="77777777" w:rsidR="007854B3" w:rsidRPr="007854B3" w:rsidRDefault="007854B3" w:rsidP="007854B3">
            <w:pPr>
              <w:pStyle w:val="Akapitzlist"/>
              <w:numPr>
                <w:ilvl w:val="0"/>
                <w:numId w:val="23"/>
              </w:numPr>
              <w:suppressAutoHyphens w:val="0"/>
              <w:autoSpaceDE w:val="0"/>
              <w:adjustRightInd w:val="0"/>
              <w:spacing w:before="120" w:after="12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umożliwienie leczenia domowego blinatumomabem u dzieci,</w:t>
            </w:r>
          </w:p>
          <w:p w14:paraId="5AEAC47C" w14:textId="77777777" w:rsidR="007854B3" w:rsidRPr="007854B3" w:rsidRDefault="007854B3" w:rsidP="007854B3">
            <w:pPr>
              <w:pStyle w:val="Akapitzlist"/>
              <w:numPr>
                <w:ilvl w:val="0"/>
                <w:numId w:val="23"/>
              </w:numPr>
              <w:suppressAutoHyphens w:val="0"/>
              <w:autoSpaceDE w:val="0"/>
              <w:adjustRightInd w:val="0"/>
              <w:spacing w:before="120" w:after="12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umożliwienie zastosowania blinatumomabu u dzieci i dorosłych ze wznową, i u których nie jest planowane wykonanie przeszczepienia allogenicznych krwiotwórczych komórek macierzystych (alloHSCT),</w:t>
            </w:r>
          </w:p>
          <w:p w14:paraId="7B80B35E" w14:textId="77777777" w:rsidR="007854B3" w:rsidRPr="007854B3" w:rsidRDefault="007854B3" w:rsidP="007854B3">
            <w:pPr>
              <w:pStyle w:val="Akapitzlist"/>
              <w:numPr>
                <w:ilvl w:val="0"/>
                <w:numId w:val="23"/>
              </w:numPr>
              <w:suppressAutoHyphens w:val="0"/>
              <w:autoSpaceDN/>
              <w:spacing w:after="0" w:line="276" w:lineRule="auto"/>
              <w:contextualSpacing w:val="0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rozszerzenie wskazania do leczenia tisagenlecleucelem (terapia CAR-T) także nawrotu pozaszpikowego ostrej białaczki limfoblastycznej,</w:t>
            </w:r>
          </w:p>
          <w:p w14:paraId="136E13B0" w14:textId="77777777" w:rsidR="007854B3" w:rsidRPr="007854B3" w:rsidRDefault="007854B3" w:rsidP="007854B3">
            <w:pPr>
              <w:pStyle w:val="Akapitzlist"/>
              <w:numPr>
                <w:ilvl w:val="0"/>
                <w:numId w:val="23"/>
              </w:numPr>
              <w:suppressAutoHyphens w:val="0"/>
              <w:autoSpaceDE w:val="0"/>
              <w:adjustRightInd w:val="0"/>
              <w:spacing w:before="120" w:after="12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dodanie zapisów i wskaźników dotyczących oceny skuteczności terapii.</w:t>
            </w:r>
          </w:p>
          <w:p w14:paraId="2C6C643B" w14:textId="00F60834" w:rsidR="007854B3" w:rsidRPr="007854B3" w:rsidRDefault="007854B3" w:rsidP="007854B3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Jednocześnie wprowadzono modyfikacje związane z przeniesieniem dazatynibu do katalogu chemioterapii.</w:t>
            </w:r>
          </w:p>
        </w:tc>
      </w:tr>
      <w:tr w:rsidR="007854B3" w:rsidRPr="002667F9" w14:paraId="540A9979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AC0E1" w14:textId="2B7AAA57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  <w:highlight w:val="green"/>
              </w:rPr>
            </w:pPr>
            <w:r w:rsidRPr="007854B3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18.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67F6F" w14:textId="0437C9E3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B.66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39D5E" w14:textId="544E48E7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CHŁONIAKI T-KOMÓRKOWE (ICD-10: C84)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5A4F9F15" w14:textId="77777777" w:rsidR="007854B3" w:rsidRPr="007854B3" w:rsidRDefault="007854B3" w:rsidP="007854B3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Połączenie w jeden program lekowy „Leczenie chorych na chłoniaki T-komórkowe (ICD-10: C84)” aktualnie refundowanych terapii we wskazaniu leczenie chorych na chłoniaki T-komórkowe w ramach programów lekowych:</w:t>
            </w:r>
          </w:p>
          <w:p w14:paraId="3B96C850" w14:textId="77777777" w:rsidR="007854B3" w:rsidRPr="007854B3" w:rsidRDefault="007854B3" w:rsidP="007854B3">
            <w:pPr>
              <w:pStyle w:val="Akapitzlist"/>
              <w:numPr>
                <w:ilvl w:val="0"/>
                <w:numId w:val="13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B.66. „Leczenie chorych na pierwotne chłoniaki skórne T–komórkowe (ICD – 10: C 84)” oraz</w:t>
            </w:r>
          </w:p>
          <w:p w14:paraId="228F7D2E" w14:textId="77777777" w:rsidR="007854B3" w:rsidRPr="007854B3" w:rsidRDefault="007854B3" w:rsidP="007854B3">
            <w:pPr>
              <w:pStyle w:val="Akapitzlist"/>
              <w:numPr>
                <w:ilvl w:val="0"/>
                <w:numId w:val="13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B.77. „Leczenie chorych na chłoniaki CD30+ (C 81; C 84.5)”, z jednoczesnym:</w:t>
            </w:r>
          </w:p>
          <w:p w14:paraId="75C21890" w14:textId="77777777" w:rsidR="007854B3" w:rsidRPr="007854B3" w:rsidRDefault="007854B3" w:rsidP="007854B3">
            <w:pPr>
              <w:pStyle w:val="Akapitzlist"/>
              <w:numPr>
                <w:ilvl w:val="0"/>
                <w:numId w:val="13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udostępnieniem terapii brentuksymabem vedotin w skojarzeniu z cyklofosfamidem, doksorubicyną i prednizonem (CHP) w I linii leczenia dorosłych chorych na układowego chłoniaka anaplastycznego z dużych komórek (sALCL).</w:t>
            </w:r>
          </w:p>
          <w:p w14:paraId="1358E309" w14:textId="323537C3" w:rsidR="007854B3" w:rsidRPr="007854B3" w:rsidRDefault="007854B3" w:rsidP="007854B3">
            <w:pPr>
              <w:spacing w:before="60" w:after="60" w:line="240" w:lineRule="auto"/>
              <w:ind w:left="142" w:right="97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Zniesienie kryterium kwalifikacyjnego do leczenia chorych na chłoniaka sALCL ze stwierdzonym nawrotem lub opornością na leczenie, tj.: „nieobecność przeciwwskazań do allogenicznego przeszczepienia komórek krwiotwórczych w razie uzyskania odpowiedzi częściowej”.</w:t>
            </w:r>
          </w:p>
        </w:tc>
      </w:tr>
      <w:tr w:rsidR="007854B3" w:rsidRPr="002667F9" w14:paraId="5BD007B7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7AC51" w14:textId="1BE59ACF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19.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A7E5C" w14:textId="2A3EF8CC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B.71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E6E95" w14:textId="4CDB84B2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LECZENIE TERAPIĄ BEZINTERFERONOWĄ CHORYCH NA PRZEWLEKŁE WIRUSOWE ZAPALENIE WĄTROBY TYPU C (ICD-10: B18.2)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5CE517D4" w14:textId="1C7E91A9" w:rsidR="007854B3" w:rsidRPr="007854B3" w:rsidRDefault="007854B3" w:rsidP="007854B3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Zmiany w programie lekowym o charakterze porządkującym. Zaktualizowano wskaźniki dokumentujące stopień zaawansowania choroby wątroby poprzez dodanie wskaźnika APRI oraz FIB-4. Zniesiono konieczność oznaczania genotypu HCV w przypadku pacjentów włączonych pierwszorazowo do terapii pangenotypowej. Dodatkowo zmianie uległy zapisy dotyczące monitorowania leczenia w programie – w określonych przypadkach klinicznych możliwe jest odstąpienie od wizyt monitorujących leczenie w trakcie terapii.</w:t>
            </w:r>
          </w:p>
        </w:tc>
      </w:tr>
      <w:tr w:rsidR="007854B3" w:rsidRPr="002667F9" w14:paraId="742B6BA4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F8249" w14:textId="5270AA73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20.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5EA95" w14:textId="5CAB8C61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B.75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53B95" w14:textId="3C355029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LECZENIE ZIARNINIAKOWATOŚCI Z ZAPALENIEM NACZYŃ (GPA) LUB MIKROSKOPOWEGO ZAPALENIA NACZYŃ (MPA) (ICD-10: M31.3, M31.8)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CBB9AB8" w14:textId="64511673" w:rsidR="007854B3" w:rsidRPr="007854B3" w:rsidRDefault="007854B3" w:rsidP="006E1B8C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Wprowadzenie zmian zapisów dotyczących leczenia podtrzymującego rytuksymabem oraz związane z tym zmiany w zakresie kryteriów zakończenia leczenia w programie lekowym i badań diagnostycznych.</w:t>
            </w:r>
          </w:p>
        </w:tc>
      </w:tr>
      <w:tr w:rsidR="007854B3" w:rsidRPr="002667F9" w14:paraId="34FB6E0A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7AB24" w14:textId="2B8C0A09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  <w:highlight w:val="green"/>
              </w:rPr>
            </w:pPr>
            <w:r w:rsidRPr="007854B3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lastRenderedPageBreak/>
              <w:t>21.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D59CC" w14:textId="3821D010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B.77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AB929" w14:textId="737C408A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CHORYCH NA </w:t>
            </w: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br/>
              <w:t>KLASYCZNEGO CHŁONIAKA HODGKINA (ICD-10: C81)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0C4E5CC" w14:textId="77777777" w:rsidR="007854B3" w:rsidRPr="007854B3" w:rsidRDefault="007854B3" w:rsidP="007854B3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Połączenie w jeden program lekowy „Leczenie chorych na klasycznego chłoniaka Hodgkina (ICD-10: C81)” aktualnie refundowanych terapii we wskazaniu leczenie chorych na chłoniaka Hodgkina w ramach programów lekowych:</w:t>
            </w:r>
          </w:p>
          <w:p w14:paraId="1CB079BC" w14:textId="77777777" w:rsidR="007854B3" w:rsidRPr="007854B3" w:rsidRDefault="007854B3" w:rsidP="007854B3">
            <w:pPr>
              <w:pStyle w:val="Akapitzlist"/>
              <w:numPr>
                <w:ilvl w:val="0"/>
                <w:numId w:val="14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B.77. „Leczenie chorych na chłoniaki CD30+ (C 81; C 84.5)” oraz</w:t>
            </w:r>
          </w:p>
          <w:p w14:paraId="393AE4BC" w14:textId="77777777" w:rsidR="007854B3" w:rsidRPr="007854B3" w:rsidRDefault="007854B3" w:rsidP="007854B3">
            <w:pPr>
              <w:pStyle w:val="Akapitzlist"/>
              <w:numPr>
                <w:ilvl w:val="0"/>
                <w:numId w:val="14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B.100. „Leczenie chorych na oporną i nawrotową postać klasycznego chłoniaka Hodgkina z zastosowaniem niwolumabu (ICD-10: C81)”, z jednoczesnym:</w:t>
            </w:r>
          </w:p>
          <w:p w14:paraId="2365D18F" w14:textId="77777777" w:rsidR="007854B3" w:rsidRPr="007854B3" w:rsidRDefault="007854B3" w:rsidP="007854B3">
            <w:pPr>
              <w:pStyle w:val="Akapitzlist"/>
              <w:numPr>
                <w:ilvl w:val="0"/>
                <w:numId w:val="14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zniesieniem kryterium kwalifikacyjnego do leczenia brentuksymabem vedotin chorych na chłoniaka Hodgkina ze stwierdzonym nawrotem lub opornością na leczenie, tj.: „nieobecność przeciwwskazań do allogenicznego przeszczepienia komórek krwiotwórczych w razie uzyskania odpowiedzi częściowej”.</w:t>
            </w:r>
          </w:p>
          <w:p w14:paraId="263E0967" w14:textId="1425213C" w:rsidR="007854B3" w:rsidRPr="007854B3" w:rsidRDefault="007854B3" w:rsidP="007854B3">
            <w:pPr>
              <w:spacing w:before="60" w:after="60" w:line="240" w:lineRule="auto"/>
              <w:ind w:left="142" w:right="97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Zmiany w kryteriach kwalifikacji do leczenia niwolumabem (umożliwienie leczenia w przypadku nawrotu lub oporności na leczenie brentuksymabem vedotin, gdy auto-HSCT nie stanowiło opcji leczenia, umożliwienie leczenia pacjentów o stanie sprawności wg ECOG: 2).</w:t>
            </w:r>
          </w:p>
        </w:tc>
      </w:tr>
      <w:tr w:rsidR="007854B3" w:rsidRPr="002667F9" w14:paraId="1946A417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F4CEA" w14:textId="1338BAD5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22.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65CD0" w14:textId="35F5F76D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B.79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36D0F" w14:textId="05F02C04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PRZEWLEKŁĄ BIAŁACZKĘ LIMFOCYTOWĄ (ICD-10: C91.1)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9D54E9F" w14:textId="65123C1D" w:rsidR="007854B3" w:rsidRPr="007854B3" w:rsidRDefault="007854B3" w:rsidP="006E1B8C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Połączenie w jeden scalony program lekowy B.79. „Leczenie chorych na przewlekłą białaczkę limfocytową (ICD-10: C91.1)” aktualnie refundowanych terapii w ramach programów lekowych:</w:t>
            </w:r>
          </w:p>
          <w:p w14:paraId="37361A4E" w14:textId="77777777" w:rsidR="007854B3" w:rsidRPr="007854B3" w:rsidRDefault="007854B3" w:rsidP="007854B3">
            <w:pPr>
              <w:pStyle w:val="Akapitzlist"/>
              <w:numPr>
                <w:ilvl w:val="0"/>
                <w:numId w:val="15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B.79. „Leczenie przewlekłej białaczki limfocytowej obinutuzumabem (ICD 10: C.91.1)”, </w:t>
            </w:r>
          </w:p>
          <w:p w14:paraId="319BF56F" w14:textId="77777777" w:rsidR="007854B3" w:rsidRPr="007854B3" w:rsidRDefault="007854B3" w:rsidP="007854B3">
            <w:pPr>
              <w:pStyle w:val="Akapitzlist"/>
              <w:numPr>
                <w:ilvl w:val="0"/>
                <w:numId w:val="15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B.92. „Leczenie chorych na przewlekłą białaczkę limfocytową ibrutynibem (ICD 10: C91.1)”, </w:t>
            </w:r>
          </w:p>
          <w:p w14:paraId="472367A9" w14:textId="77777777" w:rsidR="007854B3" w:rsidRPr="007854B3" w:rsidRDefault="007854B3" w:rsidP="007854B3">
            <w:pPr>
              <w:pStyle w:val="Akapitzlist"/>
              <w:numPr>
                <w:ilvl w:val="0"/>
                <w:numId w:val="15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B.103. „Leczenie chorych na przewlekłą białaczkę limfocytową wenetoklaksem (ICD-10: C.91.1)”, z jednoczesnym:</w:t>
            </w: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ab/>
            </w:r>
          </w:p>
          <w:p w14:paraId="344C8B0C" w14:textId="77777777" w:rsidR="007854B3" w:rsidRPr="007854B3" w:rsidRDefault="007854B3" w:rsidP="007854B3">
            <w:pPr>
              <w:pStyle w:val="Akapitzlist"/>
              <w:numPr>
                <w:ilvl w:val="0"/>
                <w:numId w:val="15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udostępnienie terapii ibrutynibem i akalabrutynibem w I linii leczenia</w:t>
            </w:r>
            <w:r w:rsidRPr="007854B3">
              <w:rPr>
                <w:rFonts w:ascii="Lato" w:hAnsi="Lato"/>
                <w:sz w:val="18"/>
                <w:szCs w:val="18"/>
              </w:rPr>
              <w:t xml:space="preserve"> </w:t>
            </w: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dorosłych chorych na przewlekłą białaczkę limfocytową z delecją 17p (del17p) / mutacją w genie </w:t>
            </w:r>
            <w:r w:rsidRPr="007854B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TP53</w:t>
            </w: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(mut</w:t>
            </w:r>
            <w:r w:rsidRPr="007854B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TP53</w:t>
            </w: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 lub niezmutowanym statusem </w:t>
            </w:r>
            <w:r w:rsidRPr="007854B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IgHV </w:t>
            </w: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oraz</w:t>
            </w:r>
          </w:p>
          <w:p w14:paraId="777F1E3A" w14:textId="77777777" w:rsidR="007854B3" w:rsidRPr="007854B3" w:rsidRDefault="007854B3" w:rsidP="007854B3">
            <w:pPr>
              <w:pStyle w:val="Akapitzlist"/>
              <w:numPr>
                <w:ilvl w:val="0"/>
                <w:numId w:val="15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udostępnienie terapii akalabrutynibem od II linii leczenia.</w:t>
            </w:r>
          </w:p>
          <w:p w14:paraId="175D0CC5" w14:textId="77777777" w:rsidR="006E1B8C" w:rsidRDefault="006E1B8C" w:rsidP="007854B3">
            <w:pPr>
              <w:pStyle w:val="Akapitzlist"/>
              <w:spacing w:before="60" w:after="60" w:line="240" w:lineRule="auto"/>
              <w:ind w:left="142" w:right="97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  <w:p w14:paraId="0C1B9598" w14:textId="079918E7" w:rsidR="007854B3" w:rsidRPr="007854B3" w:rsidRDefault="007854B3" w:rsidP="007854B3">
            <w:pPr>
              <w:pStyle w:val="Akapitzlist"/>
              <w:spacing w:before="60" w:after="60" w:line="240" w:lineRule="auto"/>
              <w:ind w:left="142" w:right="97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Rozszerzenie aktualnie refundowanego wskazania dla ibrutynibu od II linii leczenia pacjentów bez delecji 17p (del17p) / mutacją w genie </w:t>
            </w:r>
            <w:r w:rsidRPr="007854B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TP53</w:t>
            </w: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(mut</w:t>
            </w:r>
            <w:r w:rsidRPr="007854B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TP53</w:t>
            </w: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).</w:t>
            </w:r>
          </w:p>
        </w:tc>
      </w:tr>
      <w:tr w:rsidR="007854B3" w:rsidRPr="002667F9" w14:paraId="1460099D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021D6" w14:textId="02643A73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lastRenderedPageBreak/>
              <w:t>23.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EF133" w14:textId="6D2D16BE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B.81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7FF14" w14:textId="75CE5701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CHORYCH NA NOWOTWORY MIELOPROLIFERACYJNE </w:t>
            </w: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br/>
              <w:t>Ph (-) (ICD-10: D45, D47.1)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7ECB56E" w14:textId="237678C3" w:rsidR="007854B3" w:rsidRPr="007854B3" w:rsidRDefault="007854B3" w:rsidP="006E1B8C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Zmiana nazwy programu lekowego z dotychczasowej </w:t>
            </w:r>
            <w:r w:rsidR="006E1B8C">
              <w:rPr>
                <w:rFonts w:ascii="Lato" w:hAnsi="Lato" w:cstheme="majorHAnsi"/>
                <w:color w:val="000000"/>
                <w:sz w:val="18"/>
                <w:szCs w:val="18"/>
              </w:rPr>
              <w:t>L</w:t>
            </w:r>
            <w:r w:rsidR="006E1B8C"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eczenie mielofibrozy pierwotnej oraz mielofibrozy wtórnej w przebiegu czerwienicy prawdziwej i nadpłytkowości samoistnej </w:t>
            </w: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(ICD-10: D47.1) w związku z udostępnieniem w ramach programu terapii ruksolitynibem w leczeniu chorych na czerwienicę prawdziwą.</w:t>
            </w:r>
          </w:p>
          <w:p w14:paraId="1EF8FE60" w14:textId="77777777" w:rsidR="007854B3" w:rsidRPr="007854B3" w:rsidRDefault="007854B3" w:rsidP="006E1B8C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Wprowadzenie zmian porządkujących oraz dostosowujących zapisy programu lekowego do aktualnych wytycznych klinicznych, m.in.:</w:t>
            </w:r>
          </w:p>
          <w:p w14:paraId="5143724E" w14:textId="77777777" w:rsidR="007854B3" w:rsidRPr="007854B3" w:rsidRDefault="007854B3" w:rsidP="007854B3">
            <w:pPr>
              <w:pStyle w:val="Akapitzlist"/>
              <w:numPr>
                <w:ilvl w:val="0"/>
                <w:numId w:val="24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zmiany w kryteriach kwalifikacji do leczenia chorych na pierwotną mielofibrozę (PMF) lub mielofibrozę w przebiegu czerwienicy prawdziwej (Post-PV MF) lub mielofibrozę w przebiegu nadpłytkowości samoistnej (Post-ET MF):</w:t>
            </w:r>
          </w:p>
          <w:p w14:paraId="2384F47A" w14:textId="77777777" w:rsidR="007854B3" w:rsidRPr="007854B3" w:rsidRDefault="007854B3" w:rsidP="006E1B8C">
            <w:pPr>
              <w:pStyle w:val="Akapitzlist"/>
              <w:numPr>
                <w:ilvl w:val="0"/>
                <w:numId w:val="25"/>
              </w:numPr>
              <w:suppressAutoHyphens w:val="0"/>
              <w:autoSpaceDE w:val="0"/>
              <w:adjustRightInd w:val="0"/>
              <w:spacing w:before="120" w:after="120" w:line="240" w:lineRule="auto"/>
              <w:jc w:val="both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usunięcie warunku wcześniejszej splenektomii,</w:t>
            </w:r>
          </w:p>
          <w:p w14:paraId="3EA3B381" w14:textId="77777777" w:rsidR="007854B3" w:rsidRPr="007854B3" w:rsidRDefault="007854B3" w:rsidP="006E1B8C">
            <w:pPr>
              <w:pStyle w:val="Akapitzlist"/>
              <w:numPr>
                <w:ilvl w:val="0"/>
                <w:numId w:val="25"/>
              </w:numPr>
              <w:suppressAutoHyphens w:val="0"/>
              <w:autoSpaceDE w:val="0"/>
              <w:adjustRightInd w:val="0"/>
              <w:spacing w:before="120" w:after="120" w:line="240" w:lineRule="auto"/>
              <w:jc w:val="both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uogólnienie zapisu dla kryterium dotyczącego powiększenia śledziony,</w:t>
            </w:r>
          </w:p>
          <w:p w14:paraId="7F4124AB" w14:textId="77777777" w:rsidR="006E1B8C" w:rsidRDefault="007854B3" w:rsidP="006E1B8C">
            <w:pPr>
              <w:pStyle w:val="Akapitzlist"/>
              <w:numPr>
                <w:ilvl w:val="0"/>
                <w:numId w:val="25"/>
              </w:numPr>
              <w:suppressAutoHyphens w:val="0"/>
              <w:autoSpaceDE w:val="0"/>
              <w:adjustRightInd w:val="0"/>
              <w:spacing w:before="120" w:after="120" w:line="240" w:lineRule="auto"/>
              <w:jc w:val="both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obligatoryjne spełnienie przynajmniej jednego z dwóch poniższych kryteriów: kryterium powiększenia śledziony oraz kryterium w zakresie identyfikacji objawów ocenianych w skali MPN-SAF TSS (dotychczas obligatoryjne było spełnienie obu tych kryteriów),</w:t>
            </w:r>
          </w:p>
          <w:p w14:paraId="7BE17C07" w14:textId="1035E93B" w:rsidR="007854B3" w:rsidRPr="006E1B8C" w:rsidRDefault="007854B3" w:rsidP="006E1B8C">
            <w:pPr>
              <w:pStyle w:val="Akapitzlist"/>
              <w:numPr>
                <w:ilvl w:val="0"/>
                <w:numId w:val="25"/>
              </w:numPr>
              <w:suppressAutoHyphens w:val="0"/>
              <w:autoSpaceDE w:val="0"/>
              <w:adjustRightInd w:val="0"/>
              <w:spacing w:before="120" w:after="120" w:line="240" w:lineRule="auto"/>
              <w:jc w:val="both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E1B8C">
              <w:rPr>
                <w:rFonts w:ascii="Lato" w:hAnsi="Lato" w:cstheme="majorHAnsi"/>
                <w:color w:val="000000"/>
                <w:sz w:val="18"/>
                <w:szCs w:val="18"/>
              </w:rPr>
              <w:t>dodanie zapisów i wskaźników dotyczących oceny skuteczności terapii.</w:t>
            </w:r>
          </w:p>
        </w:tc>
      </w:tr>
      <w:tr w:rsidR="007854B3" w:rsidRPr="002667F9" w14:paraId="42262E78" w14:textId="77777777" w:rsidTr="006E1B8C">
        <w:trPr>
          <w:cantSplit/>
          <w:trHeight w:val="313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3BF9E" w14:textId="5A2302AD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24.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AEF55" w14:textId="36347BD6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B.85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C6F1D" w14:textId="167F8E98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GRUCZOLAKORAKIEM TRZUSTKI (ICD-10: C25.0, C25.1, C25.2, C25.3, C25.5, C25.6, C25.7, C25.8, C25.9)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F3F8033" w14:textId="368E2C7E" w:rsidR="007854B3" w:rsidRPr="007854B3" w:rsidRDefault="007854B3" w:rsidP="007854B3">
            <w:p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Zmiana sposobu potwierdzania mutacji germinalnej BRCA1/BRCA2.</w:t>
            </w:r>
          </w:p>
        </w:tc>
      </w:tr>
      <w:tr w:rsidR="007854B3" w:rsidRPr="002667F9" w14:paraId="0B5BAE5A" w14:textId="77777777" w:rsidTr="006E1B8C">
        <w:trPr>
          <w:cantSplit/>
          <w:trHeight w:val="1494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8744A" w14:textId="0C2A89D5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25.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1F268" w14:textId="2D930C31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B.90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D4A1C" w14:textId="7D478804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LECZENIE ZABURZEŃ MOTORYCZNYCH W PRZEBIEGU ZAAWANSOWANEJ CHOROBY PARKINSONA (ICD-10: G.20)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3C3A07F3" w14:textId="77777777" w:rsidR="007854B3" w:rsidRPr="007854B3" w:rsidRDefault="007854B3" w:rsidP="006E1B8C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Wprowadzenie zmian w treści programu lekowego w zakresie:</w:t>
            </w:r>
          </w:p>
          <w:p w14:paraId="194FD0EB" w14:textId="77777777" w:rsidR="007854B3" w:rsidRPr="007854B3" w:rsidRDefault="007854B3" w:rsidP="007854B3">
            <w:pPr>
              <w:pStyle w:val="Akapitzlist"/>
              <w:numPr>
                <w:ilvl w:val="0"/>
                <w:numId w:val="17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aktualizacji kryteriów diagnostycznych na MDS Clinical Diagnostic Criteria for Parkinson’s Disease;</w:t>
            </w:r>
          </w:p>
          <w:p w14:paraId="260E8078" w14:textId="77777777" w:rsidR="007854B3" w:rsidRPr="007854B3" w:rsidRDefault="007854B3" w:rsidP="007854B3">
            <w:pPr>
              <w:pStyle w:val="Akapitzlist"/>
              <w:numPr>
                <w:ilvl w:val="0"/>
                <w:numId w:val="17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aktualizacji kryteriów czasu trwania choroby na co najmniej 5 lat;</w:t>
            </w:r>
          </w:p>
          <w:p w14:paraId="15633ECF" w14:textId="77777777" w:rsidR="007854B3" w:rsidRPr="007854B3" w:rsidRDefault="007854B3" w:rsidP="007854B3">
            <w:pPr>
              <w:pStyle w:val="Akapitzlist"/>
              <w:numPr>
                <w:ilvl w:val="0"/>
                <w:numId w:val="17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aktualizacji kryteriów dotyczących występowania stanów off/on i dyskinez;</w:t>
            </w:r>
          </w:p>
          <w:p w14:paraId="1B6D3C0E" w14:textId="77777777" w:rsidR="007854B3" w:rsidRPr="007854B3" w:rsidRDefault="007854B3" w:rsidP="007854B3">
            <w:pPr>
              <w:pStyle w:val="Akapitzlist"/>
              <w:numPr>
                <w:ilvl w:val="0"/>
                <w:numId w:val="17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doprecyzowania kryteriów potwierdzonej skuteczności lewodopy;</w:t>
            </w:r>
          </w:p>
          <w:p w14:paraId="48A5A90C" w14:textId="77777777" w:rsidR="007854B3" w:rsidRPr="007854B3" w:rsidRDefault="007854B3" w:rsidP="007854B3">
            <w:pPr>
              <w:pStyle w:val="Akapitzlist"/>
              <w:numPr>
                <w:ilvl w:val="0"/>
                <w:numId w:val="17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uwzględnienia konieczności wcześniejszego stosowania przynajmniej trzech leków przeciwparkinsonowych; (wymóg dotyczy jedynie kwalifikacji do lewodopy z karbidopą);</w:t>
            </w:r>
          </w:p>
          <w:p w14:paraId="20D0F535" w14:textId="16530189" w:rsidR="007854B3" w:rsidRPr="007854B3" w:rsidRDefault="007854B3" w:rsidP="007854B3">
            <w:pPr>
              <w:pStyle w:val="Akapitzlist"/>
              <w:spacing w:before="60" w:after="60" w:line="240" w:lineRule="auto"/>
              <w:ind w:left="142" w:right="97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aktualizacji kryteriów oceny odpowiedzi na leczenie i ewentualnego wyłączenia pacjentów z programu.</w:t>
            </w:r>
          </w:p>
        </w:tc>
      </w:tr>
      <w:tr w:rsidR="007854B3" w:rsidRPr="002667F9" w14:paraId="235B5362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D9C9A" w14:textId="56F678D5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26.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D8AF4" w14:textId="01996A58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B.97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85F4C" w14:textId="75915A5A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/>
                <w:sz w:val="18"/>
                <w:szCs w:val="18"/>
              </w:rPr>
              <w:t>LECZENIE DOROSŁYCH CHORYCH NA PIERWOTNĄ MAŁOPŁYTKOWOŚĆ IMMUNOLOGICZNĄ (ICD-10: D69.3)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A2CCA57" w14:textId="66BB7CA8" w:rsidR="007854B3" w:rsidRPr="007854B3" w:rsidRDefault="007854B3" w:rsidP="007854B3">
            <w:pPr>
              <w:pStyle w:val="Akapitzlist"/>
              <w:spacing w:before="60" w:after="60" w:line="240" w:lineRule="auto"/>
              <w:ind w:left="142" w:right="97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Ujednolicenie kryteriów kwalifikacji do programu dla eltrombopagu, romiplostymu i</w:t>
            </w:r>
            <w:r w:rsidR="006E1B8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awatrombopagu poprzez usunięcie zapisu o przeciwskazaniu do wykonania splenektomii lub nieskuteczności splenektomii. Wydłużeniu uległ okres między badaniami okulistycznymi w przypadku leczenia eltrombopagiem z 3 na 12 miesięcy.</w:t>
            </w:r>
          </w:p>
        </w:tc>
      </w:tr>
      <w:tr w:rsidR="007854B3" w:rsidRPr="002667F9" w14:paraId="7665124A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55D8C" w14:textId="696A7435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  <w:highlight w:val="green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lastRenderedPageBreak/>
              <w:t>27.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2B335" w14:textId="41AA1BB6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B.97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1A895" w14:textId="5B0B8A9C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LECZENIE DOROSŁYCH CHORYCH NA PIERWOTNĄ MAŁOPŁYTKOWOŚĆ IMMUNOLOGICZNĄ (ICD-10: D69.3)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42D3C0A" w14:textId="64D15EE8" w:rsidR="007854B3" w:rsidRPr="007854B3" w:rsidRDefault="007854B3" w:rsidP="007854B3">
            <w:pPr>
              <w:pStyle w:val="Akapitzlist"/>
              <w:spacing w:before="60" w:after="60" w:line="240" w:lineRule="auto"/>
              <w:ind w:left="142" w:right="97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Dodanie trwałej remisji choroby niewymagającej jakiegokolwiek leczenia jako kryterium wyłączenia oraz doprecyzowanie zapisów w kryteriach kwalifikacji do leczenia awatrombopagiem.</w:t>
            </w:r>
          </w:p>
        </w:tc>
      </w:tr>
      <w:tr w:rsidR="007854B3" w:rsidRPr="002667F9" w14:paraId="72BFA2C8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854BD" w14:textId="33F8FFA7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28.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7B825" w14:textId="7E8BB1AA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B.105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022FB" w14:textId="502BBEDE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CHORYCH NA ZAPALENIE BŁONY NACZYNIOWEJ OKA (ZBN) – CZĘŚCI POŚREDNIEJ, ODCINKA TYLNEGO LUB CAŁEJ BŁONY NACZYNIOWEJ (ICD-10: H20.0, H30.0)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39462B15" w14:textId="77777777" w:rsidR="007854B3" w:rsidRPr="007854B3" w:rsidRDefault="007854B3" w:rsidP="007854B3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Wprowadzenie do programu leku Ozurdex (dexamethasonum) do leczenia klinicznie znamiennego obrzęku plamki w przebiegu zapalenia błony naczyniowej oka.</w:t>
            </w:r>
          </w:p>
          <w:p w14:paraId="71DAD238" w14:textId="53EF95B3" w:rsidR="007854B3" w:rsidRPr="007854B3" w:rsidRDefault="007854B3" w:rsidP="007854B3">
            <w:pPr>
              <w:suppressAutoHyphens w:val="0"/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Kompleksowa zmiana programu lekowego B.105 obejmująca swoim zakresem modyfikację zapisów dotyczących kryteriów kwalifikacji, kryteriów wyłączenia z programu, dawkowania oraz badań diagnostycznych i monitorujących skuteczność terapii stosowany w ramach programu.</w:t>
            </w:r>
          </w:p>
        </w:tc>
      </w:tr>
      <w:tr w:rsidR="007854B3" w:rsidRPr="002667F9" w14:paraId="593BF1C9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9C0BF" w14:textId="727480CF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29.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42A77" w14:textId="2062257E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B.119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DF139" w14:textId="7045166E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/>
                <w:i/>
                <w:iCs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ZE ZRÓŻNICOWANYM RAKIEM TARCZYCY (ICD-10 C 73)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E6BD0F5" w14:textId="257A7AFD" w:rsidR="007854B3" w:rsidRPr="007854B3" w:rsidRDefault="007854B3" w:rsidP="007854B3">
            <w:pPr>
              <w:suppressAutoHyphens w:val="0"/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 xml:space="preserve">Kompleksowa przebudowa programu lekowego. Liczne zmiany porządkujące i ujednolicające dedykowane </w:t>
            </w:r>
            <w:r w:rsidRPr="007854B3">
              <w:rPr>
                <w:rFonts w:ascii="Lato" w:hAnsi="Lato" w:cstheme="majorHAnsi"/>
                <w:sz w:val="18"/>
                <w:szCs w:val="18"/>
              </w:rPr>
              <w:br/>
              <w:t xml:space="preserve">programom onkologicznym. Modyfikacja zapisów obejmuje kryteria kwalifikacji, kryteria wyłączenia, opis </w:t>
            </w:r>
            <w:r w:rsidRPr="007854B3">
              <w:rPr>
                <w:rFonts w:ascii="Lato" w:hAnsi="Lato" w:cstheme="majorHAnsi"/>
                <w:sz w:val="18"/>
                <w:szCs w:val="18"/>
              </w:rPr>
              <w:br/>
              <w:t xml:space="preserve">dawkowania, badania diagnostyczne oraz monitorowanie leczenia i programu. Dodano zapisy dotyczące </w:t>
            </w:r>
            <w:r w:rsidRPr="007854B3">
              <w:rPr>
                <w:rFonts w:ascii="Lato" w:hAnsi="Lato" w:cstheme="majorHAnsi"/>
                <w:sz w:val="18"/>
                <w:szCs w:val="18"/>
              </w:rPr>
              <w:br/>
              <w:t>monitorowania wskaźników skuteczności leczenia wykorzystywanego w programie.</w:t>
            </w:r>
          </w:p>
        </w:tc>
      </w:tr>
      <w:tr w:rsidR="007854B3" w:rsidRPr="002667F9" w14:paraId="1125FEB4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A4EEF" w14:textId="7A7E688D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30.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2FAAB" w14:textId="57C2C1B9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B.122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755C6" w14:textId="658EAA6D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LECZENIE ZAPOBIEGAWCZE CHORYCH Z NAWRACAJĄCYMI NAPADAMI DZIEDZICZNEGO OBRZĘKU NACZYNIORUCHOWEGO O CIĘŻKIM PRZEBIEGU (ICD-10: D 84.1)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D2CF7BB" w14:textId="77777777" w:rsidR="007854B3" w:rsidRPr="007854B3" w:rsidRDefault="007854B3" w:rsidP="007854B3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 xml:space="preserve">Zmiany umożliwiające pacjentom leczenie w warunkach domowych. </w:t>
            </w:r>
          </w:p>
          <w:p w14:paraId="47227D19" w14:textId="31289C7F" w:rsidR="007854B3" w:rsidRPr="007854B3" w:rsidRDefault="007854B3" w:rsidP="007854B3">
            <w:pPr>
              <w:suppressAutoHyphens w:val="0"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Dodano zapisy dotyczące monitorowania wskaźników skuteczności i bezpieczeństwa leczenia wykorzystywane w programie.</w:t>
            </w:r>
          </w:p>
        </w:tc>
      </w:tr>
      <w:tr w:rsidR="007854B3" w:rsidRPr="002667F9" w14:paraId="69D6B867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B6058" w14:textId="5E7DE407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31.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BB5F5" w14:textId="050DCDE1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/>
                <w:sz w:val="18"/>
                <w:szCs w:val="18"/>
              </w:rPr>
              <w:t>B.125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0555D" w14:textId="7D9FD274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KOLCZYSTOKOMÓRKOWEGO RAKA SKÓRY (ICD-10: C44.12, C44.22, C44.32, C44.42, C44.52, C44.62, C44.72, C44.82, C44.92)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759A24D" w14:textId="77777777" w:rsidR="007854B3" w:rsidRPr="007854B3" w:rsidRDefault="007854B3" w:rsidP="007854B3">
            <w:p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Zmiany w programie lekowym o charakterze porządkującym.</w:t>
            </w:r>
          </w:p>
          <w:p w14:paraId="3517B710" w14:textId="44B44F0C" w:rsidR="007854B3" w:rsidRPr="007854B3" w:rsidRDefault="007854B3" w:rsidP="007854B3">
            <w:pPr>
              <w:suppressAutoHyphens w:val="0"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Między innymi: w kryteriach kwalifikacji dodano zapis o stopniu sprawności i uproszczono punkt dotyczący wydolności narządowej, do kryteriów wyłączenia z programu dodano udokumentowaną progresję choroby oraz doprecyzowano punkt odnośnie braku współpracy pacjenta z lekarzem, do badań przy kwalifikacji dodano testy na HCV i HBV.</w:t>
            </w:r>
          </w:p>
        </w:tc>
      </w:tr>
      <w:tr w:rsidR="007854B3" w:rsidRPr="002667F9" w14:paraId="4DBDEDA2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2D3FB" w14:textId="1EA1D5A9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32.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B39C0" w14:textId="66CD0DA8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B.135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32E14" w14:textId="6391C663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/>
                <w:i/>
                <w:iCs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CHOROBĄ ŚRÓDMIĄŻSZOWĄ PŁUC (ICD-10: D86, J67.0-J67.9, J84.1, J84.8, J84.9, J99.0, J99.1, M34)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1BDB7901" w14:textId="6A74B46E" w:rsidR="007854B3" w:rsidRPr="007854B3" w:rsidRDefault="007854B3" w:rsidP="007854B3">
            <w:pPr>
              <w:suppressAutoHyphens w:val="0"/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Zmiany w programie lekowym o charakterze porządkującym. Rozszerzenie populacji o pacjentów z chorobą śródmiąższową płuc przebiegającą z włóknieniem o fenotypie postępującym (PF-ILD).</w:t>
            </w:r>
          </w:p>
        </w:tc>
      </w:tr>
      <w:tr w:rsidR="007854B3" w:rsidRPr="002667F9" w14:paraId="6BF10708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FC084" w14:textId="75E5BC88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33.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4E02" w14:textId="65CCDD11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/>
                <w:sz w:val="18"/>
                <w:szCs w:val="18"/>
              </w:rPr>
              <w:t>B.148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29C8F" w14:textId="7F49B767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/>
                <w:i/>
                <w:iCs/>
                <w:sz w:val="18"/>
                <w:szCs w:val="18"/>
              </w:rPr>
            </w:pPr>
            <w:r w:rsidRPr="007854B3">
              <w:rPr>
                <w:rFonts w:ascii="Lato" w:hAnsi="Lato"/>
                <w:sz w:val="18"/>
                <w:szCs w:val="18"/>
              </w:rPr>
              <w:t>LECZENIE CHORYCH NA RAKA ENDOMETRIUM (ICD10: C54)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60D011F" w14:textId="4A0DEFA4" w:rsidR="007854B3" w:rsidRPr="007854B3" w:rsidRDefault="007854B3" w:rsidP="007854B3">
            <w:pPr>
              <w:suppressAutoHyphens w:val="0"/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Zmiana zapisu w pkt. 3 kryteriów kwalifikacji dot. zidentyfikowania obecności upośledzenia naprawy nieprawidłowo sparowanych nukleotydów (ang. mismatch repair deficient, dMMR) lub wysokiej niestabilności mikrosatelitarnej (ang. microsatellite instabilityhigh, MSIH) potwierdzonej tylko z wykorzystaniem zwalidowanego testu.</w:t>
            </w:r>
          </w:p>
        </w:tc>
      </w:tr>
      <w:tr w:rsidR="007854B3" w:rsidRPr="002667F9" w14:paraId="275677D7" w14:textId="77777777" w:rsidTr="006E1B8C">
        <w:trPr>
          <w:cantSplit/>
          <w:trHeight w:val="913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65DBC" w14:textId="3358B9C7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34.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6C684" w14:textId="7ABD16D7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C.70.d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AB243" w14:textId="43221EA1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/>
                <w:i/>
                <w:iCs/>
                <w:sz w:val="18"/>
                <w:szCs w:val="18"/>
              </w:rPr>
              <w:t>IMATINIB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33766CF6" w14:textId="031D3426" w:rsidR="007854B3" w:rsidRPr="006E1B8C" w:rsidRDefault="007854B3" w:rsidP="006E1B8C">
            <w:pPr>
              <w:suppressAutoHyphens w:val="0"/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Zmiana kategorii dostępności refundacyjnej imatynibu</w:t>
            </w:r>
            <w:r w:rsidR="006E1B8C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r w:rsidRPr="006E1B8C">
              <w:rPr>
                <w:rFonts w:ascii="Lato" w:hAnsi="Lato" w:cstheme="majorHAnsi"/>
                <w:sz w:val="18"/>
                <w:szCs w:val="18"/>
              </w:rPr>
              <w:t>z programu lekowego B.3 - LECZENIE NOWOTWORÓW PODŚCIELISKA PRZEWODU POKARMOWEGO (GIST) (ICD-10 C 15, C 16, C 17, C 18, C 20, C 48) do katalogu chemioterapii C.70.d</w:t>
            </w:r>
          </w:p>
          <w:p w14:paraId="17B57501" w14:textId="613EE5CB" w:rsidR="007854B3" w:rsidRPr="007854B3" w:rsidRDefault="007854B3" w:rsidP="007854B3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W leczeniu nowotworów podścieliska przewodu pokarmowego (GIST) dodany został kod ICD-10 C19, który nie był uwzględniony w uprzednio obowiązującym programie lekowym B.3.</w:t>
            </w:r>
          </w:p>
        </w:tc>
      </w:tr>
      <w:tr w:rsidR="007854B3" w:rsidRPr="002667F9" w14:paraId="521C9AC4" w14:textId="77777777" w:rsidTr="006E1B8C">
        <w:trPr>
          <w:cantSplit/>
          <w:trHeight w:val="723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C5DB8" w14:textId="59FEC559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35.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439A8" w14:textId="5FB4039E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/>
                <w:sz w:val="18"/>
                <w:szCs w:val="18"/>
              </w:rPr>
              <w:t>C.82.c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4A564" w14:textId="17FBA030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BEVACIZUMAB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B3D1879" w14:textId="77777777" w:rsidR="007854B3" w:rsidRPr="007854B3" w:rsidRDefault="007854B3" w:rsidP="006E1B8C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Zniesienie dotychczasowych zapisów ograniczających stosowanie bewacyzumabu wyłącznie w dwóch liniach leczenia, w skojarzeniu z konkretnymi dubletami chemioterapii.</w:t>
            </w:r>
          </w:p>
          <w:p w14:paraId="5349D27B" w14:textId="61E094ED" w:rsidR="007854B3" w:rsidRPr="007854B3" w:rsidRDefault="007854B3" w:rsidP="007854B3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Nowe zapisy załącznika C.82.c wskazują na konieczność skojarzenia bewacyzumabu z chemioterapią zawierającą fluoropirymidynę. Ponadto, bewacyzumab może być zastosowany u danego pacjenta tylko w jednej, wybranej linii leczenia.</w:t>
            </w:r>
          </w:p>
        </w:tc>
      </w:tr>
      <w:tr w:rsidR="007854B3" w:rsidRPr="002667F9" w14:paraId="2A1116ED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2638B" w14:textId="13B92545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36.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2DB1F" w14:textId="0545B6D2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C.84.a</w:t>
            </w:r>
          </w:p>
          <w:p w14:paraId="6D0D233A" w14:textId="5E834AAA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C.84.b</w:t>
            </w:r>
          </w:p>
          <w:p w14:paraId="3B91B166" w14:textId="6DD43452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C.84.c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F7117" w14:textId="19747675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LENALIDOMIDUM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3F12B4A" w14:textId="77777777" w:rsidR="007854B3" w:rsidRPr="007854B3" w:rsidRDefault="007854B3" w:rsidP="007854B3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Zmiana kategorii dostępności refundacyjnej dla lenalidomidu:</w:t>
            </w:r>
          </w:p>
          <w:p w14:paraId="761685FA" w14:textId="77777777" w:rsidR="007854B3" w:rsidRPr="007854B3" w:rsidRDefault="007854B3" w:rsidP="007854B3">
            <w:pPr>
              <w:pStyle w:val="Akapitzlist"/>
              <w:numPr>
                <w:ilvl w:val="0"/>
                <w:numId w:val="16"/>
              </w:num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z programu lekowego B.54. do katalogu chemioterapii C.84.a,</w:t>
            </w:r>
          </w:p>
          <w:p w14:paraId="633EF770" w14:textId="77777777" w:rsidR="006E1B8C" w:rsidRDefault="007854B3" w:rsidP="006E1B8C">
            <w:pPr>
              <w:pStyle w:val="Akapitzlist"/>
              <w:numPr>
                <w:ilvl w:val="0"/>
                <w:numId w:val="16"/>
              </w:num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z programu lekowego B.84. do katalogu chemioterapii C.84.b,</w:t>
            </w:r>
          </w:p>
          <w:p w14:paraId="05B273CC" w14:textId="15A482EA" w:rsidR="007854B3" w:rsidRPr="006E1B8C" w:rsidRDefault="007854B3" w:rsidP="006E1B8C">
            <w:pPr>
              <w:pStyle w:val="Akapitzlist"/>
              <w:numPr>
                <w:ilvl w:val="0"/>
                <w:numId w:val="16"/>
              </w:num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E1B8C">
              <w:rPr>
                <w:rFonts w:ascii="Lato" w:hAnsi="Lato" w:cstheme="majorHAnsi"/>
                <w:color w:val="000000"/>
                <w:sz w:val="18"/>
                <w:szCs w:val="18"/>
              </w:rPr>
              <w:t>z programu lekowego B.93. do katalogu chemioterapii C.84.c.</w:t>
            </w:r>
          </w:p>
        </w:tc>
      </w:tr>
      <w:tr w:rsidR="007854B3" w:rsidRPr="002667F9" w14:paraId="179584D1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E2AD1" w14:textId="54074803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37</w:t>
            </w:r>
            <w:r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64837" w14:textId="77777777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C.86.a</w:t>
            </w:r>
          </w:p>
          <w:p w14:paraId="742D812B" w14:textId="6B0D674E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C.86.b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14862" w14:textId="7C4108F4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i/>
                <w:iCs/>
                <w:sz w:val="18"/>
                <w:szCs w:val="18"/>
              </w:rPr>
              <w:t>TRASTUZUMABUM I.V.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6016EF3" w14:textId="77777777" w:rsidR="007854B3" w:rsidRPr="007854B3" w:rsidRDefault="007854B3" w:rsidP="006E1B8C">
            <w:pPr>
              <w:suppressAutoHyphens w:val="0"/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Zmiana kategorii dostępności refundacyjnej dla trastuzumabu w formie dożylnej:</w:t>
            </w:r>
          </w:p>
          <w:p w14:paraId="600A5949" w14:textId="77777777" w:rsidR="007854B3" w:rsidRPr="007854B3" w:rsidRDefault="007854B3" w:rsidP="007854B3">
            <w:pPr>
              <w:pStyle w:val="Akapitzlist"/>
              <w:numPr>
                <w:ilvl w:val="0"/>
                <w:numId w:val="18"/>
              </w:num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z programu lekowego B.9.FM – LECZENIE CHORYCH NA RAKA PIERSI (ICD-10: C50) do katalogu chemioterapii C.86.a;</w:t>
            </w:r>
          </w:p>
          <w:p w14:paraId="08102CC6" w14:textId="77777777" w:rsidR="007854B3" w:rsidRPr="007854B3" w:rsidRDefault="007854B3" w:rsidP="007854B3">
            <w:pPr>
              <w:pStyle w:val="Akapitzlist"/>
              <w:numPr>
                <w:ilvl w:val="0"/>
                <w:numId w:val="18"/>
              </w:num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z programu lekowego B.58 -</w:t>
            </w: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7854B3">
              <w:rPr>
                <w:rFonts w:ascii="Lato" w:hAnsi="Lato" w:cstheme="majorHAnsi"/>
                <w:sz w:val="18"/>
                <w:szCs w:val="18"/>
              </w:rPr>
              <w:t>LECZENIE CHORYCH NA ZAAWANSOWANEGO RAKA PRZEŁYKU I ŻOŁĄDKA (ICD-10: C15-C16) do katalogu chemioterapii C.86.b.</w:t>
            </w:r>
          </w:p>
          <w:p w14:paraId="3D96ECC0" w14:textId="77777777" w:rsidR="006E1B8C" w:rsidRDefault="006E1B8C" w:rsidP="006E1B8C">
            <w:pPr>
              <w:suppressAutoHyphens w:val="0"/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</w:p>
          <w:p w14:paraId="6F9266F1" w14:textId="5767A0F6" w:rsidR="007854B3" w:rsidRPr="007854B3" w:rsidRDefault="007854B3" w:rsidP="006E1B8C">
            <w:pPr>
              <w:suppressAutoHyphens w:val="0"/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W leczeniu raka piersi wprowadzono możliwość leczenia trastuzumabem dożylnym po progresji w połączeniu z inną terapią przeciwnowotworową.</w:t>
            </w:r>
          </w:p>
          <w:p w14:paraId="62029185" w14:textId="10D50684" w:rsidR="007854B3" w:rsidRPr="007854B3" w:rsidRDefault="007854B3" w:rsidP="006E1B8C">
            <w:pPr>
              <w:pStyle w:val="Akapitzlist"/>
              <w:spacing w:before="60" w:after="60" w:line="240" w:lineRule="auto"/>
              <w:ind w:left="142" w:right="97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W zakresie drugiego wskazania wprowadzono możliwość leczenia gruczolakoraka żołądka oraz połączenia przełykowo-żołądkowego trastuzumabem dożylnym, a także umożliwiono skojarzenie terapii z oksaliplatyną.</w:t>
            </w:r>
          </w:p>
        </w:tc>
      </w:tr>
      <w:tr w:rsidR="007854B3" w:rsidRPr="002667F9" w14:paraId="6E7A0125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3A2C5" w14:textId="02D91FA2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38.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DCCB2" w14:textId="77777777" w:rsidR="007854B3" w:rsidRPr="007854B3" w:rsidRDefault="007854B3" w:rsidP="007854B3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C.87.a</w:t>
            </w:r>
          </w:p>
          <w:p w14:paraId="07682B66" w14:textId="0E1283DC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C.87.b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5ABA4" w14:textId="7759556D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OCTAN ABIRATERONU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BA68645" w14:textId="392F33E1" w:rsidR="007854B3" w:rsidRPr="007854B3" w:rsidRDefault="007854B3" w:rsidP="007854B3">
            <w:pPr>
              <w:pStyle w:val="Akapitzlist"/>
              <w:spacing w:before="60" w:after="60" w:line="240" w:lineRule="auto"/>
              <w:ind w:left="142" w:right="97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Zmiana kategorii dostępności refundacyjnej dla octanu abirateronu z programu lekowego B.56 - LECZENIE CHORYCH OPORNEGO NA KASTRACJĘ RAKA GRUCZOŁU KROKOWEGO (ICD-10: C61) do katalogów chemioterapii C.87.a i C.87.b.</w:t>
            </w:r>
          </w:p>
        </w:tc>
      </w:tr>
      <w:tr w:rsidR="007854B3" w:rsidRPr="002667F9" w14:paraId="6C728706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C9810" w14:textId="170D090C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39.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28CDC" w14:textId="200DF781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C.88.a</w:t>
            </w:r>
            <w:r w:rsidRPr="007854B3">
              <w:rPr>
                <w:rFonts w:ascii="Lato" w:hAnsi="Lato" w:cstheme="majorHAnsi"/>
                <w:sz w:val="18"/>
                <w:szCs w:val="18"/>
              </w:rPr>
              <w:br/>
            </w: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C.88.b</w:t>
            </w: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br/>
              <w:t>C.88.c</w:t>
            </w: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br/>
              <w:t>C.88.d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28EE3" w14:textId="52DCD851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/>
                <w:i/>
                <w:iCs/>
                <w:sz w:val="18"/>
                <w:szCs w:val="18"/>
              </w:rPr>
              <w:t>SUNITINIB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D638E10" w14:textId="77777777" w:rsidR="007854B3" w:rsidRPr="007854B3" w:rsidRDefault="007854B3" w:rsidP="007854B3">
            <w:pPr>
              <w:suppressAutoHyphens w:val="0"/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Zmiana kategorii dostępności refundacyjnej sunitynibu:</w:t>
            </w:r>
          </w:p>
          <w:p w14:paraId="6F4DF891" w14:textId="77777777" w:rsidR="007854B3" w:rsidRPr="007854B3" w:rsidRDefault="007854B3" w:rsidP="007854B3">
            <w:pPr>
              <w:pStyle w:val="Akapitzlist"/>
              <w:numPr>
                <w:ilvl w:val="0"/>
                <w:numId w:val="19"/>
              </w:numPr>
              <w:spacing w:before="60" w:after="60" w:line="240" w:lineRule="auto"/>
              <w:ind w:left="714" w:hanging="357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z programu lekowego B.3 - LECZENIE NOWOTWORÓW PODŚCIELISKA PRZEWODU POKARMOWEGO (GIST) (ICD-10 C 15, C 16, C 17, C 18, C 20, C 48) do katalogu chemioterapii C.88.a,</w:t>
            </w:r>
          </w:p>
          <w:p w14:paraId="1D45BD27" w14:textId="77777777" w:rsidR="007854B3" w:rsidRPr="007854B3" w:rsidRDefault="007854B3" w:rsidP="007854B3">
            <w:pPr>
              <w:pStyle w:val="Akapitzlist"/>
              <w:numPr>
                <w:ilvl w:val="0"/>
                <w:numId w:val="19"/>
              </w:numPr>
              <w:suppressAutoHyphens w:val="0"/>
              <w:spacing w:before="60" w:after="60" w:line="240" w:lineRule="auto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z programu lekowego B.8 - LECZENIE CHORYCH NA MIĘSAKI TKANEK MIĘKKICH (ICD-10: C48, C49) do katalogu chemioterapii C.88.b,</w:t>
            </w:r>
          </w:p>
          <w:p w14:paraId="177638FE" w14:textId="77777777" w:rsidR="007854B3" w:rsidRPr="007854B3" w:rsidRDefault="007854B3" w:rsidP="007854B3">
            <w:pPr>
              <w:pStyle w:val="Akapitzlist"/>
              <w:numPr>
                <w:ilvl w:val="0"/>
                <w:numId w:val="19"/>
              </w:numPr>
              <w:spacing w:before="60" w:after="60" w:line="240" w:lineRule="auto"/>
              <w:ind w:left="714" w:hanging="357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z programu lekowego B.10 - LECZENIE PACJENTÓW Z RAKIEM NERKI (ICD-10: C64) do katalogu chemioterapii C.88.c,</w:t>
            </w:r>
          </w:p>
          <w:p w14:paraId="2D75281D" w14:textId="77777777" w:rsidR="007854B3" w:rsidRPr="007854B3" w:rsidRDefault="007854B3" w:rsidP="007854B3">
            <w:pPr>
              <w:pStyle w:val="Akapitzlist"/>
              <w:numPr>
                <w:ilvl w:val="0"/>
                <w:numId w:val="19"/>
              </w:numPr>
              <w:spacing w:before="60" w:after="60" w:line="240" w:lineRule="auto"/>
              <w:ind w:left="714" w:hanging="357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z programu lekowego B.53 - LECZENIE WYSOKO ZRÓŻNICOWANEGO NOWOTWORU NEUROENDOKRYNNEGO TRZUSTKI (ICD-10 C25.4) do katalogu chemioterapii C.88.d.</w:t>
            </w:r>
          </w:p>
          <w:p w14:paraId="0290B116" w14:textId="77777777" w:rsidR="007854B3" w:rsidRPr="007854B3" w:rsidRDefault="007854B3" w:rsidP="007854B3">
            <w:pPr>
              <w:suppressAutoHyphens w:val="0"/>
              <w:spacing w:before="60" w:after="60" w:line="240" w:lineRule="auto"/>
              <w:rPr>
                <w:rFonts w:ascii="Lato" w:hAnsi="Lato" w:cstheme="majorHAnsi"/>
                <w:sz w:val="18"/>
                <w:szCs w:val="18"/>
              </w:rPr>
            </w:pPr>
          </w:p>
          <w:p w14:paraId="7C8098CA" w14:textId="03E65696" w:rsidR="007854B3" w:rsidRPr="007854B3" w:rsidRDefault="007854B3" w:rsidP="007854B3">
            <w:pPr>
              <w:pStyle w:val="Akapitzlist"/>
              <w:spacing w:before="60" w:after="60" w:line="240" w:lineRule="auto"/>
              <w:ind w:left="142" w:right="97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W leczeniu nowotworów podścieliska przewodu pokarmowego (GIST) dodany został kod ICD-10 C19, który nie był uwzględniony w uprzednio obowiązującym programie lekowym B.3.</w:t>
            </w:r>
          </w:p>
        </w:tc>
      </w:tr>
      <w:tr w:rsidR="007854B3" w:rsidRPr="002667F9" w14:paraId="16C6EDEE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1BEDA" w14:textId="1B7FA02F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40.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38963" w14:textId="369477CF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C.89.a</w:t>
            </w: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br/>
              <w:t>C.89.b</w:t>
            </w: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br/>
              <w:t>C.89.c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A6CCA" w14:textId="78C51D53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/>
                <w:i/>
                <w:iCs/>
                <w:sz w:val="18"/>
                <w:szCs w:val="18"/>
              </w:rPr>
              <w:t>SORAFENIB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3D02E19A" w14:textId="77777777" w:rsidR="007854B3" w:rsidRPr="007854B3" w:rsidRDefault="007854B3" w:rsidP="007854B3">
            <w:pPr>
              <w:suppressAutoHyphens w:val="0"/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Zmiana kategorii dostępności refundacyjnej sorafenibu:</w:t>
            </w:r>
          </w:p>
          <w:p w14:paraId="3295B2E1" w14:textId="77777777" w:rsidR="007854B3" w:rsidRPr="007854B3" w:rsidRDefault="007854B3" w:rsidP="007854B3">
            <w:pPr>
              <w:pStyle w:val="Akapitzlist"/>
              <w:numPr>
                <w:ilvl w:val="0"/>
                <w:numId w:val="19"/>
              </w:numPr>
              <w:spacing w:before="60" w:after="60" w:line="240" w:lineRule="auto"/>
              <w:ind w:left="714" w:hanging="357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z programu lekowego B.3 - LECZENIE NOWOTWORÓW PODŚCIELISKA PRZEWODU POKARMOWEGO (GIST) (ICD-10 C 15, C 16, C 17, C 18, C 20, C 48) do katalogu chemioterapii C.89.a,</w:t>
            </w:r>
          </w:p>
          <w:p w14:paraId="33FC24BA" w14:textId="77777777" w:rsidR="007854B3" w:rsidRPr="007854B3" w:rsidRDefault="007854B3" w:rsidP="007854B3">
            <w:pPr>
              <w:pStyle w:val="Akapitzlist"/>
              <w:numPr>
                <w:ilvl w:val="0"/>
                <w:numId w:val="19"/>
              </w:numPr>
              <w:spacing w:before="60" w:after="60" w:line="240" w:lineRule="auto"/>
              <w:ind w:left="714" w:hanging="357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z programu lekowego B.5 - LECZENIE CHORYCH NA RAKA WĄTROBOWOKOMÓRKOWEGO (ICD-10: C22.0) do katalogu chemioterapii C.89.b,</w:t>
            </w:r>
          </w:p>
          <w:p w14:paraId="6B19B5E1" w14:textId="77777777" w:rsidR="007854B3" w:rsidRPr="007854B3" w:rsidRDefault="007854B3" w:rsidP="007854B3">
            <w:pPr>
              <w:pStyle w:val="Akapitzlist"/>
              <w:numPr>
                <w:ilvl w:val="0"/>
                <w:numId w:val="19"/>
              </w:numPr>
              <w:spacing w:before="60" w:after="60" w:line="240" w:lineRule="auto"/>
              <w:ind w:left="714" w:hanging="357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z programu lekowego B.10 - LECZENIE PACJENTÓW Z RAKIEM NERKI (ICD-10: C64) do katalogu chemioterapii C.89.c.</w:t>
            </w:r>
          </w:p>
          <w:p w14:paraId="54636F6C" w14:textId="77777777" w:rsidR="007854B3" w:rsidRPr="007854B3" w:rsidRDefault="007854B3" w:rsidP="007854B3">
            <w:pPr>
              <w:suppressAutoHyphens w:val="0"/>
              <w:spacing w:before="60" w:after="60" w:line="240" w:lineRule="auto"/>
              <w:rPr>
                <w:rFonts w:ascii="Lato" w:hAnsi="Lato" w:cstheme="majorHAnsi"/>
                <w:sz w:val="18"/>
                <w:szCs w:val="18"/>
              </w:rPr>
            </w:pPr>
          </w:p>
          <w:p w14:paraId="4FCA1650" w14:textId="05B677A7" w:rsidR="007854B3" w:rsidRPr="007854B3" w:rsidRDefault="007854B3" w:rsidP="007854B3">
            <w:pPr>
              <w:pStyle w:val="Akapitzlist"/>
              <w:spacing w:before="60" w:after="60" w:line="240" w:lineRule="auto"/>
              <w:ind w:left="142" w:right="97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W leczeniu nowotworów podścieliska przewodu pokarmowego (GIST) dodany został kod ICD-10 C19, który nie był uwzględniony w uprzednio obowiązującym programie lekowym B.3.</w:t>
            </w:r>
          </w:p>
        </w:tc>
      </w:tr>
      <w:tr w:rsidR="007854B3" w:rsidRPr="002667F9" w14:paraId="206004F7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3A0DA" w14:textId="04D8F3F5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41.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EBFB6" w14:textId="65C4A6FD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C.91.a</w:t>
            </w:r>
            <w:r w:rsidRPr="007854B3">
              <w:rPr>
                <w:rFonts w:ascii="Lato" w:hAnsi="Lato" w:cstheme="majorHAnsi"/>
                <w:sz w:val="18"/>
                <w:szCs w:val="18"/>
              </w:rPr>
              <w:br/>
              <w:t>C.91.b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D6DE7" w14:textId="44471F03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7854B3">
              <w:rPr>
                <w:rFonts w:ascii="Lato" w:hAnsi="Lato"/>
                <w:i/>
                <w:iCs/>
                <w:sz w:val="18"/>
                <w:szCs w:val="18"/>
              </w:rPr>
              <w:t>EVEROLIMUS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77D8D87" w14:textId="77777777" w:rsidR="007854B3" w:rsidRPr="007854B3" w:rsidRDefault="007854B3" w:rsidP="007854B3">
            <w:pPr>
              <w:suppressAutoHyphens w:val="0"/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Zmiana kategorii dostępności refundacyjnej ewerolimusu:</w:t>
            </w:r>
          </w:p>
          <w:p w14:paraId="729CECFD" w14:textId="77777777" w:rsidR="006E1B8C" w:rsidRDefault="007854B3" w:rsidP="006E1B8C">
            <w:pPr>
              <w:pStyle w:val="Akapitzlist"/>
              <w:numPr>
                <w:ilvl w:val="0"/>
                <w:numId w:val="19"/>
              </w:numPr>
              <w:spacing w:before="60" w:after="60" w:line="240" w:lineRule="auto"/>
              <w:ind w:left="714" w:hanging="357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z programu lekowego B.10 - LECZENIE PACJENTÓW Z RAKIEM NERKI (ICD-10: C64) do katalogu chemioterapii C.91.a,</w:t>
            </w:r>
          </w:p>
          <w:p w14:paraId="04FE0705" w14:textId="0CF01D33" w:rsidR="007854B3" w:rsidRPr="006E1B8C" w:rsidRDefault="007854B3" w:rsidP="006E1B8C">
            <w:pPr>
              <w:pStyle w:val="Akapitzlist"/>
              <w:numPr>
                <w:ilvl w:val="0"/>
                <w:numId w:val="19"/>
              </w:numPr>
              <w:spacing w:before="60" w:after="60" w:line="240" w:lineRule="auto"/>
              <w:ind w:left="714" w:hanging="357"/>
              <w:rPr>
                <w:rFonts w:ascii="Lato" w:hAnsi="Lato" w:cstheme="majorHAnsi"/>
                <w:sz w:val="18"/>
                <w:szCs w:val="18"/>
              </w:rPr>
            </w:pPr>
            <w:r w:rsidRPr="006E1B8C">
              <w:rPr>
                <w:rFonts w:ascii="Lato" w:hAnsi="Lato" w:cstheme="majorHAnsi"/>
                <w:sz w:val="18"/>
                <w:szCs w:val="18"/>
              </w:rPr>
              <w:t>z programu lekowego B.53 - LECZENIE WYSOKO ZRÓŻNICOWANEGO NOWOTWORU NEUROENDOKRYNNEGO TRZUSTKI (ICD-10 C25.4) do katalogu chemioterapii C.91.b.</w:t>
            </w:r>
          </w:p>
        </w:tc>
      </w:tr>
      <w:tr w:rsidR="007854B3" w:rsidRPr="002667F9" w14:paraId="4935FD9C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28865" w14:textId="7EB11732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42.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4694B" w14:textId="77777777" w:rsidR="007854B3" w:rsidRPr="007854B3" w:rsidRDefault="007854B3" w:rsidP="007854B3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7854B3">
              <w:rPr>
                <w:rFonts w:ascii="Lato" w:hAnsi="Lato"/>
                <w:sz w:val="18"/>
                <w:szCs w:val="18"/>
              </w:rPr>
              <w:t>C.92.a</w:t>
            </w:r>
          </w:p>
          <w:p w14:paraId="3E5768BA" w14:textId="28C824EF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/>
                <w:sz w:val="18"/>
                <w:szCs w:val="18"/>
              </w:rPr>
              <w:t>C.92.b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97FD6" w14:textId="213DB1A1" w:rsidR="007854B3" w:rsidRPr="007854B3" w:rsidRDefault="007854B3" w:rsidP="007854B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DASATINIB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56D427EE" w14:textId="77777777" w:rsidR="007854B3" w:rsidRPr="007854B3" w:rsidRDefault="007854B3" w:rsidP="006E1B8C">
            <w:pPr>
              <w:suppressAutoHyphens w:val="0"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color w:val="000000"/>
                <w:sz w:val="18"/>
                <w:szCs w:val="18"/>
              </w:rPr>
              <w:t>Zmiana kategorii dostępności refundacyjnej dla dazatynibu:</w:t>
            </w:r>
          </w:p>
          <w:p w14:paraId="4682BA89" w14:textId="77777777" w:rsidR="006E1B8C" w:rsidRPr="006E1B8C" w:rsidRDefault="007854B3" w:rsidP="006E1B8C">
            <w:pPr>
              <w:pStyle w:val="Akapitzlist"/>
              <w:numPr>
                <w:ilvl w:val="0"/>
                <w:numId w:val="19"/>
              </w:numPr>
              <w:spacing w:before="60" w:after="60" w:line="240" w:lineRule="auto"/>
              <w:ind w:left="714" w:hanging="357"/>
              <w:rPr>
                <w:rFonts w:ascii="Lato" w:hAnsi="Lato" w:cstheme="majorHAnsi"/>
                <w:sz w:val="18"/>
                <w:szCs w:val="18"/>
              </w:rPr>
            </w:pPr>
            <w:r w:rsidRPr="006E1B8C">
              <w:rPr>
                <w:rFonts w:ascii="Lato" w:hAnsi="Lato" w:cstheme="majorHAnsi"/>
                <w:sz w:val="18"/>
                <w:szCs w:val="18"/>
              </w:rPr>
              <w:t>z programu lekowego B.14 – LECZENIE CHORYCH NA PRZEWLEKŁĄ BIAŁACZKĘ SZPIKOWĄ (ICD-10: C92.1) do katalogu chemioterapii C.92.a,</w:t>
            </w:r>
          </w:p>
          <w:p w14:paraId="168A0D89" w14:textId="66E6FCF2" w:rsidR="007854B3" w:rsidRPr="006E1B8C" w:rsidRDefault="007854B3" w:rsidP="006E1B8C">
            <w:pPr>
              <w:pStyle w:val="Akapitzlist"/>
              <w:numPr>
                <w:ilvl w:val="0"/>
                <w:numId w:val="19"/>
              </w:numPr>
              <w:spacing w:before="60" w:after="60" w:line="240" w:lineRule="auto"/>
              <w:ind w:left="714" w:hanging="357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E1B8C">
              <w:rPr>
                <w:rFonts w:ascii="Lato" w:hAnsi="Lato" w:cstheme="majorHAnsi"/>
                <w:sz w:val="18"/>
                <w:szCs w:val="18"/>
              </w:rPr>
              <w:t>z programu lekowego B.65 - LECZENIE CHORYCH NA OSTRĄ BIAŁACZKĘ LIMFOBLASTYCZNĄ (ICD-10: C91.0) do katalogu chemioterapii C.92.b.</w:t>
            </w:r>
          </w:p>
        </w:tc>
      </w:tr>
    </w:tbl>
    <w:p w14:paraId="50DC3823" w14:textId="77777777" w:rsidR="00816802" w:rsidRPr="002667F9" w:rsidRDefault="00816802" w:rsidP="00816802">
      <w:pPr>
        <w:rPr>
          <w:rFonts w:ascii="Lato" w:hAnsi="Lato" w:cstheme="majorHAnsi"/>
          <w:b/>
          <w:bCs/>
          <w:color w:val="00B0F0"/>
          <w:sz w:val="20"/>
          <w:szCs w:val="20"/>
        </w:rPr>
      </w:pPr>
    </w:p>
    <w:p w14:paraId="2B626AB6" w14:textId="77777777" w:rsidR="00816802" w:rsidRPr="002667F9" w:rsidRDefault="00816802" w:rsidP="00816802">
      <w:pPr>
        <w:suppressAutoHyphens w:val="0"/>
        <w:rPr>
          <w:rFonts w:ascii="Lato" w:hAnsi="Lato" w:cstheme="majorHAnsi"/>
          <w:b/>
          <w:bCs/>
          <w:color w:val="00B0F0"/>
          <w:sz w:val="20"/>
          <w:szCs w:val="20"/>
        </w:rPr>
      </w:pPr>
      <w:r w:rsidRPr="002667F9">
        <w:rPr>
          <w:rFonts w:ascii="Lato" w:hAnsi="Lato" w:cstheme="majorHAnsi"/>
          <w:b/>
          <w:bCs/>
          <w:color w:val="00B0F0"/>
          <w:sz w:val="20"/>
          <w:szCs w:val="20"/>
        </w:rPr>
        <w:br w:type="page"/>
      </w:r>
    </w:p>
    <w:p w14:paraId="79A49358" w14:textId="77777777" w:rsidR="00816802" w:rsidRPr="002667F9" w:rsidRDefault="00816802" w:rsidP="00816802">
      <w:pPr>
        <w:jc w:val="center"/>
        <w:rPr>
          <w:rFonts w:ascii="Lato" w:hAnsi="Lato" w:cstheme="majorHAnsi"/>
          <w:b/>
          <w:bCs/>
          <w:color w:val="00B0F0"/>
          <w:sz w:val="28"/>
          <w:szCs w:val="28"/>
        </w:rPr>
      </w:pPr>
      <w:r w:rsidRPr="002667F9">
        <w:rPr>
          <w:rFonts w:ascii="Lato" w:hAnsi="Lato" w:cstheme="majorHAnsi"/>
          <w:b/>
          <w:bCs/>
          <w:color w:val="00B0F0"/>
          <w:sz w:val="28"/>
          <w:szCs w:val="28"/>
        </w:rPr>
        <w:lastRenderedPageBreak/>
        <w:t>NOWE WSKAZANIA ORAZ ZMIANY W REFUNDACJI APTECZNEJ</w:t>
      </w:r>
    </w:p>
    <w:tbl>
      <w:tblPr>
        <w:tblW w:w="5000" w:type="pct"/>
        <w:tblCellMar>
          <w:top w:w="57" w:type="dxa"/>
          <w:left w:w="10" w:type="dxa"/>
          <w:bottom w:w="57" w:type="dxa"/>
          <w:right w:w="10" w:type="dxa"/>
        </w:tblCellMar>
        <w:tblLook w:val="0000" w:firstRow="0" w:lastRow="0" w:firstColumn="0" w:lastColumn="0" w:noHBand="0" w:noVBand="0"/>
      </w:tblPr>
      <w:tblGrid>
        <w:gridCol w:w="493"/>
        <w:gridCol w:w="1768"/>
        <w:gridCol w:w="2409"/>
        <w:gridCol w:w="4112"/>
        <w:gridCol w:w="5206"/>
      </w:tblGrid>
      <w:tr w:rsidR="00816802" w:rsidRPr="002667F9" w14:paraId="02D1EEA3" w14:textId="77777777" w:rsidTr="00C87906">
        <w:trPr>
          <w:trHeight w:val="458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57EE5" w14:textId="77777777" w:rsidR="00816802" w:rsidRPr="002667F9" w:rsidRDefault="00816802" w:rsidP="00DC266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  <w:sz w:val="20"/>
                <w:szCs w:val="20"/>
              </w:rPr>
            </w:pPr>
            <w:bookmarkStart w:id="2" w:name="_Hlk121899750"/>
            <w:r w:rsidRPr="002667F9">
              <w:rPr>
                <w:rFonts w:ascii="Lato" w:hAnsi="Lato" w:cstheme="majorHAnsi"/>
                <w:b/>
                <w:bCs/>
                <w:color w:val="FFFFFF"/>
                <w:sz w:val="20"/>
                <w:szCs w:val="20"/>
              </w:rPr>
              <w:t>Apteka</w:t>
            </w:r>
          </w:p>
        </w:tc>
      </w:tr>
      <w:tr w:rsidR="00816802" w:rsidRPr="002667F9" w14:paraId="3FC877A8" w14:textId="77777777" w:rsidTr="00C87906">
        <w:trPr>
          <w:trHeight w:val="466"/>
        </w:trPr>
        <w:tc>
          <w:tcPr>
            <w:tcW w:w="5000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C95B7" w14:textId="77777777" w:rsidR="00816802" w:rsidRPr="002667F9" w:rsidRDefault="00816802" w:rsidP="00DC266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  <w:sz w:val="20"/>
                <w:szCs w:val="20"/>
              </w:rPr>
            </w:pPr>
            <w:r w:rsidRPr="002667F9">
              <w:rPr>
                <w:rFonts w:ascii="Lato" w:hAnsi="Lato" w:cstheme="majorHAnsi"/>
                <w:b/>
                <w:bCs/>
                <w:color w:val="FFFFFF"/>
                <w:sz w:val="20"/>
                <w:szCs w:val="20"/>
              </w:rPr>
              <w:t>Nowe wskazania refundacyjne</w:t>
            </w:r>
          </w:p>
        </w:tc>
      </w:tr>
      <w:tr w:rsidR="00C87906" w:rsidRPr="002667F9" w14:paraId="50860718" w14:textId="77777777" w:rsidTr="00DD2213"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34146" w14:textId="77777777" w:rsidR="00816802" w:rsidRPr="002667F9" w:rsidRDefault="00816802" w:rsidP="00DC266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</w:pPr>
            <w:r w:rsidRPr="002667F9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BDAB7" w14:textId="77777777" w:rsidR="00816802" w:rsidRPr="002667F9" w:rsidRDefault="00816802" w:rsidP="00DC266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</w:pPr>
            <w:r w:rsidRPr="002667F9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 xml:space="preserve">Nazwa leku, środka spożywczego specjalnego przeznaczenia lub wyrobu </w:t>
            </w:r>
            <w:r w:rsidRPr="002667F9">
              <w:rPr>
                <w:rFonts w:ascii="Lato" w:hAnsi="Lato" w:cstheme="majorHAnsi"/>
                <w:b/>
                <w:bCs/>
                <w:sz w:val="20"/>
                <w:szCs w:val="20"/>
              </w:rPr>
              <w:t>medycznego</w:t>
            </w:r>
          </w:p>
        </w:tc>
        <w:tc>
          <w:tcPr>
            <w:tcW w:w="86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298D7" w14:textId="77777777" w:rsidR="00816802" w:rsidRPr="002667F9" w:rsidRDefault="00816802" w:rsidP="00DC266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</w:pPr>
            <w:r w:rsidRPr="002667F9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Substancja czynna</w:t>
            </w: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E3B69" w14:textId="77777777" w:rsidR="00816802" w:rsidRPr="002667F9" w:rsidRDefault="00816802" w:rsidP="00DC266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</w:pPr>
            <w:r w:rsidRPr="002667F9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Wskazanie refundacyjne</w:t>
            </w:r>
          </w:p>
        </w:tc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9F3AD" w14:textId="77777777" w:rsidR="00816802" w:rsidRPr="002667F9" w:rsidRDefault="00816802" w:rsidP="00DC266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</w:pPr>
            <w:r w:rsidRPr="002667F9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Doprecyzowanie wskazania</w:t>
            </w:r>
          </w:p>
        </w:tc>
      </w:tr>
      <w:bookmarkEnd w:id="2"/>
      <w:tr w:rsidR="00DD2213" w:rsidRPr="00DD2213" w14:paraId="0E5FBADD" w14:textId="77777777" w:rsidTr="00DD2213">
        <w:trPr>
          <w:trHeight w:val="1416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2129F" w14:textId="418FA011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14E3B" w14:textId="4FAA252C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Acarizax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2F98F" w14:textId="4D60FAA6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standaryzowany wyciąg alergenowy roztoczy kurzu domowego (Dermatophagoides pteronyssinus, Dermatophagoides farina)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CD1C4" w14:textId="1C7CA133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/>
                <w:sz w:val="18"/>
                <w:szCs w:val="18"/>
              </w:rPr>
              <w:t>Leczenie młodzieży w wieku od ukończonego 12. roku życia do ukończonego 17. roku życia z umiarkowanym lub ciężkim alergicznym nieżytem nosa spowodowanym kurzem domowym, utrzymującym się pomimo stosowania leków łagodzących objawy, u których rozpoznanie zostało postawione na podstawie wywiadu klinicznego oraz dodatniego testu alergicznego na roztocza kurzu domowego (punktowe testy skórne i /lub swoiste immunoglobuliny E)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83ED8" w14:textId="7440F4C5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/>
                <w:sz w:val="18"/>
                <w:szCs w:val="18"/>
              </w:rPr>
              <w:t>Pierwszy refundowany produkt w postaci liofilizatu doustnego stanowiący wyciąg alergenowy roztoczy kurzu domowego.</w:t>
            </w:r>
          </w:p>
        </w:tc>
      </w:tr>
      <w:tr w:rsidR="00DD2213" w:rsidRPr="00DD2213" w14:paraId="162D3CAF" w14:textId="77777777" w:rsidTr="00DD2213">
        <w:trPr>
          <w:trHeight w:val="1416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DE9A0" w14:textId="3DFC7BD3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89058" w14:textId="6179C1C1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Detriol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64520" w14:textId="170AF370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kalcytriol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6CF90" w14:textId="1A29DFDD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DE266" w14:textId="77777777" w:rsidR="00DD2213" w:rsidRPr="00DD2213" w:rsidRDefault="00DD2213" w:rsidP="0032209B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D2213">
              <w:rPr>
                <w:rFonts w:ascii="Lato" w:hAnsi="Lato"/>
                <w:sz w:val="18"/>
                <w:szCs w:val="18"/>
              </w:rPr>
              <w:t>Wskazanie do stosowania u osób dorosłych w:</w:t>
            </w:r>
          </w:p>
          <w:p w14:paraId="1F6336FA" w14:textId="77777777" w:rsidR="00DD2213" w:rsidRPr="0032209B" w:rsidRDefault="00DD2213" w:rsidP="0032209B">
            <w:pPr>
              <w:pStyle w:val="Akapitzlist"/>
              <w:numPr>
                <w:ilvl w:val="0"/>
                <w:numId w:val="19"/>
              </w:numPr>
              <w:spacing w:before="60" w:after="60" w:line="240" w:lineRule="auto"/>
              <w:ind w:left="714" w:hanging="357"/>
              <w:rPr>
                <w:rFonts w:ascii="Lato" w:hAnsi="Lato" w:cstheme="majorHAnsi"/>
                <w:sz w:val="18"/>
                <w:szCs w:val="18"/>
              </w:rPr>
            </w:pPr>
            <w:r w:rsidRPr="0032209B">
              <w:rPr>
                <w:rFonts w:ascii="Lato" w:hAnsi="Lato" w:cstheme="majorHAnsi"/>
                <w:sz w:val="18"/>
                <w:szCs w:val="18"/>
              </w:rPr>
              <w:t>ciężkiej lub postępującej wtórnej nadczynności przytarczyc prowadzącej do osteodystrofii nerkowej z umiarkowaną lub ciężką przewlekłą niewydolnością nerek,</w:t>
            </w:r>
          </w:p>
          <w:p w14:paraId="29297203" w14:textId="77777777" w:rsidR="0032209B" w:rsidRPr="0032209B" w:rsidRDefault="00DD2213" w:rsidP="0032209B">
            <w:pPr>
              <w:pStyle w:val="Akapitzlist"/>
              <w:numPr>
                <w:ilvl w:val="0"/>
                <w:numId w:val="19"/>
              </w:numPr>
              <w:spacing w:before="60" w:after="60" w:line="240" w:lineRule="auto"/>
              <w:ind w:left="714" w:hanging="357"/>
              <w:rPr>
                <w:rFonts w:ascii="Lato" w:hAnsi="Lato" w:cstheme="majorHAnsi"/>
                <w:sz w:val="18"/>
                <w:szCs w:val="18"/>
              </w:rPr>
            </w:pPr>
            <w:r w:rsidRPr="0032209B">
              <w:rPr>
                <w:rFonts w:ascii="Lato" w:hAnsi="Lato" w:cstheme="majorHAnsi"/>
                <w:sz w:val="18"/>
                <w:szCs w:val="18"/>
              </w:rPr>
              <w:t>hipokalcemii spowodowanej niedoczynnością przytarczyc (pooperacyjna, idiopatyczna i rzekoma niedoczynność przytarczyc),</w:t>
            </w:r>
          </w:p>
          <w:p w14:paraId="2585B995" w14:textId="76EE25B4" w:rsidR="00DD2213" w:rsidRPr="0032209B" w:rsidRDefault="00DD2213" w:rsidP="0032209B">
            <w:pPr>
              <w:pStyle w:val="Akapitzlist"/>
              <w:numPr>
                <w:ilvl w:val="0"/>
                <w:numId w:val="19"/>
              </w:numPr>
              <w:spacing w:before="60" w:after="60" w:line="240" w:lineRule="auto"/>
              <w:ind w:left="714" w:hanging="357"/>
              <w:rPr>
                <w:rFonts w:ascii="Lato" w:hAnsi="Lato"/>
                <w:sz w:val="18"/>
                <w:szCs w:val="18"/>
              </w:rPr>
            </w:pPr>
            <w:r w:rsidRPr="0032209B">
              <w:rPr>
                <w:rFonts w:ascii="Lato" w:hAnsi="Lato" w:cstheme="majorHAnsi"/>
                <w:sz w:val="18"/>
                <w:szCs w:val="18"/>
              </w:rPr>
              <w:t>dziedzicznej krzywicy hipofosfatemicznej.</w:t>
            </w:r>
          </w:p>
        </w:tc>
      </w:tr>
      <w:tr w:rsidR="00DD2213" w:rsidRPr="00DD2213" w14:paraId="567D4F7F" w14:textId="77777777" w:rsidTr="00DD2213">
        <w:trPr>
          <w:trHeight w:val="1416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BC63B" w14:textId="1A272AB7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09409" w14:textId="62E2940D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Findarts Duo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BE581" w14:textId="2956B282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dutasteryd+ tamsulozyna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03D3D" w14:textId="7E0ADB65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Leczenie umiarkowanych do ciężkich objawów łagodnego rozrostu gruczołu krokowego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A098E" w14:textId="018FBE69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/>
                <w:sz w:val="18"/>
                <w:szCs w:val="18"/>
              </w:rPr>
              <w:t>Pierwszy lek refundowany stanowiący połączenie - blokera receptora alfa-adrenergicznego z inhibitorami 5-alfa reduktazy.</w:t>
            </w:r>
          </w:p>
        </w:tc>
      </w:tr>
      <w:tr w:rsidR="00DD2213" w:rsidRPr="00DD2213" w14:paraId="4557FBE9" w14:textId="77777777" w:rsidTr="00DD2213">
        <w:trPr>
          <w:trHeight w:val="64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A10E2" w14:textId="6B9E78E2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lastRenderedPageBreak/>
              <w:t>4.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67F1A" w14:textId="1C508D41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Fostex Nexthaler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6C97B" w14:textId="5947C8F5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beklometazonu dipropionian i formoterolu fumaran dwuwodny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550BF" w14:textId="77777777" w:rsidR="00DD2213" w:rsidRPr="00DD2213" w:rsidRDefault="00DD2213" w:rsidP="00DD221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Przewlekła obturacyjna choroba płuc, </w:t>
            </w:r>
          </w:p>
          <w:p w14:paraId="452C6700" w14:textId="2B277EE3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Astma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83361" w14:textId="253B9997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Nowy, dwuskładnikowy produkt leczniczy w postaci proszku do inhalacji z inhalatorem proszkowym DPI.</w:t>
            </w:r>
          </w:p>
        </w:tc>
      </w:tr>
      <w:tr w:rsidR="00DD2213" w:rsidRPr="00DD2213" w14:paraId="05DE8C98" w14:textId="77777777" w:rsidTr="00DD2213">
        <w:trPr>
          <w:trHeight w:val="1416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3C1B5" w14:textId="39905E1A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5.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AE0F3" w14:textId="20D58502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Glypvilo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4737E" w14:textId="3A5C55A0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wildagliptyna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F5881" w14:textId="034DA1F0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A1A40" w14:textId="77777777" w:rsidR="00DD2213" w:rsidRPr="00DD2213" w:rsidRDefault="00DD2213" w:rsidP="00DD221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Uzupełnienie diety i ćwiczeń fizycznych w celu poprawy kontroli glikemii u osób dorosłych z cukrzycą typu 2:</w:t>
            </w:r>
          </w:p>
          <w:p w14:paraId="39DDED95" w14:textId="4E020FBE" w:rsidR="00DD2213" w:rsidRPr="0032209B" w:rsidRDefault="00DD2213" w:rsidP="0032209B">
            <w:pPr>
              <w:pStyle w:val="Akapitzlist"/>
              <w:numPr>
                <w:ilvl w:val="0"/>
                <w:numId w:val="19"/>
              </w:numPr>
              <w:spacing w:before="60" w:after="60" w:line="240" w:lineRule="auto"/>
              <w:ind w:left="714" w:hanging="357"/>
              <w:rPr>
                <w:rFonts w:ascii="Lato" w:hAnsi="Lato" w:cstheme="majorHAnsi"/>
                <w:sz w:val="18"/>
                <w:szCs w:val="18"/>
              </w:rPr>
            </w:pPr>
            <w:r w:rsidRPr="0032209B">
              <w:rPr>
                <w:rFonts w:ascii="Lato" w:hAnsi="Lato" w:cstheme="majorHAnsi"/>
                <w:sz w:val="18"/>
                <w:szCs w:val="18"/>
              </w:rPr>
              <w:t>w monoterapii u pacjentów, u których metformina jest nieodpowiednia z powodu występowania przeciwwskazań lub nietolerancji,</w:t>
            </w:r>
          </w:p>
          <w:p w14:paraId="48231B63" w14:textId="1063E897" w:rsidR="00DD2213" w:rsidRPr="00DD2213" w:rsidRDefault="00DD2213" w:rsidP="0032209B">
            <w:pPr>
              <w:pStyle w:val="Akapitzlist"/>
              <w:numPr>
                <w:ilvl w:val="0"/>
                <w:numId w:val="19"/>
              </w:numPr>
              <w:spacing w:before="60" w:after="60" w:line="240" w:lineRule="auto"/>
              <w:ind w:left="714" w:hanging="357"/>
              <w:rPr>
                <w:rFonts w:ascii="Lato" w:hAnsi="Lato"/>
                <w:sz w:val="18"/>
                <w:szCs w:val="18"/>
              </w:rPr>
            </w:pPr>
            <w:r w:rsidRPr="0032209B">
              <w:rPr>
                <w:rFonts w:ascii="Lato" w:hAnsi="Lato" w:cstheme="majorHAnsi"/>
                <w:sz w:val="18"/>
                <w:szCs w:val="18"/>
              </w:rPr>
              <w:t>w skojarzeniu z innymi produktami leczniczymi stosowanymi w leczeniu cukrzycy, w tym z insuliną, gdy produkty te nie zapewniają wystarczającej kontroli glikemii.</w:t>
            </w:r>
          </w:p>
        </w:tc>
      </w:tr>
      <w:tr w:rsidR="00DD2213" w:rsidRPr="00DD2213" w14:paraId="4B193233" w14:textId="77777777" w:rsidTr="00DD2213">
        <w:trPr>
          <w:trHeight w:val="196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EEF8D" w14:textId="7276E9C7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6.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8B1E4" w14:textId="02887A6B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Influvac Tetra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D3E1D" w14:textId="48CD1E28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vaccinum influenzae inactivatum ex corticis antigeniis praeparatum Szczepionka przeciw grypie (antygen powierzchniowy), inaktywowana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4B78B" w14:textId="000ACE38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211FF" w14:textId="3995F1DE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/>
                <w:sz w:val="18"/>
                <w:szCs w:val="18"/>
              </w:rPr>
              <w:t>Profilaktyka grypy, zwłaszcza u osób o zwiększonym ryzyku wystąpienia powikłań pogrypowych. Influvac Tetra jest wskazany dla osób dorosłych i dzieci w wieku od 6 miesięcy. Influvac Tetra powinien być stosowany zgodnie z oficjalnymi zaleceniami.</w:t>
            </w:r>
          </w:p>
        </w:tc>
      </w:tr>
      <w:tr w:rsidR="00DD2213" w:rsidRPr="00DD2213" w14:paraId="015750D8" w14:textId="77777777" w:rsidTr="00DD2213">
        <w:trPr>
          <w:trHeight w:val="1416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AF5FE" w14:textId="536D49C7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7.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BD5AF" w14:textId="01EE41ED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Jorveza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16E33" w14:textId="2C63DFE4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budezonid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D42EB" w14:textId="0E90E98D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Leczenie eozynofilowego zapalenia przełyku (ang. eosinophilic esophagitis, EoE) u pacjentów uprzednio leczonych inhibitorami pompy protonowej (IPP) – leczenie indukcyjne, do 12 tygodni (warunkiem wdrożenia leczenia jest udokumentowanie wykonania badania endoskopowego z pobraniem do oceny histopatologicznej co najmniej 6 wycinków błony śluzowej z proksymalnej i dystalnej części przełyku, z potwierdzeniem EoE poprzez obecność równej lub większej od 15 liczby eozynofilii w dużym powiększeniu)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6365F" w14:textId="77777777" w:rsid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Pierwszy lek z kortykosteroidem do stosowania doustnego o działaniu miejscowym na przewód pokarmowy wykorzystywany w leczeniu eozynofilowego zapalenia przełyku. </w:t>
            </w:r>
          </w:p>
          <w:p w14:paraId="75FCE12C" w14:textId="1063FD9B" w:rsidR="006E21D3" w:rsidRPr="006E21D3" w:rsidRDefault="006E21D3" w:rsidP="006E21D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(TL</w:t>
            </w: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K </w:t>
            </w: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- Technologia lekowa o wysoki</w:t>
            </w: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ej wartości klinicznej</w:t>
            </w:r>
            <w:r w:rsidRPr="000043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) </w:t>
            </w:r>
          </w:p>
        </w:tc>
      </w:tr>
      <w:tr w:rsidR="00DD2213" w:rsidRPr="00DD2213" w14:paraId="5F97B859" w14:textId="77777777" w:rsidTr="00DD2213">
        <w:trPr>
          <w:trHeight w:val="983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B19A2" w14:textId="22B449EF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8.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35203" w14:textId="16AE6151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Maymetsi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E282B" w14:textId="3AD81B52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sitagliptyna + metforminy chlorowodorek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79C63" w14:textId="0F9CE9CA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1AB6C" w14:textId="77777777" w:rsidR="00DD2213" w:rsidRPr="00DD2213" w:rsidRDefault="00DD2213" w:rsidP="0032209B">
            <w:pPr>
              <w:shd w:val="clear" w:color="auto" w:fill="FFFFFF"/>
              <w:spacing w:after="120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U dorosłych pacjentów z cukrzycą typu 2:</w:t>
            </w:r>
          </w:p>
          <w:p w14:paraId="4DDA1B2F" w14:textId="77777777" w:rsidR="00DD2213" w:rsidRPr="00DD2213" w:rsidRDefault="00DD2213" w:rsidP="00DD2213">
            <w:pPr>
              <w:shd w:val="clear" w:color="auto" w:fill="FFFFFF"/>
              <w:spacing w:after="120"/>
              <w:jc w:val="both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- do stosowania, oprócz diety i ćwiczeń fizycznych, w celu poprawy kontroli glikemii u pacjentów z glikemią niedostatecznie wyrównaną podczas stosowania maksymalnej tolerowanej dawki metforminy w monoterapii lub u pacjentów już leczonych sitagliptyną w skojarzeniu z metforminą,</w:t>
            </w:r>
          </w:p>
          <w:p w14:paraId="4351C8D1" w14:textId="77777777" w:rsidR="00DD2213" w:rsidRPr="00DD2213" w:rsidRDefault="00DD2213" w:rsidP="00DD2213">
            <w:pPr>
              <w:shd w:val="clear" w:color="auto" w:fill="FFFFFF"/>
              <w:spacing w:after="120"/>
              <w:jc w:val="both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br/>
              <w:t xml:space="preserve">- do stosowania w skojarzeniu z pochodną sulfonylomocznika (tj. w leczeniu potrójnie skojarzonym), oprócz diety i ćwiczeń fizycznych, u pacjentów z glikemią niedostatecznie wyrównaną </w:t>
            </w: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podczas stosowania maksymalnej tolerowanej dawki metforminy i pochodnej sulfonylomocznika,</w:t>
            </w:r>
          </w:p>
          <w:p w14:paraId="3391E599" w14:textId="77777777" w:rsidR="00DD2213" w:rsidRPr="00DD2213" w:rsidRDefault="00DD2213" w:rsidP="00DD2213">
            <w:pPr>
              <w:shd w:val="clear" w:color="auto" w:fill="FFFFFF"/>
              <w:spacing w:after="120"/>
              <w:jc w:val="both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br/>
              <w:t>- w leczeniu potrójnie skojarzonym z agonistą receptora aktywowanego przez proliferatory peroksysomów typu gamma (PPAR</w:t>
            </w: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sym w:font="Symbol" w:char="F067"/>
            </w: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) (np. tiazolidynedionem), oprócz diety i ćwiczeń fizycznych, u pacjentów z glikemią niedostatecznie wyrównaną podczas stosowania maksymalnej tolerowanej dawki metforminy i agonisty receptora PPAR</w:t>
            </w: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sym w:font="Symbol" w:char="F067"/>
            </w: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.,</w:t>
            </w:r>
          </w:p>
          <w:p w14:paraId="01276699" w14:textId="7F21F918" w:rsidR="00DD2213" w:rsidRPr="00DD2213" w:rsidRDefault="00DD2213" w:rsidP="00DD2213">
            <w:pPr>
              <w:tabs>
                <w:tab w:val="left" w:pos="4021"/>
              </w:tabs>
              <w:spacing w:after="120" w:line="240" w:lineRule="auto"/>
              <w:jc w:val="both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br/>
              <w:t>- do stosowania, jako lek uzupełniający podanie insuliny (tj. w leczeniu potrójnie skojarzonym), pomocniczo wraz z dietą i ćwiczeniami fizycznymi, w celu poprawy kontroli glikemii u pacjentów, u których stosowanie stałej dawki insuliny i metforminy nie zapewnia odpowiedniej kontroli glikemii.</w:t>
            </w:r>
          </w:p>
        </w:tc>
      </w:tr>
      <w:tr w:rsidR="00DD2213" w:rsidRPr="00DD2213" w14:paraId="7D284C6B" w14:textId="77777777" w:rsidTr="00DD2213">
        <w:trPr>
          <w:trHeight w:val="983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0A075" w14:textId="79852C37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lastRenderedPageBreak/>
              <w:t>9.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872B0" w14:textId="210C9A7E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Maysiglu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476AC" w14:textId="7B8F8D02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sitagliptyna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968D2" w14:textId="4D216DFD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5667E" w14:textId="77777777" w:rsidR="00DD2213" w:rsidRPr="00DD2213" w:rsidRDefault="00DD2213" w:rsidP="00DD2213">
            <w:pPr>
              <w:tabs>
                <w:tab w:val="left" w:pos="4021"/>
              </w:tabs>
              <w:spacing w:after="120" w:line="240" w:lineRule="auto"/>
              <w:jc w:val="both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U dorosłych z cukrzycą typu 2 w celu poprawy kontroli glikemii: </w:t>
            </w:r>
          </w:p>
          <w:p w14:paraId="16B9B29D" w14:textId="77777777" w:rsidR="00DD2213" w:rsidRPr="00DD2213" w:rsidRDefault="00DD2213" w:rsidP="00DD2213">
            <w:pPr>
              <w:pStyle w:val="Akapitzlist"/>
              <w:numPr>
                <w:ilvl w:val="0"/>
                <w:numId w:val="26"/>
              </w:numPr>
              <w:tabs>
                <w:tab w:val="left" w:pos="4021"/>
              </w:tabs>
              <w:suppressAutoHyphens w:val="0"/>
              <w:autoSpaceDN/>
              <w:spacing w:after="120" w:line="240" w:lineRule="auto"/>
              <w:jc w:val="both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w monoterapii (u pacjentów nieodpowiednio kontrolowanych wyłącznie dietą i ćwiczeniami fizycznymi, u których stosowanie metforminy jest niewłaściwe z powodu przeciwwskazań lub nietolerancji);</w:t>
            </w:r>
          </w:p>
          <w:p w14:paraId="6D05E568" w14:textId="77777777" w:rsidR="00DD2213" w:rsidRPr="00DD2213" w:rsidRDefault="00DD2213" w:rsidP="00DD2213">
            <w:pPr>
              <w:pStyle w:val="Akapitzlist"/>
              <w:numPr>
                <w:ilvl w:val="0"/>
                <w:numId w:val="26"/>
              </w:numPr>
              <w:tabs>
                <w:tab w:val="left" w:pos="4021"/>
              </w:tabs>
              <w:suppressAutoHyphens w:val="0"/>
              <w:autoSpaceDN/>
              <w:spacing w:after="120" w:line="240" w:lineRule="auto"/>
              <w:jc w:val="both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w dwuskładnikowej terapii doustnej w skojarzeniu z:</w:t>
            </w:r>
          </w:p>
          <w:p w14:paraId="163EC5B6" w14:textId="77777777" w:rsidR="00DD2213" w:rsidRPr="00DD2213" w:rsidRDefault="00DD2213" w:rsidP="00DD2213">
            <w:pPr>
              <w:pStyle w:val="Akapitzlist"/>
              <w:numPr>
                <w:ilvl w:val="0"/>
                <w:numId w:val="27"/>
              </w:numPr>
              <w:tabs>
                <w:tab w:val="left" w:pos="4021"/>
              </w:tabs>
              <w:suppressAutoHyphens w:val="0"/>
              <w:autoSpaceDN/>
              <w:spacing w:after="120" w:line="240" w:lineRule="auto"/>
              <w:jc w:val="both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metforminą w przypadku, gdy dieta i ćwiczenia fizyczne oraz stosowanie jedynie metforminy nie wystarczają do odpowiedniej kontroli glikemii; </w:t>
            </w:r>
          </w:p>
          <w:p w14:paraId="0133A592" w14:textId="77777777" w:rsidR="00DD2213" w:rsidRPr="00DD2213" w:rsidRDefault="00DD2213" w:rsidP="00DD2213">
            <w:pPr>
              <w:pStyle w:val="Akapitzlist"/>
              <w:numPr>
                <w:ilvl w:val="0"/>
                <w:numId w:val="27"/>
              </w:numPr>
              <w:tabs>
                <w:tab w:val="left" w:pos="4021"/>
              </w:tabs>
              <w:suppressAutoHyphens w:val="0"/>
              <w:autoSpaceDN/>
              <w:spacing w:after="120" w:line="240" w:lineRule="auto"/>
              <w:jc w:val="both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pochodną sulfonylomocznika w przypadku, gdy dieta i ćwiczenia fizyczne oraz stosowanie jedynie maksymalnej tolerowanej dawki pochodnej sulfonylomocznika nie wystarczają do odpowiedniej kontroli glikemii oraz w przypadku, gdy stosowanie metforminy jest niewłaściwe z powodu przeciwwskazań lub nietolerancji; </w:t>
            </w:r>
          </w:p>
          <w:p w14:paraId="35638C56" w14:textId="77777777" w:rsidR="00DD2213" w:rsidRPr="00DD2213" w:rsidRDefault="00DD2213" w:rsidP="00DD2213">
            <w:pPr>
              <w:pStyle w:val="Akapitzlist"/>
              <w:numPr>
                <w:ilvl w:val="0"/>
                <w:numId w:val="27"/>
              </w:numPr>
              <w:tabs>
                <w:tab w:val="left" w:pos="4021"/>
              </w:tabs>
              <w:suppressAutoHyphens w:val="0"/>
              <w:autoSpaceDN/>
              <w:spacing w:after="120" w:line="240" w:lineRule="auto"/>
              <w:jc w:val="both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agonistą receptora aktywowanego przez proliferatory peroksysomów typu gamma (PPAR) (tj. tiazolidynedionem), jeśli zastosowanie agonisty receptora PPAR</w:t>
            </w: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 jest wskazane i kiedy stosowanie diety i ćwiczeń fizycznych w połączeniu z agonistą receptora PPAR</w:t>
            </w:r>
            <w:r w:rsidRPr="00DD2213">
              <w:rPr>
                <w:rFonts w:cs="Calibri"/>
                <w:color w:val="000000"/>
                <w:sz w:val="18"/>
                <w:szCs w:val="18"/>
              </w:rPr>
              <w:t>γ</w:t>
            </w: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monoterapii nie zapewnia odpowiedniej kontroli glikemii;</w:t>
            </w:r>
          </w:p>
          <w:p w14:paraId="470B7EDB" w14:textId="77777777" w:rsidR="00DD2213" w:rsidRPr="00DD2213" w:rsidRDefault="00DD2213" w:rsidP="00DD2213">
            <w:pPr>
              <w:pStyle w:val="Akapitzlist"/>
              <w:numPr>
                <w:ilvl w:val="0"/>
                <w:numId w:val="26"/>
              </w:numPr>
              <w:tabs>
                <w:tab w:val="left" w:pos="4021"/>
              </w:tabs>
              <w:suppressAutoHyphens w:val="0"/>
              <w:autoSpaceDN/>
              <w:spacing w:after="120" w:line="240" w:lineRule="auto"/>
              <w:jc w:val="both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w trójskładnikowej terapii doustnej w skojarzeniu z:</w:t>
            </w:r>
          </w:p>
          <w:p w14:paraId="1F0E8508" w14:textId="77777777" w:rsidR="00DD2213" w:rsidRPr="00DD2213" w:rsidRDefault="00DD2213" w:rsidP="00DD2213">
            <w:pPr>
              <w:pStyle w:val="Akapitzlist"/>
              <w:numPr>
                <w:ilvl w:val="0"/>
                <w:numId w:val="28"/>
              </w:numPr>
              <w:tabs>
                <w:tab w:val="left" w:pos="4021"/>
              </w:tabs>
              <w:suppressAutoHyphens w:val="0"/>
              <w:autoSpaceDN/>
              <w:spacing w:after="120" w:line="240" w:lineRule="auto"/>
              <w:jc w:val="both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pochodną sulfonylomocznika i metforminą w przypadku, gdy dieta i ćwiczenia fizyczne oraz </w:t>
            </w: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 xml:space="preserve">stosowanie tych produktów leczniczych nie wystarczają do odpowiedniej kontroli glikemii; </w:t>
            </w:r>
          </w:p>
          <w:p w14:paraId="0B1245D9" w14:textId="77777777" w:rsidR="00DD2213" w:rsidRPr="00DD2213" w:rsidRDefault="00DD2213" w:rsidP="00DD2213">
            <w:pPr>
              <w:pStyle w:val="Akapitzlist"/>
              <w:numPr>
                <w:ilvl w:val="0"/>
                <w:numId w:val="28"/>
              </w:numPr>
              <w:tabs>
                <w:tab w:val="left" w:pos="4021"/>
              </w:tabs>
              <w:suppressAutoHyphens w:val="0"/>
              <w:autoSpaceDN/>
              <w:spacing w:after="120" w:line="240" w:lineRule="auto"/>
              <w:jc w:val="both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agonistą receptora PPAR</w:t>
            </w:r>
            <w:r w:rsidRPr="00DD2213">
              <w:rPr>
                <w:rFonts w:cs="Calibri"/>
                <w:color w:val="000000"/>
                <w:sz w:val="18"/>
                <w:szCs w:val="18"/>
              </w:rPr>
              <w:t>γ</w:t>
            </w: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metforminą, kiedy zastosowanie agonisty receptora PPAR</w:t>
            </w: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 jest wskazane i kiedy stosowanie diety i ćwiczeń fizycznych w połączeniu z tymi produktami leczniczymi nie wystarczają do odpowiedniej kontroli glikemii. </w:t>
            </w:r>
          </w:p>
          <w:p w14:paraId="28270CF1" w14:textId="570E4350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Produkt leczniczy Maysiglu jest także wskazany do stosowania jako lek uzupełniający w stosunku do insuliny (z metforminą lub bez), kiedy dieta i ćwiczenia fizyczne w połączeniu ze stałą dawką insuliny nie zapewniają odpowiedniej kontroli glikemii.</w:t>
            </w:r>
          </w:p>
        </w:tc>
      </w:tr>
      <w:tr w:rsidR="00DD2213" w:rsidRPr="00DD2213" w14:paraId="2E1E9CB9" w14:textId="77777777" w:rsidTr="00DD2213">
        <w:trPr>
          <w:trHeight w:val="983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E5706" w14:textId="04FE2462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lastRenderedPageBreak/>
              <w:t>10.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D8281" w14:textId="008BAD06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Neocate Syneo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47C7C" w14:textId="0979714F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dieta eliminacyjna mlekozastępcza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870EB" w14:textId="12FCAB09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Postępowanie dietetyczne w ciężkiej alergii na białka mleka krowiego oraz złożonej nietolerancji białek pokarmowych u pacjentów do ukończenia 18 roku życia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0D957" w14:textId="023A3441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Zabezpieczenie pacjentów pediatrycznych powyżej 1 roku życia z ciężką alergią na białka mleka krowiego.</w:t>
            </w:r>
          </w:p>
        </w:tc>
      </w:tr>
      <w:tr w:rsidR="00DD2213" w:rsidRPr="00DD2213" w14:paraId="0C710DF3" w14:textId="77777777" w:rsidTr="00DD2213">
        <w:trPr>
          <w:trHeight w:val="983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032A5" w14:textId="6C6B9097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11.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3E2F1" w14:textId="40D20163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Ontozry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63341" w14:textId="538C04DC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cenobamat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9408B" w14:textId="3DA35A37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Leczenie wspomagające napadów ogniskowych ulegających albo nieulegających wtórnemu uogólnieniu u dorosłych pacjentów z padaczką z brakiem kontroli napadów lub nietolerancją leczenia po zastosowaniu co najmniej jednej próby terapii dodanej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DFF1E" w14:textId="3EC8D835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Pierwszy lek przeciwpadaczkowy z cenobamatem – substancją czynną o podwójnym mechanizmie działania.</w:t>
            </w:r>
          </w:p>
        </w:tc>
      </w:tr>
      <w:tr w:rsidR="00DD2213" w:rsidRPr="00DD2213" w14:paraId="76040A38" w14:textId="77777777" w:rsidTr="00DD2213">
        <w:trPr>
          <w:trHeight w:val="929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3A033" w14:textId="7596EB83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12.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5A437" w14:textId="6346F21C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Oramorph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983BC" w14:textId="33C2F6B0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siarczan morfiny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F8E27" w14:textId="597E8199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Nowotwory złośliwe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EA53E" w14:textId="77777777" w:rsidR="00DD2213" w:rsidRPr="00DD2213" w:rsidRDefault="00DD2213" w:rsidP="00DD221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Nowa postać farmaceutyczna siarczanu morfiny  w formie kropli doustnych ułatwiajacych podawanie leku dzieciom oraz pacjentom mających problem z przełykaniem. </w:t>
            </w:r>
          </w:p>
          <w:p w14:paraId="39DD3341" w14:textId="2F56337C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Lek Oramorph wskazany jest u dorosłych, młodzieży i dzieci powyżej 1. roku życia.</w:t>
            </w:r>
          </w:p>
        </w:tc>
      </w:tr>
      <w:tr w:rsidR="00DD2213" w:rsidRPr="00DD2213" w14:paraId="196C6AA1" w14:textId="77777777" w:rsidTr="00DD2213">
        <w:trPr>
          <w:trHeight w:val="1976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5421D" w14:textId="39D5E7C4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13.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636A3" w14:textId="1901EE78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Oramorph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AFED5" w14:textId="7A2643F0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siarczan morfiny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EEF45" w14:textId="29093FEE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Neuralgia popółpaścowa przewlekła, Wieloobjawowy miejscowy zespół bólowy typu I - odruchowa dystrofia współczulna oraz typu II – kauzalgia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65D1C" w14:textId="77777777" w:rsidR="00DD2213" w:rsidRPr="00DD2213" w:rsidRDefault="00DD2213" w:rsidP="00DD221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Nowa postać farmaceutyczna siarczanu morfiny  w formie kropli doustnych ułatwiajacych podawanie leku dzieciom oraz pacjentom mających problem z przełykaniem. </w:t>
            </w:r>
          </w:p>
          <w:p w14:paraId="2E8E0541" w14:textId="3A8ED83C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Lek Oramorph wskazany jest u dorosłych, młodzieży i dzieci powyżej 1. roku życia.</w:t>
            </w:r>
          </w:p>
        </w:tc>
      </w:tr>
      <w:tr w:rsidR="00DD2213" w:rsidRPr="00DD2213" w14:paraId="53CB523D" w14:textId="77777777" w:rsidTr="00DD2213">
        <w:trPr>
          <w:trHeight w:val="1976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0FB73" w14:textId="6C0AC3A6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lastRenderedPageBreak/>
              <w:t>14.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B5720" w14:textId="3A1B3622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Suliqua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A3347" w14:textId="40F877C4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insulina glargine + liksysenatyd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DFDAA" w14:textId="171763A3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Cukrzyca typu 2 u pacjentów leczonych co najmniej dwoma lekami hipoglikemizującymi, z HbA1c ≥ 7,5%, z otyłością definiowaną jako BMI ≥30 kg/m2 oraz bardzo wysokim ryzykiem sercowo-naczyniowym rozumianym jako: 1)potwierdzona choroba sercowo-naczyniowa, lub 2)uszkodzenie innych narządów objawiające się poprzez: białkomocz lub przerost lewej komory lub retinopatię, lub 3)obecność 2 lub więcej głównych czynników ryzyka spośród wymienionych poniżej: -wiek ≥ 55 lat dla mężczyzn, ≥60 lat dla kobiet, -dyslipidemia, -nadciśnienie tętnicze, -palenie tytoniu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9388D" w14:textId="775617FD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Pierwszy lek refundowany w cukrzycy stanowiący połączenie analogu GLP-1 oraz insuliny glargine. </w:t>
            </w:r>
          </w:p>
        </w:tc>
      </w:tr>
      <w:tr w:rsidR="00DD2213" w:rsidRPr="00DD2213" w14:paraId="699C3699" w14:textId="77777777" w:rsidTr="00DD2213">
        <w:trPr>
          <w:trHeight w:val="1265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1394A" w14:textId="56AFF476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15.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FA8F2" w14:textId="4C1C7986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Tresiba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11652" w14:textId="7B6ED5BB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insulina degludec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2096D" w14:textId="660A4EC8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Cukrzyca typu I u dorosłych; cukrzyca typu 2 u dorosłych pacjentów leczonych insuliną NPH od co najmniej 6 miesięcy i z HbA1c ≥7,5% oraz cukrzyca typu 2 u dorosłych pacjentów leczonych insuliną NPH od co najmniej 6 miesięcy i z udokumentowanymi nawracającymi epizodami ciężkiej lub nocnej hipoglikemii oraz cukrzyca o znanej przyczynie (zgodnie z definicją wg WHO); cukrzyca typu I u dzieci powyżej 1. roku życia i młodzieży; cukrzyca typu 2 u dzieci powyżej 1. roku życia i młodzieży leczonych insuliną NPH od co najmniej 6 miesięcy i z HbA1c ≥7,5% oraz cukrzyca typu 2 u dzieci powyżej 1. roku życia i młodzieży leczonych insuliną NPH od co najmniej 6 miesięcy i z udokumentowanymi nawracającymi epizodami ciężkiej lub nocnej hipoglikemii oraz cukrzyca u dzieci powyżej 1. roku życia i młodzieży o znanej przyczynie (zgodnie z definicją wg WHO)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D4592" w14:textId="77777777" w:rsidR="00DD2213" w:rsidRPr="00DD2213" w:rsidRDefault="00DD2213" w:rsidP="00DD221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Podskórna, długodziałająca insulina bazowa degludec bez skojarzenia z dodatkową substancją czynną o działaniu hipoglikemizującym. W przeszłości produkt refundowany w dwóch innych prezentacjach, których refundacja została zaprzestana na skutek decyzji podmiotu odpowiedzialnego.</w:t>
            </w:r>
          </w:p>
          <w:p w14:paraId="073078F0" w14:textId="44E2AFA1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Redukcja kryterium kwalifikującego do leczenia - poziomu hemoglobiny glikowanej, o 0,5 punktu procentowego (z ≥8% na ≥7,5%).</w:t>
            </w:r>
          </w:p>
        </w:tc>
      </w:tr>
      <w:tr w:rsidR="00DD2213" w:rsidRPr="00DD2213" w14:paraId="1BC77B89" w14:textId="77777777" w:rsidTr="00DD2213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DEC6F" w14:textId="0171E527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16.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44AAC" w14:textId="4778992A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Trixeo Aerosphere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17523" w14:textId="7898CCC0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formoterol fumaranu dwuwodnego + bromek glikopironiowy + budezonid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79297" w14:textId="18F3E28E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Leczenie podtrzymujące u pacjentów dorosłych z umiarkowaną lub ciężką przewlekłą obturacyjną chorobą płuc (POChP)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F5A49" w14:textId="5F471E5A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Leczenie podtrzymujące u pacjentów dorosłych z umiarkowaną lub ciężką przewlekłą obturacyjną chorobą płuc (POChP), u których nie uzyskuje się odpowiedniego efektu leczenia podczas jednoczesnego stosowania kortykosteroidu wziewnego i długo działającego agonisty receptorów beta 2 lub jednoczesnego stosowania długo działającego agonisty receptorów beta 2 i długo działającego antagonisty receptorów muskarynowych.</w:t>
            </w:r>
          </w:p>
        </w:tc>
      </w:tr>
      <w:tr w:rsidR="00DD2213" w:rsidRPr="00DD2213" w14:paraId="1B4F5D81" w14:textId="77777777" w:rsidTr="00DD2213">
        <w:trPr>
          <w:trHeight w:val="1207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83195" w14:textId="0970C0FE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lastRenderedPageBreak/>
              <w:t>17.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31A49" w14:textId="666E9136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VaxigripTetra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457C9" w14:textId="3AC5A98C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czterowalentna szczepionka przeciw grypie (rozszczepiony wirion), inaktywowana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877D7" w14:textId="4C062D09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A8F8F" w14:textId="77777777" w:rsidR="00DD2213" w:rsidRPr="00DD2213" w:rsidRDefault="00DD2213" w:rsidP="00DD221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Do zapobiegania grypie wywołanej przez dwa podtypy wirusa grypy A oraz dwa typy wirusa grypy B, które są zawarte w szczepionce:</w:t>
            </w:r>
          </w:p>
          <w:p w14:paraId="5E6219E5" w14:textId="77777777" w:rsidR="00DD2213" w:rsidRPr="00DD2213" w:rsidRDefault="00DD2213" w:rsidP="00DD2213">
            <w:pPr>
              <w:pStyle w:val="Akapitzlist"/>
              <w:numPr>
                <w:ilvl w:val="0"/>
                <w:numId w:val="29"/>
              </w:numPr>
              <w:spacing w:before="60" w:after="60" w:line="240" w:lineRule="auto"/>
              <w:jc w:val="both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czynne uodpornienie dorosłych, w tym kobiet w ciąży, oraz dzieci od ukończenia 6. miesiąca życia,</w:t>
            </w:r>
          </w:p>
          <w:p w14:paraId="748841D3" w14:textId="77777777" w:rsidR="00DD2213" w:rsidRPr="00DD2213" w:rsidRDefault="00DD2213" w:rsidP="00DD2213">
            <w:pPr>
              <w:pStyle w:val="Akapitzlist"/>
              <w:numPr>
                <w:ilvl w:val="0"/>
                <w:numId w:val="29"/>
              </w:numPr>
              <w:spacing w:before="60" w:after="60" w:line="240" w:lineRule="auto"/>
              <w:jc w:val="both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bierne uodpornienie niemowląt od urodzenia do wieku poniżej sześciu miesięcy po szczepieniu kobiet w ciąży.</w:t>
            </w:r>
          </w:p>
          <w:p w14:paraId="4F7A20F6" w14:textId="2A52417A" w:rsidR="00DD2213" w:rsidRPr="00DD2213" w:rsidRDefault="00DD2213" w:rsidP="0032209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Zastosowanie szczepionki VaxigripTetra powinno być zgodne z oficjalnymi zaleceniami.</w:t>
            </w:r>
          </w:p>
        </w:tc>
      </w:tr>
      <w:tr w:rsidR="00DD2213" w:rsidRPr="00DD2213" w14:paraId="15873229" w14:textId="77777777" w:rsidTr="00DD2213">
        <w:trPr>
          <w:trHeight w:val="1207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109D6" w14:textId="45A8901D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18.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30412" w14:textId="69F58DF1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Vimetso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0229E" w14:textId="0C533AE2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wildagliptyna + chlorowodorek metforminy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CFFD0" w14:textId="7006ABE4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D4815" w14:textId="6BCB6F7B" w:rsidR="00DD2213" w:rsidRPr="00DD2213" w:rsidRDefault="00DD2213" w:rsidP="0032209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Stosowanie jako uzupełnienie diety i ćwiczeń fizycznych w celu poprawy kontroli glikemii u osób dorosłych z cukrzycą typu 2:</w:t>
            </w:r>
          </w:p>
          <w:p w14:paraId="71C32A03" w14:textId="77777777" w:rsidR="00DD2213" w:rsidRPr="0032209B" w:rsidRDefault="00DD2213" w:rsidP="0032209B">
            <w:pPr>
              <w:pStyle w:val="Akapitzlist"/>
              <w:numPr>
                <w:ilvl w:val="0"/>
                <w:numId w:val="28"/>
              </w:numPr>
              <w:tabs>
                <w:tab w:val="left" w:pos="4021"/>
              </w:tabs>
              <w:suppressAutoHyphens w:val="0"/>
              <w:autoSpaceDN/>
              <w:spacing w:after="120" w:line="240" w:lineRule="auto"/>
              <w:jc w:val="both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2209B">
              <w:rPr>
                <w:rFonts w:ascii="Lato" w:hAnsi="Lato" w:cstheme="majorHAnsi"/>
                <w:color w:val="000000"/>
                <w:sz w:val="18"/>
                <w:szCs w:val="18"/>
              </w:rPr>
              <w:t>u pacjentów, u których nie uzyskano wystarczającej kontroli glikemii po zastosowaniu chlorowodorku metforminy w monoterapii,</w:t>
            </w:r>
          </w:p>
          <w:p w14:paraId="676C85B9" w14:textId="77777777" w:rsidR="0032209B" w:rsidRPr="0032209B" w:rsidRDefault="00DD2213" w:rsidP="0032209B">
            <w:pPr>
              <w:pStyle w:val="Akapitzlist"/>
              <w:numPr>
                <w:ilvl w:val="0"/>
                <w:numId w:val="28"/>
              </w:numPr>
              <w:tabs>
                <w:tab w:val="left" w:pos="4021"/>
              </w:tabs>
              <w:suppressAutoHyphens w:val="0"/>
              <w:autoSpaceDN/>
              <w:spacing w:after="120" w:line="240" w:lineRule="auto"/>
              <w:jc w:val="both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2209B">
              <w:rPr>
                <w:rFonts w:ascii="Lato" w:hAnsi="Lato" w:cstheme="majorHAnsi"/>
                <w:color w:val="000000"/>
                <w:sz w:val="18"/>
                <w:szCs w:val="18"/>
              </w:rPr>
              <w:t>u pacjentów już leczonych wildagliptyną w skojarzeniu z chlorowodorkiem metforminy, w postaci oddzielnych tabletek</w:t>
            </w:r>
            <w:r w:rsidR="0032209B" w:rsidRPr="0032209B">
              <w:rPr>
                <w:rFonts w:ascii="Lato" w:hAnsi="Lato" w:cstheme="majorHAnsi"/>
                <w:color w:val="000000"/>
                <w:sz w:val="18"/>
                <w:szCs w:val="18"/>
              </w:rPr>
              <w:t>,</w:t>
            </w:r>
          </w:p>
          <w:p w14:paraId="208E7E12" w14:textId="1A19B61F" w:rsidR="00DD2213" w:rsidRPr="0032209B" w:rsidRDefault="00DD2213" w:rsidP="0032209B">
            <w:pPr>
              <w:pStyle w:val="Akapitzlist"/>
              <w:numPr>
                <w:ilvl w:val="0"/>
                <w:numId w:val="28"/>
              </w:numPr>
              <w:tabs>
                <w:tab w:val="left" w:pos="4021"/>
              </w:tabs>
              <w:suppressAutoHyphens w:val="0"/>
              <w:autoSpaceDN/>
              <w:spacing w:after="120" w:line="240" w:lineRule="auto"/>
              <w:jc w:val="both"/>
              <w:textAlignment w:val="auto"/>
              <w:rPr>
                <w:rFonts w:ascii="Lato" w:hAnsi="Lato"/>
                <w:sz w:val="18"/>
                <w:szCs w:val="18"/>
              </w:rPr>
            </w:pPr>
            <w:r w:rsidRPr="0032209B">
              <w:rPr>
                <w:rFonts w:ascii="Lato" w:hAnsi="Lato" w:cstheme="majorHAnsi"/>
                <w:color w:val="000000"/>
                <w:sz w:val="18"/>
                <w:szCs w:val="18"/>
              </w:rPr>
              <w:t>w skojarzeniu z innymi produktami leczniczymi stosowanymi w leczeniu cukrzycy, w tym z insuliną, gdy produkty te nie zapewniają wystarczającej kontroli glikemii.</w:t>
            </w:r>
          </w:p>
        </w:tc>
      </w:tr>
      <w:tr w:rsidR="00DD2213" w:rsidRPr="00DD2213" w14:paraId="58283EBD" w14:textId="77777777" w:rsidTr="00DD2213">
        <w:trPr>
          <w:trHeight w:val="113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1D625" w14:textId="11C43AC6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19.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124B5" w14:textId="6BDC3363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Ylpio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A0760" w14:textId="79AC3D9F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telmisartan + indapamid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9BCA0" w14:textId="5FC4E2E3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61C4C" w14:textId="1F410E7C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Nowe połączenie cząsteczek – objęcie refundacją w ramach grupy limitowej 45.0 Antagoniści angiotensyny II - produkty jednoskładnikowe i złożone</w:t>
            </w:r>
          </w:p>
        </w:tc>
      </w:tr>
      <w:tr w:rsidR="00DD2213" w:rsidRPr="00DD2213" w14:paraId="116CECF8" w14:textId="77777777" w:rsidTr="00DD2213">
        <w:trPr>
          <w:trHeight w:val="173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28903" w14:textId="5AFFFA24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20.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F2329" w14:textId="67F6295E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b/>
                <w:bCs/>
                <w:sz w:val="18"/>
                <w:szCs w:val="18"/>
              </w:rPr>
              <w:t>Różne nazwy handlowe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4CB77" w14:textId="699DED90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enoksaparyna sodowa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E598B" w14:textId="6AAF9529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Profilaktyka i leczenie żylnej choroby zakrzepowo – zatorowej u kobiet w ciąży i połogu – w przypadkach innych niż określone w ChPL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DDDA5" w14:textId="6CFA3CA7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Poszerzenie wskazania pozarejestracyjnego w celu zwiększenie dostępności refundacyjnej do leczenie enoksaparyną dla kobiet w okresie połogu.</w:t>
            </w:r>
          </w:p>
        </w:tc>
      </w:tr>
      <w:tr w:rsidR="00DD2213" w:rsidRPr="00DD2213" w14:paraId="60085B98" w14:textId="77777777" w:rsidTr="00DD2213">
        <w:trPr>
          <w:trHeight w:val="159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CC6DA" w14:textId="292C2C58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21.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5858C" w14:textId="56F5CF0C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b/>
                <w:bCs/>
                <w:sz w:val="18"/>
                <w:szCs w:val="18"/>
              </w:rPr>
              <w:t>Różne nazwy handlowe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0F227" w14:textId="2F14ED48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nadroparyna wapniowa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66EAD" w14:textId="50DFA88A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Profilaktyka i leczenie żylnej choroby zakrzepowo – zatorowej u kobiet w ciąży i połogu – w przypadkach innych niż określone w ChPL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0B8A5" w14:textId="2F51979E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Poszerzenie wskazania pozarejestracyjnego w celu zwiększenie dostępności refundacyjnej do leczenie nadroparyną dla kobiet w okresie połogu.</w:t>
            </w:r>
          </w:p>
        </w:tc>
      </w:tr>
      <w:tr w:rsidR="00DD2213" w:rsidRPr="00DD2213" w14:paraId="1B995FF4" w14:textId="77777777" w:rsidTr="00DD2213">
        <w:trPr>
          <w:trHeight w:val="64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52BB0" w14:textId="10EBB85F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22.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9C1C6" w14:textId="683247EF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b/>
                <w:bCs/>
                <w:sz w:val="18"/>
                <w:szCs w:val="18"/>
              </w:rPr>
              <w:t>Różne nazwy handlowe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BAF2B" w14:textId="6BFE9D39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aprepitant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BEBE0" w14:textId="21E28826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Wczesne albo opóźnione wymioty u osób dorosłych związane z silnie emetogenną chemioterapią z zastosowaniem cisplatyny w dawce &gt;70 mg/m2, doksorubicyny i cyklofosfamidu – profilaktyka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4AF65" w14:textId="0A8DD7C6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Rozszerzenie wskazania refundacyjnego o wczesne albo opóźnione wymioty związane z silnie emetogenną chemioterapią z zastosowaniem doksorubicyny i cyklofosfamidu dla wszystkich produktów leczniczych z aprepitantem.</w:t>
            </w:r>
          </w:p>
        </w:tc>
      </w:tr>
      <w:tr w:rsidR="00DD2213" w:rsidRPr="00DD2213" w14:paraId="1D5C0231" w14:textId="77777777" w:rsidTr="00DD2213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187CE" w14:textId="0CF0949C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23.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3ADCB" w14:textId="2E641031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F3B49" w14:textId="4FCDEEC2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amlodypina + walsartan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220A2" w14:textId="65CD3314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ChPL</w:t>
            </w:r>
          </w:p>
        </w:tc>
        <w:tc>
          <w:tcPr>
            <w:tcW w:w="18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BAC6" w14:textId="206CD139" w:rsidR="00DD2213" w:rsidRPr="00DD2213" w:rsidRDefault="00DD2213" w:rsidP="0032209B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Dodanie wskazania pozarejestracyjnego (</w:t>
            </w:r>
            <w:r w:rsidRPr="00DD221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off-label</w:t>
            </w: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) dla preparatów złożonych, których zastosowanie wg zarejestrowanych wskazań jest ograniczone do wskazań substytucyjnych lub addycyjnych. Rozszerzenie zakresu wskazań refundacyjnych umożliwi rozpoczęcie leczenia nadciśnienia tętniczego od terapii skojarzonej.</w:t>
            </w:r>
          </w:p>
        </w:tc>
      </w:tr>
      <w:tr w:rsidR="00DD2213" w:rsidRPr="00DD2213" w14:paraId="59502DF1" w14:textId="77777777" w:rsidTr="00DD2213">
        <w:trPr>
          <w:trHeight w:val="32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708F" w14:textId="04A157BB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lastRenderedPageBreak/>
              <w:t>24.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01E60" w14:textId="75D5AE30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A2F9B" w14:textId="218870B5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amlodypina + walsartan + hydrochlorotiazyd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101FC" w14:textId="0C2D7C5B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ChPL</w:t>
            </w:r>
          </w:p>
        </w:tc>
        <w:tc>
          <w:tcPr>
            <w:tcW w:w="1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5EE9F" w14:textId="1E2E7F5B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DD2213" w:rsidRPr="00DD2213" w14:paraId="7C6D8824" w14:textId="77777777" w:rsidTr="00DD2213">
        <w:trPr>
          <w:trHeight w:val="137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1D29C" w14:textId="2C8B3A39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  <w:shd w:val="clear" w:color="auto" w:fill="FFFFFF"/>
              </w:rPr>
              <w:t>25.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987A9" w14:textId="05160D6A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621D4" w14:textId="3A0D4A57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kandesartan + hydrochlorotiazyd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CAE24" w14:textId="48086CB9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ChPL</w:t>
            </w:r>
          </w:p>
        </w:tc>
        <w:tc>
          <w:tcPr>
            <w:tcW w:w="1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152AD" w14:textId="03F4CB5B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DD2213" w:rsidRPr="00DD2213" w14:paraId="18972112" w14:textId="77777777" w:rsidTr="00DD2213">
        <w:trPr>
          <w:trHeight w:val="64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797D2" w14:textId="27B68C79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26.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85A9B" w14:textId="628DF783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8EE4F" w14:textId="7B5D39F2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kandesartan + amlodypina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B2C3B" w14:textId="063FE1DB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ChPL</w:t>
            </w:r>
          </w:p>
        </w:tc>
        <w:tc>
          <w:tcPr>
            <w:tcW w:w="1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CC3FB" w14:textId="1ABC851A" w:rsidR="00DD2213" w:rsidRPr="00DD2213" w:rsidRDefault="00DD2213" w:rsidP="00DD2213">
            <w:pPr>
              <w:keepLines/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DD2213" w:rsidRPr="00DD2213" w14:paraId="6803217E" w14:textId="77777777" w:rsidTr="00DD2213">
        <w:trPr>
          <w:trHeight w:val="176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3F062" w14:textId="74141929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27.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99FF7" w14:textId="0432F02E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AA1B1" w14:textId="3134D527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indapamid + amlodypina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9F0C6" w14:textId="5BC85092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ChPL</w:t>
            </w:r>
          </w:p>
        </w:tc>
        <w:tc>
          <w:tcPr>
            <w:tcW w:w="1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69DDE" w14:textId="07CCB8A4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DD2213" w:rsidRPr="00DD2213" w14:paraId="6CCDE5FF" w14:textId="77777777" w:rsidTr="00DD2213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E7A26" w14:textId="692FE94B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28.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0CE5D" w14:textId="4176B9A5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96EFE" w14:textId="02BCD79F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lizynopryl + amlodypina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402BA" w14:textId="2EC7CBDB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ChPL</w:t>
            </w:r>
          </w:p>
        </w:tc>
        <w:tc>
          <w:tcPr>
            <w:tcW w:w="1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98E88" w14:textId="240C7929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DD2213" w:rsidRPr="00DD2213" w14:paraId="1260893C" w14:textId="77777777" w:rsidTr="00DD2213">
        <w:trPr>
          <w:trHeight w:val="64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894F7" w14:textId="55F9A5D7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29.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77B0F" w14:textId="5BF7C042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8B22F" w14:textId="4A9786A8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lizynopryl + hydrochlorotiazyd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896B5" w14:textId="41E449BB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ChPL</w:t>
            </w:r>
          </w:p>
        </w:tc>
        <w:tc>
          <w:tcPr>
            <w:tcW w:w="1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A6B3B" w14:textId="2C1B907C" w:rsidR="00DD2213" w:rsidRPr="00DD2213" w:rsidRDefault="00DD2213" w:rsidP="00DD2213">
            <w:pPr>
              <w:keepLines/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DD2213" w:rsidRPr="00DD2213" w14:paraId="67DEAA32" w14:textId="77777777" w:rsidTr="00DD2213">
        <w:trPr>
          <w:trHeight w:val="64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CA32F" w14:textId="1742C012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30.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CF0C1" w14:textId="070D7213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CFC2C" w14:textId="29DDF09C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losartan + amlodypina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2F895" w14:textId="6DED551C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ChPL</w:t>
            </w:r>
          </w:p>
        </w:tc>
        <w:tc>
          <w:tcPr>
            <w:tcW w:w="1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72261" w14:textId="3BE1410F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DD2213" w:rsidRPr="00DD2213" w14:paraId="0E8E6432" w14:textId="77777777" w:rsidTr="00DD2213">
        <w:trPr>
          <w:trHeight w:val="64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70D94" w14:textId="0481F2AA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31.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0B43D" w14:textId="2031C275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F8151" w14:textId="2FFDB3E2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losartan + hydrochlorotiazyd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0F5B0" w14:textId="44E70CA1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ChPL</w:t>
            </w:r>
          </w:p>
        </w:tc>
        <w:tc>
          <w:tcPr>
            <w:tcW w:w="1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E451D" w14:textId="5E26A806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DD2213" w:rsidRPr="00DD2213" w14:paraId="479FEA85" w14:textId="77777777" w:rsidTr="00DD2213">
        <w:trPr>
          <w:trHeight w:val="762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2D833" w14:textId="281FC3D2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32.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CFE16" w14:textId="70F42902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8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C5880" w14:textId="61D61BD3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peryndopryl + amlodypina</w:t>
            </w:r>
          </w:p>
        </w:tc>
        <w:tc>
          <w:tcPr>
            <w:tcW w:w="14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BFD6A" w14:textId="6EDC6742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ChPL</w:t>
            </w:r>
          </w:p>
        </w:tc>
        <w:tc>
          <w:tcPr>
            <w:tcW w:w="1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5C053" w14:textId="2DAF9639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DD2213" w:rsidRPr="00DD2213" w14:paraId="11E5EED3" w14:textId="77777777" w:rsidTr="00DD2213">
        <w:trPr>
          <w:trHeight w:val="59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A00EE" w14:textId="79BE2807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33.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27323" w14:textId="1D4C70FF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  <w:lang w:val="en-GB" w:eastAsia="pl-PL"/>
              </w:rPr>
            </w:pPr>
            <w:r w:rsidRPr="00DD2213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80D42" w14:textId="1897B996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  <w:lang w:eastAsia="pl-PL"/>
              </w:rPr>
            </w:pPr>
            <w:r w:rsidRPr="00DD221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peryndopryl + indapamid (bez dawki 2,5+0,625 mg)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18D73" w14:textId="187248F6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sz w:val="18"/>
                <w:szCs w:val="18"/>
                <w:lang w:eastAsia="pl-PL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ChPL</w:t>
            </w:r>
          </w:p>
        </w:tc>
        <w:tc>
          <w:tcPr>
            <w:tcW w:w="1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C1A9D" w14:textId="74873418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DD2213" w:rsidRPr="00DD2213" w14:paraId="63949F60" w14:textId="77777777" w:rsidTr="00DD2213">
        <w:trPr>
          <w:trHeight w:val="59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D2D96" w14:textId="54B94DF7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34.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ABE0B" w14:textId="09CCB0BA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96AB6" w14:textId="0CA47B55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 w:themeColor="text1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ramipryl + amlodypina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FA33B" w14:textId="7770B6D1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</w:t>
            </w:r>
          </w:p>
        </w:tc>
        <w:tc>
          <w:tcPr>
            <w:tcW w:w="1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5E37A" w14:textId="5689A566" w:rsidR="00DD2213" w:rsidRPr="00DD2213" w:rsidRDefault="00DD2213" w:rsidP="00DD2213">
            <w:pPr>
              <w:keepLines/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DD2213" w:rsidRPr="00DD2213" w14:paraId="727470E0" w14:textId="77777777" w:rsidTr="00DD2213">
        <w:trPr>
          <w:trHeight w:val="7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B71EE" w14:textId="28369E4B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35.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E8ED4" w14:textId="5B5EB28E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A2CE9" w14:textId="5AF4E5F3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ramipryl + felodypina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9D4F1" w14:textId="3A22615E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ChPL</w:t>
            </w:r>
          </w:p>
        </w:tc>
        <w:tc>
          <w:tcPr>
            <w:tcW w:w="1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32663" w14:textId="0D52DFAA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DD2213" w:rsidRPr="00DD2213" w14:paraId="6F7223A3" w14:textId="77777777" w:rsidTr="00DD2213">
        <w:trPr>
          <w:trHeight w:val="59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91A7E" w14:textId="498C9729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36.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A1A0F" w14:textId="5EE92BC0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67376" w14:textId="32404483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ramipryl + hydrochlorotiazyd</w:t>
            </w: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850AD" w14:textId="53FE2D49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ChPL</w:t>
            </w:r>
          </w:p>
        </w:tc>
        <w:tc>
          <w:tcPr>
            <w:tcW w:w="1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C02BE" w14:textId="13E80416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DD2213" w:rsidRPr="00DD2213" w14:paraId="1EF3ED7E" w14:textId="77777777" w:rsidTr="00DD2213">
        <w:trPr>
          <w:trHeight w:val="59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F7956" w14:textId="783060FD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7854B3">
              <w:rPr>
                <w:rFonts w:ascii="Lato" w:hAnsi="Lato" w:cstheme="majorHAnsi"/>
                <w:sz w:val="18"/>
                <w:szCs w:val="18"/>
              </w:rPr>
              <w:t>37</w:t>
            </w:r>
            <w:r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ECF74" w14:textId="6806C0F6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96E9B" w14:textId="66259793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telmisartan + amlodypina</w:t>
            </w: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50581" w14:textId="591C3710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ChPL</w:t>
            </w:r>
          </w:p>
        </w:tc>
        <w:tc>
          <w:tcPr>
            <w:tcW w:w="1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0ED7F" w14:textId="2215ABFA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DD2213" w:rsidRPr="00DD2213" w14:paraId="28750AD1" w14:textId="77777777" w:rsidTr="00DD2213">
        <w:trPr>
          <w:trHeight w:val="59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C3417" w14:textId="407AE875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38.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73451" w14:textId="429EF741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ED8B8" w14:textId="67804F3A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 w:themeColor="text1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telmisartan + hydrochlorotiazyd</w:t>
            </w: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D0E1E" w14:textId="2A795015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ChPL</w:t>
            </w:r>
          </w:p>
        </w:tc>
        <w:tc>
          <w:tcPr>
            <w:tcW w:w="1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377BA" w14:textId="5013A000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DD2213" w:rsidRPr="00DD2213" w14:paraId="5822341C" w14:textId="77777777" w:rsidTr="00DD2213">
        <w:trPr>
          <w:trHeight w:val="692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E24B8" w14:textId="6CBFCBEA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39.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36E19" w14:textId="192D24A8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03465" w14:textId="73E3FF25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walsartan + hydrochlorotiazyd</w:t>
            </w: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6C4CF" w14:textId="0B02055B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ChPL</w:t>
            </w:r>
          </w:p>
        </w:tc>
        <w:tc>
          <w:tcPr>
            <w:tcW w:w="1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902ED" w14:textId="6176F542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DD2213" w:rsidRPr="00DD2213" w14:paraId="6A5E23AD" w14:textId="77777777" w:rsidTr="00DD2213">
        <w:trPr>
          <w:trHeight w:val="59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CAC05" w14:textId="0DBD426C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40.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02132" w14:textId="41603D6B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64BCA" w14:textId="24210EEF" w:rsidR="00DD2213" w:rsidRPr="00DD2213" w:rsidRDefault="00DD2213" w:rsidP="00DD2213">
            <w:pPr>
              <w:keepLines/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 w:themeColor="text1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telmisartan + indapamid</w:t>
            </w: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648F2" w14:textId="679431B9" w:rsidR="00DD2213" w:rsidRPr="00DD2213" w:rsidRDefault="00DD2213" w:rsidP="00DD2213">
            <w:pPr>
              <w:keepLines/>
              <w:spacing w:before="60" w:after="60" w:line="240" w:lineRule="auto"/>
              <w:ind w:left="63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DD2213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ChPL</w:t>
            </w:r>
          </w:p>
        </w:tc>
        <w:tc>
          <w:tcPr>
            <w:tcW w:w="1861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9271B" w14:textId="4122722C" w:rsidR="00DD2213" w:rsidRPr="00DD2213" w:rsidRDefault="00DD2213" w:rsidP="00DD2213">
            <w:pPr>
              <w:keepLines/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</w:tbl>
    <w:p w14:paraId="5805F36A" w14:textId="301B79F8" w:rsidR="000B14BF" w:rsidRPr="00DD2213" w:rsidRDefault="000B14BF">
      <w:pPr>
        <w:rPr>
          <w:rFonts w:ascii="Lato" w:hAnsi="Lato" w:cstheme="majorHAnsi"/>
          <w:sz w:val="18"/>
          <w:szCs w:val="18"/>
        </w:rPr>
      </w:pPr>
    </w:p>
    <w:p w14:paraId="0FB61AF3" w14:textId="77777777" w:rsidR="00C55C4A" w:rsidRDefault="00C55C4A">
      <w:pPr>
        <w:rPr>
          <w:rFonts w:ascii="Lato" w:hAnsi="Lato" w:cstheme="majorHAnsi"/>
        </w:rPr>
      </w:pPr>
    </w:p>
    <w:p w14:paraId="7F2A76BF" w14:textId="2D1D0FE2" w:rsidR="00AB0DC2" w:rsidRDefault="00AB0DC2" w:rsidP="00AB0DC2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bookmarkStart w:id="3" w:name="_Hlk153177630"/>
      <w:r>
        <w:rPr>
          <w:rFonts w:ascii="Lato" w:hAnsi="Lato"/>
          <w:b/>
          <w:bCs/>
          <w:color w:val="00B0F0"/>
          <w:sz w:val="28"/>
          <w:szCs w:val="28"/>
        </w:rPr>
        <w:t xml:space="preserve">LISTA BEZPŁATNYCH LEKÓW DLA SENIORÓW W WIEKU POWYŻEJ 65. ROKU ŻYCIA, DZIECI </w:t>
      </w:r>
      <w:r>
        <w:rPr>
          <w:rFonts w:ascii="Lato" w:hAnsi="Lato"/>
          <w:b/>
          <w:bCs/>
          <w:color w:val="00B0F0"/>
          <w:sz w:val="28"/>
          <w:szCs w:val="28"/>
        </w:rPr>
        <w:br/>
        <w:t>I MŁODZIEŻY W WIEKU DO 18. ROKU ŻYCIA ORAZ KOBIET W OKRESIE CIĄŻY ALBO POŁOGU</w:t>
      </w:r>
    </w:p>
    <w:p w14:paraId="1B1A75A6" w14:textId="77777777" w:rsidR="00AB0DC2" w:rsidRDefault="00AB0DC2" w:rsidP="00AB0DC2">
      <w:pPr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t>Zgodnie z treścią ustawy z dnia 13 lipca 2023 r. o zmianie ustawy o świadczeniach opieki zdrowotnej finansowanych ze środków publicznych oraz ustawy o refundacji leków, środków spożywczych specjalnego przeznaczenia żywieniowego oraz wyrobów medycznych (Dz. U. 2023 r. poz. 1733), rozszerzono grono osób, którym przysługuje bezpłatne zaopatrzenie w leki, środki spożywcze specjalnego przeznaczenia żywieniowego oraz wyroby medyczne na osoby, które nie ukończyły 18. roku życia oraz osoby, które ukończyły 65. rok życia. We współpracy z konsultantami krajowymi, Narodowym Funduszem Zdrowia oraz Agencją Oceny Technologii Medycznych i Taryfikacji opracowano:</w:t>
      </w:r>
    </w:p>
    <w:p w14:paraId="6120294F" w14:textId="77777777" w:rsidR="00AB0DC2" w:rsidRDefault="00AB0DC2" w:rsidP="00AB0DC2">
      <w:pPr>
        <w:numPr>
          <w:ilvl w:val="0"/>
          <w:numId w:val="30"/>
        </w:numPr>
        <w:suppressAutoHyphens w:val="0"/>
        <w:spacing w:line="360" w:lineRule="auto"/>
        <w:contextualSpacing/>
        <w:jc w:val="both"/>
        <w:textAlignment w:val="auto"/>
        <w:rPr>
          <w:rFonts w:ascii="Lato" w:hAnsi="Lato"/>
        </w:rPr>
      </w:pPr>
      <w:r>
        <w:rPr>
          <w:rFonts w:ascii="Lato" w:hAnsi="Lato"/>
        </w:rPr>
        <w:t>wykaz D1 - Leki przysługujące świadczeniobiorcom poniżej 18. roku życia,</w:t>
      </w:r>
    </w:p>
    <w:p w14:paraId="19B68AD0" w14:textId="155AA649" w:rsidR="00AB0DC2" w:rsidRDefault="00AB0DC2" w:rsidP="00AB0DC2">
      <w:pPr>
        <w:numPr>
          <w:ilvl w:val="0"/>
          <w:numId w:val="30"/>
        </w:numPr>
        <w:suppressAutoHyphens w:val="0"/>
        <w:spacing w:line="360" w:lineRule="auto"/>
        <w:ind w:left="714" w:hanging="357"/>
        <w:jc w:val="both"/>
        <w:textAlignment w:val="auto"/>
        <w:rPr>
          <w:rFonts w:ascii="Lato" w:hAnsi="Lato"/>
        </w:rPr>
      </w:pPr>
      <w:r>
        <w:rPr>
          <w:rFonts w:ascii="Lato" w:hAnsi="Lato"/>
        </w:rPr>
        <w:t xml:space="preserve">wykaz D2 - Leki przysługujące świadczeniobiorcom </w:t>
      </w:r>
      <w:bookmarkStart w:id="4" w:name="_Hlk143513407"/>
      <w:r>
        <w:rPr>
          <w:rFonts w:ascii="Lato" w:hAnsi="Lato"/>
        </w:rPr>
        <w:t>powyżej 65. roku życia</w:t>
      </w:r>
      <w:bookmarkEnd w:id="4"/>
      <w:r>
        <w:rPr>
          <w:rFonts w:ascii="Lato" w:hAnsi="Lato"/>
        </w:rPr>
        <w:t>.</w:t>
      </w:r>
    </w:p>
    <w:p w14:paraId="568BC284" w14:textId="5A4CF3F3" w:rsidR="008B4CDA" w:rsidRPr="00AB0DC2" w:rsidRDefault="00AB0DC2" w:rsidP="00AB0DC2">
      <w:pPr>
        <w:suppressAutoHyphens w:val="0"/>
        <w:spacing w:line="360" w:lineRule="auto"/>
        <w:jc w:val="both"/>
        <w:textAlignment w:val="auto"/>
        <w:rPr>
          <w:rFonts w:ascii="Lato" w:hAnsi="Lato"/>
        </w:rPr>
      </w:pPr>
      <w:r>
        <w:rPr>
          <w:rFonts w:ascii="Lato" w:hAnsi="Lato"/>
        </w:rPr>
        <w:t>Wykaz D1 i D2 (rozszerzenie poprzedniej listy bezpłatnych leków 75+) obowiązują od 1 września 2023 r.</w:t>
      </w:r>
    </w:p>
    <w:p w14:paraId="0AF814AC" w14:textId="19AECBBF" w:rsidR="00AB0DC2" w:rsidRDefault="00AB0DC2" w:rsidP="00AB0DC2">
      <w:pPr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Wykaz nieodpłatnych leków dla dzieci i młodzieży w wieku do 18. roku życia zawiera </w:t>
      </w:r>
      <w:r>
        <w:rPr>
          <w:rFonts w:ascii="Lato" w:hAnsi="Lato"/>
          <w:b/>
          <w:bCs/>
        </w:rPr>
        <w:t>ponad 2 800 leków</w:t>
      </w:r>
      <w:r>
        <w:rPr>
          <w:rFonts w:ascii="Lato" w:hAnsi="Lato"/>
        </w:rPr>
        <w:t xml:space="preserve"> rozumianych jako indywidualne kody GTIN. Lista „18-” obejmuje </w:t>
      </w:r>
      <w:r>
        <w:rPr>
          <w:rFonts w:ascii="Lato" w:hAnsi="Lato"/>
          <w:b/>
          <w:bCs/>
        </w:rPr>
        <w:t>prawie</w:t>
      </w:r>
      <w:r>
        <w:rPr>
          <w:rFonts w:ascii="Lato" w:hAnsi="Lato"/>
        </w:rPr>
        <w:t xml:space="preserve"> </w:t>
      </w:r>
      <w:r>
        <w:rPr>
          <w:rFonts w:ascii="Lato" w:hAnsi="Lato"/>
          <w:b/>
          <w:bCs/>
        </w:rPr>
        <w:t>280 substancji czynnych</w:t>
      </w:r>
      <w:r>
        <w:rPr>
          <w:rFonts w:ascii="Lato" w:hAnsi="Lato"/>
        </w:rPr>
        <w:t xml:space="preserve">. Wśród tej grupy produktów leczniczych znalazły się m.in. leki: antyhistaminowe, hipoglikemizujące, hormonalne, immunostymulujące, immunosupresyjne, okulistyczne, przeciwbakteryjne, przeciwgrzybicze, przeciwwirusowe, przeciwbólowe, przeciwzakaźne, przeciwdrgawkowe, stosowane w chorobach dróg oddechowych, stosowane w nadciśnieniu tętniczym, stosowane w chorobach urologicznych, stosowane w chorobach układu pokarmowego czy szczepionki. </w:t>
      </w:r>
    </w:p>
    <w:p w14:paraId="6A3DCC6B" w14:textId="13A4D2A6" w:rsidR="00AB0DC2" w:rsidRDefault="00AB0DC2" w:rsidP="00AB0DC2">
      <w:pPr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Wykaz nieodpłatnych leków dla seniorów powyżej 65. roku życia zawiera </w:t>
      </w:r>
      <w:r>
        <w:rPr>
          <w:rFonts w:ascii="Lato" w:hAnsi="Lato"/>
          <w:b/>
          <w:bCs/>
        </w:rPr>
        <w:t>prawie 3 800 leków</w:t>
      </w:r>
      <w:r>
        <w:rPr>
          <w:rFonts w:ascii="Lato" w:hAnsi="Lato"/>
        </w:rPr>
        <w:t xml:space="preserve"> rozumianych jako indywidualne kody GTIN. Lista „65+” obejmuje </w:t>
      </w:r>
      <w:r w:rsidR="008B4CDA">
        <w:rPr>
          <w:rFonts w:ascii="Lato" w:hAnsi="Lato"/>
          <w:b/>
          <w:bCs/>
        </w:rPr>
        <w:t>około</w:t>
      </w:r>
      <w:r>
        <w:rPr>
          <w:rFonts w:ascii="Lato" w:hAnsi="Lato"/>
          <w:b/>
          <w:bCs/>
        </w:rPr>
        <w:t xml:space="preserve"> 420 substancji czynnych</w:t>
      </w:r>
      <w:r w:rsidR="008B4CDA">
        <w:rPr>
          <w:rFonts w:ascii="Lato" w:hAnsi="Lato"/>
        </w:rPr>
        <w:t xml:space="preserve">. </w:t>
      </w:r>
      <w:r>
        <w:rPr>
          <w:rFonts w:ascii="Lato" w:hAnsi="Lato"/>
        </w:rPr>
        <w:t xml:space="preserve">Wśród tej grupy produktów leczniczych znalazły się m.in. leki: antyhistaminowe, cytostatyczne, ginekologiczne, hipoglikemizujące, hipolipemizujące hipotensyjne, hormonalne, immunostymulujące, immunosupresyjne, okulistyczne, przeciwbakteryjne, przeciwgrzybicze, przeciwwirusowe, przeciwbólowe, przeciwzakaźne, przeciwdrgawkowe, przeciwreumatyczne, </w:t>
      </w:r>
      <w:r>
        <w:rPr>
          <w:rFonts w:ascii="Lato" w:hAnsi="Lato"/>
        </w:rPr>
        <w:lastRenderedPageBreak/>
        <w:t>przeciwparkinsonowskie, przeciwzakrzepowe, stosowane w chorobach dróg oddechowych, stosowane w chorobach urologicznych, stosowane w chorobach układu pokarmowego czy szczepionki.</w:t>
      </w:r>
    </w:p>
    <w:p w14:paraId="1C2D2D94" w14:textId="28A030A2" w:rsidR="00C6637A" w:rsidRDefault="008B4CDA" w:rsidP="00847068">
      <w:pPr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t>W  roku 2023 rozszerzono wykaz bezpłatnych leków dla kobiet w ciąży dodatkowo o okres połogu. Ponadto,</w:t>
      </w:r>
      <w:r w:rsidR="00847068">
        <w:rPr>
          <w:rFonts w:ascii="Lato" w:hAnsi="Lato"/>
        </w:rPr>
        <w:t xml:space="preserve"> wśród produktów uwzględnionych w przedmiotowym wykazie będą mogły znaleźć się obok leków, również wyroby medyczne. Wykaz nieodpłatnych produktów dla kobiet w okresie ciąży i połogu zawiera </w:t>
      </w:r>
      <w:r w:rsidR="00847068" w:rsidRPr="00847068">
        <w:rPr>
          <w:rFonts w:ascii="Lato" w:hAnsi="Lato"/>
          <w:b/>
          <w:bCs/>
        </w:rPr>
        <w:t>ponad 390 produktów</w:t>
      </w:r>
      <w:r w:rsidR="00847068">
        <w:rPr>
          <w:rFonts w:ascii="Lato" w:hAnsi="Lato"/>
          <w:b/>
          <w:bCs/>
        </w:rPr>
        <w:t xml:space="preserve"> </w:t>
      </w:r>
      <w:r w:rsidR="00847068">
        <w:rPr>
          <w:rFonts w:ascii="Lato" w:hAnsi="Lato"/>
        </w:rPr>
        <w:t xml:space="preserve">rozumianych jako indywidualne kody GTIN. . Lista „Ciąża+” obejmuje </w:t>
      </w:r>
      <w:r w:rsidR="00847068">
        <w:rPr>
          <w:rFonts w:ascii="Lato" w:hAnsi="Lato"/>
          <w:b/>
          <w:bCs/>
        </w:rPr>
        <w:t>ponad 42 substancji czynnych</w:t>
      </w:r>
      <w:r w:rsidR="00847068">
        <w:rPr>
          <w:rFonts w:ascii="Lato" w:hAnsi="Lato"/>
        </w:rPr>
        <w:t>. Wśród tej grupy produktów leczniczych znalazły się m.in. leki: hipoglikemizujące, hormonalne, przeciw</w:t>
      </w:r>
      <w:r w:rsidR="00C6637A">
        <w:rPr>
          <w:rFonts w:ascii="Lato" w:hAnsi="Lato"/>
        </w:rPr>
        <w:t>padaczkowe</w:t>
      </w:r>
      <w:r w:rsidR="00847068">
        <w:rPr>
          <w:rFonts w:ascii="Lato" w:hAnsi="Lato"/>
        </w:rPr>
        <w:t>,</w:t>
      </w:r>
      <w:r w:rsidR="00C6637A">
        <w:rPr>
          <w:rFonts w:ascii="Lato" w:hAnsi="Lato"/>
        </w:rPr>
        <w:t xml:space="preserve"> </w:t>
      </w:r>
      <w:r w:rsidR="00847068">
        <w:rPr>
          <w:rFonts w:ascii="Lato" w:hAnsi="Lato"/>
        </w:rPr>
        <w:t>przeciwzakrzepowe, stosowane w chorobach dróg oddechowych, stosowane w chorobach układu pokarmowego czy szczepionki.</w:t>
      </w:r>
      <w:bookmarkEnd w:id="3"/>
    </w:p>
    <w:sectPr w:rsidR="00C6637A" w:rsidSect="00BA1ACD">
      <w:headerReference w:type="first" r:id="rId12"/>
      <w:pgSz w:w="16838" w:h="11906" w:orient="landscape"/>
      <w:pgMar w:top="1135" w:right="1417" w:bottom="993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63420" w14:textId="77777777" w:rsidR="000350EA" w:rsidRDefault="000350EA">
      <w:pPr>
        <w:spacing w:after="0" w:line="240" w:lineRule="auto"/>
      </w:pPr>
      <w:r>
        <w:separator/>
      </w:r>
    </w:p>
  </w:endnote>
  <w:endnote w:type="continuationSeparator" w:id="0">
    <w:p w14:paraId="10B3BFE1" w14:textId="77777777" w:rsidR="000350EA" w:rsidRDefault="00035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833F2" w14:textId="77777777" w:rsidR="000350EA" w:rsidRDefault="000350EA">
      <w:pPr>
        <w:spacing w:after="0" w:line="240" w:lineRule="auto"/>
      </w:pPr>
      <w:r>
        <w:separator/>
      </w:r>
    </w:p>
  </w:footnote>
  <w:footnote w:type="continuationSeparator" w:id="0">
    <w:p w14:paraId="31F817CB" w14:textId="77777777" w:rsidR="000350EA" w:rsidRDefault="00035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80756" w14:textId="6F0D6A95" w:rsidR="008300C4" w:rsidRDefault="008D3B01">
    <w:pPr>
      <w:pStyle w:val="Nagwek"/>
    </w:pPr>
    <w:bookmarkStart w:id="5" w:name="_Hlk74147372"/>
    <w:bookmarkEnd w:id="5"/>
    <w:r>
      <w:rPr>
        <w:noProof/>
        <w:lang w:eastAsia="pl-PL"/>
      </w:rPr>
      <w:drawing>
        <wp:inline distT="0" distB="0" distL="0" distR="0" wp14:anchorId="42AF5BC3" wp14:editId="5C602486">
          <wp:extent cx="2381885" cy="106172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405"/>
    <w:multiLevelType w:val="hybridMultilevel"/>
    <w:tmpl w:val="B308D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17CF6"/>
    <w:multiLevelType w:val="hybridMultilevel"/>
    <w:tmpl w:val="11287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621D5"/>
    <w:multiLevelType w:val="hybridMultilevel"/>
    <w:tmpl w:val="CED09C14"/>
    <w:lvl w:ilvl="0" w:tplc="41943DD6">
      <w:start w:val="1"/>
      <w:numFmt w:val="lowerLetter"/>
      <w:lvlText w:val="%1)"/>
      <w:lvlJc w:val="left"/>
      <w:pPr>
        <w:ind w:left="567" w:hanging="207"/>
      </w:pPr>
      <w:rPr>
        <w:rFonts w:ascii="Lato" w:eastAsiaTheme="minorHAnsi" w:hAnsi="Lato" w:cs="Arial" w:hint="default"/>
      </w:rPr>
    </w:lvl>
    <w:lvl w:ilvl="1" w:tplc="252C51DC">
      <w:numFmt w:val="bullet"/>
      <w:lvlText w:val="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743CD"/>
    <w:multiLevelType w:val="hybridMultilevel"/>
    <w:tmpl w:val="C2FA7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553D4"/>
    <w:multiLevelType w:val="hybridMultilevel"/>
    <w:tmpl w:val="414EA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D3770"/>
    <w:multiLevelType w:val="hybridMultilevel"/>
    <w:tmpl w:val="29F4F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E0EDD"/>
    <w:multiLevelType w:val="hybridMultilevel"/>
    <w:tmpl w:val="AD006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83431"/>
    <w:multiLevelType w:val="hybridMultilevel"/>
    <w:tmpl w:val="ABB6E3FC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42910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57CAC"/>
    <w:multiLevelType w:val="multilevel"/>
    <w:tmpl w:val="0A84EA6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0" w15:restartNumberingAfterBreak="0">
    <w:nsid w:val="2754095A"/>
    <w:multiLevelType w:val="hybridMultilevel"/>
    <w:tmpl w:val="E8244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47F2B"/>
    <w:multiLevelType w:val="hybridMultilevel"/>
    <w:tmpl w:val="5E207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91E53"/>
    <w:multiLevelType w:val="hybridMultilevel"/>
    <w:tmpl w:val="E0781596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F3043"/>
    <w:multiLevelType w:val="hybridMultilevel"/>
    <w:tmpl w:val="7F041AF0"/>
    <w:lvl w:ilvl="0" w:tplc="07E64A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4" w15:restartNumberingAfterBreak="0">
    <w:nsid w:val="393F60CD"/>
    <w:multiLevelType w:val="hybridMultilevel"/>
    <w:tmpl w:val="75800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E0B82"/>
    <w:multiLevelType w:val="hybridMultilevel"/>
    <w:tmpl w:val="386CF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95B92"/>
    <w:multiLevelType w:val="hybridMultilevel"/>
    <w:tmpl w:val="2884C962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C6885"/>
    <w:multiLevelType w:val="hybridMultilevel"/>
    <w:tmpl w:val="0B8EC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25CDC"/>
    <w:multiLevelType w:val="hybridMultilevel"/>
    <w:tmpl w:val="23BA0A4E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D741F7C"/>
    <w:multiLevelType w:val="hybridMultilevel"/>
    <w:tmpl w:val="2FFE7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A728E"/>
    <w:multiLevelType w:val="hybridMultilevel"/>
    <w:tmpl w:val="1748AC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F66E36"/>
    <w:multiLevelType w:val="hybridMultilevel"/>
    <w:tmpl w:val="B5C4A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2792B"/>
    <w:multiLevelType w:val="hybridMultilevel"/>
    <w:tmpl w:val="75AA86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FF5C7F"/>
    <w:multiLevelType w:val="hybridMultilevel"/>
    <w:tmpl w:val="5AF27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4348AE"/>
    <w:multiLevelType w:val="hybridMultilevel"/>
    <w:tmpl w:val="FDF40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3F0D0B"/>
    <w:multiLevelType w:val="hybridMultilevel"/>
    <w:tmpl w:val="3A2E6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594C8D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547E04"/>
    <w:multiLevelType w:val="hybridMultilevel"/>
    <w:tmpl w:val="5CC0C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B22FBC"/>
    <w:multiLevelType w:val="hybridMultilevel"/>
    <w:tmpl w:val="1A128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FE6242"/>
    <w:multiLevelType w:val="hybridMultilevel"/>
    <w:tmpl w:val="A3463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24C5B"/>
    <w:multiLevelType w:val="hybridMultilevel"/>
    <w:tmpl w:val="01F6A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890071">
    <w:abstractNumId w:val="26"/>
  </w:num>
  <w:num w:numId="2" w16cid:durableId="532773165">
    <w:abstractNumId w:val="19"/>
  </w:num>
  <w:num w:numId="3" w16cid:durableId="1009796990">
    <w:abstractNumId w:val="7"/>
  </w:num>
  <w:num w:numId="4" w16cid:durableId="2125340163">
    <w:abstractNumId w:val="12"/>
  </w:num>
  <w:num w:numId="5" w16cid:durableId="1838882185">
    <w:abstractNumId w:val="13"/>
  </w:num>
  <w:num w:numId="6" w16cid:durableId="1524631624">
    <w:abstractNumId w:val="23"/>
  </w:num>
  <w:num w:numId="7" w16cid:durableId="1773017304">
    <w:abstractNumId w:val="3"/>
  </w:num>
  <w:num w:numId="8" w16cid:durableId="12616394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8332510">
    <w:abstractNumId w:val="9"/>
  </w:num>
  <w:num w:numId="10" w16cid:durableId="673920086">
    <w:abstractNumId w:val="5"/>
  </w:num>
  <w:num w:numId="11" w16cid:durableId="979110544">
    <w:abstractNumId w:val="30"/>
  </w:num>
  <w:num w:numId="12" w16cid:durableId="342778382">
    <w:abstractNumId w:val="6"/>
  </w:num>
  <w:num w:numId="13" w16cid:durableId="615218971">
    <w:abstractNumId w:val="14"/>
  </w:num>
  <w:num w:numId="14" w16cid:durableId="1647124833">
    <w:abstractNumId w:val="17"/>
  </w:num>
  <w:num w:numId="15" w16cid:durableId="1352222192">
    <w:abstractNumId w:val="15"/>
  </w:num>
  <w:num w:numId="16" w16cid:durableId="1942833627">
    <w:abstractNumId w:val="25"/>
  </w:num>
  <w:num w:numId="17" w16cid:durableId="1157845039">
    <w:abstractNumId w:val="20"/>
  </w:num>
  <w:num w:numId="18" w16cid:durableId="1796680411">
    <w:abstractNumId w:val="22"/>
  </w:num>
  <w:num w:numId="19" w16cid:durableId="2099014795">
    <w:abstractNumId w:val="21"/>
  </w:num>
  <w:num w:numId="20" w16cid:durableId="69543524">
    <w:abstractNumId w:val="4"/>
  </w:num>
  <w:num w:numId="21" w16cid:durableId="1530946489">
    <w:abstractNumId w:val="0"/>
  </w:num>
  <w:num w:numId="22" w16cid:durableId="757291277">
    <w:abstractNumId w:val="27"/>
  </w:num>
  <w:num w:numId="23" w16cid:durableId="1781562961">
    <w:abstractNumId w:val="29"/>
  </w:num>
  <w:num w:numId="24" w16cid:durableId="1770471421">
    <w:abstractNumId w:val="11"/>
  </w:num>
  <w:num w:numId="25" w16cid:durableId="594823733">
    <w:abstractNumId w:val="18"/>
  </w:num>
  <w:num w:numId="26" w16cid:durableId="1890258346">
    <w:abstractNumId w:val="2"/>
  </w:num>
  <w:num w:numId="27" w16cid:durableId="1649245800">
    <w:abstractNumId w:val="24"/>
  </w:num>
  <w:num w:numId="28" w16cid:durableId="611791289">
    <w:abstractNumId w:val="1"/>
  </w:num>
  <w:num w:numId="29" w16cid:durableId="481896344">
    <w:abstractNumId w:val="10"/>
  </w:num>
  <w:num w:numId="30" w16cid:durableId="803155715">
    <w:abstractNumId w:val="16"/>
  </w:num>
  <w:num w:numId="31" w16cid:durableId="20250080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802"/>
    <w:rsid w:val="00004386"/>
    <w:rsid w:val="000350EA"/>
    <w:rsid w:val="00051253"/>
    <w:rsid w:val="0006343F"/>
    <w:rsid w:val="00091CDE"/>
    <w:rsid w:val="00097FDB"/>
    <w:rsid w:val="000B14BF"/>
    <w:rsid w:val="000D0826"/>
    <w:rsid w:val="0010323F"/>
    <w:rsid w:val="00131DAC"/>
    <w:rsid w:val="001330D1"/>
    <w:rsid w:val="00146A54"/>
    <w:rsid w:val="00166A65"/>
    <w:rsid w:val="001C0643"/>
    <w:rsid w:val="001C7C0D"/>
    <w:rsid w:val="001D42A3"/>
    <w:rsid w:val="0022056F"/>
    <w:rsid w:val="00237F9E"/>
    <w:rsid w:val="002541D7"/>
    <w:rsid w:val="002667F9"/>
    <w:rsid w:val="0028574E"/>
    <w:rsid w:val="002B1197"/>
    <w:rsid w:val="002B1DA1"/>
    <w:rsid w:val="002F3CB0"/>
    <w:rsid w:val="0032209B"/>
    <w:rsid w:val="0034231B"/>
    <w:rsid w:val="00351237"/>
    <w:rsid w:val="0039096A"/>
    <w:rsid w:val="003B16BD"/>
    <w:rsid w:val="003C2525"/>
    <w:rsid w:val="003C658E"/>
    <w:rsid w:val="0040222E"/>
    <w:rsid w:val="00433F1E"/>
    <w:rsid w:val="004602B0"/>
    <w:rsid w:val="00483B69"/>
    <w:rsid w:val="00486D5B"/>
    <w:rsid w:val="004A60C6"/>
    <w:rsid w:val="004B709A"/>
    <w:rsid w:val="004C305B"/>
    <w:rsid w:val="004D4365"/>
    <w:rsid w:val="004D78D6"/>
    <w:rsid w:val="005041F2"/>
    <w:rsid w:val="0051089F"/>
    <w:rsid w:val="00536D0B"/>
    <w:rsid w:val="00575184"/>
    <w:rsid w:val="005A49BC"/>
    <w:rsid w:val="005E0AF0"/>
    <w:rsid w:val="005F3891"/>
    <w:rsid w:val="006110C1"/>
    <w:rsid w:val="0062070A"/>
    <w:rsid w:val="006444BE"/>
    <w:rsid w:val="00652447"/>
    <w:rsid w:val="00652917"/>
    <w:rsid w:val="006B140F"/>
    <w:rsid w:val="006E1B8C"/>
    <w:rsid w:val="006E21D3"/>
    <w:rsid w:val="00700B89"/>
    <w:rsid w:val="007020B6"/>
    <w:rsid w:val="00703C04"/>
    <w:rsid w:val="007238E4"/>
    <w:rsid w:val="00760E7F"/>
    <w:rsid w:val="00763DEC"/>
    <w:rsid w:val="007645CA"/>
    <w:rsid w:val="007854B3"/>
    <w:rsid w:val="00804B8E"/>
    <w:rsid w:val="00816802"/>
    <w:rsid w:val="00816ED3"/>
    <w:rsid w:val="008300C4"/>
    <w:rsid w:val="00847068"/>
    <w:rsid w:val="00866175"/>
    <w:rsid w:val="00880D84"/>
    <w:rsid w:val="00886A7F"/>
    <w:rsid w:val="0089265E"/>
    <w:rsid w:val="008A241B"/>
    <w:rsid w:val="008A3002"/>
    <w:rsid w:val="008B221E"/>
    <w:rsid w:val="008B4CDA"/>
    <w:rsid w:val="008D3B01"/>
    <w:rsid w:val="008F02E9"/>
    <w:rsid w:val="00931E90"/>
    <w:rsid w:val="00951BFC"/>
    <w:rsid w:val="009534DF"/>
    <w:rsid w:val="00974E35"/>
    <w:rsid w:val="00986C4C"/>
    <w:rsid w:val="009B4965"/>
    <w:rsid w:val="009E306A"/>
    <w:rsid w:val="009E560E"/>
    <w:rsid w:val="00A04370"/>
    <w:rsid w:val="00A541E2"/>
    <w:rsid w:val="00A715CC"/>
    <w:rsid w:val="00AB0DC2"/>
    <w:rsid w:val="00B25313"/>
    <w:rsid w:val="00B5310B"/>
    <w:rsid w:val="00B8735B"/>
    <w:rsid w:val="00B9028B"/>
    <w:rsid w:val="00BA1ACD"/>
    <w:rsid w:val="00BB115A"/>
    <w:rsid w:val="00BC5518"/>
    <w:rsid w:val="00BD625C"/>
    <w:rsid w:val="00C03781"/>
    <w:rsid w:val="00C15C71"/>
    <w:rsid w:val="00C23F56"/>
    <w:rsid w:val="00C24E46"/>
    <w:rsid w:val="00C510DE"/>
    <w:rsid w:val="00C55C4A"/>
    <w:rsid w:val="00C64949"/>
    <w:rsid w:val="00C6637A"/>
    <w:rsid w:val="00C67ADF"/>
    <w:rsid w:val="00C77C8F"/>
    <w:rsid w:val="00C87906"/>
    <w:rsid w:val="00CB4831"/>
    <w:rsid w:val="00CC71A7"/>
    <w:rsid w:val="00CD04F5"/>
    <w:rsid w:val="00D019FD"/>
    <w:rsid w:val="00D24198"/>
    <w:rsid w:val="00D37E96"/>
    <w:rsid w:val="00D44863"/>
    <w:rsid w:val="00D71BA7"/>
    <w:rsid w:val="00DA0796"/>
    <w:rsid w:val="00DB1C58"/>
    <w:rsid w:val="00DC2663"/>
    <w:rsid w:val="00DD2213"/>
    <w:rsid w:val="00DF2C79"/>
    <w:rsid w:val="00E01DB2"/>
    <w:rsid w:val="00E105EB"/>
    <w:rsid w:val="00E106D9"/>
    <w:rsid w:val="00E23C62"/>
    <w:rsid w:val="00E25EC3"/>
    <w:rsid w:val="00E26A4D"/>
    <w:rsid w:val="00E26F6A"/>
    <w:rsid w:val="00EB544D"/>
    <w:rsid w:val="00EC2373"/>
    <w:rsid w:val="00F40DE7"/>
    <w:rsid w:val="00F43B23"/>
    <w:rsid w:val="00F72C52"/>
    <w:rsid w:val="00F83F44"/>
    <w:rsid w:val="00F91BFB"/>
    <w:rsid w:val="00FA08BE"/>
    <w:rsid w:val="00FD3BAC"/>
    <w:rsid w:val="00FD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B34A9"/>
  <w15:chartTrackingRefBased/>
  <w15:docId w15:val="{0C29BA6F-0725-4ABA-BB66-925A9D5C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6802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1,Styl moj,aotm_załączniki,Akapit z listą11,Table Legend,Dot pt,F5 List Paragraph,List Paragraph1,No Spacing1,List Paragraph Char Char Char,Indicator Text,Colorful List - Accent 11,Numbered Para 1,Bullet 1,Bullet Points,MAIN CONTENT"/>
    <w:basedOn w:val="Normalny"/>
    <w:link w:val="AkapitzlistZnak"/>
    <w:uiPriority w:val="34"/>
    <w:qFormat/>
    <w:rsid w:val="008168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6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80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D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B01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2B1197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6A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6A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6A4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6A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6A4D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aliases w:val="Bullet1 Znak,Styl moj Znak,aotm_załączniki Znak,Akapit z listą11 Znak,Table Legend Znak,Dot pt Znak,F5 List Paragraph Znak,List Paragraph1 Znak,No Spacing1 Znak,List Paragraph Char Char Char Znak,Indicator Text Znak,Bullet 1 Znak"/>
    <w:basedOn w:val="Domylnaczcionkaakapitu"/>
    <w:link w:val="Akapitzlist"/>
    <w:uiPriority w:val="34"/>
    <w:qFormat/>
    <w:rsid w:val="002667F9"/>
    <w:rPr>
      <w:rFonts w:ascii="Calibri" w:eastAsia="Calibri" w:hAnsi="Calibri" w:cs="Times New Roman"/>
    </w:rPr>
  </w:style>
  <w:style w:type="paragraph" w:customStyle="1" w:styleId="Style2">
    <w:name w:val="Style2"/>
    <w:basedOn w:val="Normalny"/>
    <w:uiPriority w:val="99"/>
    <w:rsid w:val="002667F9"/>
    <w:pPr>
      <w:widowControl w:val="0"/>
      <w:suppressAutoHyphens w:val="0"/>
      <w:autoSpaceDE w:val="0"/>
      <w:adjustRightInd w:val="0"/>
      <w:spacing w:after="0" w:line="331" w:lineRule="exact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0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stycze&#324;%202024%20Wykresy%20od%20201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stycze&#324;%202024%20Wykresy%20od%20201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stycze&#324;%202024%20Wykresy%20od%20201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stycze&#324;%202024%20Wykresy%20wskazania%20od%20201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stycze&#324;%202024%20Wykresy%20wskazania%20od%202012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900" b="1" i="0" baseline="0">
                <a:solidFill>
                  <a:sysClr val="windowText" lastClr="000000"/>
                </a:solidFill>
                <a:effectLst/>
                <a:latin typeface="Lato" panose="020F0502020204030203" pitchFamily="34" charset="-18"/>
              </a:rPr>
              <a:t>Liczba nowych cząsteczko-wskazań </a:t>
            </a:r>
          </a:p>
          <a:p>
            <a:pPr>
              <a:defRPr sz="900">
                <a:solidFill>
                  <a:sysClr val="windowText" lastClr="000000"/>
                </a:solidFill>
                <a:latin typeface="Lato" panose="020F0502020204030203" pitchFamily="34" charset="-18"/>
              </a:defRPr>
            </a:pPr>
            <a:r>
              <a:rPr lang="pl-PL" sz="900" b="1" i="0" baseline="0">
                <a:solidFill>
                  <a:sysClr val="windowText" lastClr="000000"/>
                </a:solidFill>
                <a:effectLst/>
                <a:latin typeface="Lato" panose="020F0502020204030203" pitchFamily="34" charset="-18"/>
              </a:rPr>
              <a:t>- ONKO/NIEONKO</a:t>
            </a:r>
            <a:endParaRPr lang="pl-PL" sz="900">
              <a:solidFill>
                <a:sysClr val="windowText" lastClr="000000"/>
              </a:solidFill>
              <a:effectLst/>
              <a:latin typeface="Lato" panose="020F0502020204030203" pitchFamily="34" charset="-18"/>
            </a:endParaRPr>
          </a:p>
        </c:rich>
      </c:tx>
      <c:layout>
        <c:manualLayout>
          <c:xMode val="edge"/>
          <c:yMode val="edge"/>
          <c:x val="0.18127574444073968"/>
          <c:y val="3.022540637355952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5.3425535573771353E-2"/>
          <c:y val="0.13625000000000001"/>
          <c:w val="0.90787555464361747"/>
          <c:h val="0.69999188942583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ONKO_NIEONKO!$A$3</c:f>
              <c:strCache>
                <c:ptCount val="1"/>
                <c:pt idx="0">
                  <c:v>Wskazania onkologiczne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ONKO_NIEONKO!$C$2</c:f>
              <c:numCache>
                <c:formatCode>General</c:formatCode>
                <c:ptCount val="1"/>
                <c:pt idx="0">
                  <c:v>2023</c:v>
                </c:pt>
              </c:numCache>
            </c:numRef>
          </c:cat>
          <c:val>
            <c:numRef>
              <c:f>ONKO_NIEONKO!$C$3</c:f>
              <c:numCache>
                <c:formatCode>General</c:formatCode>
                <c:ptCount val="1"/>
                <c:pt idx="0">
                  <c:v>75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059A-45CB-9541-13D7D1B5C384}"/>
            </c:ext>
          </c:extLst>
        </c:ser>
        <c:ser>
          <c:idx val="1"/>
          <c:order val="1"/>
          <c:tx>
            <c:strRef>
              <c:f>ONKO_NIEONKO!$A$4</c:f>
              <c:strCache>
                <c:ptCount val="1"/>
                <c:pt idx="0">
                  <c:v>Wskazania nieonkologiczne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ONKO_NIEONKO!$C$2</c:f>
              <c:numCache>
                <c:formatCode>General</c:formatCode>
                <c:ptCount val="1"/>
                <c:pt idx="0">
                  <c:v>2023</c:v>
                </c:pt>
              </c:numCache>
            </c:numRef>
          </c:cat>
          <c:val>
            <c:numRef>
              <c:f>ONKO_NIEONKO!$C$4</c:f>
              <c:numCache>
                <c:formatCode>General</c:formatCode>
                <c:ptCount val="1"/>
                <c:pt idx="0">
                  <c:v>70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059A-45CB-9541-13D7D1B5C38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03835919"/>
        <c:axId val="703834671"/>
      </c:bar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0000085494199216E-2"/>
          <c:y val="0.92058396133959652"/>
          <c:w val="0.89999982901160158"/>
          <c:h val="6.65405021797168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Lao UI" panose="020B0502040204020203" pitchFamily="34" charset="0"/>
              </a:defRPr>
            </a:pPr>
            <a:r>
              <a:rPr lang="pl-PL" sz="900" b="1" i="0" baseline="0">
                <a:solidFill>
                  <a:sysClr val="windowText" lastClr="000000"/>
                </a:solidFill>
                <a:effectLst/>
                <a:latin typeface="Lato" panose="020F0502020204030203" pitchFamily="34" charset="-18"/>
                <a:cs typeface="Lao UI" panose="020B0502040204020203" pitchFamily="34" charset="0"/>
              </a:rPr>
              <a:t>Liczba nowych cząsteczko-wskazań </a:t>
            </a:r>
          </a:p>
          <a:p>
            <a:pPr>
              <a:defRPr sz="900">
                <a:solidFill>
                  <a:sysClr val="windowText" lastClr="000000"/>
                </a:solidFill>
                <a:latin typeface="Lato" panose="020F0502020204030203" pitchFamily="34" charset="-18"/>
                <a:cs typeface="Lao UI" panose="020B0502040204020203" pitchFamily="34" charset="0"/>
              </a:defRPr>
            </a:pPr>
            <a:r>
              <a:rPr lang="pl-PL" sz="900" b="1" i="0" baseline="0">
                <a:solidFill>
                  <a:sysClr val="windowText" lastClr="000000"/>
                </a:solidFill>
                <a:effectLst/>
                <a:latin typeface="Lato" panose="020F0502020204030203" pitchFamily="34" charset="-18"/>
                <a:cs typeface="Lao UI" panose="020B0502040204020203" pitchFamily="34" charset="0"/>
              </a:rPr>
              <a:t>- kategorie dostępności</a:t>
            </a:r>
            <a:endParaRPr lang="pl-PL" sz="900">
              <a:solidFill>
                <a:sysClr val="windowText" lastClr="000000"/>
              </a:solidFill>
              <a:effectLst/>
              <a:latin typeface="Lato" panose="020F0502020204030203" pitchFamily="34" charset="-18"/>
              <a:cs typeface="Lao UI" panose="020B0502040204020203" pitchFamily="34" charset="0"/>
            </a:endParaRPr>
          </a:p>
        </c:rich>
      </c:tx>
      <c:layout>
        <c:manualLayout>
          <c:xMode val="edge"/>
          <c:yMode val="edge"/>
          <c:x val="0.18996524761077321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Lao UI" panose="020B0502040204020203" pitchFamily="34" charset="0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4.1798159377862174E-2"/>
          <c:y val="0.13890153948612044"/>
          <c:w val="0.87610054933402659"/>
          <c:h val="0.7042064263539035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'Kategoria dostępności'!$A$5</c:f>
              <c:strCache>
                <c:ptCount val="1"/>
                <c:pt idx="0">
                  <c:v>Program lekowy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'Kategoria dostępności'!$C$2</c:f>
              <c:numCache>
                <c:formatCode>General</c:formatCode>
                <c:ptCount val="1"/>
                <c:pt idx="0">
                  <c:v>2023</c:v>
                </c:pt>
              </c:numCache>
            </c:numRef>
          </c:cat>
          <c:val>
            <c:numRef>
              <c:f>'Kategoria dostępności'!$C$5</c:f>
              <c:numCache>
                <c:formatCode>General</c:formatCode>
                <c:ptCount val="1"/>
                <c:pt idx="0">
                  <c:v>88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0816-4AC6-8735-C8EDD082A566}"/>
            </c:ext>
          </c:extLst>
        </c:ser>
        <c:ser>
          <c:idx val="1"/>
          <c:order val="1"/>
          <c:tx>
            <c:strRef>
              <c:f>'Kategoria dostępności'!$A$3</c:f>
              <c:strCache>
                <c:ptCount val="1"/>
                <c:pt idx="0">
                  <c:v>Apteka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'Kategoria dostępności'!$C$2</c:f>
              <c:numCache>
                <c:formatCode>General</c:formatCode>
                <c:ptCount val="1"/>
                <c:pt idx="0">
                  <c:v>2023</c:v>
                </c:pt>
              </c:numCache>
            </c:numRef>
          </c:cat>
          <c:val>
            <c:numRef>
              <c:f>'Kategoria dostępności'!$C$3</c:f>
              <c:numCache>
                <c:formatCode>General</c:formatCode>
                <c:ptCount val="1"/>
                <c:pt idx="0">
                  <c:v>40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0816-4AC6-8735-C8EDD082A566}"/>
            </c:ext>
          </c:extLst>
        </c:ser>
        <c:ser>
          <c:idx val="2"/>
          <c:order val="2"/>
          <c:tx>
            <c:strRef>
              <c:f>'Kategoria dostępności'!$A$4</c:f>
              <c:strCache>
                <c:ptCount val="1"/>
                <c:pt idx="0">
                  <c:v>Chemioterapia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'Kategoria dostępności'!$C$2</c:f>
              <c:numCache>
                <c:formatCode>General</c:formatCode>
                <c:ptCount val="1"/>
                <c:pt idx="0">
                  <c:v>2023</c:v>
                </c:pt>
              </c:numCache>
            </c:numRef>
          </c:cat>
          <c:val>
            <c:numRef>
              <c:f>'Kategoria dostępności'!$C$4</c:f>
              <c:numCache>
                <c:formatCode>General</c:formatCode>
                <c:ptCount val="1"/>
                <c:pt idx="0">
                  <c:v>17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0816-4AC6-8735-C8EDD082A56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88787007"/>
        <c:axId val="1288791583"/>
      </c:barChart>
      <c:catAx>
        <c:axId val="12887870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1288791583"/>
        <c:crosses val="autoZero"/>
        <c:auto val="1"/>
        <c:lblAlgn val="ctr"/>
        <c:lblOffset val="100"/>
        <c:noMultiLvlLbl val="0"/>
      </c:catAx>
      <c:valAx>
        <c:axId val="1288791583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12887870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05"/>
          <c:y val="0.91588223620701836"/>
          <c:w val="0.9"/>
          <c:h val="7.130272748371212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900">
                <a:solidFill>
                  <a:sysClr val="windowText" lastClr="000000"/>
                </a:solidFill>
                <a:latin typeface="Lato" panose="020F0502020204030203" pitchFamily="34" charset="-18"/>
              </a:rPr>
              <a:t>Liczba nowych cząsteczko-wskazań </a:t>
            </a:r>
          </a:p>
          <a:p>
            <a:pPr>
              <a:defRPr sz="900">
                <a:solidFill>
                  <a:sysClr val="windowText" lastClr="000000"/>
                </a:solidFill>
                <a:latin typeface="Lato" panose="020F0502020204030203" pitchFamily="34" charset="-18"/>
              </a:defRPr>
            </a:pPr>
            <a:r>
              <a:rPr lang="pl-PL" sz="900">
                <a:solidFill>
                  <a:sysClr val="windowText" lastClr="000000"/>
                </a:solidFill>
                <a:latin typeface="Lato" panose="020F0502020204030203" pitchFamily="34" charset="-18"/>
              </a:rPr>
              <a:t>- wskazania rzadkie</a:t>
            </a:r>
          </a:p>
        </c:rich>
      </c:tx>
      <c:layout>
        <c:manualLayout>
          <c:xMode val="edge"/>
          <c:yMode val="edge"/>
          <c:x val="0.20685469625048536"/>
          <c:y val="4.7284276580035183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11040272564774362"/>
          <c:y val="0.13741505254645636"/>
          <c:w val="0.87182739429894673"/>
          <c:h val="0.711502960917892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'Wskazania rzadkie'!$A$3</c:f>
              <c:strCache>
                <c:ptCount val="1"/>
                <c:pt idx="0">
                  <c:v>Wskazanie rzadkie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'Wskazania rzadkie'!$C$2</c:f>
              <c:numCache>
                <c:formatCode>General</c:formatCode>
                <c:ptCount val="1"/>
                <c:pt idx="0">
                  <c:v>2023</c:v>
                </c:pt>
              </c:numCache>
            </c:numRef>
          </c:cat>
          <c:val>
            <c:numRef>
              <c:f>'Wskazania rzadkie'!$C$3</c:f>
              <c:numCache>
                <c:formatCode>General</c:formatCode>
                <c:ptCount val="1"/>
                <c:pt idx="0">
                  <c:v>43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D928-453A-AF4A-DCC3D769FAE8}"/>
            </c:ext>
          </c:extLst>
        </c:ser>
        <c:ser>
          <c:idx val="1"/>
          <c:order val="1"/>
          <c:tx>
            <c:strRef>
              <c:f>'Wskazania rzadkie'!$A$4</c:f>
              <c:strCache>
                <c:ptCount val="1"/>
                <c:pt idx="0">
                  <c:v>Pozostałe</c:v>
                </c:pt>
              </c:strCache>
              <c:extLst xmlns:c15="http://schemas.microsoft.com/office/drawing/2012/chart"/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'Wskazania rzadkie'!$C$2</c:f>
              <c:numCache>
                <c:formatCode>General</c:formatCode>
                <c:ptCount val="1"/>
                <c:pt idx="0">
                  <c:v>2023</c:v>
                </c:pt>
              </c:numCache>
            </c:numRef>
          </c:cat>
          <c:val>
            <c:numRef>
              <c:f>'Wskazania rzadkie'!$C$4</c:f>
              <c:numCache>
                <c:formatCode>General</c:formatCode>
                <c:ptCount val="1"/>
                <c:pt idx="0">
                  <c:v>102</c:v>
                </c:pt>
              </c:numCache>
              <c:extLst/>
            </c:numRef>
          </c:val>
          <c:extLst xmlns:c15="http://schemas.microsoft.com/office/drawing/2012/chart">
            <c:ext xmlns:c16="http://schemas.microsoft.com/office/drawing/2014/chart" uri="{C3380CC4-5D6E-409C-BE32-E72D297353CC}">
              <c16:uniqueId val="{00000001-D928-453A-AF4A-DCC3D769FAE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03837167"/>
        <c:axId val="703834255"/>
        <c:extLst/>
      </c:barChart>
      <c:catAx>
        <c:axId val="7038371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4255"/>
        <c:crosses val="autoZero"/>
        <c:auto val="1"/>
        <c:lblAlgn val="ctr"/>
        <c:lblOffset val="100"/>
        <c:noMultiLvlLbl val="0"/>
      </c:catAx>
      <c:valAx>
        <c:axId val="7038342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71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8611185929613086"/>
          <c:y val="0.92556267485488408"/>
          <c:w val="0.62777628140773833"/>
          <c:h val="6.593211570433346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spc="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900" b="1">
                <a:solidFill>
                  <a:sysClr val="windowText" lastClr="000000"/>
                </a:solidFill>
                <a:latin typeface="Lato" panose="020F0502020204030203" pitchFamily="34" charset="-18"/>
              </a:rPr>
              <a:t>Cząsteczko-wskazania onkologiczne w 2023 r.</a:t>
            </a:r>
          </a:p>
        </c:rich>
      </c:tx>
      <c:layout>
        <c:manualLayout>
          <c:xMode val="edge"/>
          <c:yMode val="edge"/>
          <c:x val="0.24002162622294568"/>
          <c:y val="9.084620236423934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spc="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13582997522272922"/>
          <c:y val="0.1039712574687854"/>
          <c:w val="0.84009663854336591"/>
          <c:h val="0.80977910706898071"/>
        </c:manualLayout>
      </c:layout>
      <c:barChart>
        <c:barDir val="bar"/>
        <c:grouping val="clustered"/>
        <c:varyColors val="0"/>
        <c:ser>
          <c:idx val="11"/>
          <c:order val="1"/>
          <c:tx>
            <c:strRef>
              <c:f>'onko_2012_-_2024'!$C$2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cat>
            <c:strRef>
              <c:f>('onko_2012_-_2024'!$A$3:$A$9,'onko_2012_-_2024'!$A$11:$A$12)</c:f>
              <c:strCache>
                <c:ptCount val="9"/>
                <c:pt idx="0">
                  <c:v>Inne</c:v>
                </c:pt>
                <c:pt idx="1">
                  <c:v>Nowotwory układu 
urologicznego</c:v>
                </c:pt>
                <c:pt idx="2">
                  <c:v>Nowotwory układu 
pokarmowego</c:v>
                </c:pt>
                <c:pt idx="3">
                  <c:v>Nowotwory układu 
oddechowego</c:v>
                </c:pt>
                <c:pt idx="4">
                  <c:v>Nowotwory układu 
endokrynnego</c:v>
                </c:pt>
                <c:pt idx="5">
                  <c:v>Nowotwory skóry</c:v>
                </c:pt>
                <c:pt idx="6">
                  <c:v>Nowotwory nerki</c:v>
                </c:pt>
                <c:pt idx="7">
                  <c:v>Nowotwory 
ginekologiczne</c:v>
                </c:pt>
                <c:pt idx="8">
                  <c:v>Hematoonkologia</c:v>
                </c:pt>
              </c:strCache>
              <c:extLst/>
            </c:strRef>
          </c:cat>
          <c:val>
            <c:numRef>
              <c:f>('onko_2012_-_2024'!$C$3:$C$9,'onko_2012_-_2024'!$C$11:$C$12)</c:f>
              <c:numCache>
                <c:formatCode>General</c:formatCode>
                <c:ptCount val="9"/>
                <c:pt idx="0">
                  <c:v>5</c:v>
                </c:pt>
                <c:pt idx="1">
                  <c:v>8</c:v>
                </c:pt>
                <c:pt idx="2">
                  <c:v>9</c:v>
                </c:pt>
                <c:pt idx="3">
                  <c:v>11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11</c:v>
                </c:pt>
                <c:pt idx="8">
                  <c:v>28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8E48-4E84-8902-D4B8819209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1046271"/>
        <c:axId val="751054175"/>
        <c:extLst>
          <c:ext xmlns:c15="http://schemas.microsoft.com/office/drawing/2012/chart" uri="{02D57815-91ED-43cb-92C2-25804820EDAC}">
            <c15:filteredBarSeries>
              <c15:ser>
                <c:idx val="12"/>
                <c:order val="0"/>
                <c:tx>
                  <c:strRef>
                    <c:extLst>
                      <c:ext uri="{02D57815-91ED-43cb-92C2-25804820EDAC}">
                        <c15:formulaRef>
                          <c15:sqref>'onko_2012_-_2024'!$B$2</c15:sqref>
                        </c15:formulaRef>
                      </c:ext>
                    </c:extLst>
                    <c:strCache>
                      <c:ptCount val="1"/>
                      <c:pt idx="0">
                        <c:v>2024
(stan na styczeń)</c:v>
                      </c:pt>
                    </c:strCache>
                  </c:strRef>
                </c:tx>
                <c:spPr>
                  <a:solidFill>
                    <a:schemeClr val="accent1">
                      <a:lumMod val="80000"/>
                      <a:lumOff val="2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('onko_2012_-_2024'!$A$3:$A$9,'onko_2012_-_2024'!$A$11:$A$12)</c15:sqref>
                        </c15:formulaRef>
                      </c:ext>
                    </c:extLst>
                    <c:strCache>
                      <c:ptCount val="9"/>
                      <c:pt idx="0">
                        <c:v>Inne</c:v>
                      </c:pt>
                      <c:pt idx="1">
                        <c:v>Nowotwory układu 
urologicznego</c:v>
                      </c:pt>
                      <c:pt idx="2">
                        <c:v>Nowotwory układu 
pokarmowego</c:v>
                      </c:pt>
                      <c:pt idx="3">
                        <c:v>Nowotwory układu 
oddechowego</c:v>
                      </c:pt>
                      <c:pt idx="4">
                        <c:v>Nowotwory układu 
endokrynnego</c:v>
                      </c:pt>
                      <c:pt idx="5">
                        <c:v>Nowotwory skóry</c:v>
                      </c:pt>
                      <c:pt idx="6">
                        <c:v>Nowotwory nerki</c:v>
                      </c:pt>
                      <c:pt idx="7">
                        <c:v>Nowotwory 
ginekologiczne</c:v>
                      </c:pt>
                      <c:pt idx="8">
                        <c:v>Hematoonkologia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('onko_2012_-_2024'!$B$3:$B$9,'onko_2012_-_2024'!$B$11:$B$12)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1</c:v>
                      </c:pt>
                      <c:pt idx="1">
                        <c:v>1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1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  <c:pt idx="8">
                        <c:v>5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8E48-4E84-8902-D4B88192092F}"/>
                  </c:ext>
                </c:extLst>
              </c15:ser>
            </c15:filteredBarSeries>
            <c15:filteredBarSeries>
              <c15:ser>
                <c:idx val="10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'onko_2012_-_2024'!$D$2</c15:sqref>
                        </c15:formulaRef>
                      </c:ext>
                    </c:extLst>
                    <c:strCache>
                      <c:ptCount val="1"/>
                      <c:pt idx="0">
                        <c:v>2022</c:v>
                      </c:pt>
                    </c:strCache>
                  </c:strRef>
                </c:tx>
                <c:spPr>
                  <a:solidFill>
                    <a:schemeClr val="accent5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('onko_2012_-_2024'!$A$3:$A$9,'onko_2012_-_2024'!$A$11:$A$12)</c15:sqref>
                        </c15:formulaRef>
                      </c:ext>
                    </c:extLst>
                    <c:strCache>
                      <c:ptCount val="9"/>
                      <c:pt idx="0">
                        <c:v>Inne</c:v>
                      </c:pt>
                      <c:pt idx="1">
                        <c:v>Nowotwory układu 
urologicznego</c:v>
                      </c:pt>
                      <c:pt idx="2">
                        <c:v>Nowotwory układu 
pokarmowego</c:v>
                      </c:pt>
                      <c:pt idx="3">
                        <c:v>Nowotwory układu 
oddechowego</c:v>
                      </c:pt>
                      <c:pt idx="4">
                        <c:v>Nowotwory układu 
endokrynnego</c:v>
                      </c:pt>
                      <c:pt idx="5">
                        <c:v>Nowotwory skóry</c:v>
                      </c:pt>
                      <c:pt idx="6">
                        <c:v>Nowotwory nerki</c:v>
                      </c:pt>
                      <c:pt idx="7">
                        <c:v>Nowotwory 
ginekologiczne</c:v>
                      </c:pt>
                      <c:pt idx="8">
                        <c:v>Hematoonkologia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('onko_2012_-_2024'!$D$3:$D$9,'onko_2012_-_2024'!$D$11:$D$12)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3</c:v>
                      </c:pt>
                      <c:pt idx="1">
                        <c:v>4</c:v>
                      </c:pt>
                      <c:pt idx="2">
                        <c:v>3</c:v>
                      </c:pt>
                      <c:pt idx="3">
                        <c:v>0</c:v>
                      </c:pt>
                      <c:pt idx="4">
                        <c:v>3</c:v>
                      </c:pt>
                      <c:pt idx="5">
                        <c:v>0</c:v>
                      </c:pt>
                      <c:pt idx="6">
                        <c:v>5</c:v>
                      </c:pt>
                      <c:pt idx="7">
                        <c:v>7</c:v>
                      </c:pt>
                      <c:pt idx="8">
                        <c:v>14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8E48-4E84-8902-D4B88192092F}"/>
                  </c:ext>
                </c:extLst>
              </c15:ser>
            </c15:filteredBarSeries>
            <c15:filteredBarSeries>
              <c15:ser>
                <c:idx val="9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'onko_2012_-_2024'!$E$2</c15:sqref>
                        </c15:formulaRef>
                      </c:ext>
                    </c:extLst>
                    <c:strCache>
                      <c:ptCount val="1"/>
                      <c:pt idx="0">
                        <c:v>2021</c:v>
                      </c:pt>
                    </c:strCache>
                  </c:strRef>
                </c:tx>
                <c:spPr>
                  <a:solidFill>
                    <a:schemeClr val="accent4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('onko_2012_-_2024'!$A$3:$A$9,'onko_2012_-_2024'!$A$11:$A$12)</c15:sqref>
                        </c15:formulaRef>
                      </c:ext>
                    </c:extLst>
                    <c:strCache>
                      <c:ptCount val="9"/>
                      <c:pt idx="0">
                        <c:v>Inne</c:v>
                      </c:pt>
                      <c:pt idx="1">
                        <c:v>Nowotwory układu 
urologicznego</c:v>
                      </c:pt>
                      <c:pt idx="2">
                        <c:v>Nowotwory układu 
pokarmowego</c:v>
                      </c:pt>
                      <c:pt idx="3">
                        <c:v>Nowotwory układu 
oddechowego</c:v>
                      </c:pt>
                      <c:pt idx="4">
                        <c:v>Nowotwory układu 
endokrynnego</c:v>
                      </c:pt>
                      <c:pt idx="5">
                        <c:v>Nowotwory skóry</c:v>
                      </c:pt>
                      <c:pt idx="6">
                        <c:v>Nowotwory nerki</c:v>
                      </c:pt>
                      <c:pt idx="7">
                        <c:v>Nowotwory 
ginekologiczne</c:v>
                      </c:pt>
                      <c:pt idx="8">
                        <c:v>Hematoonkologia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('onko_2012_-_2024'!$E$3:$E$9,'onko_2012_-_2024'!$E$11:$E$12)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1</c:v>
                      </c:pt>
                      <c:pt idx="1">
                        <c:v>0</c:v>
                      </c:pt>
                      <c:pt idx="2">
                        <c:v>2</c:v>
                      </c:pt>
                      <c:pt idx="3">
                        <c:v>7</c:v>
                      </c:pt>
                      <c:pt idx="4">
                        <c:v>1</c:v>
                      </c:pt>
                      <c:pt idx="5">
                        <c:v>6</c:v>
                      </c:pt>
                      <c:pt idx="6">
                        <c:v>0</c:v>
                      </c:pt>
                      <c:pt idx="7">
                        <c:v>4</c:v>
                      </c:pt>
                      <c:pt idx="8">
                        <c:v>11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8E48-4E84-8902-D4B88192092F}"/>
                  </c:ext>
                </c:extLst>
              </c15:ser>
            </c15:filteredBarSeries>
            <c15:filteredBarSeries>
              <c15:ser>
                <c:idx val="8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'onko_2012_-_2024'!$F$2</c15:sqref>
                        </c15:formulaRef>
                      </c:ext>
                    </c:extLst>
                    <c:strCache>
                      <c:ptCount val="1"/>
                      <c:pt idx="0">
                        <c:v>2020</c:v>
                      </c:pt>
                    </c:strCache>
                  </c:strRef>
                </c:tx>
                <c:spPr>
                  <a:solidFill>
                    <a:schemeClr val="accent3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('onko_2012_-_2024'!$A$3:$A$9,'onko_2012_-_2024'!$A$11:$A$12)</c15:sqref>
                        </c15:formulaRef>
                      </c:ext>
                    </c:extLst>
                    <c:strCache>
                      <c:ptCount val="9"/>
                      <c:pt idx="0">
                        <c:v>Inne</c:v>
                      </c:pt>
                      <c:pt idx="1">
                        <c:v>Nowotwory układu 
urologicznego</c:v>
                      </c:pt>
                      <c:pt idx="2">
                        <c:v>Nowotwory układu 
pokarmowego</c:v>
                      </c:pt>
                      <c:pt idx="3">
                        <c:v>Nowotwory układu 
oddechowego</c:v>
                      </c:pt>
                      <c:pt idx="4">
                        <c:v>Nowotwory układu 
endokrynnego</c:v>
                      </c:pt>
                      <c:pt idx="5">
                        <c:v>Nowotwory skóry</c:v>
                      </c:pt>
                      <c:pt idx="6">
                        <c:v>Nowotwory nerki</c:v>
                      </c:pt>
                      <c:pt idx="7">
                        <c:v>Nowotwory 
ginekologiczne</c:v>
                      </c:pt>
                      <c:pt idx="8">
                        <c:v>Hematoonkologia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('onko_2012_-_2024'!$F$3:$F$9,'onko_2012_-_2024'!$F$11:$F$12)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2</c:v>
                      </c:pt>
                      <c:pt idx="1">
                        <c:v>0</c:v>
                      </c:pt>
                      <c:pt idx="2">
                        <c:v>1</c:v>
                      </c:pt>
                      <c:pt idx="3">
                        <c:v>4</c:v>
                      </c:pt>
                      <c:pt idx="4">
                        <c:v>1</c:v>
                      </c:pt>
                      <c:pt idx="5">
                        <c:v>2</c:v>
                      </c:pt>
                      <c:pt idx="6">
                        <c:v>0</c:v>
                      </c:pt>
                      <c:pt idx="7">
                        <c:v>6</c:v>
                      </c:pt>
                      <c:pt idx="8">
                        <c:v>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8E48-4E84-8902-D4B88192092F}"/>
                  </c:ext>
                </c:extLst>
              </c15:ser>
            </c15:filteredBarSeries>
            <c15:filteredBarSeries>
              <c15:ser>
                <c:idx val="7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'onko_2012_-_2024'!$G$2</c15:sqref>
                        </c15:formulaRef>
                      </c:ext>
                    </c:extLst>
                    <c:strCache>
                      <c:ptCount val="1"/>
                      <c:pt idx="0">
                        <c:v>2019</c:v>
                      </c:pt>
                    </c:strCache>
                  </c:strRef>
                </c:tx>
                <c:spPr>
                  <a:solidFill>
                    <a:schemeClr val="accent2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('onko_2012_-_2024'!$A$3:$A$9,'onko_2012_-_2024'!$A$11:$A$12)</c15:sqref>
                        </c15:formulaRef>
                      </c:ext>
                    </c:extLst>
                    <c:strCache>
                      <c:ptCount val="9"/>
                      <c:pt idx="0">
                        <c:v>Inne</c:v>
                      </c:pt>
                      <c:pt idx="1">
                        <c:v>Nowotwory układu 
urologicznego</c:v>
                      </c:pt>
                      <c:pt idx="2">
                        <c:v>Nowotwory układu 
pokarmowego</c:v>
                      </c:pt>
                      <c:pt idx="3">
                        <c:v>Nowotwory układu 
oddechowego</c:v>
                      </c:pt>
                      <c:pt idx="4">
                        <c:v>Nowotwory układu 
endokrynnego</c:v>
                      </c:pt>
                      <c:pt idx="5">
                        <c:v>Nowotwory skóry</c:v>
                      </c:pt>
                      <c:pt idx="6">
                        <c:v>Nowotwory nerki</c:v>
                      </c:pt>
                      <c:pt idx="7">
                        <c:v>Nowotwory 
ginekologiczne</c:v>
                      </c:pt>
                      <c:pt idx="8">
                        <c:v>Hematoonkologia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('onko_2012_-_2024'!$G$3:$G$9,'onko_2012_-_2024'!$G$11:$G$12)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0</c:v>
                      </c:pt>
                      <c:pt idx="1">
                        <c:v>0</c:v>
                      </c:pt>
                      <c:pt idx="2">
                        <c:v>1</c:v>
                      </c:pt>
                      <c:pt idx="3">
                        <c:v>3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4</c:v>
                      </c:pt>
                      <c:pt idx="8">
                        <c:v>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8E48-4E84-8902-D4B88192092F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'onko_2012_-_2024'!$H$2</c15:sqref>
                        </c15:formulaRef>
                      </c:ext>
                    </c:extLst>
                    <c:strCache>
                      <c:ptCount val="1"/>
                      <c:pt idx="0">
                        <c:v>2018</c:v>
                      </c:pt>
                    </c:strCache>
                  </c:strRef>
                </c:tx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('onko_2012_-_2024'!$A$3:$A$9,'onko_2012_-_2024'!$A$11:$A$12)</c15:sqref>
                        </c15:formulaRef>
                      </c:ext>
                    </c:extLst>
                    <c:strCache>
                      <c:ptCount val="9"/>
                      <c:pt idx="0">
                        <c:v>Inne</c:v>
                      </c:pt>
                      <c:pt idx="1">
                        <c:v>Nowotwory układu 
urologicznego</c:v>
                      </c:pt>
                      <c:pt idx="2">
                        <c:v>Nowotwory układu 
pokarmowego</c:v>
                      </c:pt>
                      <c:pt idx="3">
                        <c:v>Nowotwory układu 
oddechowego</c:v>
                      </c:pt>
                      <c:pt idx="4">
                        <c:v>Nowotwory układu 
endokrynnego</c:v>
                      </c:pt>
                      <c:pt idx="5">
                        <c:v>Nowotwory skóry</c:v>
                      </c:pt>
                      <c:pt idx="6">
                        <c:v>Nowotwory nerki</c:v>
                      </c:pt>
                      <c:pt idx="7">
                        <c:v>Nowotwory 
ginekologiczne</c:v>
                      </c:pt>
                      <c:pt idx="8">
                        <c:v>Hematoonkologia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('onko_2012_-_2024'!$H$3:$H$9,'onko_2012_-_2024'!$H$11:$H$12)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3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2</c:v>
                      </c:pt>
                      <c:pt idx="7">
                        <c:v>0</c:v>
                      </c:pt>
                      <c:pt idx="8">
                        <c:v>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8E48-4E84-8902-D4B88192092F}"/>
                  </c:ext>
                </c:extLst>
              </c15:ser>
            </c15:filteredBarSeries>
            <c15:filteredBarSeries>
              <c15:ser>
                <c:idx val="5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'onko_2012_-_2024'!$I$2</c15:sqref>
                        </c15:formulaRef>
                      </c:ext>
                    </c:extLst>
                    <c:strCache>
                      <c:ptCount val="1"/>
                      <c:pt idx="0">
                        <c:v>2017</c:v>
                      </c:pt>
                    </c:strCache>
                  </c:strRef>
                </c:tx>
                <c:spPr>
                  <a:solidFill>
                    <a:schemeClr val="accent6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('onko_2012_-_2024'!$A$3:$A$9,'onko_2012_-_2024'!$A$11:$A$12)</c15:sqref>
                        </c15:formulaRef>
                      </c:ext>
                    </c:extLst>
                    <c:strCache>
                      <c:ptCount val="9"/>
                      <c:pt idx="0">
                        <c:v>Inne</c:v>
                      </c:pt>
                      <c:pt idx="1">
                        <c:v>Nowotwory układu 
urologicznego</c:v>
                      </c:pt>
                      <c:pt idx="2">
                        <c:v>Nowotwory układu 
pokarmowego</c:v>
                      </c:pt>
                      <c:pt idx="3">
                        <c:v>Nowotwory układu 
oddechowego</c:v>
                      </c:pt>
                      <c:pt idx="4">
                        <c:v>Nowotwory układu 
endokrynnego</c:v>
                      </c:pt>
                      <c:pt idx="5">
                        <c:v>Nowotwory skóry</c:v>
                      </c:pt>
                      <c:pt idx="6">
                        <c:v>Nowotwory nerki</c:v>
                      </c:pt>
                      <c:pt idx="7">
                        <c:v>Nowotwory 
ginekologiczne</c:v>
                      </c:pt>
                      <c:pt idx="8">
                        <c:v>Hematoonkologia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('onko_2012_-_2024'!$I$3:$I$9,'onko_2012_-_2024'!$I$11:$I$12)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1</c:v>
                      </c:pt>
                      <c:pt idx="1">
                        <c:v>3</c:v>
                      </c:pt>
                      <c:pt idx="2">
                        <c:v>4</c:v>
                      </c:pt>
                      <c:pt idx="3">
                        <c:v>1</c:v>
                      </c:pt>
                      <c:pt idx="4">
                        <c:v>0</c:v>
                      </c:pt>
                      <c:pt idx="5">
                        <c:v>2</c:v>
                      </c:pt>
                      <c:pt idx="6">
                        <c:v>0</c:v>
                      </c:pt>
                      <c:pt idx="7">
                        <c:v>0</c:v>
                      </c:pt>
                      <c:pt idx="8">
                        <c:v>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8E48-4E84-8902-D4B88192092F}"/>
                  </c:ext>
                </c:extLst>
              </c15:ser>
            </c15:filteredBarSeries>
            <c15:filteredBarSeries>
              <c15:ser>
                <c:idx val="4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'onko_2012_-_2024'!$J$2</c15:sqref>
                        </c15:formulaRef>
                      </c:ext>
                    </c:extLst>
                    <c:strCache>
                      <c:ptCount val="1"/>
                      <c:pt idx="0">
                        <c:v>2016</c:v>
                      </c:pt>
                    </c:strCache>
                  </c:strRef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('onko_2012_-_2024'!$A$3:$A$9,'onko_2012_-_2024'!$A$11:$A$12)</c15:sqref>
                        </c15:formulaRef>
                      </c:ext>
                    </c:extLst>
                    <c:strCache>
                      <c:ptCount val="9"/>
                      <c:pt idx="0">
                        <c:v>Inne</c:v>
                      </c:pt>
                      <c:pt idx="1">
                        <c:v>Nowotwory układu 
urologicznego</c:v>
                      </c:pt>
                      <c:pt idx="2">
                        <c:v>Nowotwory układu 
pokarmowego</c:v>
                      </c:pt>
                      <c:pt idx="3">
                        <c:v>Nowotwory układu 
oddechowego</c:v>
                      </c:pt>
                      <c:pt idx="4">
                        <c:v>Nowotwory układu 
endokrynnego</c:v>
                      </c:pt>
                      <c:pt idx="5">
                        <c:v>Nowotwory skóry</c:v>
                      </c:pt>
                      <c:pt idx="6">
                        <c:v>Nowotwory nerki</c:v>
                      </c:pt>
                      <c:pt idx="7">
                        <c:v>Nowotwory 
ginekologiczne</c:v>
                      </c:pt>
                      <c:pt idx="8">
                        <c:v>Hematoonkologia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('onko_2012_-_2024'!$J$3:$J$9,'onko_2012_-_2024'!$J$11:$J$12)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1</c:v>
                      </c:pt>
                      <c:pt idx="4">
                        <c:v>0</c:v>
                      </c:pt>
                      <c:pt idx="5">
                        <c:v>2</c:v>
                      </c:pt>
                      <c:pt idx="6">
                        <c:v>1</c:v>
                      </c:pt>
                      <c:pt idx="7">
                        <c:v>2</c:v>
                      </c:pt>
                      <c:pt idx="8">
                        <c:v>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8E48-4E84-8902-D4B88192092F}"/>
                  </c:ext>
                </c:extLst>
              </c15:ser>
            </c15:filteredBarSeries>
            <c15:filteredBarSeries>
              <c15:ser>
                <c:idx val="3"/>
                <c:order val="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'onko_2012_-_2024'!$K$2</c15:sqref>
                        </c15:formulaRef>
                      </c:ext>
                    </c:extLst>
                    <c:strCache>
                      <c:ptCount val="1"/>
                      <c:pt idx="0">
                        <c:v>2015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('onko_2012_-_2024'!$A$3:$A$9,'onko_2012_-_2024'!$A$11:$A$12)</c15:sqref>
                        </c15:formulaRef>
                      </c:ext>
                    </c:extLst>
                    <c:strCache>
                      <c:ptCount val="9"/>
                      <c:pt idx="0">
                        <c:v>Inne</c:v>
                      </c:pt>
                      <c:pt idx="1">
                        <c:v>Nowotwory układu 
urologicznego</c:v>
                      </c:pt>
                      <c:pt idx="2">
                        <c:v>Nowotwory układu 
pokarmowego</c:v>
                      </c:pt>
                      <c:pt idx="3">
                        <c:v>Nowotwory układu 
oddechowego</c:v>
                      </c:pt>
                      <c:pt idx="4">
                        <c:v>Nowotwory układu 
endokrynnego</c:v>
                      </c:pt>
                      <c:pt idx="5">
                        <c:v>Nowotwory skóry</c:v>
                      </c:pt>
                      <c:pt idx="6">
                        <c:v>Nowotwory nerki</c:v>
                      </c:pt>
                      <c:pt idx="7">
                        <c:v>Nowotwory 
ginekologiczne</c:v>
                      </c:pt>
                      <c:pt idx="8">
                        <c:v>Hematoonkologia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('onko_2012_-_2024'!$K$3:$K$9,'onko_2012_-_2024'!$K$11:$K$12)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3</c:v>
                      </c:pt>
                      <c:pt idx="1">
                        <c:v>0</c:v>
                      </c:pt>
                      <c:pt idx="2">
                        <c:v>4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1</c:v>
                      </c:pt>
                      <c:pt idx="6">
                        <c:v>0</c:v>
                      </c:pt>
                      <c:pt idx="7">
                        <c:v>1</c:v>
                      </c:pt>
                      <c:pt idx="8">
                        <c:v>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8E48-4E84-8902-D4B88192092F}"/>
                  </c:ext>
                </c:extLst>
              </c15:ser>
            </c15:filteredBarSeries>
            <c15:filteredBarSeries>
              <c15:ser>
                <c:idx val="2"/>
                <c:order val="1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'onko_2012_-_2024'!$L$2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('onko_2012_-_2024'!$A$3:$A$9,'onko_2012_-_2024'!$A$11:$A$12)</c15:sqref>
                        </c15:formulaRef>
                      </c:ext>
                    </c:extLst>
                    <c:strCache>
                      <c:ptCount val="9"/>
                      <c:pt idx="0">
                        <c:v>Inne</c:v>
                      </c:pt>
                      <c:pt idx="1">
                        <c:v>Nowotwory układu 
urologicznego</c:v>
                      </c:pt>
                      <c:pt idx="2">
                        <c:v>Nowotwory układu 
pokarmowego</c:v>
                      </c:pt>
                      <c:pt idx="3">
                        <c:v>Nowotwory układu 
oddechowego</c:v>
                      </c:pt>
                      <c:pt idx="4">
                        <c:v>Nowotwory układu 
endokrynnego</c:v>
                      </c:pt>
                      <c:pt idx="5">
                        <c:v>Nowotwory skóry</c:v>
                      </c:pt>
                      <c:pt idx="6">
                        <c:v>Nowotwory nerki</c:v>
                      </c:pt>
                      <c:pt idx="7">
                        <c:v>Nowotwory 
ginekologiczne</c:v>
                      </c:pt>
                      <c:pt idx="8">
                        <c:v>Hematoonkologia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('onko_2012_-_2024'!$L$3:$L$9,'onko_2012_-_2024'!$L$11:$L$12)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10</c:v>
                      </c:pt>
                      <c:pt idx="1">
                        <c:v>1</c:v>
                      </c:pt>
                      <c:pt idx="2">
                        <c:v>6</c:v>
                      </c:pt>
                      <c:pt idx="3">
                        <c:v>1</c:v>
                      </c:pt>
                      <c:pt idx="4">
                        <c:v>1</c:v>
                      </c:pt>
                      <c:pt idx="5">
                        <c:v>2</c:v>
                      </c:pt>
                      <c:pt idx="6">
                        <c:v>1</c:v>
                      </c:pt>
                      <c:pt idx="7">
                        <c:v>1</c:v>
                      </c:pt>
                      <c:pt idx="8">
                        <c:v>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8E48-4E84-8902-D4B88192092F}"/>
                  </c:ext>
                </c:extLst>
              </c15:ser>
            </c15:filteredBarSeries>
            <c15:filteredBarSeries>
              <c15:ser>
                <c:idx val="1"/>
                <c:order val="1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'onko_2012_-_2024'!$M$2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('onko_2012_-_2024'!$A$3:$A$9,'onko_2012_-_2024'!$A$11:$A$12)</c15:sqref>
                        </c15:formulaRef>
                      </c:ext>
                    </c:extLst>
                    <c:strCache>
                      <c:ptCount val="9"/>
                      <c:pt idx="0">
                        <c:v>Inne</c:v>
                      </c:pt>
                      <c:pt idx="1">
                        <c:v>Nowotwory układu 
urologicznego</c:v>
                      </c:pt>
                      <c:pt idx="2">
                        <c:v>Nowotwory układu 
pokarmowego</c:v>
                      </c:pt>
                      <c:pt idx="3">
                        <c:v>Nowotwory układu 
oddechowego</c:v>
                      </c:pt>
                      <c:pt idx="4">
                        <c:v>Nowotwory układu 
endokrynnego</c:v>
                      </c:pt>
                      <c:pt idx="5">
                        <c:v>Nowotwory skóry</c:v>
                      </c:pt>
                      <c:pt idx="6">
                        <c:v>Nowotwory nerki</c:v>
                      </c:pt>
                      <c:pt idx="7">
                        <c:v>Nowotwory 
ginekologiczne</c:v>
                      </c:pt>
                      <c:pt idx="8">
                        <c:v>Hematoonkologia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('onko_2012_-_2024'!$M$3:$M$9,'onko_2012_-_2024'!$M$11:$M$12)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1</c:v>
                      </c:pt>
                      <c:pt idx="4">
                        <c:v>2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1</c:v>
                      </c:pt>
                      <c:pt idx="8">
                        <c:v>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B-8E48-4E84-8902-D4B88192092F}"/>
                  </c:ext>
                </c:extLst>
              </c15:ser>
            </c15:filteredBarSeries>
            <c15:filteredBarSeries>
              <c15:ser>
                <c:idx val="0"/>
                <c:order val="1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'onko_2012_-_2024'!$N$2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('onko_2012_-_2024'!$A$3:$A$9,'onko_2012_-_2024'!$A$11:$A$12)</c15:sqref>
                        </c15:formulaRef>
                      </c:ext>
                    </c:extLst>
                    <c:strCache>
                      <c:ptCount val="9"/>
                      <c:pt idx="0">
                        <c:v>Inne</c:v>
                      </c:pt>
                      <c:pt idx="1">
                        <c:v>Nowotwory układu 
urologicznego</c:v>
                      </c:pt>
                      <c:pt idx="2">
                        <c:v>Nowotwory układu 
pokarmowego</c:v>
                      </c:pt>
                      <c:pt idx="3">
                        <c:v>Nowotwory układu 
oddechowego</c:v>
                      </c:pt>
                      <c:pt idx="4">
                        <c:v>Nowotwory układu 
endokrynnego</c:v>
                      </c:pt>
                      <c:pt idx="5">
                        <c:v>Nowotwory skóry</c:v>
                      </c:pt>
                      <c:pt idx="6">
                        <c:v>Nowotwory nerki</c:v>
                      </c:pt>
                      <c:pt idx="7">
                        <c:v>Nowotwory 
ginekologiczne</c:v>
                      </c:pt>
                      <c:pt idx="8">
                        <c:v>Hematoonkologia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('onko_2012_-_2024'!$N$3:$N$9,'onko_2012_-_2024'!$N$11:$N$12)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3</c:v>
                      </c:pt>
                      <c:pt idx="1">
                        <c:v>1</c:v>
                      </c:pt>
                      <c:pt idx="2">
                        <c:v>0</c:v>
                      </c:pt>
                      <c:pt idx="3">
                        <c:v>2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2</c:v>
                      </c:pt>
                      <c:pt idx="8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8E48-4E84-8902-D4B88192092F}"/>
                  </c:ext>
                </c:extLst>
              </c15:ser>
            </c15:filteredBarSeries>
          </c:ext>
        </c:extLst>
      </c:barChart>
      <c:valAx>
        <c:axId val="75105417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51046271"/>
        <c:crosses val="autoZero"/>
        <c:crossBetween val="between"/>
        <c:majorUnit val="2"/>
      </c:valAx>
      <c:catAx>
        <c:axId val="751046271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5105417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spc="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900" b="1">
                <a:latin typeface="Lato" panose="020F0502020204030203" pitchFamily="34" charset="-18"/>
              </a:rPr>
              <a:t>Cząsteczko-wskazania nieonkologiczne w 2023 r.</a:t>
            </a:r>
          </a:p>
        </c:rich>
      </c:tx>
      <c:layout>
        <c:manualLayout>
          <c:xMode val="edge"/>
          <c:yMode val="edge"/>
          <c:x val="0.22068563092633112"/>
          <c:y val="8.6281276962899053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spc="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24738821003380143"/>
          <c:y val="9.2432584605147541E-2"/>
          <c:w val="0.71971644292647063"/>
          <c:h val="0.83665350065261346"/>
        </c:manualLayout>
      </c:layout>
      <c:barChart>
        <c:barDir val="bar"/>
        <c:grouping val="clustered"/>
        <c:varyColors val="0"/>
        <c:ser>
          <c:idx val="1"/>
          <c:order val="1"/>
          <c:tx>
            <c:strRef>
              <c:f>'nieonko_2012_-_2024'!$C$2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cat>
            <c:strRef>
              <c:f>('nieonko_2012_-_2024'!$A$3:$A$11,'nieonko_2012_-_2024'!$A$13,'nieonko_2012_-_2024'!$A$15:$A$21)</c:f>
              <c:strCache>
                <c:ptCount val="17"/>
                <c:pt idx="0">
                  <c:v>Urologia</c:v>
                </c:pt>
                <c:pt idx="1">
                  <c:v>Reumatologia</c:v>
                </c:pt>
                <c:pt idx="2">
                  <c:v>Pulmonologia</c:v>
                </c:pt>
                <c:pt idx="3">
                  <c:v>Psychiatria</c:v>
                </c:pt>
                <c:pt idx="4">
                  <c:v>Okulistyka</c:v>
                </c:pt>
                <c:pt idx="5">
                  <c:v>Neurologia</c:v>
                </c:pt>
                <c:pt idx="6">
                  <c:v>Nefrologia </c:v>
                </c:pt>
                <c:pt idx="7">
                  <c:v>Kardiologia</c:v>
                </c:pt>
                <c:pt idx="8">
                  <c:v>Immunologia</c:v>
                </c:pt>
                <c:pt idx="9">
                  <c:v>Hematologia</c:v>
                </c:pt>
                <c:pt idx="10">
                  <c:v>Gastroenterologia</c:v>
                </c:pt>
                <c:pt idx="11">
                  <c:v>Endokrynologia</c:v>
                </c:pt>
                <c:pt idx="12">
                  <c:v>Diabetologia</c:v>
                </c:pt>
                <c:pt idx="13">
                  <c:v>Dermatologia</c:v>
                </c:pt>
                <c:pt idx="14">
                  <c:v>Choroby metaboliczne</c:v>
                </c:pt>
                <c:pt idx="15">
                  <c:v>Angiologia</c:v>
                </c:pt>
                <c:pt idx="16">
                  <c:v>Alergologia</c:v>
                </c:pt>
              </c:strCache>
              <c:extLst/>
            </c:strRef>
          </c:cat>
          <c:val>
            <c:numRef>
              <c:f>('nieonko_2012_-_2024'!$C$3:$C$11,'nieonko_2012_-_2024'!$C$13,'nieonko_2012_-_2024'!$C$15:$C$21)</c:f>
              <c:numCache>
                <c:formatCode>General</c:formatCode>
                <c:ptCount val="17"/>
                <c:pt idx="0">
                  <c:v>1</c:v>
                </c:pt>
                <c:pt idx="1">
                  <c:v>7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5</c:v>
                </c:pt>
                <c:pt idx="6">
                  <c:v>1</c:v>
                </c:pt>
                <c:pt idx="7">
                  <c:v>20</c:v>
                </c:pt>
                <c:pt idx="8">
                  <c:v>3</c:v>
                </c:pt>
                <c:pt idx="9">
                  <c:v>7</c:v>
                </c:pt>
                <c:pt idx="10">
                  <c:v>4</c:v>
                </c:pt>
                <c:pt idx="11">
                  <c:v>1</c:v>
                </c:pt>
                <c:pt idx="12">
                  <c:v>6</c:v>
                </c:pt>
                <c:pt idx="13">
                  <c:v>6</c:v>
                </c:pt>
                <c:pt idx="14">
                  <c:v>2</c:v>
                </c:pt>
                <c:pt idx="15">
                  <c:v>2</c:v>
                </c:pt>
                <c:pt idx="16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4D83-4305-9903-4DF248ABF2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1296495"/>
        <c:axId val="241294831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'nieonko_2012_-_2024'!$B$2</c15:sqref>
                        </c15:formulaRef>
                      </c:ext>
                    </c:extLst>
                    <c:strCache>
                      <c:ptCount val="1"/>
                      <c:pt idx="0">
                        <c:v>2024
(stan na styczeń)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('nieonko_2012_-_2024'!$A$3:$A$11,'nieonko_2012_-_2024'!$A$13,'nieonko_2012_-_2024'!$A$15:$A$21)</c15:sqref>
                        </c15:formulaRef>
                      </c:ext>
                    </c:extLst>
                    <c:strCache>
                      <c:ptCount val="17"/>
                      <c:pt idx="0">
                        <c:v>Urologia</c:v>
                      </c:pt>
                      <c:pt idx="1">
                        <c:v>Reumatologia</c:v>
                      </c:pt>
                      <c:pt idx="2">
                        <c:v>Pulmonologia</c:v>
                      </c:pt>
                      <c:pt idx="3">
                        <c:v>Psychiatria</c:v>
                      </c:pt>
                      <c:pt idx="4">
                        <c:v>Okulistyka</c:v>
                      </c:pt>
                      <c:pt idx="5">
                        <c:v>Neurologia</c:v>
                      </c:pt>
                      <c:pt idx="6">
                        <c:v>Nefrologia </c:v>
                      </c:pt>
                      <c:pt idx="7">
                        <c:v>Kardiologia</c:v>
                      </c:pt>
                      <c:pt idx="8">
                        <c:v>Immunologia</c:v>
                      </c:pt>
                      <c:pt idx="9">
                        <c:v>Hematologia</c:v>
                      </c:pt>
                      <c:pt idx="10">
                        <c:v>Gastroenterologia</c:v>
                      </c:pt>
                      <c:pt idx="11">
                        <c:v>Endokrynologia</c:v>
                      </c:pt>
                      <c:pt idx="12">
                        <c:v>Diabetologia</c:v>
                      </c:pt>
                      <c:pt idx="13">
                        <c:v>Dermatologia</c:v>
                      </c:pt>
                      <c:pt idx="14">
                        <c:v>Choroby metaboliczne</c:v>
                      </c:pt>
                      <c:pt idx="15">
                        <c:v>Angiologia</c:v>
                      </c:pt>
                      <c:pt idx="16">
                        <c:v>Alergologia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('nieonko_2012_-_2024'!$B$3:$B$11,'nieonko_2012_-_2024'!$B$13,'nieonko_2012_-_2024'!$B$15:$B$21)</c15:sqref>
                        </c15:formulaRef>
                      </c:ext>
                    </c:extLst>
                    <c:numCache>
                      <c:formatCode>General</c:formatCode>
                      <c:ptCount val="17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2</c:v>
                      </c:pt>
                      <c:pt idx="5">
                        <c:v>2</c:v>
                      </c:pt>
                      <c:pt idx="6">
                        <c:v>2</c:v>
                      </c:pt>
                      <c:pt idx="7">
                        <c:v>1</c:v>
                      </c:pt>
                      <c:pt idx="8">
                        <c:v>1</c:v>
                      </c:pt>
                      <c:pt idx="9">
                        <c:v>0</c:v>
                      </c:pt>
                      <c:pt idx="10">
                        <c:v>0</c:v>
                      </c:pt>
                      <c:pt idx="11">
                        <c:v>0</c:v>
                      </c:pt>
                      <c:pt idx="12">
                        <c:v>1</c:v>
                      </c:pt>
                      <c:pt idx="13">
                        <c:v>0</c:v>
                      </c:pt>
                      <c:pt idx="14">
                        <c:v>1</c:v>
                      </c:pt>
                      <c:pt idx="15">
                        <c:v>0</c:v>
                      </c:pt>
                      <c:pt idx="16">
                        <c:v>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4D83-4305-9903-4DF248ABF22A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'nieonko_2012_-_2024'!$D$2</c15:sqref>
                        </c15:formulaRef>
                      </c:ext>
                    </c:extLst>
                    <c:strCache>
                      <c:ptCount val="1"/>
                      <c:pt idx="0">
                        <c:v>2022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('nieonko_2012_-_2024'!$A$3:$A$11,'nieonko_2012_-_2024'!$A$13,'nieonko_2012_-_2024'!$A$15:$A$21)</c15:sqref>
                        </c15:formulaRef>
                      </c:ext>
                    </c:extLst>
                    <c:strCache>
                      <c:ptCount val="17"/>
                      <c:pt idx="0">
                        <c:v>Urologia</c:v>
                      </c:pt>
                      <c:pt idx="1">
                        <c:v>Reumatologia</c:v>
                      </c:pt>
                      <c:pt idx="2">
                        <c:v>Pulmonologia</c:v>
                      </c:pt>
                      <c:pt idx="3">
                        <c:v>Psychiatria</c:v>
                      </c:pt>
                      <c:pt idx="4">
                        <c:v>Okulistyka</c:v>
                      </c:pt>
                      <c:pt idx="5">
                        <c:v>Neurologia</c:v>
                      </c:pt>
                      <c:pt idx="6">
                        <c:v>Nefrologia </c:v>
                      </c:pt>
                      <c:pt idx="7">
                        <c:v>Kardiologia</c:v>
                      </c:pt>
                      <c:pt idx="8">
                        <c:v>Immunologia</c:v>
                      </c:pt>
                      <c:pt idx="9">
                        <c:v>Hematologia</c:v>
                      </c:pt>
                      <c:pt idx="10">
                        <c:v>Gastroenterologia</c:v>
                      </c:pt>
                      <c:pt idx="11">
                        <c:v>Endokrynologia</c:v>
                      </c:pt>
                      <c:pt idx="12">
                        <c:v>Diabetologia</c:v>
                      </c:pt>
                      <c:pt idx="13">
                        <c:v>Dermatologia</c:v>
                      </c:pt>
                      <c:pt idx="14">
                        <c:v>Choroby metaboliczne</c:v>
                      </c:pt>
                      <c:pt idx="15">
                        <c:v>Angiologia</c:v>
                      </c:pt>
                      <c:pt idx="16">
                        <c:v>Alergologia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('nieonko_2012_-_2024'!$D$3:$D$11,'nieonko_2012_-_2024'!$D$13,'nieonko_2012_-_2024'!$D$15:$D$21)</c15:sqref>
                        </c15:formulaRef>
                      </c:ext>
                    </c:extLst>
                    <c:numCache>
                      <c:formatCode>General</c:formatCode>
                      <c:ptCount val="17"/>
                      <c:pt idx="0">
                        <c:v>0</c:v>
                      </c:pt>
                      <c:pt idx="1">
                        <c:v>9</c:v>
                      </c:pt>
                      <c:pt idx="2">
                        <c:v>11</c:v>
                      </c:pt>
                      <c:pt idx="3">
                        <c:v>1</c:v>
                      </c:pt>
                      <c:pt idx="4">
                        <c:v>1</c:v>
                      </c:pt>
                      <c:pt idx="5">
                        <c:v>18</c:v>
                      </c:pt>
                      <c:pt idx="6">
                        <c:v>1</c:v>
                      </c:pt>
                      <c:pt idx="7">
                        <c:v>4</c:v>
                      </c:pt>
                      <c:pt idx="8">
                        <c:v>2</c:v>
                      </c:pt>
                      <c:pt idx="9">
                        <c:v>3</c:v>
                      </c:pt>
                      <c:pt idx="10">
                        <c:v>7</c:v>
                      </c:pt>
                      <c:pt idx="11">
                        <c:v>0</c:v>
                      </c:pt>
                      <c:pt idx="12">
                        <c:v>9</c:v>
                      </c:pt>
                      <c:pt idx="13">
                        <c:v>5</c:v>
                      </c:pt>
                      <c:pt idx="14">
                        <c:v>4</c:v>
                      </c:pt>
                      <c:pt idx="15">
                        <c:v>0</c:v>
                      </c:pt>
                      <c:pt idx="16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4D83-4305-9903-4DF248ABF22A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'nieonko_2012_-_2024'!$E$2</c15:sqref>
                        </c15:formulaRef>
                      </c:ext>
                    </c:extLst>
                    <c:strCache>
                      <c:ptCount val="1"/>
                      <c:pt idx="0">
                        <c:v>2021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('nieonko_2012_-_2024'!$A$3:$A$11,'nieonko_2012_-_2024'!$A$13,'nieonko_2012_-_2024'!$A$15:$A$21)</c15:sqref>
                        </c15:formulaRef>
                      </c:ext>
                    </c:extLst>
                    <c:strCache>
                      <c:ptCount val="17"/>
                      <c:pt idx="0">
                        <c:v>Urologia</c:v>
                      </c:pt>
                      <c:pt idx="1">
                        <c:v>Reumatologia</c:v>
                      </c:pt>
                      <c:pt idx="2">
                        <c:v>Pulmonologia</c:v>
                      </c:pt>
                      <c:pt idx="3">
                        <c:v>Psychiatria</c:v>
                      </c:pt>
                      <c:pt idx="4">
                        <c:v>Okulistyka</c:v>
                      </c:pt>
                      <c:pt idx="5">
                        <c:v>Neurologia</c:v>
                      </c:pt>
                      <c:pt idx="6">
                        <c:v>Nefrologia </c:v>
                      </c:pt>
                      <c:pt idx="7">
                        <c:v>Kardiologia</c:v>
                      </c:pt>
                      <c:pt idx="8">
                        <c:v>Immunologia</c:v>
                      </c:pt>
                      <c:pt idx="9">
                        <c:v>Hematologia</c:v>
                      </c:pt>
                      <c:pt idx="10">
                        <c:v>Gastroenterologia</c:v>
                      </c:pt>
                      <c:pt idx="11">
                        <c:v>Endokrynologia</c:v>
                      </c:pt>
                      <c:pt idx="12">
                        <c:v>Diabetologia</c:v>
                      </c:pt>
                      <c:pt idx="13">
                        <c:v>Dermatologia</c:v>
                      </c:pt>
                      <c:pt idx="14">
                        <c:v>Choroby metaboliczne</c:v>
                      </c:pt>
                      <c:pt idx="15">
                        <c:v>Angiologia</c:v>
                      </c:pt>
                      <c:pt idx="16">
                        <c:v>Alergologia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('nieonko_2012_-_2024'!$E$3:$E$11,'nieonko_2012_-_2024'!$E$13,'nieonko_2012_-_2024'!$E$15:$E$21)</c15:sqref>
                        </c15:formulaRef>
                      </c:ext>
                    </c:extLst>
                    <c:numCache>
                      <c:formatCode>General</c:formatCode>
                      <c:ptCount val="17"/>
                      <c:pt idx="0">
                        <c:v>1</c:v>
                      </c:pt>
                      <c:pt idx="1">
                        <c:v>1</c:v>
                      </c:pt>
                      <c:pt idx="2">
                        <c:v>1</c:v>
                      </c:pt>
                      <c:pt idx="3">
                        <c:v>1</c:v>
                      </c:pt>
                      <c:pt idx="4">
                        <c:v>7</c:v>
                      </c:pt>
                      <c:pt idx="5">
                        <c:v>2</c:v>
                      </c:pt>
                      <c:pt idx="6">
                        <c:v>2</c:v>
                      </c:pt>
                      <c:pt idx="7">
                        <c:v>1</c:v>
                      </c:pt>
                      <c:pt idx="8">
                        <c:v>2</c:v>
                      </c:pt>
                      <c:pt idx="9">
                        <c:v>6</c:v>
                      </c:pt>
                      <c:pt idx="10">
                        <c:v>2</c:v>
                      </c:pt>
                      <c:pt idx="11">
                        <c:v>1</c:v>
                      </c:pt>
                      <c:pt idx="12">
                        <c:v>1</c:v>
                      </c:pt>
                      <c:pt idx="13">
                        <c:v>3</c:v>
                      </c:pt>
                      <c:pt idx="14">
                        <c:v>2</c:v>
                      </c:pt>
                      <c:pt idx="15">
                        <c:v>1</c:v>
                      </c:pt>
                      <c:pt idx="16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4D83-4305-9903-4DF248ABF22A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'nieonko_2012_-_2024'!$F$2</c15:sqref>
                        </c15:formulaRef>
                      </c:ext>
                    </c:extLst>
                    <c:strCache>
                      <c:ptCount val="1"/>
                      <c:pt idx="0">
                        <c:v>2020</c:v>
                      </c:pt>
                    </c:strCache>
                  </c:strRef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('nieonko_2012_-_2024'!$A$3:$A$11,'nieonko_2012_-_2024'!$A$13,'nieonko_2012_-_2024'!$A$15:$A$21)</c15:sqref>
                        </c15:formulaRef>
                      </c:ext>
                    </c:extLst>
                    <c:strCache>
                      <c:ptCount val="17"/>
                      <c:pt idx="0">
                        <c:v>Urologia</c:v>
                      </c:pt>
                      <c:pt idx="1">
                        <c:v>Reumatologia</c:v>
                      </c:pt>
                      <c:pt idx="2">
                        <c:v>Pulmonologia</c:v>
                      </c:pt>
                      <c:pt idx="3">
                        <c:v>Psychiatria</c:v>
                      </c:pt>
                      <c:pt idx="4">
                        <c:v>Okulistyka</c:v>
                      </c:pt>
                      <c:pt idx="5">
                        <c:v>Neurologia</c:v>
                      </c:pt>
                      <c:pt idx="6">
                        <c:v>Nefrologia </c:v>
                      </c:pt>
                      <c:pt idx="7">
                        <c:v>Kardiologia</c:v>
                      </c:pt>
                      <c:pt idx="8">
                        <c:v>Immunologia</c:v>
                      </c:pt>
                      <c:pt idx="9">
                        <c:v>Hematologia</c:v>
                      </c:pt>
                      <c:pt idx="10">
                        <c:v>Gastroenterologia</c:v>
                      </c:pt>
                      <c:pt idx="11">
                        <c:v>Endokrynologia</c:v>
                      </c:pt>
                      <c:pt idx="12">
                        <c:v>Diabetologia</c:v>
                      </c:pt>
                      <c:pt idx="13">
                        <c:v>Dermatologia</c:v>
                      </c:pt>
                      <c:pt idx="14">
                        <c:v>Choroby metaboliczne</c:v>
                      </c:pt>
                      <c:pt idx="15">
                        <c:v>Angiologia</c:v>
                      </c:pt>
                      <c:pt idx="16">
                        <c:v>Alergologia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('nieonko_2012_-_2024'!$F$3:$F$11,'nieonko_2012_-_2024'!$F$13,'nieonko_2012_-_2024'!$F$15:$F$21)</c15:sqref>
                        </c15:formulaRef>
                      </c:ext>
                    </c:extLst>
                    <c:numCache>
                      <c:formatCode>General</c:formatCode>
                      <c:ptCount val="17"/>
                      <c:pt idx="0">
                        <c:v>0</c:v>
                      </c:pt>
                      <c:pt idx="1">
                        <c:v>1</c:v>
                      </c:pt>
                      <c:pt idx="2">
                        <c:v>2</c:v>
                      </c:pt>
                      <c:pt idx="3">
                        <c:v>4</c:v>
                      </c:pt>
                      <c:pt idx="4">
                        <c:v>0</c:v>
                      </c:pt>
                      <c:pt idx="5">
                        <c:v>1</c:v>
                      </c:pt>
                      <c:pt idx="6">
                        <c:v>0</c:v>
                      </c:pt>
                      <c:pt idx="7">
                        <c:v>2</c:v>
                      </c:pt>
                      <c:pt idx="8">
                        <c:v>1</c:v>
                      </c:pt>
                      <c:pt idx="9">
                        <c:v>3</c:v>
                      </c:pt>
                      <c:pt idx="10">
                        <c:v>2</c:v>
                      </c:pt>
                      <c:pt idx="11">
                        <c:v>2</c:v>
                      </c:pt>
                      <c:pt idx="12">
                        <c:v>3</c:v>
                      </c:pt>
                      <c:pt idx="13">
                        <c:v>3</c:v>
                      </c:pt>
                      <c:pt idx="14">
                        <c:v>2</c:v>
                      </c:pt>
                      <c:pt idx="15">
                        <c:v>0</c:v>
                      </c:pt>
                      <c:pt idx="16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4D83-4305-9903-4DF248ABF22A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'nieonko_2012_-_2024'!$G$2</c15:sqref>
                        </c15:formulaRef>
                      </c:ext>
                    </c:extLst>
                    <c:strCache>
                      <c:ptCount val="1"/>
                      <c:pt idx="0">
                        <c:v>2019</c:v>
                      </c:pt>
                    </c:strCache>
                  </c:strRef>
                </c:tx>
                <c:spPr>
                  <a:solidFill>
                    <a:schemeClr val="accent6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('nieonko_2012_-_2024'!$A$3:$A$11,'nieonko_2012_-_2024'!$A$13,'nieonko_2012_-_2024'!$A$15:$A$21)</c15:sqref>
                        </c15:formulaRef>
                      </c:ext>
                    </c:extLst>
                    <c:strCache>
                      <c:ptCount val="17"/>
                      <c:pt idx="0">
                        <c:v>Urologia</c:v>
                      </c:pt>
                      <c:pt idx="1">
                        <c:v>Reumatologia</c:v>
                      </c:pt>
                      <c:pt idx="2">
                        <c:v>Pulmonologia</c:v>
                      </c:pt>
                      <c:pt idx="3">
                        <c:v>Psychiatria</c:v>
                      </c:pt>
                      <c:pt idx="4">
                        <c:v>Okulistyka</c:v>
                      </c:pt>
                      <c:pt idx="5">
                        <c:v>Neurologia</c:v>
                      </c:pt>
                      <c:pt idx="6">
                        <c:v>Nefrologia </c:v>
                      </c:pt>
                      <c:pt idx="7">
                        <c:v>Kardiologia</c:v>
                      </c:pt>
                      <c:pt idx="8">
                        <c:v>Immunologia</c:v>
                      </c:pt>
                      <c:pt idx="9">
                        <c:v>Hematologia</c:v>
                      </c:pt>
                      <c:pt idx="10">
                        <c:v>Gastroenterologia</c:v>
                      </c:pt>
                      <c:pt idx="11">
                        <c:v>Endokrynologia</c:v>
                      </c:pt>
                      <c:pt idx="12">
                        <c:v>Diabetologia</c:v>
                      </c:pt>
                      <c:pt idx="13">
                        <c:v>Dermatologia</c:v>
                      </c:pt>
                      <c:pt idx="14">
                        <c:v>Choroby metaboliczne</c:v>
                      </c:pt>
                      <c:pt idx="15">
                        <c:v>Angiologia</c:v>
                      </c:pt>
                      <c:pt idx="16">
                        <c:v>Alergologia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('nieonko_2012_-_2024'!$G$3:$G$11,'nieonko_2012_-_2024'!$G$13,'nieonko_2012_-_2024'!$G$15:$G$21)</c15:sqref>
                        </c15:formulaRef>
                      </c:ext>
                    </c:extLst>
                    <c:numCache>
                      <c:formatCode>General</c:formatCode>
                      <c:ptCount val="17"/>
                      <c:pt idx="0">
                        <c:v>0</c:v>
                      </c:pt>
                      <c:pt idx="1">
                        <c:v>3</c:v>
                      </c:pt>
                      <c:pt idx="2">
                        <c:v>3</c:v>
                      </c:pt>
                      <c:pt idx="3">
                        <c:v>0</c:v>
                      </c:pt>
                      <c:pt idx="4">
                        <c:v>1</c:v>
                      </c:pt>
                      <c:pt idx="5">
                        <c:v>3</c:v>
                      </c:pt>
                      <c:pt idx="6">
                        <c:v>0</c:v>
                      </c:pt>
                      <c:pt idx="7">
                        <c:v>3</c:v>
                      </c:pt>
                      <c:pt idx="8">
                        <c:v>1</c:v>
                      </c:pt>
                      <c:pt idx="9">
                        <c:v>1</c:v>
                      </c:pt>
                      <c:pt idx="10">
                        <c:v>3</c:v>
                      </c:pt>
                      <c:pt idx="11">
                        <c:v>0</c:v>
                      </c:pt>
                      <c:pt idx="12">
                        <c:v>5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0</c:v>
                      </c:pt>
                      <c:pt idx="16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4D83-4305-9903-4DF248ABF22A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'nieonko_2012_-_2024'!$H$2</c15:sqref>
                        </c15:formulaRef>
                      </c:ext>
                    </c:extLst>
                    <c:strCache>
                      <c:ptCount val="1"/>
                      <c:pt idx="0">
                        <c:v>2018</c:v>
                      </c:pt>
                    </c:strCache>
                  </c:strRef>
                </c:tx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('nieonko_2012_-_2024'!$A$3:$A$11,'nieonko_2012_-_2024'!$A$13,'nieonko_2012_-_2024'!$A$15:$A$21)</c15:sqref>
                        </c15:formulaRef>
                      </c:ext>
                    </c:extLst>
                    <c:strCache>
                      <c:ptCount val="17"/>
                      <c:pt idx="0">
                        <c:v>Urologia</c:v>
                      </c:pt>
                      <c:pt idx="1">
                        <c:v>Reumatologia</c:v>
                      </c:pt>
                      <c:pt idx="2">
                        <c:v>Pulmonologia</c:v>
                      </c:pt>
                      <c:pt idx="3">
                        <c:v>Psychiatria</c:v>
                      </c:pt>
                      <c:pt idx="4">
                        <c:v>Okulistyka</c:v>
                      </c:pt>
                      <c:pt idx="5">
                        <c:v>Neurologia</c:v>
                      </c:pt>
                      <c:pt idx="6">
                        <c:v>Nefrologia </c:v>
                      </c:pt>
                      <c:pt idx="7">
                        <c:v>Kardiologia</c:v>
                      </c:pt>
                      <c:pt idx="8">
                        <c:v>Immunologia</c:v>
                      </c:pt>
                      <c:pt idx="9">
                        <c:v>Hematologia</c:v>
                      </c:pt>
                      <c:pt idx="10">
                        <c:v>Gastroenterologia</c:v>
                      </c:pt>
                      <c:pt idx="11">
                        <c:v>Endokrynologia</c:v>
                      </c:pt>
                      <c:pt idx="12">
                        <c:v>Diabetologia</c:v>
                      </c:pt>
                      <c:pt idx="13">
                        <c:v>Dermatologia</c:v>
                      </c:pt>
                      <c:pt idx="14">
                        <c:v>Choroby metaboliczne</c:v>
                      </c:pt>
                      <c:pt idx="15">
                        <c:v>Angiologia</c:v>
                      </c:pt>
                      <c:pt idx="16">
                        <c:v>Alergologia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('nieonko_2012_-_2024'!$H$3:$H$11,'nieonko_2012_-_2024'!$H$13,'nieonko_2012_-_2024'!$H$15:$H$21)</c15:sqref>
                        </c15:formulaRef>
                      </c:ext>
                    </c:extLst>
                    <c:numCache>
                      <c:formatCode>General</c:formatCode>
                      <c:ptCount val="17"/>
                      <c:pt idx="0">
                        <c:v>1</c:v>
                      </c:pt>
                      <c:pt idx="1">
                        <c:v>1</c:v>
                      </c:pt>
                      <c:pt idx="2">
                        <c:v>1</c:v>
                      </c:pt>
                      <c:pt idx="3">
                        <c:v>1</c:v>
                      </c:pt>
                      <c:pt idx="4">
                        <c:v>1</c:v>
                      </c:pt>
                      <c:pt idx="5">
                        <c:v>4</c:v>
                      </c:pt>
                      <c:pt idx="6">
                        <c:v>0</c:v>
                      </c:pt>
                      <c:pt idx="7">
                        <c:v>2</c:v>
                      </c:pt>
                      <c:pt idx="8">
                        <c:v>3</c:v>
                      </c:pt>
                      <c:pt idx="9">
                        <c:v>4</c:v>
                      </c:pt>
                      <c:pt idx="10">
                        <c:v>1</c:v>
                      </c:pt>
                      <c:pt idx="11">
                        <c:v>1</c:v>
                      </c:pt>
                      <c:pt idx="12">
                        <c:v>0</c:v>
                      </c:pt>
                      <c:pt idx="13">
                        <c:v>3</c:v>
                      </c:pt>
                      <c:pt idx="14">
                        <c:v>0</c:v>
                      </c:pt>
                      <c:pt idx="15">
                        <c:v>2</c:v>
                      </c:pt>
                      <c:pt idx="16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4D83-4305-9903-4DF248ABF22A}"/>
                  </c:ext>
                </c:extLst>
              </c15:ser>
            </c15:filteredBarSeries>
            <c15:filteredBar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'nieonko_2012_-_2024'!$I$2</c15:sqref>
                        </c15:formulaRef>
                      </c:ext>
                    </c:extLst>
                    <c:strCache>
                      <c:ptCount val="1"/>
                      <c:pt idx="0">
                        <c:v>2017</c:v>
                      </c:pt>
                    </c:strCache>
                  </c:strRef>
                </c:tx>
                <c:spPr>
                  <a:solidFill>
                    <a:schemeClr val="accent2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('nieonko_2012_-_2024'!$A$3:$A$11,'nieonko_2012_-_2024'!$A$13,'nieonko_2012_-_2024'!$A$15:$A$21)</c15:sqref>
                        </c15:formulaRef>
                      </c:ext>
                    </c:extLst>
                    <c:strCache>
                      <c:ptCount val="17"/>
                      <c:pt idx="0">
                        <c:v>Urologia</c:v>
                      </c:pt>
                      <c:pt idx="1">
                        <c:v>Reumatologia</c:v>
                      </c:pt>
                      <c:pt idx="2">
                        <c:v>Pulmonologia</c:v>
                      </c:pt>
                      <c:pt idx="3">
                        <c:v>Psychiatria</c:v>
                      </c:pt>
                      <c:pt idx="4">
                        <c:v>Okulistyka</c:v>
                      </c:pt>
                      <c:pt idx="5">
                        <c:v>Neurologia</c:v>
                      </c:pt>
                      <c:pt idx="6">
                        <c:v>Nefrologia </c:v>
                      </c:pt>
                      <c:pt idx="7">
                        <c:v>Kardiologia</c:v>
                      </c:pt>
                      <c:pt idx="8">
                        <c:v>Immunologia</c:v>
                      </c:pt>
                      <c:pt idx="9">
                        <c:v>Hematologia</c:v>
                      </c:pt>
                      <c:pt idx="10">
                        <c:v>Gastroenterologia</c:v>
                      </c:pt>
                      <c:pt idx="11">
                        <c:v>Endokrynologia</c:v>
                      </c:pt>
                      <c:pt idx="12">
                        <c:v>Diabetologia</c:v>
                      </c:pt>
                      <c:pt idx="13">
                        <c:v>Dermatologia</c:v>
                      </c:pt>
                      <c:pt idx="14">
                        <c:v>Choroby metaboliczne</c:v>
                      </c:pt>
                      <c:pt idx="15">
                        <c:v>Angiologia</c:v>
                      </c:pt>
                      <c:pt idx="16">
                        <c:v>Alergologia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('nieonko_2012_-_2024'!$I$3:$I$11,'nieonko_2012_-_2024'!$I$13,'nieonko_2012_-_2024'!$I$15:$I$21)</c15:sqref>
                        </c15:formulaRef>
                      </c:ext>
                    </c:extLst>
                    <c:numCache>
                      <c:formatCode>General</c:formatCode>
                      <c:ptCount val="17"/>
                      <c:pt idx="0">
                        <c:v>0</c:v>
                      </c:pt>
                      <c:pt idx="1">
                        <c:v>2</c:v>
                      </c:pt>
                      <c:pt idx="2">
                        <c:v>5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3</c:v>
                      </c:pt>
                      <c:pt idx="6">
                        <c:v>0</c:v>
                      </c:pt>
                      <c:pt idx="7">
                        <c:v>1</c:v>
                      </c:pt>
                      <c:pt idx="8">
                        <c:v>1</c:v>
                      </c:pt>
                      <c:pt idx="9">
                        <c:v>2</c:v>
                      </c:pt>
                      <c:pt idx="10">
                        <c:v>2</c:v>
                      </c:pt>
                      <c:pt idx="11">
                        <c:v>1</c:v>
                      </c:pt>
                      <c:pt idx="12">
                        <c:v>0</c:v>
                      </c:pt>
                      <c:pt idx="13">
                        <c:v>0</c:v>
                      </c:pt>
                      <c:pt idx="14">
                        <c:v>0</c:v>
                      </c:pt>
                      <c:pt idx="15">
                        <c:v>0</c:v>
                      </c:pt>
                      <c:pt idx="16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4D83-4305-9903-4DF248ABF22A}"/>
                  </c:ext>
                </c:extLst>
              </c15:ser>
            </c15:filteredBarSeries>
            <c15:filteredBarSeries>
              <c15:ser>
                <c:idx val="8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'nieonko_2012_-_2024'!$J$2</c15:sqref>
                        </c15:formulaRef>
                      </c:ext>
                    </c:extLst>
                    <c:strCache>
                      <c:ptCount val="1"/>
                      <c:pt idx="0">
                        <c:v>2016</c:v>
                      </c:pt>
                    </c:strCache>
                  </c:strRef>
                </c:tx>
                <c:spPr>
                  <a:solidFill>
                    <a:schemeClr val="accent3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('nieonko_2012_-_2024'!$A$3:$A$11,'nieonko_2012_-_2024'!$A$13,'nieonko_2012_-_2024'!$A$15:$A$21)</c15:sqref>
                        </c15:formulaRef>
                      </c:ext>
                    </c:extLst>
                    <c:strCache>
                      <c:ptCount val="17"/>
                      <c:pt idx="0">
                        <c:v>Urologia</c:v>
                      </c:pt>
                      <c:pt idx="1">
                        <c:v>Reumatologia</c:v>
                      </c:pt>
                      <c:pt idx="2">
                        <c:v>Pulmonologia</c:v>
                      </c:pt>
                      <c:pt idx="3">
                        <c:v>Psychiatria</c:v>
                      </c:pt>
                      <c:pt idx="4">
                        <c:v>Okulistyka</c:v>
                      </c:pt>
                      <c:pt idx="5">
                        <c:v>Neurologia</c:v>
                      </c:pt>
                      <c:pt idx="6">
                        <c:v>Nefrologia </c:v>
                      </c:pt>
                      <c:pt idx="7">
                        <c:v>Kardiologia</c:v>
                      </c:pt>
                      <c:pt idx="8">
                        <c:v>Immunologia</c:v>
                      </c:pt>
                      <c:pt idx="9">
                        <c:v>Hematologia</c:v>
                      </c:pt>
                      <c:pt idx="10">
                        <c:v>Gastroenterologia</c:v>
                      </c:pt>
                      <c:pt idx="11">
                        <c:v>Endokrynologia</c:v>
                      </c:pt>
                      <c:pt idx="12">
                        <c:v>Diabetologia</c:v>
                      </c:pt>
                      <c:pt idx="13">
                        <c:v>Dermatologia</c:v>
                      </c:pt>
                      <c:pt idx="14">
                        <c:v>Choroby metaboliczne</c:v>
                      </c:pt>
                      <c:pt idx="15">
                        <c:v>Angiologia</c:v>
                      </c:pt>
                      <c:pt idx="16">
                        <c:v>Alergologia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('nieonko_2012_-_2024'!$J$3:$J$11,'nieonko_2012_-_2024'!$J$13,'nieonko_2012_-_2024'!$J$15:$J$21)</c15:sqref>
                        </c15:formulaRef>
                      </c:ext>
                    </c:extLst>
                    <c:numCache>
                      <c:formatCode>General</c:formatCode>
                      <c:ptCount val="17"/>
                      <c:pt idx="0">
                        <c:v>2</c:v>
                      </c:pt>
                      <c:pt idx="1">
                        <c:v>0</c:v>
                      </c:pt>
                      <c:pt idx="2">
                        <c:v>1</c:v>
                      </c:pt>
                      <c:pt idx="3">
                        <c:v>1</c:v>
                      </c:pt>
                      <c:pt idx="4">
                        <c:v>0</c:v>
                      </c:pt>
                      <c:pt idx="5">
                        <c:v>3</c:v>
                      </c:pt>
                      <c:pt idx="6">
                        <c:v>1</c:v>
                      </c:pt>
                      <c:pt idx="7">
                        <c:v>0</c:v>
                      </c:pt>
                      <c:pt idx="8">
                        <c:v>0</c:v>
                      </c:pt>
                      <c:pt idx="9">
                        <c:v>1</c:v>
                      </c:pt>
                      <c:pt idx="10">
                        <c:v>1</c:v>
                      </c:pt>
                      <c:pt idx="11">
                        <c:v>0</c:v>
                      </c:pt>
                      <c:pt idx="12">
                        <c:v>0</c:v>
                      </c:pt>
                      <c:pt idx="13">
                        <c:v>1</c:v>
                      </c:pt>
                      <c:pt idx="14">
                        <c:v>0</c:v>
                      </c:pt>
                      <c:pt idx="15">
                        <c:v>0</c:v>
                      </c:pt>
                      <c:pt idx="16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4D83-4305-9903-4DF248ABF22A}"/>
                  </c:ext>
                </c:extLst>
              </c15:ser>
            </c15:filteredBarSeries>
            <c15:filteredBarSeries>
              <c15:ser>
                <c:idx val="9"/>
                <c:order val="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'nieonko_2012_-_2024'!$K$2</c15:sqref>
                        </c15:formulaRef>
                      </c:ext>
                    </c:extLst>
                    <c:strCache>
                      <c:ptCount val="1"/>
                      <c:pt idx="0">
                        <c:v>2015</c:v>
                      </c:pt>
                    </c:strCache>
                  </c:strRef>
                </c:tx>
                <c:spPr>
                  <a:solidFill>
                    <a:schemeClr val="accent4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('nieonko_2012_-_2024'!$A$3:$A$11,'nieonko_2012_-_2024'!$A$13,'nieonko_2012_-_2024'!$A$15:$A$21)</c15:sqref>
                        </c15:formulaRef>
                      </c:ext>
                    </c:extLst>
                    <c:strCache>
                      <c:ptCount val="17"/>
                      <c:pt idx="0">
                        <c:v>Urologia</c:v>
                      </c:pt>
                      <c:pt idx="1">
                        <c:v>Reumatologia</c:v>
                      </c:pt>
                      <c:pt idx="2">
                        <c:v>Pulmonologia</c:v>
                      </c:pt>
                      <c:pt idx="3">
                        <c:v>Psychiatria</c:v>
                      </c:pt>
                      <c:pt idx="4">
                        <c:v>Okulistyka</c:v>
                      </c:pt>
                      <c:pt idx="5">
                        <c:v>Neurologia</c:v>
                      </c:pt>
                      <c:pt idx="6">
                        <c:v>Nefrologia </c:v>
                      </c:pt>
                      <c:pt idx="7">
                        <c:v>Kardiologia</c:v>
                      </c:pt>
                      <c:pt idx="8">
                        <c:v>Immunologia</c:v>
                      </c:pt>
                      <c:pt idx="9">
                        <c:v>Hematologia</c:v>
                      </c:pt>
                      <c:pt idx="10">
                        <c:v>Gastroenterologia</c:v>
                      </c:pt>
                      <c:pt idx="11">
                        <c:v>Endokrynologia</c:v>
                      </c:pt>
                      <c:pt idx="12">
                        <c:v>Diabetologia</c:v>
                      </c:pt>
                      <c:pt idx="13">
                        <c:v>Dermatologia</c:v>
                      </c:pt>
                      <c:pt idx="14">
                        <c:v>Choroby metaboliczne</c:v>
                      </c:pt>
                      <c:pt idx="15">
                        <c:v>Angiologia</c:v>
                      </c:pt>
                      <c:pt idx="16">
                        <c:v>Alergologia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('nieonko_2012_-_2024'!$K$3:$K$11,'nieonko_2012_-_2024'!$K$13,'nieonko_2012_-_2024'!$K$15:$K$21)</c15:sqref>
                        </c15:formulaRef>
                      </c:ext>
                    </c:extLst>
                    <c:numCache>
                      <c:formatCode>General</c:formatCode>
                      <c:ptCount val="17"/>
                      <c:pt idx="0">
                        <c:v>2</c:v>
                      </c:pt>
                      <c:pt idx="1">
                        <c:v>0</c:v>
                      </c:pt>
                      <c:pt idx="2">
                        <c:v>1</c:v>
                      </c:pt>
                      <c:pt idx="3">
                        <c:v>0</c:v>
                      </c:pt>
                      <c:pt idx="4">
                        <c:v>2</c:v>
                      </c:pt>
                      <c:pt idx="5">
                        <c:v>1</c:v>
                      </c:pt>
                      <c:pt idx="6">
                        <c:v>0</c:v>
                      </c:pt>
                      <c:pt idx="7">
                        <c:v>5</c:v>
                      </c:pt>
                      <c:pt idx="8">
                        <c:v>2</c:v>
                      </c:pt>
                      <c:pt idx="9">
                        <c:v>1</c:v>
                      </c:pt>
                      <c:pt idx="10">
                        <c:v>1</c:v>
                      </c:pt>
                      <c:pt idx="11">
                        <c:v>3</c:v>
                      </c:pt>
                      <c:pt idx="12">
                        <c:v>0</c:v>
                      </c:pt>
                      <c:pt idx="13">
                        <c:v>1</c:v>
                      </c:pt>
                      <c:pt idx="14">
                        <c:v>1</c:v>
                      </c:pt>
                      <c:pt idx="15">
                        <c:v>3</c:v>
                      </c:pt>
                      <c:pt idx="16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4D83-4305-9903-4DF248ABF22A}"/>
                  </c:ext>
                </c:extLst>
              </c15:ser>
            </c15:filteredBarSeries>
            <c15:filteredBarSeries>
              <c15:ser>
                <c:idx val="10"/>
                <c:order val="1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'nieonko_2012_-_2024'!$L$2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spPr>
                  <a:solidFill>
                    <a:schemeClr val="accent5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('nieonko_2012_-_2024'!$A$3:$A$11,'nieonko_2012_-_2024'!$A$13,'nieonko_2012_-_2024'!$A$15:$A$21)</c15:sqref>
                        </c15:formulaRef>
                      </c:ext>
                    </c:extLst>
                    <c:strCache>
                      <c:ptCount val="17"/>
                      <c:pt idx="0">
                        <c:v>Urologia</c:v>
                      </c:pt>
                      <c:pt idx="1">
                        <c:v>Reumatologia</c:v>
                      </c:pt>
                      <c:pt idx="2">
                        <c:v>Pulmonologia</c:v>
                      </c:pt>
                      <c:pt idx="3">
                        <c:v>Psychiatria</c:v>
                      </c:pt>
                      <c:pt idx="4">
                        <c:v>Okulistyka</c:v>
                      </c:pt>
                      <c:pt idx="5">
                        <c:v>Neurologia</c:v>
                      </c:pt>
                      <c:pt idx="6">
                        <c:v>Nefrologia </c:v>
                      </c:pt>
                      <c:pt idx="7">
                        <c:v>Kardiologia</c:v>
                      </c:pt>
                      <c:pt idx="8">
                        <c:v>Immunologia</c:v>
                      </c:pt>
                      <c:pt idx="9">
                        <c:v>Hematologia</c:v>
                      </c:pt>
                      <c:pt idx="10">
                        <c:v>Gastroenterologia</c:v>
                      </c:pt>
                      <c:pt idx="11">
                        <c:v>Endokrynologia</c:v>
                      </c:pt>
                      <c:pt idx="12">
                        <c:v>Diabetologia</c:v>
                      </c:pt>
                      <c:pt idx="13">
                        <c:v>Dermatologia</c:v>
                      </c:pt>
                      <c:pt idx="14">
                        <c:v>Choroby metaboliczne</c:v>
                      </c:pt>
                      <c:pt idx="15">
                        <c:v>Angiologia</c:v>
                      </c:pt>
                      <c:pt idx="16">
                        <c:v>Alergologia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('nieonko_2012_-_2024'!$L$3:$L$11,'nieonko_2012_-_2024'!$L$13,'nieonko_2012_-_2024'!$L$15:$L$21)</c15:sqref>
                        </c15:formulaRef>
                      </c:ext>
                    </c:extLst>
                    <c:numCache>
                      <c:formatCode>General</c:formatCode>
                      <c:ptCount val="17"/>
                      <c:pt idx="0">
                        <c:v>0</c:v>
                      </c:pt>
                      <c:pt idx="1">
                        <c:v>4</c:v>
                      </c:pt>
                      <c:pt idx="2">
                        <c:v>3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6</c:v>
                      </c:pt>
                      <c:pt idx="6">
                        <c:v>0</c:v>
                      </c:pt>
                      <c:pt idx="7">
                        <c:v>3</c:v>
                      </c:pt>
                      <c:pt idx="8">
                        <c:v>1</c:v>
                      </c:pt>
                      <c:pt idx="9">
                        <c:v>0</c:v>
                      </c:pt>
                      <c:pt idx="10">
                        <c:v>0</c:v>
                      </c:pt>
                      <c:pt idx="11">
                        <c:v>0</c:v>
                      </c:pt>
                      <c:pt idx="12">
                        <c:v>0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4D83-4305-9903-4DF248ABF22A}"/>
                  </c:ext>
                </c:extLst>
              </c15:ser>
            </c15:filteredBarSeries>
            <c15:filteredBarSeries>
              <c15:ser>
                <c:idx val="11"/>
                <c:order val="1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'nieonko_2012_-_2024'!$M$2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solidFill>
                    <a:schemeClr val="accent6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('nieonko_2012_-_2024'!$A$3:$A$11,'nieonko_2012_-_2024'!$A$13,'nieonko_2012_-_2024'!$A$15:$A$21)</c15:sqref>
                        </c15:formulaRef>
                      </c:ext>
                    </c:extLst>
                    <c:strCache>
                      <c:ptCount val="17"/>
                      <c:pt idx="0">
                        <c:v>Urologia</c:v>
                      </c:pt>
                      <c:pt idx="1">
                        <c:v>Reumatologia</c:v>
                      </c:pt>
                      <c:pt idx="2">
                        <c:v>Pulmonologia</c:v>
                      </c:pt>
                      <c:pt idx="3">
                        <c:v>Psychiatria</c:v>
                      </c:pt>
                      <c:pt idx="4">
                        <c:v>Okulistyka</c:v>
                      </c:pt>
                      <c:pt idx="5">
                        <c:v>Neurologia</c:v>
                      </c:pt>
                      <c:pt idx="6">
                        <c:v>Nefrologia </c:v>
                      </c:pt>
                      <c:pt idx="7">
                        <c:v>Kardiologia</c:v>
                      </c:pt>
                      <c:pt idx="8">
                        <c:v>Immunologia</c:v>
                      </c:pt>
                      <c:pt idx="9">
                        <c:v>Hematologia</c:v>
                      </c:pt>
                      <c:pt idx="10">
                        <c:v>Gastroenterologia</c:v>
                      </c:pt>
                      <c:pt idx="11">
                        <c:v>Endokrynologia</c:v>
                      </c:pt>
                      <c:pt idx="12">
                        <c:v>Diabetologia</c:v>
                      </c:pt>
                      <c:pt idx="13">
                        <c:v>Dermatologia</c:v>
                      </c:pt>
                      <c:pt idx="14">
                        <c:v>Choroby metaboliczne</c:v>
                      </c:pt>
                      <c:pt idx="15">
                        <c:v>Angiologia</c:v>
                      </c:pt>
                      <c:pt idx="16">
                        <c:v>Alergologia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('nieonko_2012_-_2024'!$M$3:$M$11,'nieonko_2012_-_2024'!$M$13,'nieonko_2012_-_2024'!$M$15:$M$21)</c15:sqref>
                        </c15:formulaRef>
                      </c:ext>
                    </c:extLst>
                    <c:numCache>
                      <c:formatCode>General</c:formatCode>
                      <c:ptCount val="17"/>
                      <c:pt idx="0">
                        <c:v>0</c:v>
                      </c:pt>
                      <c:pt idx="1">
                        <c:v>2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7</c:v>
                      </c:pt>
                      <c:pt idx="6">
                        <c:v>0</c:v>
                      </c:pt>
                      <c:pt idx="7">
                        <c:v>1</c:v>
                      </c:pt>
                      <c:pt idx="8">
                        <c:v>0</c:v>
                      </c:pt>
                      <c:pt idx="9">
                        <c:v>0</c:v>
                      </c:pt>
                      <c:pt idx="10">
                        <c:v>1</c:v>
                      </c:pt>
                      <c:pt idx="11">
                        <c:v>0</c:v>
                      </c:pt>
                      <c:pt idx="12">
                        <c:v>3</c:v>
                      </c:pt>
                      <c:pt idx="13">
                        <c:v>2</c:v>
                      </c:pt>
                      <c:pt idx="14">
                        <c:v>0</c:v>
                      </c:pt>
                      <c:pt idx="15">
                        <c:v>1</c:v>
                      </c:pt>
                      <c:pt idx="16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B-4D83-4305-9903-4DF248ABF22A}"/>
                  </c:ext>
                </c:extLst>
              </c15:ser>
            </c15:filteredBarSeries>
            <c15:filteredBarSeries>
              <c15:ser>
                <c:idx val="12"/>
                <c:order val="1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'nieonko_2012_-_2024'!$N$2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solidFill>
                    <a:schemeClr val="accent1">
                      <a:lumMod val="80000"/>
                      <a:lumOff val="2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('nieonko_2012_-_2024'!$A$3:$A$11,'nieonko_2012_-_2024'!$A$13,'nieonko_2012_-_2024'!$A$15:$A$21)</c15:sqref>
                        </c15:formulaRef>
                      </c:ext>
                    </c:extLst>
                    <c:strCache>
                      <c:ptCount val="17"/>
                      <c:pt idx="0">
                        <c:v>Urologia</c:v>
                      </c:pt>
                      <c:pt idx="1">
                        <c:v>Reumatologia</c:v>
                      </c:pt>
                      <c:pt idx="2">
                        <c:v>Pulmonologia</c:v>
                      </c:pt>
                      <c:pt idx="3">
                        <c:v>Psychiatria</c:v>
                      </c:pt>
                      <c:pt idx="4">
                        <c:v>Okulistyka</c:v>
                      </c:pt>
                      <c:pt idx="5">
                        <c:v>Neurologia</c:v>
                      </c:pt>
                      <c:pt idx="6">
                        <c:v>Nefrologia </c:v>
                      </c:pt>
                      <c:pt idx="7">
                        <c:v>Kardiologia</c:v>
                      </c:pt>
                      <c:pt idx="8">
                        <c:v>Immunologia</c:v>
                      </c:pt>
                      <c:pt idx="9">
                        <c:v>Hematologia</c:v>
                      </c:pt>
                      <c:pt idx="10">
                        <c:v>Gastroenterologia</c:v>
                      </c:pt>
                      <c:pt idx="11">
                        <c:v>Endokrynologia</c:v>
                      </c:pt>
                      <c:pt idx="12">
                        <c:v>Diabetologia</c:v>
                      </c:pt>
                      <c:pt idx="13">
                        <c:v>Dermatologia</c:v>
                      </c:pt>
                      <c:pt idx="14">
                        <c:v>Choroby metaboliczne</c:v>
                      </c:pt>
                      <c:pt idx="15">
                        <c:v>Angiologia</c:v>
                      </c:pt>
                      <c:pt idx="16">
                        <c:v>Alergologia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('nieonko_2012_-_2024'!$N$3:$N$11,'nieonko_2012_-_2024'!$N$13,'nieonko_2012_-_2024'!$N$15:$N$21)</c15:sqref>
                        </c15:formulaRef>
                      </c:ext>
                    </c:extLst>
                    <c:numCache>
                      <c:formatCode>General</c:formatCode>
                      <c:ptCount val="17"/>
                      <c:pt idx="0">
                        <c:v>0</c:v>
                      </c:pt>
                      <c:pt idx="1">
                        <c:v>1</c:v>
                      </c:pt>
                      <c:pt idx="2">
                        <c:v>2</c:v>
                      </c:pt>
                      <c:pt idx="3">
                        <c:v>0</c:v>
                      </c:pt>
                      <c:pt idx="4">
                        <c:v>1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1</c:v>
                      </c:pt>
                      <c:pt idx="8">
                        <c:v>2</c:v>
                      </c:pt>
                      <c:pt idx="9">
                        <c:v>0</c:v>
                      </c:pt>
                      <c:pt idx="10">
                        <c:v>0</c:v>
                      </c:pt>
                      <c:pt idx="11">
                        <c:v>2</c:v>
                      </c:pt>
                      <c:pt idx="12">
                        <c:v>0</c:v>
                      </c:pt>
                      <c:pt idx="13">
                        <c:v>0</c:v>
                      </c:pt>
                      <c:pt idx="14">
                        <c:v>1</c:v>
                      </c:pt>
                      <c:pt idx="15">
                        <c:v>0</c:v>
                      </c:pt>
                      <c:pt idx="16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4D83-4305-9903-4DF248ABF22A}"/>
                  </c:ext>
                </c:extLst>
              </c15:ser>
            </c15:filteredBarSeries>
          </c:ext>
        </c:extLst>
      </c:barChart>
      <c:valAx>
        <c:axId val="241294831"/>
        <c:scaling>
          <c:orientation val="minMax"/>
          <c:max val="22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241296495"/>
        <c:crosses val="autoZero"/>
        <c:crossBetween val="between"/>
        <c:majorUnit val="2"/>
      </c:valAx>
      <c:catAx>
        <c:axId val="2412964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24129483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38</Pages>
  <Words>11057</Words>
  <Characters>66343</Characters>
  <Application>Microsoft Office Word</Application>
  <DocSecurity>0</DocSecurity>
  <Lines>552</Lines>
  <Paragraphs>154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Janik Aleksandra</dc:creator>
  <cp:keywords/>
  <dc:description/>
  <cp:lastModifiedBy>Tobiaszewski Paweł</cp:lastModifiedBy>
  <cp:revision>29</cp:revision>
  <dcterms:created xsi:type="dcterms:W3CDTF">2022-12-21T09:10:00Z</dcterms:created>
  <dcterms:modified xsi:type="dcterms:W3CDTF">2023-12-11T09:37:00Z</dcterms:modified>
</cp:coreProperties>
</file>