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0B4C" w14:textId="77777777" w:rsidR="00362E66" w:rsidRDefault="00362E66" w:rsidP="008A2F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843851" w14:textId="7C8F9D78" w:rsidR="00021A18" w:rsidRPr="00593874" w:rsidRDefault="00DF4527" w:rsidP="008A2F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93874">
        <w:rPr>
          <w:rFonts w:ascii="Times New Roman" w:hAnsi="Times New Roman" w:cs="Times New Roman"/>
          <w:b/>
          <w:bCs/>
        </w:rPr>
        <w:t>Tabela uwag z</w:t>
      </w:r>
      <w:r w:rsidR="00110686" w:rsidRPr="00593874">
        <w:rPr>
          <w:rFonts w:ascii="Times New Roman" w:hAnsi="Times New Roman" w:cs="Times New Roman"/>
          <w:b/>
          <w:bCs/>
        </w:rPr>
        <w:t>głoszonych w ramach</w:t>
      </w:r>
      <w:r w:rsidRPr="00593874">
        <w:rPr>
          <w:rFonts w:ascii="Times New Roman" w:hAnsi="Times New Roman" w:cs="Times New Roman"/>
          <w:b/>
          <w:bCs/>
        </w:rPr>
        <w:t xml:space="preserve"> </w:t>
      </w:r>
      <w:r w:rsidR="00A471FE" w:rsidRPr="00593874">
        <w:rPr>
          <w:rFonts w:ascii="Times New Roman" w:hAnsi="Times New Roman" w:cs="Times New Roman"/>
          <w:b/>
          <w:bCs/>
        </w:rPr>
        <w:t>uzgodnień</w:t>
      </w:r>
      <w:r w:rsidR="00396DAE" w:rsidRPr="00593874">
        <w:rPr>
          <w:rFonts w:ascii="Times New Roman" w:hAnsi="Times New Roman" w:cs="Times New Roman"/>
          <w:b/>
          <w:bCs/>
        </w:rPr>
        <w:t xml:space="preserve"> </w:t>
      </w:r>
      <w:r w:rsidR="004A2569">
        <w:rPr>
          <w:rFonts w:ascii="Times New Roman" w:hAnsi="Times New Roman" w:cs="Times New Roman"/>
          <w:b/>
          <w:bCs/>
        </w:rPr>
        <w:t xml:space="preserve">do </w:t>
      </w:r>
      <w:r w:rsidRPr="00593874">
        <w:rPr>
          <w:rFonts w:ascii="Times New Roman" w:hAnsi="Times New Roman" w:cs="Times New Roman"/>
          <w:b/>
          <w:bCs/>
        </w:rPr>
        <w:t xml:space="preserve">projektu rozporządzenia </w:t>
      </w:r>
      <w:bookmarkStart w:id="0" w:name="bookmark1"/>
      <w:r w:rsidR="008A2F32" w:rsidRPr="00593874">
        <w:rPr>
          <w:rFonts w:ascii="Times New Roman" w:hAnsi="Times New Roman" w:cs="Times New Roman"/>
          <w:b/>
          <w:bCs/>
        </w:rPr>
        <w:t>Rady Ministrów</w:t>
      </w:r>
      <w:bookmarkEnd w:id="0"/>
      <w:r w:rsidR="005E2AD0" w:rsidRPr="00593874">
        <w:rPr>
          <w:rFonts w:ascii="Times New Roman" w:hAnsi="Times New Roman" w:cs="Times New Roman"/>
          <w:b/>
          <w:bCs/>
        </w:rPr>
        <w:t xml:space="preserve"> </w:t>
      </w:r>
      <w:r w:rsidR="008A2F32" w:rsidRPr="00593874">
        <w:rPr>
          <w:rFonts w:ascii="Times New Roman" w:hAnsi="Times New Roman" w:cs="Times New Roman"/>
          <w:b/>
          <w:bCs/>
        </w:rPr>
        <w:t>w sprawie wymagań technicznych i eksploatacyjnych dla interfejsów (</w:t>
      </w:r>
      <w:proofErr w:type="spellStart"/>
      <w:r w:rsidR="008A2F32" w:rsidRPr="00593874">
        <w:rPr>
          <w:rFonts w:ascii="Times New Roman" w:hAnsi="Times New Roman" w:cs="Times New Roman"/>
          <w:b/>
          <w:bCs/>
        </w:rPr>
        <w:t>RD215</w:t>
      </w:r>
      <w:proofErr w:type="spellEnd"/>
      <w:r w:rsidR="008A2F32" w:rsidRPr="00593874">
        <w:rPr>
          <w:rFonts w:ascii="Times New Roman" w:hAnsi="Times New Roman" w:cs="Times New Roman"/>
          <w:b/>
          <w:bCs/>
        </w:rPr>
        <w:t>)</w:t>
      </w:r>
    </w:p>
    <w:p w14:paraId="4B2CD379" w14:textId="77777777" w:rsidR="00DF4527" w:rsidRPr="00593874" w:rsidRDefault="00DF4527" w:rsidP="00DF452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739"/>
        <w:gridCol w:w="1411"/>
        <w:gridCol w:w="1451"/>
        <w:gridCol w:w="5183"/>
        <w:gridCol w:w="6379"/>
      </w:tblGrid>
      <w:tr w:rsidR="006F492C" w:rsidRPr="00813BFC" w14:paraId="35087CD2" w14:textId="77777777" w:rsidTr="00362E66">
        <w:trPr>
          <w:trHeight w:val="840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C3DC8" w14:textId="27CBB89A" w:rsidR="00DF4527" w:rsidRPr="00593874" w:rsidRDefault="009753A3" w:rsidP="0057644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AEFCE" w14:textId="246D43B8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Jednostka redakcyjna projektu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E9CFB" w14:textId="45DC01C4" w:rsidR="00DF4527" w:rsidRPr="00593874" w:rsidRDefault="00110686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Podmiot z</w:t>
            </w:r>
            <w:r w:rsidR="009753A3" w:rsidRPr="00593874">
              <w:rPr>
                <w:rFonts w:ascii="Times New Roman" w:hAnsi="Times New Roman" w:cs="Times New Roman"/>
                <w:b/>
              </w:rPr>
              <w:t>głaszający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3FA5" w14:textId="0EBA8F04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7D72" w14:textId="243C8A95" w:rsidR="00DF4527" w:rsidRPr="00593874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</w:rPr>
              <w:t>Stanowisko M</w:t>
            </w:r>
            <w:r w:rsidR="00110686" w:rsidRPr="00593874">
              <w:rPr>
                <w:rFonts w:ascii="Times New Roman" w:hAnsi="Times New Roman" w:cs="Times New Roman"/>
                <w:b/>
              </w:rPr>
              <w:t>inistra Cyfryzacji</w:t>
            </w:r>
          </w:p>
        </w:tc>
      </w:tr>
      <w:tr w:rsidR="00396DAE" w:rsidRPr="00813BFC" w14:paraId="1D586EC5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1DA6A6C4" w14:textId="4E65B30B" w:rsidR="00396DAE" w:rsidRPr="00593874" w:rsidRDefault="00396DAE" w:rsidP="00A63ADA">
            <w:pPr>
              <w:spacing w:before="120" w:after="12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593874">
              <w:rPr>
                <w:b/>
                <w:bCs/>
                <w:sz w:val="22"/>
                <w:szCs w:val="22"/>
              </w:rPr>
              <w:t>UWAGI OGÓLNE DO PROJEKTU</w:t>
            </w:r>
          </w:p>
        </w:tc>
      </w:tr>
      <w:tr w:rsidR="006F492C" w:rsidRPr="00813BFC" w14:paraId="5C4BA03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9C72FBD" w14:textId="43301CD9" w:rsidR="00777F8A" w:rsidRPr="00593874" w:rsidRDefault="00777F8A" w:rsidP="0057644A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97F681D" w14:textId="25FD681A" w:rsidR="00777F8A" w:rsidRPr="00593874" w:rsidRDefault="00777F8A" w:rsidP="009927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7C9DD14" w14:textId="37F6CFF6" w:rsidR="00777F8A" w:rsidRPr="00362E66" w:rsidRDefault="00073A02" w:rsidP="0099273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FE78791" w14:textId="35CC3308" w:rsidR="00073A02" w:rsidRPr="00593874" w:rsidRDefault="00073A02" w:rsidP="00593874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 xml:space="preserve">Projektowane rozporządzenie wymaga ponadto dopracowania pod względem redakcyjnym i legislacyjnym, z uwzględnieniem równolegle toczących się prac legislacyjnych nad aktem wykonawczym, którego materia ściśle dotyczy przedmiotowego projektu (tj. nad 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rozporządzeniem Rady Ministrów w sprawie zapewnienia przez przedsiębiorcę telekomunikacyjnego warunków dostępu i utrwalania oraz przygotowania technicznych i organizacyjnych warunków udostępniania danych</w:t>
            </w:r>
            <w:r w:rsidRPr="0059387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Pr="00593874">
              <w:rPr>
                <w:rFonts w:ascii="Times New Roman" w:eastAsia="Times New Roman" w:hAnsi="Times New Roman" w:cs="Times New Roman"/>
              </w:rPr>
              <w:t>). Przykładowo należy zaznaczyć, że:</w:t>
            </w:r>
          </w:p>
          <w:p w14:paraId="136507B3" w14:textId="4EB7C25D" w:rsidR="00073A02" w:rsidRPr="00593874" w:rsidRDefault="00073A02" w:rsidP="00593874">
            <w:pPr>
              <w:pStyle w:val="Bezodstpw"/>
              <w:numPr>
                <w:ilvl w:val="0"/>
                <w:numId w:val="6"/>
              </w:numPr>
              <w:spacing w:after="120"/>
              <w:ind w:left="372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>w pkt 6.13 dookreślenia wymaga odesłanie do „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przepisów z zakresu usług zaufania publicznego</w:t>
            </w:r>
            <w:r w:rsidRPr="00593874">
              <w:rPr>
                <w:rFonts w:ascii="Times New Roman" w:eastAsia="Times New Roman" w:hAnsi="Times New Roman" w:cs="Times New Roman"/>
              </w:rPr>
              <w:t>” dotyczące zapewnienia zgodności wymagań technicznych dla certyfikatów wykorzystywanych na potrzeby stosowania podpisu elektronicznego;</w:t>
            </w:r>
          </w:p>
          <w:p w14:paraId="5A55E40E" w14:textId="1B2D3169" w:rsidR="00073A02" w:rsidRPr="00593874" w:rsidRDefault="00073A02" w:rsidP="00593874">
            <w:pPr>
              <w:pStyle w:val="Bezodstpw"/>
              <w:numPr>
                <w:ilvl w:val="0"/>
                <w:numId w:val="6"/>
              </w:numPr>
              <w:spacing w:after="120"/>
              <w:ind w:left="372"/>
              <w:jc w:val="both"/>
              <w:rPr>
                <w:rFonts w:ascii="Times New Roman" w:eastAsia="Times New Roman" w:hAnsi="Times New Roman" w:cs="Times New Roman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>w pkt 7.10 dookreślenia wymaga pojęcie „</w:t>
            </w:r>
            <w:r w:rsidRPr="00593874">
              <w:rPr>
                <w:rFonts w:ascii="Times New Roman" w:eastAsia="Times New Roman" w:hAnsi="Times New Roman" w:cs="Times New Roman"/>
                <w:i/>
                <w:iCs/>
              </w:rPr>
              <w:t>normy telekomunikacyjne</w:t>
            </w:r>
            <w:r w:rsidRPr="00593874">
              <w:rPr>
                <w:rFonts w:ascii="Times New Roman" w:eastAsia="Times New Roman" w:hAnsi="Times New Roman" w:cs="Times New Roman"/>
              </w:rPr>
              <w:t xml:space="preserve">”, w których mają się znajdować zalecenia stosowania pewnych formatów w stosunku do wartości parametrów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</w:rPr>
              <w:t>IRI</w:t>
            </w:r>
            <w:proofErr w:type="spellEnd"/>
            <w:r w:rsidRPr="00593874">
              <w:rPr>
                <w:rFonts w:ascii="Times New Roman" w:eastAsia="Times New Roman" w:hAnsi="Times New Roman" w:cs="Times New Roman"/>
              </w:rPr>
              <w:t>;</w:t>
            </w:r>
          </w:p>
          <w:p w14:paraId="2633191D" w14:textId="3BAE24A3" w:rsidR="00777F8A" w:rsidRPr="00593874" w:rsidRDefault="00073A02" w:rsidP="00593874">
            <w:pPr>
              <w:pStyle w:val="Bezodstpw"/>
              <w:numPr>
                <w:ilvl w:val="0"/>
                <w:numId w:val="6"/>
              </w:numPr>
              <w:ind w:left="3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</w:rPr>
              <w:t xml:space="preserve">weryfikacji wymaga spójność definicji określenia „interfejs LI HI” (pkt 4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</w:rPr>
              <w:t>ppkt</w:t>
            </w:r>
            <w:proofErr w:type="spellEnd"/>
            <w:r w:rsidRPr="00593874">
              <w:rPr>
                <w:rFonts w:ascii="Times New Roman" w:eastAsia="Times New Roman" w:hAnsi="Times New Roman" w:cs="Times New Roman"/>
              </w:rPr>
              <w:t xml:space="preserve"> 1 załącznika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do projektowanego rozporządzenia) w kontekście definicji tego pojęcia w projekcie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RD217</w:t>
            </w:r>
            <w:proofErr w:type="spellEnd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24913E6" w14:textId="029B8D3A" w:rsidR="008D6C95" w:rsidRPr="0099329B" w:rsidRDefault="00E610D9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Uwaga uwzględniona</w:t>
            </w:r>
            <w:r w:rsidR="005E2AD0" w:rsidRPr="005938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5E2AD0" w:rsidRPr="00593874">
              <w:rPr>
                <w:rFonts w:ascii="Times New Roman" w:eastAsia="Times New Roman" w:hAnsi="Times New Roman" w:cs="Times New Roman"/>
                <w:lang w:eastAsia="pl-PL"/>
              </w:rPr>
              <w:t>w odniesieniu do punktów 1 i 2</w:t>
            </w:r>
          </w:p>
          <w:p w14:paraId="575F0B15" w14:textId="0417E658" w:rsidR="002A19AF" w:rsidRPr="00593874" w:rsidRDefault="002A19AF">
            <w:pPr>
              <w:pStyle w:val="Bezodstpw"/>
              <w:spacing w:after="120"/>
              <w:jc w:val="both"/>
              <w:rPr>
                <w:rFonts w:ascii="Times New Roman" w:hAnsi="Times New Roman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Odnośnie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do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pkt 1: uzupełniono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przepis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8214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aktualnego pkt 6.11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4A256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odesłanie do </w:t>
            </w:r>
            <w:r w:rsidRPr="00593874">
              <w:rPr>
                <w:rFonts w:ascii="Times New Roman" w:hAnsi="Times New Roman"/>
              </w:rPr>
              <w:t>ustawy z dnia 5 września 2016 r. o usługach zaufania oraz identyfikacji elektronicznej</w:t>
            </w:r>
            <w:r w:rsidR="009E066D">
              <w:rPr>
                <w:rFonts w:ascii="Times New Roman" w:hAnsi="Times New Roman"/>
              </w:rPr>
              <w:t>.</w:t>
            </w:r>
          </w:p>
          <w:p w14:paraId="4146749B" w14:textId="018ED934" w:rsidR="002A19AF" w:rsidRPr="00593874" w:rsidRDefault="002A19AF" w:rsidP="00593874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Odnośnie do pkt 2: 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dookreślono normy uzupełniając aktualny pkt. 7.6: </w:t>
            </w:r>
            <w:r w:rsidR="008076E5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="00E42D70" w:rsidRPr="00593874">
              <w:rPr>
                <w:rFonts w:ascii="Times New Roman" w:hAnsi="Times New Roman"/>
              </w:rPr>
              <w:t>normy</w:t>
            </w:r>
            <w:r w:rsidR="00593874">
              <w:rPr>
                <w:rFonts w:ascii="Times New Roman" w:hAnsi="Times New Roman"/>
              </w:rPr>
              <w:t xml:space="preserve"> </w:t>
            </w:r>
            <w:r w:rsidR="00E42D70" w:rsidRPr="00593874">
              <w:rPr>
                <w:rFonts w:ascii="Times New Roman" w:hAnsi="Times New Roman"/>
              </w:rPr>
              <w:t>określone przez Europejski Instytut Norm Telekomunikacyjnych, które ich dotyczą, w tym:</w:t>
            </w:r>
            <w:r w:rsidR="005F7322" w:rsidRPr="00593874">
              <w:rPr>
                <w:rFonts w:ascii="Times New Roman" w:hAnsi="Times New Roman"/>
              </w:rPr>
              <w:t>(</w:t>
            </w:r>
            <w:r w:rsidR="00E42D70" w:rsidRPr="00593874">
              <w:rPr>
                <w:rFonts w:ascii="Times New Roman" w:hAnsi="Times New Roman"/>
              </w:rPr>
              <w:t>…</w:t>
            </w:r>
            <w:r w:rsidR="005F7322" w:rsidRPr="00593874">
              <w:rPr>
                <w:rFonts w:ascii="Times New Roman" w:hAnsi="Times New Roman"/>
              </w:rPr>
              <w:t>)</w:t>
            </w:r>
            <w:r w:rsidR="008076E5">
              <w:rPr>
                <w:rFonts w:ascii="Times New Roman" w:hAnsi="Times New Roman"/>
              </w:rPr>
              <w:t>”</w:t>
            </w:r>
            <w:r w:rsidR="00BF1DCD">
              <w:rPr>
                <w:rFonts w:ascii="Times New Roman" w:hAnsi="Times New Roman"/>
              </w:rPr>
              <w:t>.</w:t>
            </w:r>
          </w:p>
          <w:p w14:paraId="49D81D16" w14:textId="77777777" w:rsidR="00231655" w:rsidRPr="00593874" w:rsidRDefault="00231655" w:rsidP="00593874">
            <w:pPr>
              <w:pStyle w:val="Bezodstpw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6A03DA5" w14:textId="41F106C4" w:rsidR="00E610D9" w:rsidRPr="00593874" w:rsidRDefault="00E610D9" w:rsidP="00593874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/>
                <w:b/>
                <w:bCs/>
              </w:rPr>
              <w:t>Wyjaśnienie</w:t>
            </w:r>
            <w:r w:rsidRPr="00593874">
              <w:rPr>
                <w:rFonts w:ascii="Times New Roman" w:hAnsi="Times New Roman"/>
              </w:rPr>
              <w:t xml:space="preserve"> odnośnie do definicji interfejsu LI HI</w:t>
            </w:r>
            <w:r w:rsidR="005E2AD0" w:rsidRPr="00593874">
              <w:rPr>
                <w:rFonts w:ascii="Times New Roman" w:hAnsi="Times New Roman"/>
              </w:rPr>
              <w:t xml:space="preserve"> (pkt 3)</w:t>
            </w:r>
            <w:r w:rsidR="005F7322">
              <w:rPr>
                <w:rFonts w:ascii="Times New Roman" w:eastAsia="Times New Roman" w:hAnsi="Times New Roman" w:cs="Times New Roman"/>
                <w:lang w:eastAsia="pl-PL"/>
              </w:rPr>
              <w:t>: d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efinicje interfejsu LI HI w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przedmiotowym projekcie rozporządzenia oraz projekcie </w:t>
            </w:r>
            <w:r w:rsidR="00925840" w:rsidRPr="00362E66">
              <w:rPr>
                <w:rFonts w:ascii="Times New Roman" w:eastAsia="Times New Roman" w:hAnsi="Times New Roman" w:cs="Times New Roman"/>
              </w:rPr>
              <w:t>rozporządzeni</w:t>
            </w:r>
            <w:r w:rsidR="00925840">
              <w:rPr>
                <w:rFonts w:ascii="Times New Roman" w:eastAsia="Times New Roman" w:hAnsi="Times New Roman" w:cs="Times New Roman"/>
              </w:rPr>
              <w:t>a</w:t>
            </w:r>
            <w:r w:rsidR="00925840" w:rsidRPr="00362E66">
              <w:rPr>
                <w:rFonts w:ascii="Times New Roman" w:eastAsia="Times New Roman" w:hAnsi="Times New Roman" w:cs="Times New Roman"/>
              </w:rPr>
              <w:t xml:space="preserve"> Rady Ministrów w sprawie zapewnienia przez przedsiębiorcę telekomunikacyjnego warunków dostępu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925840" w:rsidRPr="00362E66">
              <w:rPr>
                <w:rFonts w:ascii="Times New Roman" w:eastAsia="Times New Roman" w:hAnsi="Times New Roman" w:cs="Times New Roman"/>
              </w:rPr>
              <w:t>utrwalania oraz przygotowania technicznych i organizacyjnych warunków udostępniania danych</w:t>
            </w:r>
            <w:r w:rsidR="00925840" w:rsidRPr="00925840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="00925840" w:rsidRPr="00925840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="00925840" w:rsidRPr="00925840">
              <w:rPr>
                <w:rFonts w:ascii="Times New Roman" w:eastAsia="Times New Roman" w:hAnsi="Times New Roman" w:cs="Times New Roman"/>
              </w:rPr>
              <w:t>)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są tożsame pod względem merytorycznym. Definicja w </w:t>
            </w:r>
            <w:r w:rsidR="0033574B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przedmiotowym projekcie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rozporządzeni</w:t>
            </w:r>
            <w:r w:rsidR="0033574B" w:rsidRPr="0099329B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posługuje się pojęciami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AMDF</w:t>
            </w:r>
            <w:proofErr w:type="spellEnd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proofErr w:type="spellStart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LEMF</w:t>
            </w:r>
            <w:proofErr w:type="spellEnd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, które nie są definiowane w projekcie</w:t>
            </w:r>
            <w:r w:rsidR="00813BFC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13BFC" w:rsidRPr="00593874">
              <w:rPr>
                <w:rFonts w:ascii="Times New Roman" w:eastAsia="Times New Roman" w:hAnsi="Times New Roman" w:cs="Times New Roman"/>
              </w:rPr>
              <w:t>rozporządzenia Rady Ministrów w sprawie zapewnienia przez przedsiębiorcę telekomunikacyjnego warunków dostępu i utrwalania oraz przygotowania technicznych i</w:t>
            </w:r>
            <w:r w:rsidR="000319B2">
              <w:rPr>
                <w:rFonts w:ascii="Times New Roman" w:eastAsia="Times New Roman" w:hAnsi="Times New Roman" w:cs="Times New Roman"/>
              </w:rPr>
              <w:t> </w:t>
            </w:r>
            <w:r w:rsidR="00813BFC" w:rsidRPr="00593874">
              <w:rPr>
                <w:rFonts w:ascii="Times New Roman" w:eastAsia="Times New Roman" w:hAnsi="Times New Roman" w:cs="Times New Roman"/>
              </w:rPr>
              <w:t>organizacyjnych warunków udostępniania danych (</w:t>
            </w:r>
            <w:proofErr w:type="spellStart"/>
            <w:r w:rsidR="00813BFC" w:rsidRPr="00593874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="00813BFC" w:rsidRPr="00593874">
              <w:rPr>
                <w:rFonts w:ascii="Times New Roman" w:eastAsia="Times New Roman" w:hAnsi="Times New Roman" w:cs="Times New Roman"/>
              </w:rPr>
              <w:t>)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, lecz zastąpione odpowiednio „systemem przedsiębiorcy telekomunikacyjnego” (</w:t>
            </w:r>
            <w:proofErr w:type="spellStart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AMDF</w:t>
            </w:r>
            <w:proofErr w:type="spellEnd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) i „systemem uprawnionego podmiotu” (</w:t>
            </w:r>
            <w:proofErr w:type="spellStart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LEMF</w:t>
            </w:r>
            <w:proofErr w:type="spellEnd"/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). Ponadto, w projekcie </w:t>
            </w:r>
            <w:r w:rsidR="00031C4E">
              <w:rPr>
                <w:rFonts w:ascii="Times New Roman" w:eastAsia="Times New Roman" w:hAnsi="Times New Roman" w:cs="Times New Roman"/>
                <w:lang w:eastAsia="pl-PL"/>
              </w:rPr>
              <w:t xml:space="preserve">rozporządzenia </w:t>
            </w:r>
            <w:r w:rsidR="00925840" w:rsidRPr="00412357">
              <w:rPr>
                <w:rFonts w:ascii="Times New Roman" w:eastAsia="Times New Roman" w:hAnsi="Times New Roman" w:cs="Times New Roman"/>
              </w:rPr>
              <w:t>Rady Ministrów w sprawie zapewnienia przez przedsiębiorcę telekomunikacyjnego warunków dostępu i utrwalania oraz przygotowania technicznych i organizacyjnych warunków udostępniania danych</w:t>
            </w:r>
            <w:r w:rsidR="00925840" w:rsidRPr="00925840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="00925840" w:rsidRPr="00925840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="00925840" w:rsidRPr="00925840">
              <w:rPr>
                <w:rFonts w:ascii="Times New Roman" w:eastAsia="Times New Roman" w:hAnsi="Times New Roman" w:cs="Times New Roman"/>
              </w:rPr>
              <w:t>)</w:t>
            </w:r>
            <w:r w:rsidR="00925840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nie określa się elementów interfejsu LI HI, wskazując, że umożliwia on również dostęp do danych, a nie tylko treści </w:t>
            </w:r>
            <w:r w:rsidRPr="006F678B">
              <w:rPr>
                <w:rFonts w:ascii="Times New Roman" w:eastAsia="Times New Roman" w:hAnsi="Times New Roman" w:cs="Times New Roman"/>
                <w:lang w:eastAsia="pl-PL"/>
              </w:rPr>
              <w:t>komunikatów</w:t>
            </w:r>
            <w:r w:rsidR="006F678B" w:rsidRPr="006F67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F678B" w:rsidRPr="006F678B">
              <w:rPr>
                <w:rFonts w:ascii="Times New Roman" w:hAnsi="Times New Roman"/>
              </w:rPr>
              <w:t xml:space="preserve">i związanych z nimi danych, o których mowa </w:t>
            </w:r>
            <w:r w:rsidR="006F678B" w:rsidRPr="006F678B">
              <w:rPr>
                <w:rFonts w:ascii="Times New Roman" w:hAnsi="Times New Roman"/>
              </w:rPr>
              <w:lastRenderedPageBreak/>
              <w:t xml:space="preserve">w art. 43 ust. 1 pkt 1 </w:t>
            </w:r>
            <w:r w:rsidR="00F12012" w:rsidRPr="00593874">
              <w:rPr>
                <w:rFonts w:ascii="Times New Roman" w:hAnsi="Times New Roman" w:cs="Times New Roman"/>
              </w:rPr>
              <w:t>ustaw</w:t>
            </w:r>
            <w:r w:rsidR="00F12012">
              <w:rPr>
                <w:rFonts w:ascii="Times New Roman" w:hAnsi="Times New Roman" w:cs="Times New Roman"/>
              </w:rPr>
              <w:t>ie</w:t>
            </w:r>
            <w:r w:rsidR="00F12012" w:rsidRPr="00593874">
              <w:rPr>
                <w:rFonts w:ascii="Times New Roman" w:hAnsi="Times New Roman" w:cs="Times New Roman"/>
              </w:rPr>
              <w:t xml:space="preserve"> z dnia 12 lipca 2024 r. – Prawo komunikacji elektronicznej</w:t>
            </w:r>
            <w:r w:rsidR="00F12012">
              <w:rPr>
                <w:rFonts w:ascii="Times New Roman" w:hAnsi="Times New Roman" w:cs="Times New Roman"/>
              </w:rPr>
              <w:t>, zwanej dalej „ustawą”</w:t>
            </w:r>
            <w:r w:rsidRPr="006F678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603AEEB" w14:textId="64F7B17E" w:rsidR="00E610D9" w:rsidRPr="008076E5" w:rsidRDefault="00E610D9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W opinii </w:t>
            </w:r>
            <w:r w:rsidR="004A2569">
              <w:rPr>
                <w:rFonts w:ascii="Times New Roman" w:eastAsia="Times New Roman" w:hAnsi="Times New Roman" w:cs="Times New Roman"/>
                <w:lang w:eastAsia="pl-PL"/>
              </w:rPr>
              <w:t>projektodawcy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terminologia obu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wskazanych powyżej projektach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rozporządzeń jest 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merytorycznie </w:t>
            </w:r>
            <w:r w:rsidRPr="00593874">
              <w:rPr>
                <w:rFonts w:ascii="Times New Roman" w:eastAsia="Times New Roman" w:hAnsi="Times New Roman" w:cs="Times New Roman"/>
                <w:lang w:eastAsia="pl-PL"/>
              </w:rPr>
              <w:t>spójna.</w:t>
            </w:r>
            <w:r w:rsidR="00E42D70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Definicja interfejsu LI HI w przedmiotowym projekcie rozporządzenia dodatkowo określa z czego składa się ten interfejs</w:t>
            </w:r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proofErr w:type="spellStart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>HI1</w:t>
            </w:r>
            <w:proofErr w:type="spellEnd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>HI2</w:t>
            </w:r>
            <w:proofErr w:type="spellEnd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>HI3</w:t>
            </w:r>
            <w:proofErr w:type="spellEnd"/>
            <w:r w:rsidR="00583ABF" w:rsidRPr="0099329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, co nie jest istotne w </w:t>
            </w:r>
            <w:r w:rsidR="00243AB5" w:rsidRPr="008076E5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rozporządzeniem Rady Ministrów w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sprawie zapewnienia przez przedsiębiorcę telekomunikacyjnego warunków dostępu i utrwalania oraz przygotowania technicznych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organizacyjnych warunków udostępniania danych</w:t>
            </w:r>
            <w:r w:rsidR="00031C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8076E5" w:rsidRPr="008076E5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="00031C4E">
              <w:rPr>
                <w:rFonts w:ascii="Times New Roman" w:eastAsia="Times New Roman" w:hAnsi="Times New Roman" w:cs="Times New Roman"/>
              </w:rPr>
              <w:t>)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.</w:t>
            </w:r>
          </w:p>
          <w:p w14:paraId="5FBA887E" w14:textId="61FB3985" w:rsidR="00E42D70" w:rsidRPr="0099329B" w:rsidRDefault="00E42D70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Definicja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76E5" w:rsidRPr="008076E5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rozporządzeniem Rady Ministrów w sprawie zapewnienia przez przedsiębiorcę telekomunikacyjnego warunków dostępu i utrwalania oraz przygotowania technicznych i</w:t>
            </w:r>
            <w:r w:rsidR="004A2569">
              <w:rPr>
                <w:rFonts w:ascii="Times New Roman" w:eastAsia="Times New Roman" w:hAnsi="Times New Roman" w:cs="Times New Roman"/>
              </w:rPr>
              <w:t> </w:t>
            </w:r>
            <w:r w:rsidR="008076E5" w:rsidRPr="008076E5">
              <w:rPr>
                <w:rFonts w:ascii="Times New Roman" w:eastAsia="Times New Roman" w:hAnsi="Times New Roman" w:cs="Times New Roman"/>
              </w:rPr>
              <w:t>organizacyjnych warunków udostępniania danych</w:t>
            </w:r>
            <w:r w:rsidR="00031C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8076E5" w:rsidRPr="008076E5">
              <w:rPr>
                <w:rFonts w:ascii="Times New Roman" w:eastAsia="Times New Roman" w:hAnsi="Times New Roman" w:cs="Times New Roman"/>
              </w:rPr>
              <w:t>RD217</w:t>
            </w:r>
            <w:proofErr w:type="spellEnd"/>
            <w:r w:rsidR="00031C4E">
              <w:rPr>
                <w:rFonts w:ascii="Times New Roman" w:eastAsia="Times New Roman" w:hAnsi="Times New Roman" w:cs="Times New Roman"/>
              </w:rPr>
              <w:t>)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4FC1D658" w14:textId="35B40E5B" w:rsidR="00E42D70" w:rsidRPr="00593874" w:rsidRDefault="004C1658" w:rsidP="00593874">
            <w:pPr>
              <w:pStyle w:val="Bezodstpw"/>
              <w:spacing w:after="120"/>
              <w:ind w:left="26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Interfejs LI HI – </w:t>
            </w:r>
            <w:r w:rsidR="009847B1" w:rsidRPr="00362E66">
              <w:rPr>
                <w:rFonts w:ascii="Times New Roman" w:hAnsi="Times New Roman" w:cs="Times New Roman"/>
              </w:rPr>
              <w:t>rozumie się przez to elektroniczny, zdalny i oparty na protokole komunikacyjnym IP interfejs między systemem przedsiębiorcy telekomunikacyjnego a systemem uprawnionego podmiotu, umożliwiający realizację dostępu do komunikatów elektronicznych i</w:t>
            </w:r>
            <w:r w:rsidR="006F678B" w:rsidRPr="006F678B">
              <w:rPr>
                <w:rFonts w:ascii="Times New Roman" w:hAnsi="Times New Roman"/>
              </w:rPr>
              <w:t xml:space="preserve"> związanych z nimi danych, o których mowa w art. 43 ust. 1 pkt 1 ustawy</w:t>
            </w:r>
            <w:r w:rsidR="009847B1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593874">
              <w:rPr>
                <w:rFonts w:ascii="Times New Roman" w:hAnsi="Times New Roman" w:cs="Times New Roman"/>
              </w:rPr>
              <w:t>”</w:t>
            </w:r>
            <w:r w:rsidR="000319B2">
              <w:rPr>
                <w:rFonts w:ascii="Times New Roman" w:hAnsi="Times New Roman" w:cs="Times New Roman"/>
              </w:rPr>
              <w:t>.</w:t>
            </w:r>
          </w:p>
          <w:p w14:paraId="6FAC6BED" w14:textId="366AE246" w:rsidR="00E42D70" w:rsidRPr="0099329B" w:rsidRDefault="00E42D70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Definicja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przedmiotow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3AB5" w:rsidRPr="0099329B">
              <w:rPr>
                <w:rFonts w:ascii="Times New Roman" w:eastAsia="Times New Roman" w:hAnsi="Times New Roman" w:cs="Times New Roman"/>
                <w:lang w:eastAsia="pl-PL"/>
              </w:rPr>
              <w:t xml:space="preserve">projekcie </w:t>
            </w:r>
            <w:r w:rsidRPr="0099329B">
              <w:rPr>
                <w:rFonts w:ascii="Times New Roman" w:eastAsia="Times New Roman" w:hAnsi="Times New Roman" w:cs="Times New Roman"/>
                <w:lang w:eastAsia="pl-PL"/>
              </w:rPr>
              <w:t>rozporządzenia:</w:t>
            </w:r>
          </w:p>
          <w:p w14:paraId="11574701" w14:textId="3B12B5FA" w:rsidR="00E42D70" w:rsidRPr="00593874" w:rsidRDefault="004C1658" w:rsidP="00593874">
            <w:pPr>
              <w:pStyle w:val="Bezodstpw"/>
              <w:spacing w:after="120"/>
              <w:ind w:left="26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Interfejs LI HI (</w:t>
            </w:r>
            <w:proofErr w:type="spellStart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Lawful</w:t>
            </w:r>
            <w:proofErr w:type="spellEnd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Interception</w:t>
            </w:r>
            <w:proofErr w:type="spellEnd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Handover</w:t>
            </w:r>
            <w:proofErr w:type="spellEnd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Interface) – elektroniczny, zdalny</w:t>
            </w:r>
            <w:r w:rsidR="00925840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oparty na protokole komunikacyjnym IP interfejs między </w:t>
            </w:r>
            <w:proofErr w:type="spellStart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ADMF</w:t>
            </w:r>
            <w:proofErr w:type="spellEnd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 a </w:t>
            </w:r>
            <w:proofErr w:type="spellStart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LEMF</w:t>
            </w:r>
            <w:proofErr w:type="spellEnd"/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, umożliwiający realizację dostępu do wybranych komunikatów elektronicznych i związanych z nimi danych, o których mowa w art. 43 ust. 1 pkt 1 l</w:t>
            </w:r>
            <w:r w:rsidR="009847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 xml:space="preserve">ustawy, w skład którego wchodzą </w:t>
            </w:r>
            <w:r w:rsidR="005F7322" w:rsidRPr="0059387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E42D70" w:rsidRPr="00593874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 w:rsidR="005F7322" w:rsidRPr="00593874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  <w:r w:rsidRPr="00593874">
              <w:rPr>
                <w:rFonts w:ascii="Times New Roman" w:hAnsi="Times New Roman" w:cs="Times New Roman"/>
              </w:rPr>
              <w:t>”</w:t>
            </w:r>
          </w:p>
        </w:tc>
      </w:tr>
      <w:tr w:rsidR="00396DAE" w:rsidRPr="00813BFC" w14:paraId="7385FCD3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2A289FC4" w14:textId="7AEF10C0" w:rsidR="00396DAE" w:rsidRPr="00362E66" w:rsidRDefault="00396DAE" w:rsidP="00A63ADA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C4E">
              <w:rPr>
                <w:rFonts w:ascii="Times New Roman" w:hAnsi="Times New Roman" w:cs="Times New Roman"/>
                <w:b/>
                <w:bCs/>
              </w:rPr>
              <w:lastRenderedPageBreak/>
              <w:t>UWAGI SZCZEGÓŁOWE DO PROJEKTU</w:t>
            </w:r>
            <w:r w:rsidR="00B111A8">
              <w:rPr>
                <w:rFonts w:ascii="Times New Roman" w:hAnsi="Times New Roman" w:cs="Times New Roman"/>
                <w:b/>
                <w:bCs/>
              </w:rPr>
              <w:t xml:space="preserve"> / ZAŁĄCZNIKA</w:t>
            </w:r>
          </w:p>
        </w:tc>
      </w:tr>
      <w:tr w:rsidR="005C3768" w:rsidRPr="00813BFC" w14:paraId="07139DFB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3B15F6" w14:textId="77777777" w:rsidR="005C3768" w:rsidRPr="00593874" w:rsidRDefault="005C3768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B06BB8E" w14:textId="77777777" w:rsidR="005C3768" w:rsidRPr="00593874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CC66DF0" w14:textId="6A00016D" w:rsidR="005C3768" w:rsidRPr="00593874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374556D" w14:textId="30DDF019" w:rsidR="005C3768" w:rsidRPr="00362E66" w:rsidRDefault="005C3768" w:rsidP="007D4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0FDE3C8" w14:textId="748923C4" w:rsidR="005C3768" w:rsidRPr="00593874" w:rsidRDefault="005C376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Proponuje się przeformułowanie pkt 1 „Przepisy ogólne” załącznika do projektowanego rozporządzenia w ten sposób, aby nie powtarzał on regulacji wynikającej już z przepisu określającego zakres przedmiotowy tego rozporządzenia (tj. § 1 ust. 1 projektu). Zdanie pierwsze i drugie zawarte w tej części załącznika do projektu mają obecnie charakter nadmiarowy</w:t>
            </w:r>
            <w:r w:rsidR="00371C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2A77DA" w14:textId="3694859E" w:rsidR="005C3768" w:rsidRPr="00593874" w:rsidRDefault="002837E9" w:rsidP="008076E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1489A621" w14:textId="2EAA2892" w:rsidR="002837E9" w:rsidRPr="00593874" w:rsidRDefault="00C11CBF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Proponuj</w:t>
            </w:r>
            <w:r w:rsidR="00925840">
              <w:rPr>
                <w:rFonts w:ascii="Times New Roman" w:hAnsi="Times New Roman" w:cs="Times New Roman"/>
              </w:rPr>
              <w:t>ę</w:t>
            </w:r>
            <w:r w:rsidRPr="00593874">
              <w:rPr>
                <w:rFonts w:ascii="Times New Roman" w:hAnsi="Times New Roman" w:cs="Times New Roman"/>
              </w:rPr>
              <w:t xml:space="preserve"> treść p</w:t>
            </w:r>
            <w:r w:rsidR="00031C4E">
              <w:rPr>
                <w:rFonts w:ascii="Times New Roman" w:hAnsi="Times New Roman" w:cs="Times New Roman"/>
              </w:rPr>
              <w:t>kt</w:t>
            </w:r>
            <w:r w:rsidRPr="00593874">
              <w:rPr>
                <w:rFonts w:ascii="Times New Roman" w:hAnsi="Times New Roman" w:cs="Times New Roman"/>
              </w:rPr>
              <w:t xml:space="preserve"> 1:</w:t>
            </w:r>
          </w:p>
          <w:p w14:paraId="0A77FF14" w14:textId="37B2189F" w:rsidR="00C11CBF" w:rsidRPr="00593874" w:rsidRDefault="00A91A6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="00C11CBF" w:rsidRPr="00593874">
              <w:rPr>
                <w:rFonts w:ascii="Times New Roman" w:hAnsi="Times New Roman" w:cs="Times New Roman"/>
              </w:rPr>
              <w:t>Wymagania techniczne i eksploatacyjne</w:t>
            </w:r>
            <w:r w:rsidR="00904023">
              <w:rPr>
                <w:rFonts w:ascii="Times New Roman" w:hAnsi="Times New Roman" w:cs="Times New Roman"/>
              </w:rPr>
              <w:t xml:space="preserve"> dla interfejsów</w:t>
            </w:r>
            <w:r w:rsidR="00C11CBF" w:rsidRPr="00593874">
              <w:rPr>
                <w:rFonts w:ascii="Times New Roman" w:hAnsi="Times New Roman" w:cs="Times New Roman"/>
              </w:rPr>
              <w:t xml:space="preserve"> uznaje się za spełnione, gdy interfejsy zapewniają realizację obowiązków, o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="00C11CBF" w:rsidRPr="00593874">
              <w:rPr>
                <w:rFonts w:ascii="Times New Roman" w:hAnsi="Times New Roman" w:cs="Times New Roman"/>
              </w:rPr>
              <w:t>których mowa w art. 43 ust. 1 pkt 1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C11CBF" w:rsidRPr="00593874">
              <w:rPr>
                <w:rFonts w:ascii="Times New Roman" w:hAnsi="Times New Roman" w:cs="Times New Roman"/>
              </w:rPr>
              <w:t xml:space="preserve">oraz art. 45 ust. 1 ustawy. </w:t>
            </w:r>
          </w:p>
          <w:p w14:paraId="47183770" w14:textId="46675677" w:rsidR="00C11CBF" w:rsidRPr="00593874" w:rsidRDefault="00C11CBF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Dopuszcza się stosowanie norm i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dokumentów w wersjach innych niż wskazane w pkt 2 załącznika, jeżeli zapewniają realizację obowiązków, o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których mowa w art. 43 ust. 1 pkt 1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oraz art. 45 ust. 1 </w:t>
            </w:r>
            <w:r w:rsidRPr="00593874">
              <w:rPr>
                <w:rFonts w:ascii="Times New Roman" w:hAnsi="Times New Roman" w:cs="Times New Roman"/>
              </w:rPr>
              <w:lastRenderedPageBreak/>
              <w:t>ustawy,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stopniu nie mniejszym niż normy i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dokumenty w wersjach wskazanych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załączniku.</w:t>
            </w:r>
            <w:r w:rsidR="00A91A6F" w:rsidRPr="00593874">
              <w:rPr>
                <w:rFonts w:ascii="Times New Roman" w:hAnsi="Times New Roman" w:cs="Times New Roman"/>
              </w:rPr>
              <w:t>”</w:t>
            </w:r>
            <w:r w:rsidR="007458D3">
              <w:rPr>
                <w:rFonts w:ascii="Times New Roman" w:hAnsi="Times New Roman" w:cs="Times New Roman"/>
              </w:rPr>
              <w:t>.</w:t>
            </w:r>
          </w:p>
        </w:tc>
      </w:tr>
      <w:tr w:rsidR="00261428" w:rsidRPr="00813BFC" w14:paraId="0D0825E4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F522B4" w14:textId="77777777" w:rsidR="00261428" w:rsidRPr="00593874" w:rsidRDefault="00261428" w:rsidP="0026142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72EAEA6" w14:textId="77777777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7E412A3B" w14:textId="596690E5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4FE0748" w14:textId="3BBF214A" w:rsidR="00261428" w:rsidRPr="00362E66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BF8F393" w14:textId="49BC33EB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W pkt 2 załącznika do projektowanego rozporządzenia „Wykaz norm i dokumentów” występuje szereg odesłań do norm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oraz innych dokumentów niezaliczanych do źródeł prawa powszechnie obowiązującego w Polsce (w tym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IEEE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IETF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czy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ITU</w:t>
            </w:r>
            <w:proofErr w:type="spellEnd"/>
            <w:r w:rsidRPr="00593874">
              <w:rPr>
                <w:rFonts w:ascii="Times New Roman" w:hAnsi="Times New Roman" w:cs="Times New Roman"/>
              </w:rPr>
              <w:t>). Ponadto przywołane zostały normy i dokumenty, które nie zostały przetłumaczone na język polski. W odniesieniu do przytaczanych w załączniku do rozporządzenia dokumentów, należy wskazać, iż w świetle § 4 ust. 3 w związku z § 132 Zasad techniki prawodawczej – odsyłanie do nich nie jest poprawne.</w:t>
            </w:r>
          </w:p>
          <w:p w14:paraId="406A13B9" w14:textId="2E1AB2FB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Analogiczne stanowisko Rządowe Centrum Legislacji przedstawiało w sprawie nr </w:t>
            </w:r>
            <w:proofErr w:type="spellStart"/>
            <w:r w:rsidRPr="00593874">
              <w:rPr>
                <w:rFonts w:ascii="Times New Roman" w:hAnsi="Times New Roman" w:cs="Times New Roman"/>
              </w:rPr>
              <w:t>RCL.DISIP.555.8.2024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(dot.: </w:t>
            </w:r>
            <w:proofErr w:type="spellStart"/>
            <w:r w:rsidRPr="00593874">
              <w:rPr>
                <w:rFonts w:ascii="Times New Roman" w:hAnsi="Times New Roman" w:cs="Times New Roman"/>
              </w:rPr>
              <w:t>DP.MC.WL.0211.30.202</w:t>
            </w:r>
            <w:proofErr w:type="spellEnd"/>
            <w:r w:rsidRPr="00593874">
              <w:rPr>
                <w:rFonts w:ascii="Times New Roman" w:hAnsi="Times New Roman" w:cs="Times New Roman"/>
              </w:rPr>
              <w:t>) dotyczącej ówczesnego projektu rozporządzenia Ministra Cyfryzacji w sprawie wymagań technicznych i eksploatacyjnych dla odbiorników radiofonii cyfrowej. Wyjaśnienia powyższego rozwiązania zawarte w uzasadnieniu projektu wymagają pogłębienia.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CD119DA" w14:textId="67D7C99C" w:rsidR="00261428" w:rsidRPr="00593874" w:rsidRDefault="00A91A6F" w:rsidP="008076E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Wyjaśnienie</w:t>
            </w:r>
          </w:p>
          <w:p w14:paraId="098F5776" w14:textId="056CF0BF" w:rsidR="0067258D" w:rsidRPr="00593874" w:rsidRDefault="002837E9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Powołanie na normy jest zrealizowane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analogiczny sposób jak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zaakceptowanych przez R</w:t>
            </w:r>
            <w:r w:rsidR="00C872AF">
              <w:rPr>
                <w:rFonts w:ascii="Times New Roman" w:hAnsi="Times New Roman" w:cs="Times New Roman"/>
              </w:rPr>
              <w:t xml:space="preserve">ządowe </w:t>
            </w:r>
            <w:r w:rsidRPr="00593874">
              <w:rPr>
                <w:rFonts w:ascii="Times New Roman" w:hAnsi="Times New Roman" w:cs="Times New Roman"/>
              </w:rPr>
              <w:t>C</w:t>
            </w:r>
            <w:r w:rsidR="00C872AF">
              <w:rPr>
                <w:rFonts w:ascii="Times New Roman" w:hAnsi="Times New Roman" w:cs="Times New Roman"/>
              </w:rPr>
              <w:t xml:space="preserve">entrum </w:t>
            </w:r>
            <w:r w:rsidRPr="00593874">
              <w:rPr>
                <w:rFonts w:ascii="Times New Roman" w:hAnsi="Times New Roman" w:cs="Times New Roman"/>
              </w:rPr>
              <w:t>L</w:t>
            </w:r>
            <w:r w:rsidR="00C872AF">
              <w:rPr>
                <w:rFonts w:ascii="Times New Roman" w:hAnsi="Times New Roman" w:cs="Times New Roman"/>
              </w:rPr>
              <w:t>egislacji</w:t>
            </w:r>
            <w:r w:rsidRPr="00593874">
              <w:rPr>
                <w:rFonts w:ascii="Times New Roman" w:hAnsi="Times New Roman" w:cs="Times New Roman"/>
              </w:rPr>
              <w:t xml:space="preserve"> i wydanych rozporządzaniach </w:t>
            </w:r>
            <w:r w:rsidR="0067258D" w:rsidRPr="0067258D">
              <w:rPr>
                <w:rFonts w:ascii="Times New Roman" w:hAnsi="Times New Roman" w:cs="Times New Roman"/>
              </w:rPr>
              <w:t xml:space="preserve">Ministra Cyfryzacji </w:t>
            </w:r>
            <w:r w:rsidR="0028111E" w:rsidRPr="0067258D">
              <w:rPr>
                <w:rFonts w:ascii="Times New Roman" w:hAnsi="Times New Roman" w:cs="Times New Roman"/>
              </w:rPr>
              <w:t xml:space="preserve">z dnia 9 lipca 2025 r. </w:t>
            </w:r>
            <w:r w:rsidR="0067258D" w:rsidRPr="0067258D">
              <w:rPr>
                <w:rFonts w:ascii="Times New Roman" w:hAnsi="Times New Roman" w:cs="Times New Roman"/>
              </w:rPr>
              <w:t xml:space="preserve">w sprawie wymagań technicznych i eksploatacyjnych dla odbiorników radiofonii cyfrowej oraz </w:t>
            </w:r>
            <w:r w:rsidR="0028111E" w:rsidRPr="0067258D">
              <w:rPr>
                <w:rFonts w:ascii="Times New Roman" w:hAnsi="Times New Roman" w:cs="Times New Roman"/>
              </w:rPr>
              <w:t>z dnia 11 lipca 2025 r</w:t>
            </w:r>
            <w:r w:rsidR="0028111E">
              <w:rPr>
                <w:rFonts w:ascii="Times New Roman" w:hAnsi="Times New Roman" w:cs="Times New Roman"/>
              </w:rPr>
              <w:t>.</w:t>
            </w:r>
            <w:r w:rsidR="0067258D" w:rsidRPr="0067258D">
              <w:rPr>
                <w:rFonts w:ascii="Times New Roman" w:hAnsi="Times New Roman" w:cs="Times New Roman"/>
              </w:rPr>
              <w:t xml:space="preserve"> w sprawie wymagań technicznych i eksploatacyjnych dla odbiorników sygnału telewizyjnego</w:t>
            </w:r>
            <w:r w:rsidR="00904023">
              <w:rPr>
                <w:rFonts w:ascii="Times New Roman" w:hAnsi="Times New Roman" w:cs="Times New Roman"/>
              </w:rPr>
              <w:t>.</w:t>
            </w:r>
          </w:p>
          <w:p w14:paraId="554B510A" w14:textId="3F5C76E0" w:rsidR="00E97A57" w:rsidRPr="00593874" w:rsidRDefault="00E97A57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Szczegółowe wyjaśnienie powołania na anglojęzyczne normy zostało </w:t>
            </w:r>
            <w:r w:rsidR="00904023">
              <w:rPr>
                <w:rFonts w:ascii="Times New Roman" w:hAnsi="Times New Roman" w:cs="Times New Roman"/>
              </w:rPr>
              <w:t>uzupełnione i pogłębione</w:t>
            </w:r>
            <w:r w:rsidR="00904023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 uzasadnieniu.</w:t>
            </w:r>
          </w:p>
          <w:p w14:paraId="2D669EA6" w14:textId="6F29C2D4" w:rsidR="00E0771C" w:rsidRPr="00593874" w:rsidRDefault="00E0771C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Ponadto, R</w:t>
            </w:r>
            <w:r w:rsidR="00C872AF">
              <w:rPr>
                <w:rFonts w:ascii="Times New Roman" w:hAnsi="Times New Roman" w:cs="Times New Roman"/>
              </w:rPr>
              <w:t xml:space="preserve">ządowe </w:t>
            </w:r>
            <w:r w:rsidRPr="00593874">
              <w:rPr>
                <w:rFonts w:ascii="Times New Roman" w:hAnsi="Times New Roman" w:cs="Times New Roman"/>
              </w:rPr>
              <w:t>C</w:t>
            </w:r>
            <w:r w:rsidR="00C872AF">
              <w:rPr>
                <w:rFonts w:ascii="Times New Roman" w:hAnsi="Times New Roman" w:cs="Times New Roman"/>
              </w:rPr>
              <w:t xml:space="preserve">entrum </w:t>
            </w:r>
            <w:r w:rsidRPr="00593874">
              <w:rPr>
                <w:rFonts w:ascii="Times New Roman" w:hAnsi="Times New Roman" w:cs="Times New Roman"/>
              </w:rPr>
              <w:t>L</w:t>
            </w:r>
            <w:r w:rsidR="00C872AF">
              <w:rPr>
                <w:rFonts w:ascii="Times New Roman" w:hAnsi="Times New Roman" w:cs="Times New Roman"/>
              </w:rPr>
              <w:t>egislacji</w:t>
            </w:r>
            <w:r w:rsidRPr="00593874">
              <w:rPr>
                <w:rFonts w:ascii="Times New Roman" w:hAnsi="Times New Roman" w:cs="Times New Roman"/>
              </w:rPr>
              <w:t xml:space="preserve"> nie wskazuje w jaki sposób należy rozwiązać powtarzający się problem powoływania norm technicznych wydawanych w języku angielskim przez organizacje międzynarodowe, do których należy Polska, i które są niezbędne dla funkcjonowania państwa.</w:t>
            </w:r>
          </w:p>
          <w:p w14:paraId="06AEC96B" w14:textId="4E9BC809" w:rsidR="002417FB" w:rsidRPr="00593874" w:rsidRDefault="00401B5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Generalnie s</w:t>
            </w:r>
            <w:r w:rsidR="002417FB" w:rsidRPr="00593874">
              <w:rPr>
                <w:rFonts w:ascii="Times New Roman" w:hAnsi="Times New Roman" w:cs="Times New Roman"/>
              </w:rPr>
              <w:t xml:space="preserve">ystemy telekomunikacyjne działają wyłącznie na normach wydawanych przez </w:t>
            </w:r>
            <w:proofErr w:type="spellStart"/>
            <w:r w:rsidR="002417FB"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="002417FB"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7FB" w:rsidRPr="00593874">
              <w:rPr>
                <w:rFonts w:ascii="Times New Roman" w:hAnsi="Times New Roman" w:cs="Times New Roman"/>
              </w:rPr>
              <w:t>IEEE</w:t>
            </w:r>
            <w:proofErr w:type="spellEnd"/>
            <w:r w:rsidR="002417FB"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7FB" w:rsidRPr="00593874">
              <w:rPr>
                <w:rFonts w:ascii="Times New Roman" w:hAnsi="Times New Roman" w:cs="Times New Roman"/>
              </w:rPr>
              <w:t>IETF</w:t>
            </w:r>
            <w:proofErr w:type="spellEnd"/>
            <w:r w:rsidR="002417FB"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7FB" w:rsidRPr="00593874">
              <w:rPr>
                <w:rFonts w:ascii="Times New Roman" w:hAnsi="Times New Roman" w:cs="Times New Roman"/>
              </w:rPr>
              <w:t>ITU</w:t>
            </w:r>
            <w:proofErr w:type="spellEnd"/>
            <w:r w:rsidR="002417FB"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7FB" w:rsidRPr="00593874">
              <w:rPr>
                <w:rFonts w:ascii="Times New Roman" w:hAnsi="Times New Roman" w:cs="Times New Roman"/>
              </w:rPr>
              <w:t>3GPP</w:t>
            </w:r>
            <w:proofErr w:type="spellEnd"/>
            <w:r w:rsidR="002417FB" w:rsidRPr="00593874">
              <w:rPr>
                <w:rFonts w:ascii="Times New Roman" w:hAnsi="Times New Roman" w:cs="Times New Roman"/>
              </w:rPr>
              <w:t>, itp. Jakiekolwiek odstępstwo od tych norm zakłóciłoby funkcjonowanie sieci telekomunikacyjnych w Polsce. Stosowanie ich, nawet jeśli muszą być częścią systemu prawnego, jest więc niezbędne</w:t>
            </w:r>
            <w:r w:rsidR="0083206F" w:rsidRPr="00593874">
              <w:rPr>
                <w:rFonts w:ascii="Times New Roman" w:hAnsi="Times New Roman" w:cs="Times New Roman"/>
              </w:rPr>
              <w:t>.</w:t>
            </w:r>
          </w:p>
          <w:p w14:paraId="40836D62" w14:textId="32E85144" w:rsidR="00401B5B" w:rsidRPr="00593874" w:rsidRDefault="00401B5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Przedmiotowe rozporządzenie związane jest z zapewnieniem bezpieczeństwa państwa w kontekście zapewnienia uprawnionym podmiotom dostępu do danych telekomunikacyjnych w celu realizacji ich ustawowych zadań. Wszystkie normy międzynarodowe, które opisują interfejsy są wydawane w języku angielskim i nie są tłumaczone na język polski. Brak możliwości wskazania tych norm 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rozporządzeniu skutkowałby brakiem ujenolicenia korzystania z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tych interfejsów w Polsce, a co za tym idzie znaczne utrudnienia 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>czynnościach operacyjno-rozpoznawczych uprawnionych podmiotów.</w:t>
            </w:r>
          </w:p>
        </w:tc>
      </w:tr>
      <w:tr w:rsidR="00F64147" w:rsidRPr="00813BFC" w14:paraId="6AC00643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35E9BA1C" w14:textId="77777777" w:rsidR="00F64147" w:rsidRPr="00593874" w:rsidRDefault="00F64147" w:rsidP="00F64147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65CBA12" w14:textId="77777777" w:rsidR="00F64147" w:rsidRPr="00593874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2959FA8" w14:textId="0E5B25A6" w:rsidR="00F64147" w:rsidRPr="00593874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11AE7EB" w14:textId="59C0145D" w:rsidR="00F64147" w:rsidRPr="00362E66" w:rsidRDefault="00F64147" w:rsidP="00F6414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03FEDD3" w14:textId="3F176FA5" w:rsidR="00F64147" w:rsidRPr="00593874" w:rsidRDefault="00F64147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Ponadto proponuje się dodatkowe zweryfikowanie aktualności norm i dokumentów wymienionych w pkt 2 załącznika do projektu. Zauważenia bowiem wymaga, iż niektóre ze wskazanych dokumentów mają walor historyczny (zostały za takie uznane na podstawie decyzji właściwej organizacji –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) – zob. dokument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101 671 </w:t>
            </w:r>
            <w:proofErr w:type="spellStart"/>
            <w:r w:rsidRPr="00593874">
              <w:rPr>
                <w:rFonts w:ascii="Times New Roman" w:hAnsi="Times New Roman" w:cs="Times New Roman"/>
              </w:rPr>
              <w:t>V3.12.1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102 280 </w:t>
            </w:r>
            <w:proofErr w:type="spellStart"/>
            <w:r w:rsidRPr="00593874">
              <w:rPr>
                <w:rFonts w:ascii="Times New Roman" w:hAnsi="Times New Roman" w:cs="Times New Roman"/>
              </w:rPr>
              <w:t>V1.1.1</w:t>
            </w:r>
            <w:proofErr w:type="spellEnd"/>
            <w:r w:rsidR="005D66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E045C1B" w14:textId="77777777" w:rsidR="00F64147" w:rsidRPr="00593874" w:rsidRDefault="00C056E7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4F938E1E" w14:textId="44EF892F" w:rsidR="00E97A57" w:rsidRPr="00593874" w:rsidRDefault="00E97A57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Poprawność norm została skorygowana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 xml:space="preserve">trakcie warsztatów </w:t>
            </w:r>
            <w:r w:rsidR="008B5539" w:rsidRPr="00593874">
              <w:rPr>
                <w:rFonts w:ascii="Times New Roman" w:hAnsi="Times New Roman" w:cs="Times New Roman"/>
              </w:rPr>
              <w:t>z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udziałem przedstawicieli uprawnionych podmiotów i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przedsiębiorców telekomunikacyjnych</w:t>
            </w:r>
            <w:r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0613FB" w:rsidRPr="00813BFC" w14:paraId="56DB17C7" w14:textId="77777777" w:rsidTr="00362E66">
        <w:trPr>
          <w:trHeight w:val="4663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2F28EBF" w14:textId="77777777" w:rsidR="000613FB" w:rsidRPr="00593874" w:rsidRDefault="000613FB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5FB0788" w14:textId="77777777" w:rsidR="000613FB" w:rsidRPr="00593874" w:rsidRDefault="000613FB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0E5B1BF8" w14:textId="0A5C8E81" w:rsidR="00261428" w:rsidRPr="00593874" w:rsidRDefault="00261428" w:rsidP="007D48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84C9FC1" w14:textId="46EF7053" w:rsidR="000613FB" w:rsidRPr="00362E66" w:rsidRDefault="000613FB" w:rsidP="007D4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DAB561C" w14:textId="52E4A090" w:rsidR="000613FB" w:rsidRPr="00593874" w:rsidRDefault="000613FB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Zmiany w załączniku do opiniowanego projektu powinny polegać na rozszerzeniu wykazu norm i dokumentów wskazanych w pkt 2 poprzez uwzględnienie w tym zakresie standardów dotyczących wszystkich technologii, w których przedsiębiorcy telekomunikacyjni świadczą, bądź będą świadczyć usługi na rzecz swoich abonentów.</w:t>
            </w:r>
          </w:p>
          <w:p w14:paraId="2BAAA75C" w14:textId="35DC7527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Jako przykład mogą tu posłużyć normy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(np.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104 007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1</w:t>
            </w:r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103 120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102 232,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133 128 </w:t>
            </w:r>
            <w:proofErr w:type="spellStart"/>
            <w:r w:rsidRPr="00593874">
              <w:rPr>
                <w:rFonts w:ascii="Times New Roman" w:hAnsi="Times New Roman" w:cs="Times New Roman"/>
              </w:rPr>
              <w:t>VI8.9.1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) oraz </w:t>
            </w:r>
            <w:proofErr w:type="spellStart"/>
            <w:r w:rsidRPr="00593874">
              <w:rPr>
                <w:rFonts w:ascii="Times New Roman" w:hAnsi="Times New Roman" w:cs="Times New Roman"/>
              </w:rPr>
              <w:t>3GPP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(np. </w:t>
            </w:r>
            <w:proofErr w:type="spellStart"/>
            <w:r w:rsidRPr="00593874">
              <w:rPr>
                <w:rFonts w:ascii="Times New Roman" w:hAnsi="Times New Roman" w:cs="Times New Roman"/>
              </w:rPr>
              <w:t>3GPP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33.128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3GPP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33.929-4</w:t>
            </w:r>
            <w:r w:rsidR="007A2613" w:rsidRPr="00593874">
              <w:rPr>
                <w:rFonts w:ascii="Times New Roman" w:hAnsi="Times New Roman" w:cs="Times New Roman"/>
                <w:vertAlign w:val="superscript"/>
              </w:rPr>
              <w:t>4</w:t>
            </w:r>
            <w:r w:rsidR="007A2613" w:rsidRPr="00593874">
              <w:rPr>
                <w:rFonts w:ascii="Times New Roman" w:hAnsi="Times New Roman" w:cs="Times New Roman"/>
              </w:rPr>
              <w:t>)</w:t>
            </w:r>
            <w:r w:rsidR="000B2C11" w:rsidRPr="00593874">
              <w:rPr>
                <w:rFonts w:ascii="Times New Roman" w:hAnsi="Times New Roman" w:cs="Times New Roman"/>
                <w:vertAlign w:val="superscript"/>
              </w:rPr>
              <w:t>5</w:t>
            </w:r>
            <w:r w:rsidRPr="005938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odnoszące się do technologii </w:t>
            </w:r>
            <w:proofErr w:type="spellStart"/>
            <w:r w:rsidRPr="00593874">
              <w:rPr>
                <w:rFonts w:ascii="Times New Roman" w:hAnsi="Times New Roman" w:cs="Times New Roman"/>
              </w:rPr>
              <w:t>5G</w:t>
            </w:r>
            <w:proofErr w:type="spellEnd"/>
            <w:r w:rsidRPr="00593874">
              <w:rPr>
                <w:rFonts w:ascii="Times New Roman" w:hAnsi="Times New Roman" w:cs="Times New Roman"/>
              </w:rPr>
              <w:t>, które nie zostały uwzględnione w projektowanym rozporządzeniu.</w:t>
            </w:r>
          </w:p>
          <w:p w14:paraId="209B5643" w14:textId="77777777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0F6C1D28" w14:textId="510ACE3F" w:rsidR="000613FB" w:rsidRPr="00593874" w:rsidRDefault="000613FB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Odnośniki</w:t>
            </w:r>
            <w:proofErr w:type="spellEnd"/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3E71A01C" w14:textId="3D063EB0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ETSI TS 104 007 - Lawful Interception (LI) Lawful Interception Architecture.</w:t>
            </w:r>
          </w:p>
          <w:p w14:paraId="28181B87" w14:textId="45F2A1BA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ETSI TS 103 120 - Lawful Interception interface for warrant information.</w:t>
            </w:r>
          </w:p>
          <w:p w14:paraId="15EC830E" w14:textId="31D1D3C3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TS 33.128 - Security; Protocol and procedures for Lawful Interception (LI); Stage 3.</w:t>
            </w:r>
          </w:p>
          <w:p w14:paraId="2D6C5CF8" w14:textId="21288B02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TS 33.929-4 - Lawful Interception (LI) implementation guidance; Li for IMS Based Service.</w:t>
            </w:r>
          </w:p>
          <w:p w14:paraId="0E99A4D4" w14:textId="450CA391" w:rsidR="000613FB" w:rsidRPr="00593874" w:rsidRDefault="000B2C11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. W ramach usług </w:t>
            </w:r>
            <w:proofErr w:type="spellStart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5G</w:t>
            </w:r>
            <w:proofErr w:type="spellEnd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, przekazywanie </w:t>
            </w:r>
            <w:proofErr w:type="spellStart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IR1</w:t>
            </w:r>
            <w:proofErr w:type="spellEnd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/CC powinno odbywać się zgodnie z </w:t>
            </w:r>
            <w:proofErr w:type="spellStart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spellEnd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 33.128 wraz z transportem TCP wg </w:t>
            </w:r>
            <w:proofErr w:type="spellStart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ETSI</w:t>
            </w:r>
            <w:proofErr w:type="spellEnd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spellEnd"/>
            <w:r w:rsidR="000613FB" w:rsidRPr="00593874">
              <w:rPr>
                <w:rFonts w:ascii="Times New Roman" w:hAnsi="Times New Roman" w:cs="Times New Roman"/>
                <w:sz w:val="20"/>
                <w:szCs w:val="20"/>
              </w:rPr>
              <w:t xml:space="preserve"> 102 232-1 /-7.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FECD97A" w14:textId="4305867F" w:rsidR="000613FB" w:rsidRPr="00593874" w:rsidRDefault="007A2613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37551A34" w14:textId="01AD517A" w:rsidR="007A2613" w:rsidRPr="00593874" w:rsidRDefault="00E97A57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Poprawność norm została skorygowana </w:t>
            </w:r>
            <w:r w:rsidR="00561EC9">
              <w:rPr>
                <w:rFonts w:ascii="Times New Roman" w:hAnsi="Times New Roman" w:cs="Times New Roman"/>
              </w:rPr>
              <w:t>i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561EC9">
              <w:rPr>
                <w:rFonts w:ascii="Times New Roman" w:hAnsi="Times New Roman" w:cs="Times New Roman"/>
              </w:rPr>
              <w:t xml:space="preserve">uzgodniona </w:t>
            </w:r>
            <w:r w:rsidRPr="00593874">
              <w:rPr>
                <w:rFonts w:ascii="Times New Roman" w:hAnsi="Times New Roman" w:cs="Times New Roman"/>
              </w:rPr>
              <w:t xml:space="preserve">w trakcie warsztatów </w:t>
            </w:r>
            <w:r w:rsidR="008B5539" w:rsidRPr="00593874">
              <w:rPr>
                <w:rFonts w:ascii="Times New Roman" w:hAnsi="Times New Roman" w:cs="Times New Roman"/>
              </w:rPr>
              <w:t>z</w:t>
            </w:r>
            <w:r w:rsidR="00593874">
              <w:rPr>
                <w:rFonts w:ascii="Times New Roman" w:hAnsi="Times New Roman" w:cs="Times New Roman"/>
              </w:rPr>
              <w:t> </w:t>
            </w:r>
            <w:r w:rsidR="008B5539" w:rsidRPr="00593874">
              <w:rPr>
                <w:rFonts w:ascii="Times New Roman" w:hAnsi="Times New Roman" w:cs="Times New Roman"/>
              </w:rPr>
              <w:t>udziałem przedstawicieli uprawnionych podmiotów</w:t>
            </w:r>
            <w:r w:rsidR="00561EC9">
              <w:rPr>
                <w:rFonts w:ascii="Times New Roman" w:hAnsi="Times New Roman" w:cs="Times New Roman"/>
              </w:rPr>
              <w:t>, w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3B2B29">
              <w:rPr>
                <w:rFonts w:ascii="Times New Roman" w:hAnsi="Times New Roman" w:cs="Times New Roman"/>
              </w:rPr>
              <w:t xml:space="preserve">tym </w:t>
            </w:r>
            <w:r w:rsidR="00561EC9">
              <w:rPr>
                <w:rFonts w:ascii="Times New Roman" w:hAnsi="Times New Roman" w:cs="Times New Roman"/>
              </w:rPr>
              <w:t>przedstawiciela Koordynatora Służb Specjalnych</w:t>
            </w:r>
            <w:r w:rsidR="008B5539" w:rsidRPr="00593874">
              <w:rPr>
                <w:rFonts w:ascii="Times New Roman" w:hAnsi="Times New Roman" w:cs="Times New Roman"/>
              </w:rPr>
              <w:t xml:space="preserve"> </w:t>
            </w:r>
            <w:r w:rsidR="00593874">
              <w:rPr>
                <w:rFonts w:ascii="Times New Roman" w:hAnsi="Times New Roman" w:cs="Times New Roman"/>
              </w:rPr>
              <w:t>oraz</w:t>
            </w:r>
            <w:r w:rsidR="008B5539" w:rsidRPr="00593874">
              <w:rPr>
                <w:rFonts w:ascii="Times New Roman" w:hAnsi="Times New Roman" w:cs="Times New Roman"/>
              </w:rPr>
              <w:t xml:space="preserve"> przedsiębiorców telekomunikacyjnych.</w:t>
            </w:r>
            <w:r w:rsidR="00561EC9">
              <w:rPr>
                <w:rFonts w:ascii="Times New Roman" w:hAnsi="Times New Roman" w:cs="Times New Roman"/>
              </w:rPr>
              <w:t xml:space="preserve"> Należy podkreślić, że w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561EC9">
              <w:rPr>
                <w:rFonts w:ascii="Times New Roman" w:hAnsi="Times New Roman" w:cs="Times New Roman"/>
              </w:rPr>
              <w:t>głównym przedmiotem uwagi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561EC9">
              <w:rPr>
                <w:rFonts w:ascii="Times New Roman" w:hAnsi="Times New Roman" w:cs="Times New Roman"/>
              </w:rPr>
              <w:t xml:space="preserve">Koordynatora Służb Specjalnych </w:t>
            </w:r>
            <w:r w:rsidR="003B2B29">
              <w:rPr>
                <w:rFonts w:ascii="Times New Roman" w:hAnsi="Times New Roman" w:cs="Times New Roman"/>
              </w:rPr>
              <w:t xml:space="preserve">jest </w:t>
            </w:r>
            <w:r w:rsidR="00561EC9">
              <w:rPr>
                <w:rFonts w:ascii="Times New Roman" w:hAnsi="Times New Roman" w:cs="Times New Roman"/>
              </w:rPr>
              <w:t xml:space="preserve">ustalenie zmian polegających na </w:t>
            </w:r>
            <w:r w:rsidR="00561EC9" w:rsidRPr="004C1658">
              <w:rPr>
                <w:rFonts w:ascii="Times New Roman" w:hAnsi="Times New Roman" w:cs="Times New Roman"/>
              </w:rPr>
              <w:t>„rozszerzeniu wykazu norm 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561EC9" w:rsidRPr="004C1658">
              <w:rPr>
                <w:rFonts w:ascii="Times New Roman" w:hAnsi="Times New Roman" w:cs="Times New Roman"/>
              </w:rPr>
              <w:t>dokumentów wskazanych w pkt 2 poprzez uwzględnienie w tym zakresie standardów dotyczących wszystkich technologii, w których przedsiębiorcy telekomunikacyjni świadczą</w:t>
            </w:r>
            <w:r w:rsidR="003B2B29" w:rsidRPr="00593874">
              <w:rPr>
                <w:rFonts w:ascii="Times New Roman" w:hAnsi="Times New Roman" w:cs="Times New Roman"/>
              </w:rPr>
              <w:t xml:space="preserve">, </w:t>
            </w:r>
            <w:r w:rsidR="003B2B29" w:rsidRPr="004C1658">
              <w:rPr>
                <w:rFonts w:ascii="Times New Roman" w:hAnsi="Times New Roman" w:cs="Times New Roman"/>
              </w:rPr>
              <w:t>bądź będą świadczyć usługi na rzecz swoich abonentów</w:t>
            </w:r>
            <w:r w:rsidR="004C1658" w:rsidRPr="004C1658">
              <w:rPr>
                <w:rFonts w:ascii="Times New Roman" w:hAnsi="Times New Roman" w:cs="Times New Roman"/>
              </w:rPr>
              <w:t>”.</w:t>
            </w:r>
            <w:r w:rsidR="00561EC9" w:rsidRPr="004C1658">
              <w:rPr>
                <w:rFonts w:ascii="Times New Roman" w:hAnsi="Times New Roman" w:cs="Times New Roman"/>
              </w:rPr>
              <w:t xml:space="preserve"> </w:t>
            </w:r>
            <w:r w:rsidR="00561EC9">
              <w:rPr>
                <w:rFonts w:ascii="Times New Roman" w:hAnsi="Times New Roman" w:cs="Times New Roman"/>
              </w:rPr>
              <w:t>Natomiast wymienione w uwadze normy zostały wskazane jako przykładowe.</w:t>
            </w:r>
          </w:p>
        </w:tc>
      </w:tr>
      <w:tr w:rsidR="00261428" w:rsidRPr="00813BFC" w14:paraId="7272BD7A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7609075" w14:textId="77777777" w:rsidR="00261428" w:rsidRPr="00593874" w:rsidRDefault="00261428" w:rsidP="0026142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F4FEEA9" w14:textId="77777777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E92A381" w14:textId="4BC2233B" w:rsidR="00261428" w:rsidRPr="00593874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A97853F" w14:textId="2FE006AD" w:rsidR="00261428" w:rsidRPr="00362E66" w:rsidRDefault="00261428" w:rsidP="002614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1DFA59D" w14:textId="311EC389" w:rsidR="00261428" w:rsidRPr="00593874" w:rsidRDefault="0026142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W pkt 3 załącznika do projektowanego rozporządzenia („Akronimy”) proponuje się doprecyzowanie niektórych określeń, którymi posłużono się na oznaczenie wprowadzanych akronimów. W tym zakresie należy mieć na uwadze przede wszystkim pojęcia nieznajdujące wyraźnego odzwierciedlenia w przepisach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PKE</w:t>
            </w:r>
            <w:proofErr w:type="spellEnd"/>
            <w:r w:rsidRPr="00593874">
              <w:rPr>
                <w:rFonts w:ascii="Times New Roman" w:hAnsi="Times New Roman" w:cs="Times New Roman"/>
              </w:rPr>
              <w:t>, takie jak: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sieć cyfrowa</w:t>
            </w:r>
            <w:r w:rsidRPr="00593874">
              <w:rPr>
                <w:rFonts w:ascii="Times New Roman" w:hAnsi="Times New Roman" w:cs="Times New Roman"/>
              </w:rPr>
              <w:t>” (pkt 14),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konferencja multimedialna</w:t>
            </w:r>
            <w:r w:rsidRPr="00593874">
              <w:rPr>
                <w:rFonts w:ascii="Times New Roman" w:hAnsi="Times New Roman" w:cs="Times New Roman"/>
              </w:rPr>
              <w:t>” (pkt 23),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sieć komputerowa</w:t>
            </w:r>
            <w:r w:rsidRPr="00593874">
              <w:rPr>
                <w:rFonts w:ascii="Times New Roman" w:hAnsi="Times New Roman" w:cs="Times New Roman"/>
              </w:rPr>
              <w:t>” (pkt 25). Dodatkowo w ww. punkcie załącznika zastosowanie znalazły również bliżej niedookreślone wyrażenia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sieci</w:t>
            </w:r>
            <w:r w:rsidRPr="00593874">
              <w:rPr>
                <w:rFonts w:ascii="Times New Roman" w:hAnsi="Times New Roman" w:cs="Times New Roman"/>
              </w:rPr>
              <w:t>” (pkt 18)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system</w:t>
            </w:r>
            <w:r w:rsidRPr="00593874">
              <w:rPr>
                <w:rFonts w:ascii="Times New Roman" w:hAnsi="Times New Roman" w:cs="Times New Roman"/>
              </w:rPr>
              <w:t>” (pkt 1 i 3), które proponuje się uszczegółowić w celu zapewnienia należytej precyzji stanowionych przepisów.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794B87B" w14:textId="711B7515" w:rsidR="00683321" w:rsidRPr="00593874" w:rsidRDefault="005B689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683321" w:rsidRPr="0059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73E64">
              <w:rPr>
                <w:rFonts w:ascii="Times New Roman" w:hAnsi="Times New Roman" w:cs="Times New Roman"/>
              </w:rPr>
              <w:t xml:space="preserve">przez przeredagowanie </w:t>
            </w:r>
            <w:r w:rsidR="00683321" w:rsidRPr="00593874">
              <w:rPr>
                <w:rFonts w:ascii="Times New Roman" w:hAnsi="Times New Roman" w:cs="Times New Roman"/>
              </w:rPr>
              <w:t>w zakresie</w:t>
            </w:r>
            <w:r w:rsidR="007C4396" w:rsidRPr="00593874">
              <w:rPr>
                <w:rFonts w:ascii="Times New Roman" w:hAnsi="Times New Roman" w:cs="Times New Roman"/>
              </w:rPr>
              <w:t xml:space="preserve"> </w:t>
            </w:r>
            <w:r w:rsidR="00683321" w:rsidRPr="00593874">
              <w:rPr>
                <w:rFonts w:ascii="Times New Roman" w:hAnsi="Times New Roman" w:cs="Times New Roman"/>
              </w:rPr>
              <w:t>„sieci cyfrowej”</w:t>
            </w:r>
            <w:r w:rsidR="007C4396" w:rsidRPr="00593874">
              <w:rPr>
                <w:rFonts w:ascii="Times New Roman" w:hAnsi="Times New Roman" w:cs="Times New Roman"/>
              </w:rPr>
              <w:t xml:space="preserve"> (pkt 14, obecnie pkt 15), „sieci” (pkt 18, obecnie pkt 19), „systemu” (pkt 3, pominięto nieistotną część definicji)</w:t>
            </w:r>
            <w:r w:rsidR="004C1658">
              <w:rPr>
                <w:rFonts w:ascii="Times New Roman" w:hAnsi="Times New Roman" w:cs="Times New Roman"/>
              </w:rPr>
              <w:t>.</w:t>
            </w:r>
          </w:p>
          <w:p w14:paraId="26787BE7" w14:textId="77777777" w:rsidR="00683321" w:rsidRPr="00593874" w:rsidRDefault="0068332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CC1FCE4" w14:textId="0584F2A9" w:rsidR="005B689C" w:rsidRPr="00593874" w:rsidRDefault="0036298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 xml:space="preserve">Uwaga nieuwzględniona w pozostałym zakresie: </w:t>
            </w:r>
          </w:p>
          <w:p w14:paraId="4C4EAD06" w14:textId="45679693" w:rsidR="005B689C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pojęcie „s</w:t>
            </w:r>
            <w:r w:rsidR="005B689C" w:rsidRPr="00593874">
              <w:rPr>
                <w:rFonts w:ascii="Times New Roman" w:hAnsi="Times New Roman" w:cs="Times New Roman"/>
              </w:rPr>
              <w:t>ieć komputerowa</w:t>
            </w:r>
            <w:r w:rsidRPr="00593874">
              <w:rPr>
                <w:rFonts w:ascii="Times New Roman" w:hAnsi="Times New Roman" w:cs="Times New Roman"/>
              </w:rPr>
              <w:t>”</w:t>
            </w:r>
            <w:r w:rsidR="005B689C" w:rsidRPr="00593874">
              <w:rPr>
                <w:rFonts w:ascii="Times New Roman" w:hAnsi="Times New Roman" w:cs="Times New Roman"/>
              </w:rPr>
              <w:t xml:space="preserve"> jest używan</w:t>
            </w:r>
            <w:r w:rsidRPr="00593874">
              <w:rPr>
                <w:rFonts w:ascii="Times New Roman" w:hAnsi="Times New Roman" w:cs="Times New Roman"/>
              </w:rPr>
              <w:t>e</w:t>
            </w:r>
            <w:r w:rsidR="005B689C" w:rsidRPr="00593874">
              <w:rPr>
                <w:rFonts w:ascii="Times New Roman" w:hAnsi="Times New Roman" w:cs="Times New Roman"/>
              </w:rPr>
              <w:t xml:space="preserve"> w kilku rozporządzeniach (M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O</w:t>
            </w:r>
            <w:r w:rsidR="00A73E64">
              <w:rPr>
                <w:rFonts w:ascii="Times New Roman" w:hAnsi="Times New Roman" w:cs="Times New Roman"/>
              </w:rPr>
              <w:t xml:space="preserve">brony </w:t>
            </w:r>
            <w:r w:rsidR="005B689C" w:rsidRPr="00593874">
              <w:rPr>
                <w:rFonts w:ascii="Times New Roman" w:hAnsi="Times New Roman" w:cs="Times New Roman"/>
              </w:rPr>
              <w:t>N</w:t>
            </w:r>
            <w:r w:rsidR="00A73E64">
              <w:rPr>
                <w:rFonts w:ascii="Times New Roman" w:hAnsi="Times New Roman" w:cs="Times New Roman"/>
              </w:rPr>
              <w:t>arodowej</w:t>
            </w:r>
            <w:r w:rsidR="005B689C" w:rsidRPr="00593874">
              <w:rPr>
                <w:rFonts w:ascii="Times New Roman" w:hAnsi="Times New Roman" w:cs="Times New Roman"/>
              </w:rPr>
              <w:t>, 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S</w:t>
            </w:r>
            <w:r w:rsidR="00A73E64">
              <w:rPr>
                <w:rFonts w:ascii="Times New Roman" w:hAnsi="Times New Roman" w:cs="Times New Roman"/>
              </w:rPr>
              <w:t xml:space="preserve">praw </w:t>
            </w:r>
            <w:r w:rsidR="005B689C" w:rsidRPr="00593874">
              <w:rPr>
                <w:rFonts w:ascii="Times New Roman" w:hAnsi="Times New Roman" w:cs="Times New Roman"/>
              </w:rPr>
              <w:t>W</w:t>
            </w:r>
            <w:r w:rsidR="00A73E64">
              <w:rPr>
                <w:rFonts w:ascii="Times New Roman" w:hAnsi="Times New Roman" w:cs="Times New Roman"/>
              </w:rPr>
              <w:t xml:space="preserve">ewnętrznych </w:t>
            </w:r>
            <w:r w:rsidR="005B689C" w:rsidRPr="00593874">
              <w:rPr>
                <w:rFonts w:ascii="Times New Roman" w:hAnsi="Times New Roman" w:cs="Times New Roman"/>
              </w:rPr>
              <w:t>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91584B" w:rsidRPr="0091584B">
              <w:rPr>
                <w:rFonts w:ascii="Times New Roman" w:hAnsi="Times New Roman" w:cs="Times New Roman"/>
              </w:rPr>
              <w:t>A</w:t>
            </w:r>
            <w:r w:rsidR="0091584B">
              <w:rPr>
                <w:rFonts w:ascii="Times New Roman" w:hAnsi="Times New Roman" w:cs="Times New Roman"/>
              </w:rPr>
              <w:t>dministracji</w:t>
            </w:r>
            <w:r w:rsidR="005B689C" w:rsidRPr="00593874">
              <w:rPr>
                <w:rFonts w:ascii="Times New Roman" w:hAnsi="Times New Roman" w:cs="Times New Roman"/>
              </w:rPr>
              <w:t>, M</w:t>
            </w:r>
            <w:r w:rsidR="00A73E64">
              <w:rPr>
                <w:rFonts w:ascii="Times New Roman" w:hAnsi="Times New Roman" w:cs="Times New Roman"/>
              </w:rPr>
              <w:t xml:space="preserve">inistra </w:t>
            </w:r>
            <w:r w:rsidR="005B689C" w:rsidRPr="00593874">
              <w:rPr>
                <w:rFonts w:ascii="Times New Roman" w:hAnsi="Times New Roman" w:cs="Times New Roman"/>
              </w:rPr>
              <w:t>C</w:t>
            </w:r>
            <w:r w:rsidR="00A73E64">
              <w:rPr>
                <w:rFonts w:ascii="Times New Roman" w:hAnsi="Times New Roman" w:cs="Times New Roman"/>
              </w:rPr>
              <w:t>yfryzacji</w:t>
            </w:r>
            <w:r w:rsidR="005B689C" w:rsidRPr="00593874">
              <w:rPr>
                <w:rFonts w:ascii="Times New Roman" w:hAnsi="Times New Roman" w:cs="Times New Roman"/>
              </w:rPr>
              <w:t>)</w:t>
            </w:r>
            <w:r w:rsidRPr="00593874">
              <w:rPr>
                <w:rFonts w:ascii="Times New Roman" w:hAnsi="Times New Roman" w:cs="Times New Roman"/>
              </w:rPr>
              <w:t>,</w:t>
            </w:r>
          </w:p>
          <w:p w14:paraId="6301E9B0" w14:textId="172568E7" w:rsidR="007C4396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odnośnie do pojęcia „konferencja multimedialna”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3B2B29">
              <w:rPr>
                <w:rFonts w:ascii="Times New Roman" w:hAnsi="Times New Roman" w:cs="Times New Roman"/>
              </w:rPr>
              <w:sym w:font="Symbol" w:char="F02D"/>
            </w:r>
            <w:r w:rsidRPr="00593874">
              <w:rPr>
                <w:rFonts w:ascii="Times New Roman" w:hAnsi="Times New Roman" w:cs="Times New Roman"/>
              </w:rPr>
              <w:t xml:space="preserve"> biorąc pod uwagę techniczny charakter rozporządzenia nie jest możliwe posługiwanie się tylko nomenklaturą stosowaną w </w:t>
            </w:r>
            <w:r w:rsidR="003B2B29" w:rsidRPr="00593874">
              <w:rPr>
                <w:rFonts w:ascii="Times New Roman" w:hAnsi="Times New Roman" w:cs="Times New Roman"/>
              </w:rPr>
              <w:t>ustaw</w:t>
            </w:r>
            <w:r w:rsidR="00904023">
              <w:rPr>
                <w:rFonts w:ascii="Times New Roman" w:hAnsi="Times New Roman" w:cs="Times New Roman"/>
              </w:rPr>
              <w:t>ie</w:t>
            </w:r>
            <w:r w:rsidR="00031C4E">
              <w:rPr>
                <w:rFonts w:ascii="Times New Roman" w:hAnsi="Times New Roman" w:cs="Times New Roman"/>
              </w:rPr>
              <w:t>,</w:t>
            </w:r>
            <w:r w:rsidRPr="00593874">
              <w:rPr>
                <w:rFonts w:ascii="Times New Roman" w:hAnsi="Times New Roman" w:cs="Times New Roman"/>
              </w:rPr>
              <w:t xml:space="preserve"> oraz innych aktach prawnych</w:t>
            </w:r>
            <w:r w:rsidR="00121EF9">
              <w:rPr>
                <w:rFonts w:ascii="Times New Roman" w:hAnsi="Times New Roman" w:cs="Times New Roman"/>
              </w:rPr>
              <w:t xml:space="preserve">, </w:t>
            </w:r>
            <w:r w:rsidR="00904023">
              <w:rPr>
                <w:rFonts w:ascii="Times New Roman" w:hAnsi="Times New Roman" w:cs="Times New Roman"/>
              </w:rPr>
              <w:t xml:space="preserve">dodatkowo </w:t>
            </w:r>
            <w:r w:rsidR="000134B5">
              <w:rPr>
                <w:rFonts w:ascii="Times New Roman" w:hAnsi="Times New Roman" w:cs="Times New Roman"/>
              </w:rPr>
              <w:t>pojęcia „konferencja” i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="000134B5">
              <w:rPr>
                <w:rFonts w:ascii="Times New Roman" w:hAnsi="Times New Roman" w:cs="Times New Roman"/>
              </w:rPr>
              <w:t>„multimedialny” są stosowane w aktach prawnych i</w:t>
            </w:r>
            <w:r w:rsidR="00904023">
              <w:rPr>
                <w:rFonts w:ascii="Times New Roman" w:hAnsi="Times New Roman" w:cs="Times New Roman"/>
              </w:rPr>
              <w:t> </w:t>
            </w:r>
            <w:r w:rsidR="000134B5">
              <w:rPr>
                <w:rFonts w:ascii="Times New Roman" w:hAnsi="Times New Roman" w:cs="Times New Roman"/>
              </w:rPr>
              <w:t>nie są definiowane</w:t>
            </w:r>
            <w:r w:rsidR="003B2B29">
              <w:rPr>
                <w:rFonts w:ascii="Times New Roman" w:hAnsi="Times New Roman" w:cs="Times New Roman"/>
              </w:rPr>
              <w:t>,</w:t>
            </w:r>
          </w:p>
          <w:p w14:paraId="5BE16F2B" w14:textId="6940F20C" w:rsidR="007C4396" w:rsidRPr="00593874" w:rsidRDefault="007C4396" w:rsidP="00593874">
            <w:pPr>
              <w:pStyle w:val="Bezodstpw"/>
              <w:numPr>
                <w:ilvl w:val="0"/>
                <w:numId w:val="8"/>
              </w:numPr>
              <w:spacing w:after="120"/>
              <w:ind w:left="110" w:hanging="147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 xml:space="preserve">odnośnie do pojęcia „system” w pkt 1 – definicja </w:t>
            </w:r>
            <w:proofErr w:type="spellStart"/>
            <w:r w:rsidRPr="00593874">
              <w:rPr>
                <w:rFonts w:ascii="Times New Roman" w:hAnsi="Times New Roman" w:cs="Times New Roman"/>
              </w:rPr>
              <w:t>ADMF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jednoznacznie </w:t>
            </w:r>
            <w:r w:rsidR="006C1CFF" w:rsidRPr="00593874">
              <w:rPr>
                <w:rFonts w:ascii="Times New Roman" w:hAnsi="Times New Roman" w:cs="Times New Roman"/>
              </w:rPr>
              <w:t>wyjaśnia</w:t>
            </w:r>
            <w:r w:rsidRPr="00593874">
              <w:rPr>
                <w:rFonts w:ascii="Times New Roman" w:hAnsi="Times New Roman" w:cs="Times New Roman"/>
              </w:rPr>
              <w:t xml:space="preserve"> do czego ten system jest </w:t>
            </w:r>
            <w:r w:rsidR="006C1CFF" w:rsidRPr="00593874">
              <w:rPr>
                <w:rFonts w:ascii="Times New Roman" w:hAnsi="Times New Roman" w:cs="Times New Roman"/>
              </w:rPr>
              <w:t xml:space="preserve">przeznaczony i nie ma on odzwierciedlenia w </w:t>
            </w:r>
            <w:r w:rsidR="00F12012">
              <w:rPr>
                <w:rFonts w:ascii="Times New Roman" w:hAnsi="Times New Roman" w:cs="Times New Roman"/>
              </w:rPr>
              <w:t>ustawie</w:t>
            </w:r>
            <w:r w:rsidR="006C1CFF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DB6681" w:rsidRPr="00813BFC" w14:paraId="42EE11F2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60ED918B" w14:textId="77777777" w:rsidR="00DB6681" w:rsidRPr="00593874" w:rsidRDefault="00DB6681" w:rsidP="00DB668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04AC65" w14:textId="77777777" w:rsidR="00DB6681" w:rsidRPr="00593874" w:rsidRDefault="00DB6681" w:rsidP="00DB66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4F57BA2" w14:textId="456B36C8" w:rsidR="00DB6681" w:rsidRPr="00593874" w:rsidRDefault="00A73E64" w:rsidP="00DB66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B6681" w:rsidRPr="00593874">
              <w:rPr>
                <w:rFonts w:ascii="Times New Roman" w:hAnsi="Times New Roman" w:cs="Times New Roman"/>
              </w:rPr>
              <w:t>kt 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894AC2D" w14:textId="13208819" w:rsidR="00DB6681" w:rsidRPr="00362E66" w:rsidRDefault="00DB6681" w:rsidP="00DB668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A9E0845" w14:textId="692FF765" w:rsidR="00DB6681" w:rsidRPr="00593874" w:rsidRDefault="00DB6681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pkt 3 (</w:t>
            </w:r>
            <w:r w:rsidR="00A73E64" w:rsidRPr="005364F8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</w:rPr>
              <w:t>Akronimy</w:t>
            </w:r>
            <w:r w:rsidR="00A73E64">
              <w:rPr>
                <w:rFonts w:ascii="Times New Roman" w:hAnsi="Times New Roman" w:cs="Times New Roman"/>
              </w:rPr>
              <w:t>”</w:t>
            </w:r>
            <w:r w:rsidRPr="00593874">
              <w:rPr>
                <w:rFonts w:ascii="Times New Roman" w:hAnsi="Times New Roman" w:cs="Times New Roman"/>
              </w:rPr>
              <w:t xml:space="preserve">) załącznika do projektu rozporządzenia proponuję wprowadzić parametr: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„CS - komutacja kanałów (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Circuit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Switched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) definiujący parametr umożliwiający uzyskiwanie dostępu do danych głosowych, generowanych </w:t>
            </w:r>
            <w:r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sieciach stacjonarnych oraz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2G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i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3G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>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D4DA9F3" w14:textId="51703B26" w:rsidR="00953374" w:rsidRPr="00593874" w:rsidRDefault="00DB668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953374" w:rsidRPr="00953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3374" w:rsidRPr="00593874">
              <w:rPr>
                <w:rFonts w:ascii="Times New Roman" w:hAnsi="Times New Roman" w:cs="Times New Roman"/>
              </w:rPr>
              <w:t>prze</w:t>
            </w:r>
            <w:r w:rsidR="00953374" w:rsidRPr="00953374">
              <w:rPr>
                <w:rFonts w:ascii="Times New Roman" w:hAnsi="Times New Roman" w:cs="Times New Roman"/>
              </w:rPr>
              <w:t>z dodanie „</w:t>
            </w:r>
            <w:r w:rsidR="00953374" w:rsidRPr="00593874">
              <w:rPr>
                <w:rFonts w:ascii="Times New Roman" w:hAnsi="Times New Roman"/>
              </w:rPr>
              <w:t>CS – komutacja kanałów (</w:t>
            </w:r>
            <w:proofErr w:type="spellStart"/>
            <w:r w:rsidR="00953374" w:rsidRPr="00593874">
              <w:rPr>
                <w:rFonts w:ascii="Times New Roman" w:hAnsi="Times New Roman"/>
              </w:rPr>
              <w:t>Circuit</w:t>
            </w:r>
            <w:proofErr w:type="spellEnd"/>
            <w:r w:rsidR="00953374" w:rsidRPr="00593874">
              <w:rPr>
                <w:rFonts w:ascii="Times New Roman" w:hAnsi="Times New Roman"/>
              </w:rPr>
              <w:t xml:space="preserve"> </w:t>
            </w:r>
            <w:proofErr w:type="spellStart"/>
            <w:r w:rsidR="00953374" w:rsidRPr="00593874">
              <w:rPr>
                <w:rFonts w:ascii="Times New Roman" w:hAnsi="Times New Roman"/>
              </w:rPr>
              <w:t>Switched</w:t>
            </w:r>
            <w:proofErr w:type="spellEnd"/>
            <w:r w:rsidR="00953374" w:rsidRPr="00593874">
              <w:rPr>
                <w:rFonts w:ascii="Times New Roman" w:hAnsi="Times New Roman"/>
              </w:rPr>
              <w:t xml:space="preserve">) umożliwiająca uzyskiwanie dostępu do danych głosowych, generowanych w sieciach stacjonarnych oraz </w:t>
            </w:r>
            <w:proofErr w:type="spellStart"/>
            <w:r w:rsidR="00953374" w:rsidRPr="00593874">
              <w:rPr>
                <w:rFonts w:ascii="Times New Roman" w:hAnsi="Times New Roman"/>
              </w:rPr>
              <w:t>2G</w:t>
            </w:r>
            <w:proofErr w:type="spellEnd"/>
            <w:r w:rsidR="00953374" w:rsidRPr="00593874">
              <w:rPr>
                <w:rFonts w:ascii="Times New Roman" w:hAnsi="Times New Roman"/>
              </w:rPr>
              <w:t xml:space="preserve"> i </w:t>
            </w:r>
            <w:proofErr w:type="spellStart"/>
            <w:r w:rsidR="00953374" w:rsidRPr="00593874">
              <w:rPr>
                <w:rFonts w:ascii="Times New Roman" w:hAnsi="Times New Roman"/>
              </w:rPr>
              <w:t>3G</w:t>
            </w:r>
            <w:proofErr w:type="spellEnd"/>
            <w:r w:rsidR="00BF1DCD">
              <w:rPr>
                <w:rFonts w:ascii="Times New Roman" w:hAnsi="Times New Roman"/>
              </w:rPr>
              <w:t>.</w:t>
            </w:r>
            <w:r w:rsidR="00953374" w:rsidRPr="00593874">
              <w:rPr>
                <w:rFonts w:ascii="Times New Roman" w:hAnsi="Times New Roman"/>
              </w:rPr>
              <w:t>”</w:t>
            </w:r>
            <w:r w:rsidR="008076E5">
              <w:rPr>
                <w:rFonts w:ascii="Times New Roman" w:hAnsi="Times New Roman"/>
              </w:rPr>
              <w:t>.</w:t>
            </w:r>
          </w:p>
          <w:p w14:paraId="4BB03BAC" w14:textId="77777777" w:rsidR="00DB6681" w:rsidRPr="00593874" w:rsidRDefault="00DB6681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771E" w:rsidRPr="00813BFC" w14:paraId="6ECB3A55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77B9943" w14:textId="77777777" w:rsidR="0093771E" w:rsidRPr="00593874" w:rsidRDefault="0093771E" w:rsidP="0093771E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E0CFDFB" w14:textId="77777777" w:rsidR="0093771E" w:rsidRPr="00593874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BB38B16" w14:textId="1509C6BE" w:rsidR="0093771E" w:rsidRPr="00593874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1EBAC79" w14:textId="56711841" w:rsidR="0093771E" w:rsidRPr="00362E66" w:rsidRDefault="0093771E" w:rsidP="0093771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F5D65AE" w14:textId="5D409AC5" w:rsidR="0093771E" w:rsidRPr="00593874" w:rsidRDefault="0093771E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W pkt 4 załącznika do projektowanego rozporządzenia („Definicje”) wątpliwości budzi treść niektórych określeń definiowanych pojęć, a także wynikająca z nich niespójna, jak się wydaje, siatka terminologiczna tego rozporządzenia. Na przykład z zawartej w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ppkt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5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monitorowania</w:t>
            </w:r>
            <w:r w:rsidRPr="00593874">
              <w:rPr>
                <w:rFonts w:ascii="Times New Roman" w:hAnsi="Times New Roman" w:cs="Times New Roman"/>
              </w:rPr>
              <w:t xml:space="preserve">” wynika, iż tą czynnością będą objęte komunikaty elektroniczne (tj. zgodnie z art. 2 pkt 19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PKE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informacje wymieniane lub przekazywane między określonymi użytkownikami za pośrednictwem publicznie dostępnych usług komunikacji elektronicznej) oraz związane z nimi dane, o których mowa w art. 45 ust. 1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PKE</w:t>
            </w:r>
            <w:proofErr w:type="spellEnd"/>
            <w:r w:rsidRPr="00593874">
              <w:rPr>
                <w:rFonts w:ascii="Times New Roman" w:hAnsi="Times New Roman" w:cs="Times New Roman"/>
              </w:rPr>
              <w:t>. Nie zdecydowano się jednak na uszczegółowienie, jakie dokładnie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</w:t>
            </w:r>
            <w:r w:rsidRPr="00593874">
              <w:rPr>
                <w:rFonts w:ascii="Times New Roman" w:hAnsi="Times New Roman" w:cs="Times New Roman"/>
              </w:rPr>
              <w:t>” będą objęte monitorowaniem. Jednocześnie załącznik do projektowanego rozporządzenia wielokrotnie posługuje się zwrotami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monitorowane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objęte monitorowaniem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komunikacji objętej monitorowaniem</w:t>
            </w:r>
            <w:r w:rsidRPr="00593874">
              <w:rPr>
                <w:rFonts w:ascii="Times New Roman" w:hAnsi="Times New Roman" w:cs="Times New Roman"/>
              </w:rPr>
              <w:t>”,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monitorowane usługi telekomunikacyjne</w:t>
            </w:r>
            <w:r w:rsidRPr="00593874">
              <w:rPr>
                <w:rFonts w:ascii="Times New Roman" w:hAnsi="Times New Roman" w:cs="Times New Roman"/>
              </w:rPr>
              <w:t>”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monitorowanych komunikatów elektronicznych</w:t>
            </w:r>
            <w:r w:rsidRPr="00593874">
              <w:rPr>
                <w:rFonts w:ascii="Times New Roman" w:hAnsi="Times New Roman" w:cs="Times New Roman"/>
              </w:rPr>
              <w:t>”, co budzi wątpliwości co do rzeczywistego przedmiotu pojęcia „monitorowania”. Wątpliwości te pogłębia także definicja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obiektu monitorowanego</w:t>
            </w:r>
            <w:r w:rsidRPr="00593874">
              <w:rPr>
                <w:rFonts w:ascii="Times New Roman" w:hAnsi="Times New Roman" w:cs="Times New Roman"/>
              </w:rPr>
              <w:t xml:space="preserve">”, gdyż – z jednej strony nie wyjaśnia ona czym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de facto </w:t>
            </w:r>
            <w:r w:rsidRPr="00593874">
              <w:rPr>
                <w:rFonts w:ascii="Times New Roman" w:hAnsi="Times New Roman" w:cs="Times New Roman"/>
              </w:rPr>
              <w:t>jest przedmiotowy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</w:t>
            </w:r>
            <w:r w:rsidRPr="00593874">
              <w:rPr>
                <w:rFonts w:ascii="Times New Roman" w:hAnsi="Times New Roman" w:cs="Times New Roman"/>
              </w:rPr>
              <w:t>”, z drugiej zaś – nasuwa pytanie, czy obiekty monitorowane mogą być także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treściami monitorowanymi</w:t>
            </w:r>
            <w:r w:rsidRPr="00593874">
              <w:rPr>
                <w:rFonts w:ascii="Times New Roman" w:hAnsi="Times New Roman" w:cs="Times New Roman"/>
              </w:rPr>
              <w:t>”.</w:t>
            </w:r>
          </w:p>
          <w:p w14:paraId="13FA68C6" w14:textId="12F4953B" w:rsidR="0093771E" w:rsidRPr="00593874" w:rsidRDefault="0093771E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Mając na uwadze powyższe, w celu zapewnienia dostatecznej jasności przedmiotowym przepisom proponuje się rozważenie np.:</w:t>
            </w:r>
          </w:p>
          <w:p w14:paraId="08923E6A" w14:textId="0E837775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>wprowadzenia do pkt 4 załącznika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treści monitorowanych</w:t>
            </w:r>
            <w:r w:rsidRPr="00593874">
              <w:rPr>
                <w:rFonts w:ascii="Times New Roman" w:hAnsi="Times New Roman" w:cs="Times New Roman"/>
              </w:rPr>
              <w:t>”;</w:t>
            </w:r>
          </w:p>
          <w:p w14:paraId="24B641F7" w14:textId="1AACC03F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3874">
              <w:rPr>
                <w:rFonts w:ascii="Times New Roman" w:hAnsi="Times New Roman" w:cs="Times New Roman"/>
              </w:rPr>
              <w:t>uspójnienie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zwrotów odnoszących się do treści monitorowanych, którymi posłużono się</w:t>
            </w:r>
            <w:r w:rsidR="0046062E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 projekcie;</w:t>
            </w:r>
          </w:p>
          <w:p w14:paraId="24ED0CB7" w14:textId="4AFBD52A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doprecyzowania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obiektu monitorowanego</w:t>
            </w:r>
            <w:r w:rsidRPr="00593874">
              <w:rPr>
                <w:rFonts w:ascii="Times New Roman" w:hAnsi="Times New Roman" w:cs="Times New Roman"/>
              </w:rPr>
              <w:t xml:space="preserve">”, z uwzględnieniem konieczności zapewnienia jej spójności z przepisami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PKE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(zwłaszcza art. 43 ust. 1 pkt 2 i art. 45 ust. 1 pkt 2 tej ustawy);</w:t>
            </w:r>
          </w:p>
          <w:p w14:paraId="294483F0" w14:textId="79E6D931" w:rsidR="0093771E" w:rsidRPr="00593874" w:rsidRDefault="0093771E" w:rsidP="00593874">
            <w:pPr>
              <w:pStyle w:val="Bezodstpw"/>
              <w:numPr>
                <w:ilvl w:val="0"/>
                <w:numId w:val="4"/>
              </w:numPr>
              <w:spacing w:after="120"/>
              <w:ind w:left="4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korektę odesłania zawartego w lit. j w definicji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monitorowania</w:t>
            </w:r>
            <w:r w:rsidRPr="00593874">
              <w:rPr>
                <w:rFonts w:ascii="Times New Roman" w:hAnsi="Times New Roman" w:cs="Times New Roman"/>
              </w:rPr>
              <w:t>”, która przywołuje jedynie dane,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 których mowa w art. 43 ust. 1 pkt 1 lit. a</w:t>
            </w:r>
            <w:r w:rsidRPr="00593874">
              <w:rPr>
                <w:rFonts w:ascii="Times New Roman" w:hAnsi="Times New Roman" w:cs="Times New Roman"/>
              </w:rPr>
              <w:t>” – mając na uwadze, że upoważnienie do wydania przedmiotowego aktu odsyła w zakresie danych do danych,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 których mowa w art. 45 ust. 1</w:t>
            </w:r>
            <w:r w:rsidRPr="0059387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838BEE6" w14:textId="086C1E85" w:rsidR="005B689C" w:rsidRPr="00593874" w:rsidRDefault="005B689C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</w:t>
            </w:r>
            <w:r w:rsidR="0046062E" w:rsidRPr="00593874">
              <w:rPr>
                <w:rFonts w:ascii="Times New Roman" w:hAnsi="Times New Roman" w:cs="Times New Roman"/>
                <w:b/>
                <w:bCs/>
              </w:rPr>
              <w:t>i</w:t>
            </w:r>
            <w:r w:rsidRPr="00593874">
              <w:rPr>
                <w:rFonts w:ascii="Times New Roman" w:hAnsi="Times New Roman" w:cs="Times New Roman"/>
                <w:b/>
                <w:bCs/>
              </w:rPr>
              <w:t xml:space="preserve"> uwzględnion</w:t>
            </w:r>
            <w:r w:rsidR="0046062E" w:rsidRPr="00593874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46062E" w:rsidRPr="00593874">
              <w:rPr>
                <w:rFonts w:ascii="Times New Roman" w:hAnsi="Times New Roman" w:cs="Times New Roman"/>
              </w:rPr>
              <w:t>w zakresie pkt 1 i 2</w:t>
            </w:r>
            <w:r w:rsidR="00C872AF">
              <w:rPr>
                <w:rFonts w:ascii="Times New Roman" w:hAnsi="Times New Roman" w:cs="Times New Roman"/>
              </w:rPr>
              <w:t>.</w:t>
            </w:r>
          </w:p>
          <w:p w14:paraId="24003A40" w14:textId="32A06896" w:rsidR="005B689C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Rozdzielono pojęcia „treści komunikatów elektronicznych/SMS” od monitorowania. Nie ma więc potrzeby definiowania pojęcia treści monitorowanych, gdyż nie jest ono już używane w projekcie.</w:t>
            </w:r>
            <w:r w:rsidR="000C6825"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6825" w:rsidRPr="00593874">
              <w:rPr>
                <w:rFonts w:ascii="Times New Roman" w:hAnsi="Times New Roman" w:cs="Times New Roman"/>
              </w:rPr>
              <w:t>Uspójniono</w:t>
            </w:r>
            <w:proofErr w:type="spellEnd"/>
            <w:r w:rsidR="000C6825" w:rsidRPr="00593874">
              <w:rPr>
                <w:rFonts w:ascii="Times New Roman" w:hAnsi="Times New Roman" w:cs="Times New Roman"/>
              </w:rPr>
              <w:t xml:space="preserve"> treść projektu w tym zakresie.</w:t>
            </w:r>
          </w:p>
          <w:p w14:paraId="03B2E68B" w14:textId="77777777" w:rsidR="0046062E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02AC65CB" w14:textId="7C731862" w:rsidR="0046062E" w:rsidRPr="00593874" w:rsidRDefault="0036298F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nieuwzględniona w pozostałym zakresie:</w:t>
            </w:r>
          </w:p>
          <w:p w14:paraId="7F9170DE" w14:textId="2AF12DE7" w:rsidR="0046062E" w:rsidRPr="00593874" w:rsidRDefault="0046062E" w:rsidP="00593874">
            <w:pPr>
              <w:pStyle w:val="Bezodstpw"/>
              <w:numPr>
                <w:ilvl w:val="0"/>
                <w:numId w:val="9"/>
              </w:numPr>
              <w:spacing w:after="120"/>
              <w:ind w:left="138" w:hanging="165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odnośnie </w:t>
            </w:r>
            <w:r w:rsidR="008E6C0B" w:rsidRPr="00593874">
              <w:rPr>
                <w:rFonts w:ascii="Times New Roman" w:hAnsi="Times New Roman" w:cs="Times New Roman"/>
              </w:rPr>
              <w:t xml:space="preserve">do uwagi nr 3 </w:t>
            </w:r>
            <w:r w:rsidR="00BF1DCD">
              <w:rPr>
                <w:rFonts w:ascii="Times New Roman" w:hAnsi="Times New Roman" w:cs="Times New Roman"/>
              </w:rPr>
              <w:sym w:font="Symbol" w:char="F02D"/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="008E6C0B" w:rsidRPr="00593874">
              <w:rPr>
                <w:rFonts w:ascii="Times New Roman" w:hAnsi="Times New Roman" w:cs="Times New Roman"/>
              </w:rPr>
              <w:t xml:space="preserve">w definicji </w:t>
            </w:r>
            <w:r w:rsidRPr="00593874">
              <w:rPr>
                <w:rFonts w:ascii="Times New Roman" w:hAnsi="Times New Roman" w:cs="Times New Roman"/>
              </w:rPr>
              <w:t>„obiektu monitorowanego”</w:t>
            </w:r>
            <w:r w:rsidR="008E6C0B" w:rsidRP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zamieniono „obiekt” na </w:t>
            </w:r>
            <w:r w:rsidR="0014043A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</w:rPr>
              <w:t xml:space="preserve">osobę”, jednak brak jest możliwości zapewnienia spójności z </w:t>
            </w:r>
            <w:r w:rsidR="00F12012">
              <w:rPr>
                <w:rFonts w:ascii="Times New Roman" w:hAnsi="Times New Roman" w:cs="Times New Roman"/>
              </w:rPr>
              <w:t>ustawą</w:t>
            </w:r>
            <w:r w:rsidRPr="00593874">
              <w:rPr>
                <w:rFonts w:ascii="Times New Roman" w:hAnsi="Times New Roman" w:cs="Times New Roman"/>
              </w:rPr>
              <w:t xml:space="preserve">, gdyż czynność wskazana w tej definicji (postanowienie sądu wydane na podstawie wniosku albo zarządzenia organu nadzorującego LEA) nie dotyczy czynności regulowanej w </w:t>
            </w:r>
            <w:r w:rsidR="00F12012">
              <w:rPr>
                <w:rFonts w:ascii="Times New Roman" w:hAnsi="Times New Roman" w:cs="Times New Roman"/>
              </w:rPr>
              <w:t>ustawie</w:t>
            </w:r>
            <w:r w:rsidRPr="00593874">
              <w:rPr>
                <w:rFonts w:ascii="Times New Roman" w:hAnsi="Times New Roman" w:cs="Times New Roman"/>
              </w:rPr>
              <w:t xml:space="preserve">, lecz </w:t>
            </w:r>
            <w:r w:rsidR="008E6C0B"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</w:rPr>
              <w:t>ustaw</w:t>
            </w:r>
            <w:r w:rsidR="008E6C0B" w:rsidRPr="00593874">
              <w:rPr>
                <w:rFonts w:ascii="Times New Roman" w:hAnsi="Times New Roman" w:cs="Times New Roman"/>
              </w:rPr>
              <w:t>ach</w:t>
            </w:r>
            <w:r w:rsidRPr="00593874">
              <w:rPr>
                <w:rFonts w:ascii="Times New Roman" w:hAnsi="Times New Roman" w:cs="Times New Roman"/>
              </w:rPr>
              <w:t xml:space="preserve"> </w:t>
            </w:r>
            <w:r w:rsidR="008E6C0B" w:rsidRPr="00593874">
              <w:rPr>
                <w:rFonts w:ascii="Times New Roman" w:hAnsi="Times New Roman" w:cs="Times New Roman"/>
              </w:rPr>
              <w:t xml:space="preserve">kompetencyjnych </w:t>
            </w:r>
            <w:r w:rsidRPr="00593874">
              <w:rPr>
                <w:rFonts w:ascii="Times New Roman" w:hAnsi="Times New Roman" w:cs="Times New Roman"/>
              </w:rPr>
              <w:t>uprawnionych podmiotów</w:t>
            </w:r>
            <w:r w:rsidR="00D952A1">
              <w:rPr>
                <w:rFonts w:ascii="Times New Roman" w:hAnsi="Times New Roman" w:cs="Times New Roman"/>
              </w:rPr>
              <w:t>,</w:t>
            </w:r>
          </w:p>
          <w:p w14:paraId="584030A1" w14:textId="62B54E5E" w:rsidR="008E6C0B" w:rsidRPr="00593874" w:rsidRDefault="008E6C0B" w:rsidP="00593874">
            <w:pPr>
              <w:pStyle w:val="Bezodstpw"/>
              <w:numPr>
                <w:ilvl w:val="0"/>
                <w:numId w:val="9"/>
              </w:numPr>
              <w:spacing w:after="120"/>
              <w:ind w:left="138" w:hanging="165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odnośnie do uwagi nr 4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- monitorowanie obejmuje dostęp do komunikatów elektronicznych</w:t>
            </w:r>
            <w:r w:rsidR="006F678B">
              <w:rPr>
                <w:rFonts w:ascii="Times New Roman" w:hAnsi="Times New Roman" w:cs="Times New Roman"/>
              </w:rPr>
              <w:t xml:space="preserve"> </w:t>
            </w:r>
            <w:r w:rsidR="006F678B" w:rsidRPr="006F678B">
              <w:rPr>
                <w:rFonts w:ascii="Times New Roman" w:hAnsi="Times New Roman"/>
              </w:rPr>
              <w:t>i związanych z nimi danych, o których mowa w art. 43 ust. 1 pkt 1 ustawy</w:t>
            </w:r>
            <w:r w:rsidRPr="00593874">
              <w:rPr>
                <w:rFonts w:ascii="Times New Roman" w:hAnsi="Times New Roman" w:cs="Times New Roman"/>
              </w:rPr>
              <w:t>, natomiast regulacje zawarte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w</w:t>
            </w:r>
            <w:r w:rsidR="004A2569">
              <w:rPr>
                <w:rFonts w:ascii="Times New Roman" w:hAnsi="Times New Roman" w:cs="Times New Roman"/>
              </w:rPr>
              <w:t> </w:t>
            </w:r>
            <w:r w:rsidRPr="00593874">
              <w:rPr>
                <w:rFonts w:ascii="Times New Roman" w:hAnsi="Times New Roman" w:cs="Times New Roman"/>
              </w:rPr>
              <w:t xml:space="preserve">art. 45 </w:t>
            </w:r>
            <w:r w:rsidR="00F12012">
              <w:rPr>
                <w:rFonts w:ascii="Times New Roman" w:hAnsi="Times New Roman" w:cs="Times New Roman"/>
              </w:rPr>
              <w:t>ustawy</w:t>
            </w:r>
            <w:r w:rsidRPr="00593874">
              <w:rPr>
                <w:rFonts w:ascii="Times New Roman" w:hAnsi="Times New Roman" w:cs="Times New Roman"/>
              </w:rPr>
              <w:t xml:space="preserve"> nie dotyczą komunikatów elektronicznych</w:t>
            </w:r>
            <w:r w:rsidR="00F12012">
              <w:rPr>
                <w:rFonts w:ascii="Times New Roman" w:hAnsi="Times New Roman" w:cs="Times New Roman"/>
              </w:rPr>
              <w:t xml:space="preserve"> </w:t>
            </w:r>
            <w:r w:rsidR="00F12012" w:rsidRPr="006F678B">
              <w:rPr>
                <w:rFonts w:ascii="Times New Roman" w:hAnsi="Times New Roman"/>
              </w:rPr>
              <w:t>i związanych z</w:t>
            </w:r>
            <w:r w:rsidR="004A2569">
              <w:rPr>
                <w:rFonts w:ascii="Times New Roman" w:hAnsi="Times New Roman"/>
              </w:rPr>
              <w:t> </w:t>
            </w:r>
            <w:r w:rsidR="00F12012" w:rsidRPr="006F678B">
              <w:rPr>
                <w:rFonts w:ascii="Times New Roman" w:hAnsi="Times New Roman"/>
              </w:rPr>
              <w:t>nimi danych, o których mowa w art. 43 ust. 1 pkt 1 ustawy</w:t>
            </w:r>
            <w:r w:rsidR="00F12012">
              <w:rPr>
                <w:rFonts w:ascii="Times New Roman" w:hAnsi="Times New Roman"/>
              </w:rPr>
              <w:t>,</w:t>
            </w:r>
            <w:r w:rsidRPr="00593874">
              <w:rPr>
                <w:rFonts w:ascii="Times New Roman" w:hAnsi="Times New Roman" w:cs="Times New Roman"/>
              </w:rPr>
              <w:t xml:space="preserve"> nie można więc tej definicji uzupełnić o art. 45 </w:t>
            </w:r>
            <w:r w:rsidR="00F12012">
              <w:rPr>
                <w:rFonts w:ascii="Times New Roman" w:hAnsi="Times New Roman" w:cs="Times New Roman"/>
              </w:rPr>
              <w:t>ustawy</w:t>
            </w:r>
            <w:r w:rsidR="000C6825" w:rsidRPr="00593874">
              <w:rPr>
                <w:rFonts w:ascii="Times New Roman" w:hAnsi="Times New Roman" w:cs="Times New Roman"/>
              </w:rPr>
              <w:t>.</w:t>
            </w:r>
          </w:p>
          <w:p w14:paraId="3E5AC81A" w14:textId="77777777" w:rsidR="0046062E" w:rsidRPr="00593874" w:rsidRDefault="0046062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448649D5" w14:textId="77777777" w:rsidR="0093771E" w:rsidRPr="00593874" w:rsidRDefault="0093771E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0798" w:rsidRPr="00813BFC" w14:paraId="6537BC55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2FEAD298" w14:textId="77777777" w:rsidR="00270798" w:rsidRPr="00270798" w:rsidRDefault="00270798" w:rsidP="00270798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F08268D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5E9DDFF8" w14:textId="56BBE53C" w:rsidR="00270798" w:rsidRPr="0027079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9A60342" w14:textId="01560BDD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Finansów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5D11C153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W załączniku do projektowane rozporządzenia, określającego wymagania techniczne i eksploatacyjne dla interfejsów, w tabeli nr 2 (str. 7 i 8 projektu), jako jeden z uprawnionych podmiotów (LEA – zgodnie z wyjaśnieniem zawartym w pkt 15 na str. 5 projektu), zostało wskazane Ministerstwo Finansów.</w:t>
            </w:r>
          </w:p>
          <w:p w14:paraId="0D327528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Należy jednak zauważyć, że zgodnie z art. 43 ust. 1 pkt 1 lit. a ustawy z dnia 12 lipca 2024 r. – </w:t>
            </w:r>
            <w:r w:rsidRPr="005364F8">
              <w:rPr>
                <w:rFonts w:ascii="Times New Roman" w:hAnsi="Times New Roman" w:cs="Times New Roman"/>
                <w:i/>
                <w:iCs/>
              </w:rPr>
              <w:t>Prawo komunikacji elektronicznej</w:t>
            </w:r>
            <w:r w:rsidRPr="005364F8">
              <w:rPr>
                <w:rFonts w:ascii="Times New Roman" w:hAnsi="Times New Roman" w:cs="Times New Roman"/>
              </w:rPr>
              <w:t>, definicją „uprawnionych podmiotów” została objęta m.in. Krajowa Administracja Skarbowa (definicja nie uwzględnia Ministerstwa Finansów).</w:t>
            </w:r>
          </w:p>
          <w:p w14:paraId="20D7F6D6" w14:textId="63C542F7" w:rsidR="00270798" w:rsidRPr="0027079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W naszej ocenie, w celu zapewnienia spójności regulacji zawartych w opiniowanym rozporządzeniu z przepisami ww. ustawy, należy zmienić zapis zawarty we wspomnianej tabeli nr 2, i w miejsce Ministerstwa Finansów (</w:t>
            </w:r>
            <w:proofErr w:type="spellStart"/>
            <w:r w:rsidRPr="005364F8">
              <w:rPr>
                <w:rFonts w:ascii="Times New Roman" w:hAnsi="Times New Roman" w:cs="Times New Roman"/>
              </w:rPr>
              <w:t>MF</w:t>
            </w:r>
            <w:proofErr w:type="spellEnd"/>
            <w:r w:rsidRPr="005364F8">
              <w:rPr>
                <w:rFonts w:ascii="Times New Roman" w:hAnsi="Times New Roman" w:cs="Times New Roman"/>
              </w:rPr>
              <w:t>) wpisać Krajową Administrację Skarbową (KAS).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8252CE3" w14:textId="599A00B6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t>Uwaga uwzględniona</w:t>
            </w:r>
            <w:r w:rsidR="001959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59B6" w:rsidRPr="001959B6">
              <w:rPr>
                <w:rFonts w:ascii="Times New Roman" w:hAnsi="Times New Roman" w:cs="Times New Roman"/>
              </w:rPr>
              <w:t>przez wpisanie</w:t>
            </w:r>
            <w:r w:rsidR="001959B6">
              <w:rPr>
                <w:rFonts w:ascii="Times New Roman" w:hAnsi="Times New Roman" w:cs="Times New Roman"/>
              </w:rPr>
              <w:t xml:space="preserve"> Krajowej Administracji Skarbowej w</w:t>
            </w:r>
            <w:r w:rsidR="008076E5">
              <w:rPr>
                <w:rFonts w:ascii="Times New Roman" w:hAnsi="Times New Roman" w:cs="Times New Roman"/>
              </w:rPr>
              <w:t> </w:t>
            </w:r>
            <w:r w:rsidR="001959B6">
              <w:rPr>
                <w:rFonts w:ascii="Times New Roman" w:hAnsi="Times New Roman" w:cs="Times New Roman"/>
              </w:rPr>
              <w:t>miejsce Ministerstwa Finansów.</w:t>
            </w:r>
          </w:p>
        </w:tc>
      </w:tr>
      <w:tr w:rsidR="00270798" w:rsidRPr="00813BFC" w14:paraId="099B5D1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79A21304" w14:textId="77777777" w:rsidR="00270798" w:rsidRPr="005364F8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9C08A8B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4A8FEDB5" w14:textId="77777777" w:rsidR="00270798" w:rsidRPr="005364F8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E9F1239" w14:textId="77777777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78AC38A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Zgodnie z przepisem art. 45 ust. 1 w związku z art. 46 ust. 2 </w:t>
            </w:r>
            <w:proofErr w:type="spellStart"/>
            <w:r w:rsidRPr="005364F8">
              <w:rPr>
                <w:rFonts w:ascii="Times New Roman" w:hAnsi="Times New Roman" w:cs="Times New Roman"/>
              </w:rPr>
              <w:t>PKE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 przedsiębiorca telekomunikacyjny jest obowiązany do udostępnienia określonych kategorii danych „</w:t>
            </w:r>
            <w:r w:rsidRPr="005364F8">
              <w:rPr>
                <w:rFonts w:ascii="Times New Roman" w:hAnsi="Times New Roman" w:cs="Times New Roman"/>
                <w:i/>
                <w:iCs/>
              </w:rPr>
              <w:t>uprawnionym podmiotom</w:t>
            </w:r>
            <w:r w:rsidRPr="005364F8">
              <w:rPr>
                <w:rFonts w:ascii="Times New Roman" w:hAnsi="Times New Roman" w:cs="Times New Roman"/>
              </w:rPr>
              <w:t xml:space="preserve">”, przy czym </w:t>
            </w:r>
            <w:r w:rsidRPr="005364F8">
              <w:rPr>
                <w:rFonts w:ascii="Times New Roman" w:hAnsi="Times New Roman" w:cs="Times New Roman"/>
              </w:rPr>
              <w:lastRenderedPageBreak/>
              <w:t xml:space="preserve">podmioty te wymieniono w art. 43 ust. 1 pkt 1 lit. a </w:t>
            </w:r>
            <w:proofErr w:type="spellStart"/>
            <w:r w:rsidRPr="005364F8">
              <w:rPr>
                <w:rFonts w:ascii="Times New Roman" w:hAnsi="Times New Roman" w:cs="Times New Roman"/>
              </w:rPr>
              <w:t>PKE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 (Policja, Biuro Nadzoru Wewnętrznego, Straż Graniczna, Służba Ochrony Państwa, Agencja Bezpieczeństwa Wewnętrznego, Służba Kontrwywiadu Wojskowego, Żandarmeria Wojskowa, Centralne Biuro Antykorupcyjne i Krajowa Administracja Skarbowa). W tym kontekście wątpliwości budzi nieprzyporządkowanie – w pkt 5 załącznika do projektowanego rozporządzenia w tabeli 2 „</w:t>
            </w:r>
            <w:proofErr w:type="spellStart"/>
            <w:r w:rsidRPr="005364F8">
              <w:rPr>
                <w:rFonts w:ascii="Times New Roman" w:hAnsi="Times New Roman" w:cs="Times New Roman"/>
              </w:rPr>
              <w:t>LEAID</w:t>
            </w:r>
            <w:proofErr w:type="spellEnd"/>
            <w:r w:rsidRPr="005364F8">
              <w:rPr>
                <w:rFonts w:ascii="Times New Roman" w:hAnsi="Times New Roman" w:cs="Times New Roman"/>
              </w:rPr>
              <w:t>” – odpowiedniego oznaczenia odnoszącego się do Krajowej Administracji Skarbowej. Wskazane w tej tabeli w pozycji 06 oznaczenie „</w:t>
            </w:r>
            <w:proofErr w:type="spellStart"/>
            <w:r w:rsidRPr="005364F8">
              <w:rPr>
                <w:rFonts w:ascii="Times New Roman" w:hAnsi="Times New Roman" w:cs="Times New Roman"/>
              </w:rPr>
              <w:t>MF</w:t>
            </w:r>
            <w:proofErr w:type="spellEnd"/>
            <w:r w:rsidRPr="005364F8">
              <w:rPr>
                <w:rFonts w:ascii="Times New Roman" w:hAnsi="Times New Roman" w:cs="Times New Roman"/>
              </w:rPr>
              <w:t>” wraz z opisem „Ministerstwo Finansów” dotyczy bowiem urzędu obsługującego ministra właściwego do spraw finansów publicznych. Mając na uwadze powyższe proponuje się zastąpienie ww. oznaczenia adekwatnym określeniem.</w:t>
            </w:r>
          </w:p>
          <w:p w14:paraId="717C4CC3" w14:textId="77777777" w:rsidR="00270798" w:rsidRPr="005364F8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Niezależnie od powyższego wydaje się, że katalog uprawnionych podmiotów nie został również w sposób właściwy odwzorowany w </w:t>
            </w:r>
            <w:r w:rsidRPr="005364F8">
              <w:rPr>
                <w:rFonts w:ascii="Times New Roman" w:hAnsi="Times New Roman" w:cs="Times New Roman"/>
                <w:i/>
                <w:iCs/>
              </w:rPr>
              <w:t xml:space="preserve">specyfikacji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ASN.1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dla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UnsignedRequestDetail</w:t>
            </w:r>
            <w:proofErr w:type="spellEnd"/>
            <w:r w:rsidRPr="005364F8">
              <w:rPr>
                <w:rFonts w:ascii="Times New Roman" w:hAnsi="Times New Roman" w:cs="Times New Roman"/>
              </w:rPr>
              <w:t>, o której mowa w pkt 10.4.2 załącznika do rozporządzenia (str. 29 projektu) – gdzie ponownie posłużono się oznaczeniem „</w:t>
            </w:r>
            <w:proofErr w:type="spellStart"/>
            <w:r w:rsidRPr="005364F8">
              <w:rPr>
                <w:rFonts w:ascii="Times New Roman" w:hAnsi="Times New Roman" w:cs="Times New Roman"/>
              </w:rPr>
              <w:t>MF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”, jak również pominięte zostały wartości i oznaczenia mające zastosowanie do Służby Ochrony Państwa (wartość </w:t>
            </w:r>
            <w:proofErr w:type="spellStart"/>
            <w:r w:rsidRPr="005364F8">
              <w:rPr>
                <w:rFonts w:ascii="Times New Roman" w:hAnsi="Times New Roman" w:cs="Times New Roman"/>
              </w:rPr>
              <w:t>LEAID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 07) oraz Biura Nadzoru Wewnętrznego (wartość </w:t>
            </w:r>
            <w:proofErr w:type="spellStart"/>
            <w:r w:rsidRPr="005364F8">
              <w:rPr>
                <w:rFonts w:ascii="Times New Roman" w:hAnsi="Times New Roman" w:cs="Times New Roman"/>
              </w:rPr>
              <w:t>LEAID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 08). Kwestia ta wymaga weryfikacji.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99C78E" w14:textId="04CD4370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  <w:r w:rsidR="00C872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72AF" w:rsidRPr="00593874">
              <w:rPr>
                <w:rFonts w:ascii="Times New Roman" w:hAnsi="Times New Roman" w:cs="Times New Roman"/>
              </w:rPr>
              <w:t>zgodnie z jej treścią.</w:t>
            </w:r>
          </w:p>
          <w:p w14:paraId="4E897005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0798" w:rsidRPr="00813BFC" w14:paraId="1A7C8356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2874FE1E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3284CA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2B458C88" w14:textId="5BA26A9F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62D09C3" w14:textId="211CCD8F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28DC34D7" w14:textId="69069ACC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Proponuję wprowadzenie zmian mających na celu ujednolicenie standardów transportowych danych dla interfejsów </w:t>
            </w:r>
            <w:proofErr w:type="spellStart"/>
            <w:r w:rsidRPr="00593874">
              <w:rPr>
                <w:rFonts w:ascii="Times New Roman" w:hAnsi="Times New Roman" w:cs="Times New Roman"/>
              </w:rPr>
              <w:t>HI2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93874">
              <w:rPr>
                <w:rFonts w:ascii="Times New Roman" w:hAnsi="Times New Roman" w:cs="Times New Roman"/>
              </w:rPr>
              <w:t>HI3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. Zmiany powinny uwzględniać przekazywanie metadanych dotyczących komunikacji w ramach </w:t>
            </w:r>
            <w:proofErr w:type="spellStart"/>
            <w:r w:rsidRPr="00593874">
              <w:rPr>
                <w:rFonts w:ascii="Times New Roman" w:hAnsi="Times New Roman" w:cs="Times New Roman"/>
              </w:rPr>
              <w:t>HI2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(tj. parametr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IRI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Intercept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Related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Information) za pomocą protokołu komunikacyjnego TCP zgodnie z normą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102 232-1, kk 6.4.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0B5BC66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22E3DC05" w14:textId="08BB03D7" w:rsidR="00270798" w:rsidRPr="00593874" w:rsidRDefault="00FB22E5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Zrezygnowano ze stosowania protokołu FTP</w:t>
            </w:r>
            <w:r w:rsidR="00A71BEC">
              <w:rPr>
                <w:rFonts w:ascii="Times New Roman" w:hAnsi="Times New Roman" w:cs="Times New Roman"/>
              </w:rPr>
              <w:t xml:space="preserve"> na rzecz protokołu TCP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47768DA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37593D0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E2065D3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60B4771D" w14:textId="3C7FEFD0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64A8A9A" w14:textId="2BB956E9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74B3DB1B" w14:textId="0047F8BF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Analogicznie, przekazywanie w </w:t>
            </w:r>
            <w:proofErr w:type="spellStart"/>
            <w:r w:rsidRPr="00593874">
              <w:rPr>
                <w:rFonts w:ascii="Times New Roman" w:hAnsi="Times New Roman" w:cs="Times New Roman"/>
              </w:rPr>
              <w:t>HI3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treści przechwytywanych komunikatów elektronicznych (parametr CC - Content of </w:t>
            </w:r>
            <w:proofErr w:type="spellStart"/>
            <w:r w:rsidRPr="00593874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), również powinno odbywać się z wykorzystaniem protokołu komunikacyjnego TCP - zgodnie z normą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102 232-1, kl. 6.4. Jednocześnie, biorąc pod uwagę, że protokół TCP charakteryzuje się większą niż FTP </w:t>
            </w:r>
            <w:r w:rsidRPr="00593874">
              <w:rPr>
                <w:rFonts w:ascii="Times New Roman" w:hAnsi="Times New Roman" w:cs="Times New Roman"/>
              </w:rPr>
              <w:lastRenderedPageBreak/>
              <w:t xml:space="preserve">niezawodnością i jest on już aktualnie wykorzystywany do przekazywania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IRI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i CC, powinien on być wskazany w projekcie rozporządzenia jako protokół domyślny do tego celu.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521C4B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</w:p>
          <w:p w14:paraId="32E99E9C" w14:textId="43D93EB6" w:rsidR="00270798" w:rsidRPr="00593874" w:rsidRDefault="00FB22E5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Zrezygnowano ze stosowania protokołu FTP</w:t>
            </w:r>
            <w:r w:rsidR="00A71BEC">
              <w:rPr>
                <w:rFonts w:ascii="Times New Roman" w:hAnsi="Times New Roman" w:cs="Times New Roman"/>
              </w:rPr>
              <w:t xml:space="preserve"> na rzecz protokołu TCP.</w:t>
            </w:r>
          </w:p>
        </w:tc>
      </w:tr>
      <w:tr w:rsidR="00D36E3C" w:rsidRPr="00813BFC" w14:paraId="099CAFFC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02FE01A" w14:textId="77777777" w:rsidR="00D36E3C" w:rsidRPr="005364F8" w:rsidRDefault="00D36E3C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7B4FB2C" w14:textId="77777777" w:rsidR="00D36E3C" w:rsidRPr="005364F8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Załącznik</w:t>
            </w:r>
          </w:p>
          <w:p w14:paraId="15148388" w14:textId="77777777" w:rsidR="00D36E3C" w:rsidRPr="005364F8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pkt 7 i 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F06A2E4" w14:textId="77777777" w:rsidR="00D36E3C" w:rsidRPr="00362E66" w:rsidRDefault="00D36E3C" w:rsidP="005364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4CA3DE4B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Wprowadzenie ww. zmian będzie wiązać się z koniecznością dokonania dodatkowych modyfikacji brzmienia załącznika do projektu rozporządzenia w pkt 7, odnoszącym się do wymagań dla interfejsu </w:t>
            </w:r>
            <w:proofErr w:type="spellStart"/>
            <w:r w:rsidRPr="005364F8">
              <w:rPr>
                <w:rFonts w:ascii="Times New Roman" w:hAnsi="Times New Roman" w:cs="Times New Roman"/>
              </w:rPr>
              <w:t>HI2</w:t>
            </w:r>
            <w:proofErr w:type="spellEnd"/>
            <w:r w:rsidRPr="005364F8">
              <w:rPr>
                <w:rFonts w:ascii="Times New Roman" w:hAnsi="Times New Roman" w:cs="Times New Roman"/>
              </w:rPr>
              <w:t xml:space="preserve"> oraz pkt 8 opisującym wymagania dla interfejsu </w:t>
            </w:r>
            <w:proofErr w:type="spellStart"/>
            <w:r w:rsidRPr="005364F8">
              <w:rPr>
                <w:rFonts w:ascii="Times New Roman" w:hAnsi="Times New Roman" w:cs="Times New Roman"/>
              </w:rPr>
              <w:t>HI3</w:t>
            </w:r>
            <w:proofErr w:type="spellEnd"/>
            <w:r w:rsidRPr="005364F8">
              <w:rPr>
                <w:rFonts w:ascii="Times New Roman" w:hAnsi="Times New Roman" w:cs="Times New Roman"/>
              </w:rPr>
              <w:t>.</w:t>
            </w:r>
          </w:p>
          <w:p w14:paraId="4593B871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>Proponuję w tym zakresie rozszerzenie jego brzmienia o następujące aspekty:</w:t>
            </w:r>
          </w:p>
          <w:p w14:paraId="4F178EAE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a. dotyczące </w:t>
            </w:r>
            <w:proofErr w:type="spellStart"/>
            <w:r w:rsidRPr="005364F8">
              <w:rPr>
                <w:rFonts w:ascii="Times New Roman" w:hAnsi="Times New Roman" w:cs="Times New Roman"/>
              </w:rPr>
              <w:t>HI2</w:t>
            </w:r>
            <w:proofErr w:type="spellEnd"/>
            <w:r w:rsidRPr="005364F8">
              <w:rPr>
                <w:rFonts w:ascii="Times New Roman" w:hAnsi="Times New Roman" w:cs="Times New Roman"/>
              </w:rPr>
              <w:t>:</w:t>
            </w:r>
          </w:p>
          <w:p w14:paraId="55C99BED" w14:textId="041A3324" w:rsidR="00D36E3C" w:rsidRPr="005364F8" w:rsidRDefault="00D36E3C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4F8">
              <w:rPr>
                <w:rFonts w:ascii="Times New Roman" w:hAnsi="Times New Roman" w:cs="Times New Roman"/>
                <w:i/>
                <w:iCs/>
              </w:rPr>
              <w:t xml:space="preserve">1) „Przekazywanie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IRI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realizuje się w warstwie transportowej opartej na TCP, zgodnie z normą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ETSI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TS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102 232-1, kl. 6.4. łącznie z mechanizmem potwierdzania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PDU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i zaleceniami dotyczącymi TCP. Połączenia TCP są inicjowane w kierunku od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ADMF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do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LEMF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>.”</w:t>
            </w:r>
          </w:p>
          <w:p w14:paraId="326FB076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364F8">
              <w:rPr>
                <w:rFonts w:ascii="Times New Roman" w:hAnsi="Times New Roman" w:cs="Times New Roman"/>
              </w:rPr>
              <w:t xml:space="preserve">b. dotyczące </w:t>
            </w:r>
            <w:proofErr w:type="spellStart"/>
            <w:r w:rsidRPr="005364F8">
              <w:rPr>
                <w:rFonts w:ascii="Times New Roman" w:hAnsi="Times New Roman" w:cs="Times New Roman"/>
              </w:rPr>
              <w:t>HI3</w:t>
            </w:r>
            <w:proofErr w:type="spellEnd"/>
            <w:r w:rsidRPr="005364F8">
              <w:rPr>
                <w:rFonts w:ascii="Times New Roman" w:hAnsi="Times New Roman" w:cs="Times New Roman"/>
              </w:rPr>
              <w:t>:</w:t>
            </w:r>
          </w:p>
          <w:p w14:paraId="01D15EC9" w14:textId="77777777" w:rsidR="00D36E3C" w:rsidRPr="005364F8" w:rsidRDefault="00D36E3C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364F8">
              <w:rPr>
                <w:rFonts w:ascii="Times New Roman" w:hAnsi="Times New Roman" w:cs="Times New Roman"/>
                <w:i/>
                <w:iCs/>
              </w:rPr>
              <w:t xml:space="preserve">1) „Przekazywanie CC odbywa się wyłącznie kanałem TCP, zgodnie z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ETSI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TS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 xml:space="preserve"> 102 232- 1, kl. 6.4. Nie stosuje się transportu </w:t>
            </w:r>
            <w:proofErr w:type="spellStart"/>
            <w:r w:rsidRPr="005364F8">
              <w:rPr>
                <w:rFonts w:ascii="Times New Roman" w:hAnsi="Times New Roman" w:cs="Times New Roman"/>
                <w:i/>
                <w:iCs/>
              </w:rPr>
              <w:t>SIP</w:t>
            </w:r>
            <w:proofErr w:type="spellEnd"/>
            <w:r w:rsidRPr="005364F8">
              <w:rPr>
                <w:rFonts w:ascii="Times New Roman" w:hAnsi="Times New Roman" w:cs="Times New Roman"/>
                <w:i/>
                <w:iCs/>
              </w:rPr>
              <w:t>. ".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82DF62C" w14:textId="77777777" w:rsidR="00D36E3C" w:rsidRPr="005364F8" w:rsidRDefault="00D36E3C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4F8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7649D5D1" w14:textId="0047B22C" w:rsidR="00D36E3C" w:rsidRPr="005364F8" w:rsidRDefault="00A71BEC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w przepisach uwzględniono zachowując ten sam sens merytoryczny, tzn. zrezygnowano z protokołu FTP na rzecz protokołu TCP. Treść przepisów uzgodniono w trakcie warsztatów, w których brali udział przedstawiciele uprawnionych podmiotów, w tym Koordynatora Służb Specjalnych, oraz przedsiębiorców telekomunikacyjnych. </w:t>
            </w:r>
          </w:p>
        </w:tc>
      </w:tr>
      <w:tr w:rsidR="00270798" w:rsidRPr="00813BFC" w14:paraId="2D5075F0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A6E4CEF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763FE45" w14:textId="5119F6AD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48A4A69" w14:textId="33B278FA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8.3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85572F6" w14:textId="7B6FE101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BE6ACC3" w14:textId="453AFCDB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Proponuję usunięcie wymogu wysyłania danych w czasie rzeczywistym przez </w:t>
            </w:r>
            <w:proofErr w:type="spellStart"/>
            <w:r w:rsidRPr="00593874">
              <w:rPr>
                <w:rFonts w:ascii="Times New Roman" w:hAnsi="Times New Roman" w:cs="Times New Roman"/>
              </w:rPr>
              <w:t>SIP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(w tym Call-ID/</w:t>
            </w:r>
            <w:proofErr w:type="spellStart"/>
            <w:r w:rsidRPr="00593874">
              <w:rPr>
                <w:rFonts w:ascii="Times New Roman" w:hAnsi="Times New Roman" w:cs="Times New Roman"/>
              </w:rPr>
              <w:t>forwardingAddress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) - ust. 8.3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ppkt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2 lit. b załącznika do projektu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593874">
              <w:rPr>
                <w:rFonts w:ascii="Times New Roman" w:hAnsi="Times New Roman" w:cs="Times New Roman"/>
              </w:rPr>
              <w:t xml:space="preserve">Obecnie stosowane rozwiązanie w zakresie dostarczania LI odbywa się kanałem TCP zgodnie z normą </w:t>
            </w:r>
            <w:proofErr w:type="spellStart"/>
            <w:r w:rsidRPr="00593874">
              <w:rPr>
                <w:rFonts w:ascii="Times New Roman" w:hAnsi="Times New Roman" w:cs="Times New Roman"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102 232.</w:t>
            </w:r>
          </w:p>
          <w:p w14:paraId="3EE73565" w14:textId="2F59BFBE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Proponuje zatem, aby pkt 8.3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ppkt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2 załącznika do projektu rozporządzenia otrzymał następujące brzmienie:</w:t>
            </w:r>
          </w:p>
          <w:p w14:paraId="46F83DFB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  <w:i/>
                <w:iCs/>
              </w:rPr>
              <w:t>„ 2) dla trybu Online:</w:t>
            </w:r>
          </w:p>
          <w:p w14:paraId="7A48BFFF" w14:textId="0A445A12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</w:rPr>
              <w:t xml:space="preserve">1)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przekazywanie treści komunikacji objętej monitorowaniem realizowane jest zgodnie z zasadami określonymi w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ETSI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TS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102 232-1 i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ETSITS102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232- 6,</w:t>
            </w:r>
          </w:p>
          <w:p w14:paraId="130C0E50" w14:textId="77777777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3874">
              <w:rPr>
                <w:rFonts w:ascii="Times New Roman" w:hAnsi="Times New Roman" w:cs="Times New Roman"/>
              </w:rPr>
              <w:t xml:space="preserve">2)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komunikaty elektroniczne wysyłane i odbierane przez obiekt monitorowany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ADMF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przesyła do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LEMF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 xml:space="preserve">w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czasie rzeczywistym,</w:t>
            </w:r>
          </w:p>
          <w:p w14:paraId="612838E2" w14:textId="508DD260" w:rsidR="00270798" w:rsidRPr="00593874" w:rsidRDefault="00270798" w:rsidP="00593874">
            <w:pPr>
              <w:pStyle w:val="Bezodstpw"/>
              <w:ind w:left="561" w:hanging="283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lastRenderedPageBreak/>
              <w:t xml:space="preserve">3)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przedsiębiorca telekomunikacyjny nieodpłatnie dostarcza LEA kodeki umożliwiające odbiór połączeń głosowych i wideo.”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EF51312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</w:p>
          <w:p w14:paraId="5F1B170F" w14:textId="598B0498" w:rsidR="00270798" w:rsidRPr="00593874" w:rsidRDefault="005F44F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w przepisach uwzględniono zachowując ten sam sens merytoryczny, tzn. zrezygnowano z protokołu </w:t>
            </w:r>
            <w:proofErr w:type="spellStart"/>
            <w:r>
              <w:rPr>
                <w:rFonts w:ascii="Times New Roman" w:hAnsi="Times New Roman" w:cs="Times New Roman"/>
              </w:rPr>
              <w:t>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rzecz protokołu TCP. Treść przepisów uzgodniono w trakcie warsztatów, w których brali udział przedstawiciele uprawnionych podmiotów, w tym Koordynatora Służb Specjalnych, oraz przedsiębiorców telekomunikacyjnych</w:t>
            </w:r>
            <w:r w:rsidR="00270798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71AD8F44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B1F05CD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0CA7B1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51A45F8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8.4</w:t>
            </w:r>
          </w:p>
          <w:p w14:paraId="502E6975" w14:textId="7810FA41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10.2.2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F907B22" w14:textId="0E17E657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4D081BA" w14:textId="02B73CE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Przyjęcie ww. zmian będzie wiązało się z koniecznością usunięcia pkt 8.4 przedmiotowego załącznika oraz wprowadzenia zmian w pkt 10.2.2 w </w:t>
            </w:r>
            <w:proofErr w:type="spellStart"/>
            <w:r w:rsidRPr="00593874">
              <w:rPr>
                <w:rFonts w:ascii="Times New Roman" w:hAnsi="Times New Roman" w:cs="Times New Roman"/>
              </w:rPr>
              <w:t>ppkt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. 1 w lit. a poprzez usunięcie </w:t>
            </w:r>
            <w:proofErr w:type="spellStart"/>
            <w:r w:rsidRPr="00593874">
              <w:rPr>
                <w:rFonts w:ascii="Times New Roman" w:hAnsi="Times New Roman" w:cs="Times New Roman"/>
              </w:rPr>
              <w:t>tiret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trzecie dotyczącego </w:t>
            </w:r>
            <w:proofErr w:type="spellStart"/>
            <w:r w:rsidRPr="00593874">
              <w:rPr>
                <w:rFonts w:ascii="Times New Roman" w:hAnsi="Times New Roman" w:cs="Times New Roman"/>
              </w:rPr>
              <w:t>RTRequest</w:t>
            </w:r>
            <w:proofErr w:type="spellEnd"/>
            <w:r w:rsidRPr="00593874">
              <w:rPr>
                <w:rFonts w:ascii="Times New Roman" w:hAnsi="Times New Roman" w:cs="Times New Roman"/>
              </w:rPr>
              <w:t>, gdyż służy on do uruchamiania/wyłączania trybu online (</w:t>
            </w:r>
            <w:proofErr w:type="spellStart"/>
            <w:r w:rsidRPr="00593874">
              <w:rPr>
                <w:rFonts w:ascii="Times New Roman" w:hAnsi="Times New Roman" w:cs="Times New Roman"/>
              </w:rPr>
              <w:t>SIP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), który po dokonaniu zmian w pkt 8.3 będzie zbędny. W powyższym zakresie niezbędne będzie również wprowadzenie zmian w dalszej części załącznika do projektowanego rozporządzenia odnoszącej się do </w:t>
            </w:r>
            <w:proofErr w:type="spellStart"/>
            <w:r w:rsidRPr="00593874">
              <w:rPr>
                <w:rFonts w:ascii="Times New Roman" w:hAnsi="Times New Roman" w:cs="Times New Roman"/>
              </w:rPr>
              <w:t>RTRequest</w:t>
            </w:r>
            <w:proofErr w:type="spellEnd"/>
            <w:r w:rsidRPr="00593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8DD342A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4E0D5CCA" w14:textId="453C276B" w:rsidR="00270798" w:rsidRPr="00593874" w:rsidRDefault="005F44FE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Skreślono pkt 8.4 oraz wskazanie </w:t>
            </w:r>
            <w:proofErr w:type="spellStart"/>
            <w:r>
              <w:rPr>
                <w:rFonts w:ascii="Times New Roman" w:hAnsi="Times New Roman" w:cs="Times New Roman"/>
              </w:rPr>
              <w:t>RTReguest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w pkt 10.2.2</w:t>
            </w:r>
            <w:r w:rsidR="00270798" w:rsidRPr="00593874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5738C630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7B745E46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17A7B8D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12E297C8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</w:t>
            </w:r>
          </w:p>
          <w:p w14:paraId="3A5198E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7644204" w14:textId="19E5990B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Rozwoju i Technologii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82CF61E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jest: </w:t>
            </w:r>
            <w:proofErr w:type="spellStart"/>
            <w:r w:rsidRPr="00593874">
              <w:rPr>
                <w:rFonts w:ascii="Times New Roman" w:hAnsi="Times New Roman" w:cs="Times New Roman"/>
              </w:rPr>
              <w:t>stopTimestap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</w:p>
          <w:p w14:paraId="0C457AB5" w14:textId="0FEA9C71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powinno być: </w:t>
            </w:r>
            <w:proofErr w:type="spellStart"/>
            <w:r w:rsidRPr="00593874">
              <w:rPr>
                <w:rFonts w:ascii="Times New Roman" w:hAnsi="Times New Roman" w:cs="Times New Roman"/>
              </w:rPr>
              <w:t>stopTimestamp</w:t>
            </w:r>
            <w:proofErr w:type="spellEnd"/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5C87CC1" w14:textId="23467CCA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nieuwzględniona</w:t>
            </w:r>
          </w:p>
          <w:p w14:paraId="7F201AE0" w14:textId="2829A215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Nie jest to błąd w projekcie rozporządzenia lecz wcześniej w kodzie systemu już zaimplementowanym. Wprowadzenie w rozporządzeniu poprawnego zapisu wygeneruje koszty po stronie przedsiębiorców ze względu na konieczność korekty kodów którymi operatorzy się posługują oraz może skomplikować stosowanie interfejsów.</w:t>
            </w:r>
          </w:p>
          <w:p w14:paraId="608130C4" w14:textId="603BD0B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Ten błąd nie determinuje funkcjonalności systemu i biorąc pod uwagę powyższe powinien pozostać w rozporządzeniu zapis z błędem.</w:t>
            </w:r>
          </w:p>
        </w:tc>
      </w:tr>
      <w:tr w:rsidR="00270798" w:rsidRPr="00813BFC" w14:paraId="5A3BE218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6F37667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6804FBA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737F60A5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</w:t>
            </w:r>
          </w:p>
          <w:p w14:paraId="5512338B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6504B71" w14:textId="78AB7E1E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Ministerstwo Rozwoju i Technologii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66123F8E" w14:textId="5E04565C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jest: </w:t>
            </w:r>
            <w:proofErr w:type="spellStart"/>
            <w:r w:rsidRPr="00593874">
              <w:rPr>
                <w:rFonts w:ascii="Times New Roman" w:hAnsi="Times New Roman" w:cs="Times New Roman"/>
              </w:rPr>
              <w:t>UFT8String</w:t>
            </w:r>
            <w:proofErr w:type="spellEnd"/>
            <w:r w:rsidRPr="00593874">
              <w:rPr>
                <w:rFonts w:ascii="Times New Roman" w:hAnsi="Times New Roman" w:cs="Times New Roman"/>
              </w:rPr>
              <w:t>,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</w:p>
          <w:p w14:paraId="416AEFC3" w14:textId="651D11C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powinno być: </w:t>
            </w:r>
            <w:proofErr w:type="spellStart"/>
            <w:r w:rsidRPr="00593874">
              <w:rPr>
                <w:rFonts w:ascii="Times New Roman" w:hAnsi="Times New Roman" w:cs="Times New Roman"/>
              </w:rPr>
              <w:t>UTF8String</w:t>
            </w:r>
            <w:proofErr w:type="spellEnd"/>
            <w:r w:rsidRPr="00593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5A69EC8" w14:textId="2FC100D3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 xml:space="preserve">Uwaga </w:t>
            </w:r>
            <w:r w:rsidR="00D36E3C" w:rsidRPr="00D36E3C">
              <w:rPr>
                <w:rFonts w:ascii="Times New Roman" w:hAnsi="Times New Roman" w:cs="Times New Roman"/>
                <w:b/>
                <w:bCs/>
              </w:rPr>
              <w:t>nieuwzględniona</w:t>
            </w:r>
          </w:p>
          <w:p w14:paraId="34260DA3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Nie jest to błąd w projekcie rozporządzenia lecz wcześniej w kodzie systemu już zaimplementowanym. Wprowadzenie w rozporządzeniu poprawnego zapisu wygeneruje koszty po stronie przedsiębiorców ze względu na konieczność korekty kodów którymi operatorzy się posługują oraz może skomplikować stosowanie interfejsów.</w:t>
            </w:r>
          </w:p>
          <w:p w14:paraId="3E7CF125" w14:textId="32E5FBC9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</w:rPr>
              <w:t>Ten błąd nie determinuje funkcjonalności systemu i biorąc pod uwagę powyższe powinien pozostać w rozporządzeniu zapis z błędem.</w:t>
            </w:r>
          </w:p>
        </w:tc>
      </w:tr>
      <w:tr w:rsidR="00270798" w:rsidRPr="00813BFC" w14:paraId="62BFD0C9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EA8301F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55025C5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Załącznik</w:t>
            </w:r>
          </w:p>
          <w:p w14:paraId="254AF89E" w14:textId="42408820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pkt 10.4.2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83099B1" w14:textId="17F494AE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Koordynator Służb Specjalnych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4BAEE8B6" w14:textId="5C59531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Należy dodać zalecenie domyślnego stosowania </w:t>
            </w:r>
            <w:proofErr w:type="spellStart"/>
            <w:r w:rsidRPr="00593874">
              <w:rPr>
                <w:rFonts w:ascii="Times New Roman" w:hAnsi="Times New Roman" w:cs="Times New Roman"/>
              </w:rPr>
              <w:t>GenericService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do przekazywania identyfikatorów (</w:t>
            </w:r>
            <w:proofErr w:type="spellStart"/>
            <w:r w:rsidRPr="00593874">
              <w:rPr>
                <w:rFonts w:ascii="Times New Roman" w:hAnsi="Times New Roman" w:cs="Times New Roman"/>
              </w:rPr>
              <w:t>MSISDN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IMSI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IMEI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IPv4</w:t>
            </w:r>
            <w:proofErr w:type="spellEnd"/>
            <w:r w:rsidRPr="00593874">
              <w:rPr>
                <w:rFonts w:ascii="Times New Roman" w:hAnsi="Times New Roman" w:cs="Times New Roman"/>
              </w:rPr>
              <w:t>/</w:t>
            </w:r>
            <w:proofErr w:type="spellStart"/>
            <w:r w:rsidRPr="00593874">
              <w:rPr>
                <w:rFonts w:ascii="Times New Roman" w:hAnsi="Times New Roman" w:cs="Times New Roman"/>
              </w:rPr>
              <w:t>IPv6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</w:rPr>
              <w:t>NAI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itd.) dla identyfikacji celu.</w:t>
            </w:r>
          </w:p>
          <w:p w14:paraId="10F86AD4" w14:textId="5448671F" w:rsidR="00270798" w:rsidRPr="00593874" w:rsidRDefault="00270798" w:rsidP="00593874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3874">
              <w:rPr>
                <w:rFonts w:ascii="Times New Roman" w:hAnsi="Times New Roman" w:cs="Times New Roman"/>
              </w:rPr>
              <w:t>GenericService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 upraszcza obsługę różnych identyfikatorów w środowiskach </w:t>
            </w:r>
            <w:proofErr w:type="spellStart"/>
            <w:r w:rsidRPr="00593874">
              <w:rPr>
                <w:rFonts w:ascii="Times New Roman" w:hAnsi="Times New Roman" w:cs="Times New Roman"/>
              </w:rPr>
              <w:t>konwergentnych</w:t>
            </w:r>
            <w:proofErr w:type="spellEnd"/>
            <w:r w:rsidRPr="00593874">
              <w:rPr>
                <w:rFonts w:ascii="Times New Roman" w:hAnsi="Times New Roman" w:cs="Times New Roman"/>
              </w:rPr>
              <w:t xml:space="preserve">, w tym </w:t>
            </w:r>
            <w:proofErr w:type="spellStart"/>
            <w:r w:rsidRPr="00593874">
              <w:rPr>
                <w:rFonts w:ascii="Times New Roman" w:hAnsi="Times New Roman" w:cs="Times New Roman"/>
              </w:rPr>
              <w:t>5G</w:t>
            </w:r>
            <w:proofErr w:type="spellEnd"/>
            <w:r w:rsidRPr="00593874">
              <w:rPr>
                <w:rFonts w:ascii="Times New Roman" w:hAnsi="Times New Roman" w:cs="Times New Roman"/>
              </w:rPr>
              <w:t>, ograniczając wariantowość i wyjątki.</w:t>
            </w:r>
          </w:p>
          <w:p w14:paraId="730651E6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Propozycja zapisu:</w:t>
            </w:r>
          </w:p>
          <w:p w14:paraId="0B850268" w14:textId="5689797B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Jako podstawowy sposób przekazywania identyfikatorów celu stosuje się element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GenericService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identityType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593874">
              <w:rPr>
                <w:rFonts w:ascii="Times New Roman" w:hAnsi="Times New Roman" w:cs="Times New Roman"/>
                <w:i/>
                <w:iCs/>
              </w:rPr>
              <w:t>identityValue</w:t>
            </w:r>
            <w:proofErr w:type="spellEnd"/>
            <w:r w:rsidRPr="00593874">
              <w:rPr>
                <w:rFonts w:ascii="Times New Roman" w:hAnsi="Times New Roman" w:cs="Times New Roman"/>
                <w:i/>
                <w:iCs/>
              </w:rPr>
              <w:t>); profile usługowe traktuje się jako rozszerzenia.”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D160290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08BA00DD" w14:textId="7C28AA91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 trakcie warsztatów z udziałem przedstawicieli uprawnionych podmiotów</w:t>
            </w:r>
            <w:r w:rsidR="00E313C4">
              <w:rPr>
                <w:rFonts w:ascii="Times New Roman" w:hAnsi="Times New Roman" w:cs="Times New Roman"/>
              </w:rPr>
              <w:t>, w tym Koordynatora Służb Specjalnych,</w:t>
            </w:r>
            <w:r w:rsidRPr="00593874">
              <w:rPr>
                <w:rFonts w:ascii="Times New Roman" w:hAnsi="Times New Roman" w:cs="Times New Roman"/>
              </w:rPr>
              <w:t xml:space="preserve"> </w:t>
            </w:r>
            <w:r w:rsidR="00E313C4">
              <w:rPr>
                <w:rFonts w:ascii="Times New Roman" w:hAnsi="Times New Roman" w:cs="Times New Roman"/>
              </w:rPr>
              <w:t xml:space="preserve">oraz </w:t>
            </w:r>
            <w:r w:rsidRPr="00593874">
              <w:rPr>
                <w:rFonts w:ascii="Times New Roman" w:hAnsi="Times New Roman" w:cs="Times New Roman"/>
              </w:rPr>
              <w:t>przedsiębiorców telekomunikacyjnych ustalono treść:</w:t>
            </w:r>
            <w:r w:rsidRPr="0059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„stosuje się jako podstawowy sposób przekazywania identyfikatorów celu”</w:t>
            </w:r>
            <w:r w:rsidR="0028111E">
              <w:rPr>
                <w:rFonts w:ascii="Times New Roman" w:hAnsi="Times New Roman" w:cs="Times New Roman"/>
              </w:rPr>
              <w:t>.</w:t>
            </w:r>
          </w:p>
        </w:tc>
      </w:tr>
      <w:tr w:rsidR="00270798" w:rsidRPr="00813BFC" w14:paraId="06903F07" w14:textId="77777777" w:rsidTr="005B689C">
        <w:tc>
          <w:tcPr>
            <w:tcW w:w="15163" w:type="dxa"/>
            <w:gridSpan w:val="5"/>
            <w:shd w:val="pct10" w:color="auto" w:fill="auto"/>
            <w:vAlign w:val="center"/>
          </w:tcPr>
          <w:p w14:paraId="121D3BEA" w14:textId="158620DA" w:rsidR="00270798" w:rsidRPr="00362E66" w:rsidRDefault="00270798" w:rsidP="00270798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C4E">
              <w:rPr>
                <w:rFonts w:ascii="Times New Roman" w:hAnsi="Times New Roman" w:cs="Times New Roman"/>
                <w:b/>
                <w:bCs/>
              </w:rPr>
              <w:lastRenderedPageBreak/>
              <w:t>UWAGI DO UZASADNIENIA</w:t>
            </w:r>
          </w:p>
        </w:tc>
      </w:tr>
      <w:tr w:rsidR="00270798" w:rsidRPr="00813BFC" w14:paraId="346E2323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3A46725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515B0BD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C2A0246" w14:textId="1014B0C8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02A61971" w14:textId="46A8AB22" w:rsidR="00270798" w:rsidRPr="00593874" w:rsidRDefault="00270798" w:rsidP="0091158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Mając na uwadze treść ustawowego upoważnienia do wydania projektowanego rozporządzenia zawartego w art. 43 ust. 5 ustawy z dnia 12 lipca 2024 r. – Prawo komunikacji elektronicznej (Dz. U. poz. 1221 oraz z 2025 r. poz. 637 i 820), zwanej dalej „</w:t>
            </w:r>
            <w:proofErr w:type="spellStart"/>
            <w:r w:rsidRPr="00593874">
              <w:rPr>
                <w:rFonts w:ascii="Times New Roman" w:hAnsi="Times New Roman" w:cs="Times New Roman"/>
              </w:rPr>
              <w:t>PKE</w:t>
            </w:r>
            <w:proofErr w:type="spellEnd"/>
            <w:r w:rsidRPr="00593874">
              <w:rPr>
                <w:rFonts w:ascii="Times New Roman" w:hAnsi="Times New Roman" w:cs="Times New Roman"/>
              </w:rPr>
              <w:t>”, a także zakres informacji przedstawionych w uzasadnieniu projektu, proponuje się uszczegółowienie dołączonego do niego uzasadnienia o wskazanie, którego z przewidywanych regulacji należy odnosić do wymagań eksploatacyjnych dla interfejsów. Na podstawie przewidywanego podziału treści załącznika do projektowanego aktu nie można dokonać takiego wyraźnego rozróżnienia (wskazuje się np. na wymagania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ogólne</w:t>
            </w:r>
            <w:r w:rsidRPr="00593874">
              <w:rPr>
                <w:rFonts w:ascii="Times New Roman" w:hAnsi="Times New Roman" w:cs="Times New Roman"/>
              </w:rPr>
              <w:t>” bądź jedynie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wymagania</w:t>
            </w:r>
            <w:r w:rsidRPr="00593874">
              <w:rPr>
                <w:rFonts w:ascii="Times New Roman" w:hAnsi="Times New Roman" w:cs="Times New Roman"/>
              </w:rPr>
              <w:t>” w odniesieniu do niektórych interfejsów (zob. np. pkt 5 i 7 załącznika), a odrębnie na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strukturę</w:t>
            </w:r>
            <w:r w:rsidRPr="00593874">
              <w:rPr>
                <w:rFonts w:ascii="Times New Roman" w:hAnsi="Times New Roman" w:cs="Times New Roman"/>
              </w:rPr>
              <w:t>” interfejsu (zob. pkt 10) czy „</w:t>
            </w:r>
            <w:r w:rsidRPr="00593874">
              <w:rPr>
                <w:rFonts w:ascii="Times New Roman" w:hAnsi="Times New Roman" w:cs="Times New Roman"/>
                <w:i/>
                <w:iCs/>
              </w:rPr>
              <w:t>format parametru</w:t>
            </w:r>
            <w:r w:rsidRPr="00593874">
              <w:rPr>
                <w:rFonts w:ascii="Times New Roman" w:hAnsi="Times New Roman" w:cs="Times New Roman"/>
              </w:rPr>
              <w:t>” (pkt 11).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5598783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392AA7A4" w14:textId="19CF9700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>Wskazano w uzasadnieniu</w:t>
            </w:r>
            <w:r w:rsidR="00593874">
              <w:rPr>
                <w:rFonts w:ascii="Times New Roman" w:hAnsi="Times New Roman" w:cs="Times New Roman"/>
              </w:rPr>
              <w:t xml:space="preserve"> </w:t>
            </w:r>
            <w:r w:rsidRPr="00593874">
              <w:rPr>
                <w:rFonts w:ascii="Times New Roman" w:hAnsi="Times New Roman" w:cs="Times New Roman"/>
              </w:rPr>
              <w:t>konkretne punkty będące wymaganiami technicznymi oraz te, które są wymaganiami eksploatacyjnymi.</w:t>
            </w:r>
          </w:p>
        </w:tc>
      </w:tr>
      <w:tr w:rsidR="00270798" w:rsidRPr="00813BFC" w14:paraId="4A3C7361" w14:textId="77777777" w:rsidTr="00362E66"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022A5B36" w14:textId="77777777" w:rsidR="00270798" w:rsidRPr="00593874" w:rsidRDefault="00270798" w:rsidP="00593874">
            <w:pPr>
              <w:pStyle w:val="Bezodstpw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DF9EAE1" w14:textId="77777777" w:rsidR="00270798" w:rsidRPr="00593874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7B47F6C" w14:textId="3BA57714" w:rsidR="00270798" w:rsidRPr="00362E66" w:rsidRDefault="00270798" w:rsidP="002707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E66">
              <w:rPr>
                <w:rFonts w:ascii="Times New Roman" w:hAnsi="Times New Roman" w:cs="Times New Roman"/>
                <w:b/>
                <w:bCs/>
              </w:rPr>
              <w:t>Rządowe Centrum Legislacji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14:paraId="1289403B" w14:textId="7A2C956B" w:rsidR="00270798" w:rsidRPr="00593874" w:rsidRDefault="00270798" w:rsidP="0091158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93874">
              <w:rPr>
                <w:rFonts w:ascii="Times New Roman" w:hAnsi="Times New Roman" w:cs="Times New Roman"/>
              </w:rPr>
              <w:t xml:space="preserve">Uzasadnienie projektu wymaga uzupełnienia o omówienie przyczyn nie zawarcia w nim regulacji o charakterze przejściowym (mając na względzie treść § 30 ust. 1 w związku z § 132 Zasad techniki prawodawczej), a także przewidzianego w projekcie okresu </w:t>
            </w:r>
            <w:r w:rsidRPr="00593874">
              <w:rPr>
                <w:rFonts w:ascii="Times New Roman" w:hAnsi="Times New Roman" w:cs="Times New Roman"/>
                <w:i/>
                <w:iCs/>
              </w:rPr>
              <w:t xml:space="preserve">vacatio legis </w:t>
            </w:r>
            <w:r w:rsidRPr="00593874">
              <w:rPr>
                <w:rFonts w:ascii="Times New Roman" w:hAnsi="Times New Roman" w:cs="Times New Roman"/>
              </w:rPr>
              <w:t>– z uwzględnieniem wskazania, czy okres ten jest wystarczający na dostosowanie się adresatów norm do projektowanych wymagań.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C73697E" w14:textId="77777777" w:rsidR="00270798" w:rsidRPr="00593874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874">
              <w:rPr>
                <w:rFonts w:ascii="Times New Roman" w:hAnsi="Times New Roman" w:cs="Times New Roman"/>
                <w:b/>
                <w:bCs/>
              </w:rPr>
              <w:t>Uwaga uwzględniona</w:t>
            </w:r>
          </w:p>
          <w:p w14:paraId="19B8899A" w14:textId="3CFF7DB3" w:rsidR="00270798" w:rsidRPr="00362E66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>Projekt uzupełniono o przepis przejściowy w brzmieniu:</w:t>
            </w:r>
          </w:p>
          <w:p w14:paraId="6B287763" w14:textId="3AACAEEA" w:rsidR="005F44FE" w:rsidRPr="00362E66" w:rsidRDefault="00270798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 xml:space="preserve">„Przepisów rozporządzenia nie stosuje się do umów, o których mowa w art. 43 ust. 5 ustawy, zawartych przed dniem wejścia w życie rozporządzenia, w zakresie usług telekomunikacyjnych objętych tymi umowami, </w:t>
            </w:r>
            <w:r w:rsidR="00E313C4" w:rsidRPr="00362E66">
              <w:rPr>
                <w:rFonts w:ascii="Times New Roman" w:hAnsi="Times New Roman" w:cs="Times New Roman"/>
              </w:rPr>
              <w:t xml:space="preserve">jednak </w:t>
            </w:r>
            <w:r w:rsidRPr="00362E66">
              <w:rPr>
                <w:rFonts w:ascii="Times New Roman" w:hAnsi="Times New Roman" w:cs="Times New Roman"/>
              </w:rPr>
              <w:t xml:space="preserve">nie dłużej niż przez 36 miesięcy od dnia wejścia w życie </w:t>
            </w:r>
            <w:r w:rsidR="00E313C4" w:rsidRPr="00362E66">
              <w:rPr>
                <w:rFonts w:ascii="Times New Roman" w:hAnsi="Times New Roman" w:cs="Times New Roman"/>
              </w:rPr>
              <w:t>rozporządzenia a</w:t>
            </w:r>
            <w:r w:rsidRPr="00362E66">
              <w:rPr>
                <w:rFonts w:ascii="Times New Roman" w:hAnsi="Times New Roman" w:cs="Times New Roman"/>
              </w:rPr>
              <w:t>lb</w:t>
            </w:r>
            <w:r w:rsidR="00E313C4" w:rsidRPr="00362E66">
              <w:rPr>
                <w:rFonts w:ascii="Times New Roman" w:hAnsi="Times New Roman" w:cs="Times New Roman"/>
              </w:rPr>
              <w:t>o</w:t>
            </w:r>
            <w:r w:rsidRPr="00362E66">
              <w:rPr>
                <w:rFonts w:ascii="Times New Roman" w:hAnsi="Times New Roman" w:cs="Times New Roman"/>
              </w:rPr>
              <w:t xml:space="preserve"> do czasu</w:t>
            </w:r>
            <w:r w:rsidR="00593874" w:rsidRPr="00362E66">
              <w:rPr>
                <w:rFonts w:ascii="Times New Roman" w:hAnsi="Times New Roman" w:cs="Times New Roman"/>
              </w:rPr>
              <w:t xml:space="preserve"> </w:t>
            </w:r>
            <w:r w:rsidRPr="00362E66">
              <w:rPr>
                <w:rFonts w:ascii="Times New Roman" w:hAnsi="Times New Roman" w:cs="Times New Roman"/>
              </w:rPr>
              <w:t>akredytacji bezpieczeństwa teleinformatycznego zmienianego interfejsu LI HI.”</w:t>
            </w:r>
          </w:p>
          <w:p w14:paraId="3671E3C9" w14:textId="52AE422A" w:rsidR="00362E66" w:rsidRPr="00593874" w:rsidRDefault="00362E66" w:rsidP="0059387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62E66">
              <w:rPr>
                <w:rFonts w:ascii="Times New Roman" w:hAnsi="Times New Roman" w:cs="Times New Roman"/>
              </w:rPr>
              <w:t>Projektowane rozporządzenie wejdzie w życie z dniem 1 listopada 2026 r, Jedynym przepisem, którego wejście w życie zostało określone na 12 miesięcy od dnia ogłoszenia jest przepis zawarty w pkt 5.9 załącznika do projektu rozporządzenia określający 96</w:t>
            </w:r>
            <w:r w:rsidR="00610887">
              <w:rPr>
                <w:rFonts w:ascii="Times New Roman" w:hAnsi="Times New Roman" w:cs="Times New Roman"/>
              </w:rPr>
              <w:t>-</w:t>
            </w:r>
            <w:r w:rsidRPr="00362E66">
              <w:rPr>
                <w:rFonts w:ascii="Times New Roman" w:hAnsi="Times New Roman" w:cs="Times New Roman"/>
              </w:rPr>
              <w:t>godzinny mechanizm buforowania dla interfejsu LI HI. Zwiększenie pojemności bufora wymaga bowiem dostosowania systemów teleinformatycznych przedsiębiorcy telekomunikacyjnego do nowego wymogu, a przez to odpowiednio dłuższego vacatio legis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90C04C4" w14:textId="77777777" w:rsidR="00DF4527" w:rsidRPr="00593874" w:rsidRDefault="00DF4527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p w14:paraId="64452810" w14:textId="77777777" w:rsidR="00902062" w:rsidRPr="00593874" w:rsidRDefault="00902062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sectPr w:rsidR="00902062" w:rsidRPr="00593874" w:rsidSect="00D841A6">
      <w:pgSz w:w="16838" w:h="11906" w:orient="landscape"/>
      <w:pgMar w:top="537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0A69" w14:textId="77777777" w:rsidR="00625ED8" w:rsidRDefault="00625ED8" w:rsidP="00D841A6">
      <w:r>
        <w:separator/>
      </w:r>
    </w:p>
  </w:endnote>
  <w:endnote w:type="continuationSeparator" w:id="0">
    <w:p w14:paraId="27BBF4D5" w14:textId="77777777" w:rsidR="00625ED8" w:rsidRDefault="00625ED8" w:rsidP="00D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0E93" w14:textId="77777777" w:rsidR="00625ED8" w:rsidRDefault="00625ED8" w:rsidP="00D841A6">
      <w:r>
        <w:separator/>
      </w:r>
    </w:p>
  </w:footnote>
  <w:footnote w:type="continuationSeparator" w:id="0">
    <w:p w14:paraId="156C91D3" w14:textId="77777777" w:rsidR="00625ED8" w:rsidRDefault="00625ED8" w:rsidP="00D8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F91"/>
    <w:multiLevelType w:val="hybridMultilevel"/>
    <w:tmpl w:val="46BAE420"/>
    <w:lvl w:ilvl="0" w:tplc="7DD4A4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939"/>
    <w:multiLevelType w:val="hybridMultilevel"/>
    <w:tmpl w:val="1160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74B0"/>
    <w:multiLevelType w:val="hybridMultilevel"/>
    <w:tmpl w:val="99EC5D44"/>
    <w:lvl w:ilvl="0" w:tplc="A1C4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59A7"/>
    <w:multiLevelType w:val="hybridMultilevel"/>
    <w:tmpl w:val="2830089A"/>
    <w:lvl w:ilvl="0" w:tplc="93800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5F3"/>
    <w:multiLevelType w:val="hybridMultilevel"/>
    <w:tmpl w:val="C6B6C470"/>
    <w:lvl w:ilvl="0" w:tplc="A154C5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6AB6"/>
    <w:multiLevelType w:val="hybridMultilevel"/>
    <w:tmpl w:val="E3BAF7EE"/>
    <w:lvl w:ilvl="0" w:tplc="A1C4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D4BF3"/>
    <w:multiLevelType w:val="hybridMultilevel"/>
    <w:tmpl w:val="97A4FB2E"/>
    <w:lvl w:ilvl="0" w:tplc="C13E03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BCA"/>
    <w:multiLevelType w:val="hybridMultilevel"/>
    <w:tmpl w:val="A70A9DD4"/>
    <w:lvl w:ilvl="0" w:tplc="760E7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9251D"/>
    <w:multiLevelType w:val="hybridMultilevel"/>
    <w:tmpl w:val="D2186EC6"/>
    <w:lvl w:ilvl="0" w:tplc="1F5EA7F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C2443"/>
    <w:multiLevelType w:val="hybridMultilevel"/>
    <w:tmpl w:val="212E3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59420">
    <w:abstractNumId w:val="0"/>
  </w:num>
  <w:num w:numId="2" w16cid:durableId="408967821">
    <w:abstractNumId w:val="1"/>
  </w:num>
  <w:num w:numId="3" w16cid:durableId="1473667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307136">
    <w:abstractNumId w:val="7"/>
  </w:num>
  <w:num w:numId="5" w16cid:durableId="1189682032">
    <w:abstractNumId w:val="4"/>
  </w:num>
  <w:num w:numId="6" w16cid:durableId="548611349">
    <w:abstractNumId w:val="6"/>
  </w:num>
  <w:num w:numId="7" w16cid:durableId="1488664567">
    <w:abstractNumId w:val="3"/>
  </w:num>
  <w:num w:numId="8" w16cid:durableId="1917204650">
    <w:abstractNumId w:val="2"/>
  </w:num>
  <w:num w:numId="9" w16cid:durableId="375855039">
    <w:abstractNumId w:val="5"/>
  </w:num>
  <w:num w:numId="10" w16cid:durableId="1599212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75"/>
    <w:rsid w:val="00007368"/>
    <w:rsid w:val="000134B5"/>
    <w:rsid w:val="00021A18"/>
    <w:rsid w:val="000319B2"/>
    <w:rsid w:val="00031C4E"/>
    <w:rsid w:val="00050B75"/>
    <w:rsid w:val="000613FB"/>
    <w:rsid w:val="00073A02"/>
    <w:rsid w:val="00082140"/>
    <w:rsid w:val="00087092"/>
    <w:rsid w:val="000B2C11"/>
    <w:rsid w:val="000B394D"/>
    <w:rsid w:val="000B4C6C"/>
    <w:rsid w:val="000C6825"/>
    <w:rsid w:val="000D6A42"/>
    <w:rsid w:val="000F7ED8"/>
    <w:rsid w:val="00105E79"/>
    <w:rsid w:val="00110686"/>
    <w:rsid w:val="00111205"/>
    <w:rsid w:val="00121EF9"/>
    <w:rsid w:val="0012268F"/>
    <w:rsid w:val="00130D1D"/>
    <w:rsid w:val="00137299"/>
    <w:rsid w:val="0014043A"/>
    <w:rsid w:val="00146E8F"/>
    <w:rsid w:val="00153E41"/>
    <w:rsid w:val="001959B6"/>
    <w:rsid w:val="001C5BE3"/>
    <w:rsid w:val="001D14B4"/>
    <w:rsid w:val="001F64BA"/>
    <w:rsid w:val="002134CD"/>
    <w:rsid w:val="00214AF9"/>
    <w:rsid w:val="00231655"/>
    <w:rsid w:val="002323DB"/>
    <w:rsid w:val="002417FB"/>
    <w:rsid w:val="00243AB5"/>
    <w:rsid w:val="00261428"/>
    <w:rsid w:val="00270798"/>
    <w:rsid w:val="002730BB"/>
    <w:rsid w:val="0028111E"/>
    <w:rsid w:val="00281241"/>
    <w:rsid w:val="002837E9"/>
    <w:rsid w:val="002A19AF"/>
    <w:rsid w:val="002B7F97"/>
    <w:rsid w:val="002C0E1A"/>
    <w:rsid w:val="002D523F"/>
    <w:rsid w:val="002E67DA"/>
    <w:rsid w:val="00327DBE"/>
    <w:rsid w:val="00327ED9"/>
    <w:rsid w:val="0033574B"/>
    <w:rsid w:val="003451F9"/>
    <w:rsid w:val="003559AF"/>
    <w:rsid w:val="0036298F"/>
    <w:rsid w:val="00362E66"/>
    <w:rsid w:val="003657A3"/>
    <w:rsid w:val="00371A28"/>
    <w:rsid w:val="00371C2C"/>
    <w:rsid w:val="00374B8A"/>
    <w:rsid w:val="003806A5"/>
    <w:rsid w:val="00395C2B"/>
    <w:rsid w:val="00396DAE"/>
    <w:rsid w:val="00397CC1"/>
    <w:rsid w:val="003A4AC9"/>
    <w:rsid w:val="003B2B29"/>
    <w:rsid w:val="003E0F79"/>
    <w:rsid w:val="003E5CE9"/>
    <w:rsid w:val="003F34F9"/>
    <w:rsid w:val="00401B5B"/>
    <w:rsid w:val="00417CEA"/>
    <w:rsid w:val="00422308"/>
    <w:rsid w:val="00431D75"/>
    <w:rsid w:val="00436EBB"/>
    <w:rsid w:val="004510D7"/>
    <w:rsid w:val="0046062E"/>
    <w:rsid w:val="00471299"/>
    <w:rsid w:val="0047238E"/>
    <w:rsid w:val="004A2569"/>
    <w:rsid w:val="004C0B30"/>
    <w:rsid w:val="004C1658"/>
    <w:rsid w:val="004C433F"/>
    <w:rsid w:val="004F635A"/>
    <w:rsid w:val="004F64E0"/>
    <w:rsid w:val="00512216"/>
    <w:rsid w:val="00517EBD"/>
    <w:rsid w:val="00525C4F"/>
    <w:rsid w:val="00552AE5"/>
    <w:rsid w:val="00553F42"/>
    <w:rsid w:val="00561EC9"/>
    <w:rsid w:val="00566ACF"/>
    <w:rsid w:val="0057644A"/>
    <w:rsid w:val="00583ABF"/>
    <w:rsid w:val="00593874"/>
    <w:rsid w:val="005B689C"/>
    <w:rsid w:val="005C3768"/>
    <w:rsid w:val="005D6665"/>
    <w:rsid w:val="005D6A96"/>
    <w:rsid w:val="005E064C"/>
    <w:rsid w:val="005E12CA"/>
    <w:rsid w:val="005E2AD0"/>
    <w:rsid w:val="005F44FE"/>
    <w:rsid w:val="005F7322"/>
    <w:rsid w:val="006033AD"/>
    <w:rsid w:val="0060453C"/>
    <w:rsid w:val="00610887"/>
    <w:rsid w:val="0062103A"/>
    <w:rsid w:val="00625ED8"/>
    <w:rsid w:val="00635A8B"/>
    <w:rsid w:val="0064569A"/>
    <w:rsid w:val="0065577B"/>
    <w:rsid w:val="00662CE9"/>
    <w:rsid w:val="0067258D"/>
    <w:rsid w:val="00675B4E"/>
    <w:rsid w:val="00683321"/>
    <w:rsid w:val="006A3C3F"/>
    <w:rsid w:val="006C1CFF"/>
    <w:rsid w:val="006E7782"/>
    <w:rsid w:val="006F492C"/>
    <w:rsid w:val="006F678B"/>
    <w:rsid w:val="00705C5B"/>
    <w:rsid w:val="00717D39"/>
    <w:rsid w:val="00724868"/>
    <w:rsid w:val="0074115F"/>
    <w:rsid w:val="0074319A"/>
    <w:rsid w:val="007458D3"/>
    <w:rsid w:val="00756234"/>
    <w:rsid w:val="00767CD4"/>
    <w:rsid w:val="00777F8A"/>
    <w:rsid w:val="007A2613"/>
    <w:rsid w:val="007C2209"/>
    <w:rsid w:val="007C4396"/>
    <w:rsid w:val="007C6FA0"/>
    <w:rsid w:val="007D09F3"/>
    <w:rsid w:val="007D36EB"/>
    <w:rsid w:val="007D48F8"/>
    <w:rsid w:val="007F1E4C"/>
    <w:rsid w:val="008006BB"/>
    <w:rsid w:val="008076E5"/>
    <w:rsid w:val="00807B8C"/>
    <w:rsid w:val="00813BFC"/>
    <w:rsid w:val="00822E68"/>
    <w:rsid w:val="0083206F"/>
    <w:rsid w:val="008347E5"/>
    <w:rsid w:val="008750C7"/>
    <w:rsid w:val="00881BBD"/>
    <w:rsid w:val="0088536F"/>
    <w:rsid w:val="008A2F32"/>
    <w:rsid w:val="008B5539"/>
    <w:rsid w:val="008D6C95"/>
    <w:rsid w:val="008E004B"/>
    <w:rsid w:val="008E6C0B"/>
    <w:rsid w:val="008F50B7"/>
    <w:rsid w:val="008F5B81"/>
    <w:rsid w:val="00902062"/>
    <w:rsid w:val="00904023"/>
    <w:rsid w:val="00911584"/>
    <w:rsid w:val="0091584B"/>
    <w:rsid w:val="00925840"/>
    <w:rsid w:val="00934E1D"/>
    <w:rsid w:val="00935F2A"/>
    <w:rsid w:val="0093771E"/>
    <w:rsid w:val="00943A75"/>
    <w:rsid w:val="00953374"/>
    <w:rsid w:val="00965EB5"/>
    <w:rsid w:val="009753A3"/>
    <w:rsid w:val="009847B1"/>
    <w:rsid w:val="0099273F"/>
    <w:rsid w:val="0099329B"/>
    <w:rsid w:val="009A2493"/>
    <w:rsid w:val="009A64D6"/>
    <w:rsid w:val="009A6E0D"/>
    <w:rsid w:val="009B0D83"/>
    <w:rsid w:val="009C0FF9"/>
    <w:rsid w:val="009D019C"/>
    <w:rsid w:val="009D0595"/>
    <w:rsid w:val="009D222D"/>
    <w:rsid w:val="009E066D"/>
    <w:rsid w:val="009F0C67"/>
    <w:rsid w:val="00A34FD9"/>
    <w:rsid w:val="00A37947"/>
    <w:rsid w:val="00A40E42"/>
    <w:rsid w:val="00A410EF"/>
    <w:rsid w:val="00A471FE"/>
    <w:rsid w:val="00A63ADA"/>
    <w:rsid w:val="00A65B35"/>
    <w:rsid w:val="00A675BC"/>
    <w:rsid w:val="00A71BEC"/>
    <w:rsid w:val="00A73E64"/>
    <w:rsid w:val="00A91A6F"/>
    <w:rsid w:val="00A9239A"/>
    <w:rsid w:val="00A9454E"/>
    <w:rsid w:val="00B0199B"/>
    <w:rsid w:val="00B0728D"/>
    <w:rsid w:val="00B111A8"/>
    <w:rsid w:val="00B135DF"/>
    <w:rsid w:val="00B142E2"/>
    <w:rsid w:val="00B20DFA"/>
    <w:rsid w:val="00B3054D"/>
    <w:rsid w:val="00B3352F"/>
    <w:rsid w:val="00B35078"/>
    <w:rsid w:val="00B37572"/>
    <w:rsid w:val="00B570CF"/>
    <w:rsid w:val="00B724E9"/>
    <w:rsid w:val="00B82022"/>
    <w:rsid w:val="00B86A64"/>
    <w:rsid w:val="00BB4B83"/>
    <w:rsid w:val="00BC2179"/>
    <w:rsid w:val="00BD2374"/>
    <w:rsid w:val="00BD2BBF"/>
    <w:rsid w:val="00BD5FF3"/>
    <w:rsid w:val="00BD63E2"/>
    <w:rsid w:val="00BF0B52"/>
    <w:rsid w:val="00BF1DCD"/>
    <w:rsid w:val="00C009DE"/>
    <w:rsid w:val="00C056E7"/>
    <w:rsid w:val="00C11CBF"/>
    <w:rsid w:val="00C35730"/>
    <w:rsid w:val="00C61D85"/>
    <w:rsid w:val="00C73DAC"/>
    <w:rsid w:val="00C85A1C"/>
    <w:rsid w:val="00C872AF"/>
    <w:rsid w:val="00CB071E"/>
    <w:rsid w:val="00CB72F9"/>
    <w:rsid w:val="00CE502D"/>
    <w:rsid w:val="00CE6FB2"/>
    <w:rsid w:val="00CF0A26"/>
    <w:rsid w:val="00CF7A97"/>
    <w:rsid w:val="00D0598B"/>
    <w:rsid w:val="00D17F79"/>
    <w:rsid w:val="00D203D9"/>
    <w:rsid w:val="00D31231"/>
    <w:rsid w:val="00D33B90"/>
    <w:rsid w:val="00D36E3C"/>
    <w:rsid w:val="00D7152B"/>
    <w:rsid w:val="00D841A6"/>
    <w:rsid w:val="00D93233"/>
    <w:rsid w:val="00D952A1"/>
    <w:rsid w:val="00DA6AF0"/>
    <w:rsid w:val="00DB6681"/>
    <w:rsid w:val="00DD08E0"/>
    <w:rsid w:val="00DF2ECD"/>
    <w:rsid w:val="00DF4527"/>
    <w:rsid w:val="00DF58E7"/>
    <w:rsid w:val="00E00E9C"/>
    <w:rsid w:val="00E050B2"/>
    <w:rsid w:val="00E0771C"/>
    <w:rsid w:val="00E1249A"/>
    <w:rsid w:val="00E313C4"/>
    <w:rsid w:val="00E34F3E"/>
    <w:rsid w:val="00E42D70"/>
    <w:rsid w:val="00E610D9"/>
    <w:rsid w:val="00E63DD2"/>
    <w:rsid w:val="00E65C89"/>
    <w:rsid w:val="00E97A57"/>
    <w:rsid w:val="00EC6059"/>
    <w:rsid w:val="00EE7E41"/>
    <w:rsid w:val="00EF284D"/>
    <w:rsid w:val="00EF5063"/>
    <w:rsid w:val="00EF664D"/>
    <w:rsid w:val="00F12012"/>
    <w:rsid w:val="00F26242"/>
    <w:rsid w:val="00F3088A"/>
    <w:rsid w:val="00F32D08"/>
    <w:rsid w:val="00F42A24"/>
    <w:rsid w:val="00F64147"/>
    <w:rsid w:val="00F642DF"/>
    <w:rsid w:val="00F64BA6"/>
    <w:rsid w:val="00F872E7"/>
    <w:rsid w:val="00FB22E5"/>
    <w:rsid w:val="00FB415F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39F7"/>
  <w15:chartTrackingRefBased/>
  <w15:docId w15:val="{93B21FEE-3A9F-44A9-A3D0-188F836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A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B7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F45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F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21A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02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1A1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945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9A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E0C-216C-4DB3-B615-09A73CE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3796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Muszyński Marcin</dc:creator>
  <cp:keywords/>
  <dc:description/>
  <cp:lastModifiedBy>Markowska Anna</cp:lastModifiedBy>
  <cp:revision>29</cp:revision>
  <dcterms:created xsi:type="dcterms:W3CDTF">2026-06-15T08:44:00Z</dcterms:created>
  <dcterms:modified xsi:type="dcterms:W3CDTF">2026-06-24T16:19:00Z</dcterms:modified>
</cp:coreProperties>
</file>