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60BF1" w14:textId="77DE20B9" w:rsidR="005F3901" w:rsidRDefault="00185D3C" w:rsidP="00296CC8">
      <w:pPr>
        <w:pStyle w:val="Nagwek1"/>
        <w:rPr>
          <w:rFonts w:eastAsia="Times New Roman"/>
          <w:noProof/>
          <w:lang w:eastAsia="pl-PL"/>
        </w:rPr>
      </w:pPr>
      <w:r w:rsidRPr="00185D3C">
        <w:rPr>
          <w:rFonts w:eastAsia="Times New Roman"/>
          <w:noProof/>
          <w:lang w:eastAsia="pl-PL"/>
        </w:rPr>
        <w:t>Odpowiedzi na pytania z chatu zadane podczas szkolenia 11.</w:t>
      </w:r>
      <w:r>
        <w:rPr>
          <w:rFonts w:eastAsia="Times New Roman"/>
          <w:noProof/>
          <w:lang w:eastAsia="pl-PL"/>
        </w:rPr>
        <w:t>10</w:t>
      </w:r>
      <w:r w:rsidRPr="00185D3C">
        <w:rPr>
          <w:rFonts w:eastAsia="Times New Roman"/>
          <w:noProof/>
          <w:lang w:eastAsia="pl-PL"/>
        </w:rPr>
        <w:t>.2024 r. „Programu Fundusze Europejskie na Infrastrukturę, Klimat, Środowisko 2021-2027 (FEnIKS) Część 3) Poprawa efektywności energetycznej w budynkach mieszkalnych (wraz z instalacją OZE) – budynki wielorodzinne”.</w:t>
      </w:r>
    </w:p>
    <w:p w14:paraId="4EB94F19" w14:textId="77777777" w:rsidR="007F4266" w:rsidRDefault="007F4266" w:rsidP="007F4266">
      <w:pPr>
        <w:rPr>
          <w:lang w:eastAsia="pl-PL"/>
        </w:rPr>
      </w:pPr>
    </w:p>
    <w:p w14:paraId="4C32D8D3" w14:textId="2DCFA9F1" w:rsidR="00185D3C" w:rsidRDefault="00DD3D54" w:rsidP="00185D3C">
      <w:pPr>
        <w:spacing w:after="0" w:line="240" w:lineRule="auto"/>
        <w:rPr>
          <w:lang w:eastAsia="pl-PL"/>
        </w:rPr>
      </w:pPr>
      <w:r w:rsidRPr="00DD3D54">
        <w:rPr>
          <w:lang w:eastAsia="pl-PL"/>
        </w:rPr>
        <w:t>Proszę zwrócić szczególna uwagę na pytanie 24, ponieważ ze względu na warunki pomocy publicznej zmieniła się interpretacja odpowiedzi na przedmiotowe pytanie.</w:t>
      </w:r>
    </w:p>
    <w:p w14:paraId="1FADD683" w14:textId="77777777" w:rsidR="00DD3D54" w:rsidRPr="00BE0D16" w:rsidRDefault="00DD3D54" w:rsidP="00185D3C">
      <w:pPr>
        <w:spacing w:after="0" w:line="240" w:lineRule="auto"/>
        <w:rPr>
          <w:rFonts w:eastAsia="Times New Roman" w:cstheme="minorHAnsi"/>
          <w:sz w:val="24"/>
          <w:szCs w:val="24"/>
          <w:lang w:eastAsia="pl-PL"/>
        </w:rPr>
      </w:pPr>
    </w:p>
    <w:p w14:paraId="5994EB99" w14:textId="77777777" w:rsidR="00BE0D16" w:rsidRPr="00464805" w:rsidRDefault="005F3901" w:rsidP="002D627A">
      <w:pPr>
        <w:pStyle w:val="Akapitzlist"/>
        <w:numPr>
          <w:ilvl w:val="0"/>
          <w:numId w:val="2"/>
        </w:numPr>
        <w:spacing w:after="0" w:line="240" w:lineRule="auto"/>
        <w:ind w:left="284" w:hanging="284"/>
        <w:rPr>
          <w:rFonts w:ascii="Open Sans" w:eastAsia="Times New Roman" w:hAnsi="Open Sans" w:cs="Open Sans"/>
          <w:b/>
          <w:bCs/>
          <w:lang w:eastAsia="pl-PL"/>
        </w:rPr>
      </w:pPr>
      <w:r w:rsidRPr="00464805">
        <w:rPr>
          <w:rFonts w:ascii="Open Sans" w:eastAsia="Times New Roman" w:hAnsi="Open Sans" w:cs="Open Sans"/>
          <w:b/>
          <w:bCs/>
          <w:lang w:eastAsia="pl-PL"/>
        </w:rPr>
        <w:t>C</w:t>
      </w:r>
      <w:r w:rsidR="00BE0D16" w:rsidRPr="00464805">
        <w:rPr>
          <w:rFonts w:ascii="Open Sans" w:eastAsia="Times New Roman" w:hAnsi="Open Sans" w:cs="Open Sans"/>
          <w:b/>
          <w:bCs/>
          <w:lang w:eastAsia="pl-PL"/>
        </w:rPr>
        <w:t>zy prezentacja będzie dostępna do pobrania?</w:t>
      </w:r>
    </w:p>
    <w:p w14:paraId="06B6C328" w14:textId="42010131" w:rsidR="00185D3C" w:rsidRPr="00185D3C" w:rsidRDefault="00185D3C" w:rsidP="00185D3C">
      <w:pPr>
        <w:spacing w:after="360" w:line="240" w:lineRule="auto"/>
        <w:rPr>
          <w:rFonts w:ascii="Open Sans" w:eastAsia="Times New Roman" w:hAnsi="Open Sans" w:cs="Open Sans"/>
          <w:lang w:eastAsia="pl-PL"/>
        </w:rPr>
      </w:pPr>
      <w:r>
        <w:rPr>
          <w:rFonts w:ascii="Open Sans" w:eastAsia="Times New Roman" w:hAnsi="Open Sans" w:cs="Open Sans"/>
          <w:lang w:eastAsia="pl-PL"/>
        </w:rPr>
        <w:t>Tak, prezentacje są dostępne</w:t>
      </w:r>
      <w:r w:rsidR="00B86F4C" w:rsidRPr="00185D3C">
        <w:rPr>
          <w:rFonts w:ascii="Open Sans" w:eastAsia="Times New Roman" w:hAnsi="Open Sans" w:cs="Open Sans"/>
          <w:lang w:eastAsia="pl-PL"/>
        </w:rPr>
        <w:t>.</w:t>
      </w:r>
    </w:p>
    <w:p w14:paraId="411F3EA0" w14:textId="3C254F35" w:rsidR="00BE0D16" w:rsidRPr="00464805" w:rsidRDefault="00BE0D16" w:rsidP="00185D3C">
      <w:pPr>
        <w:pStyle w:val="Akapitzlist"/>
        <w:numPr>
          <w:ilvl w:val="0"/>
          <w:numId w:val="2"/>
        </w:numPr>
        <w:spacing w:after="0" w:line="240" w:lineRule="auto"/>
        <w:ind w:left="284" w:hanging="284"/>
        <w:rPr>
          <w:rFonts w:ascii="Open Sans" w:eastAsia="Times New Roman" w:hAnsi="Open Sans" w:cs="Open Sans"/>
          <w:b/>
          <w:bCs/>
          <w:lang w:eastAsia="pl-PL"/>
        </w:rPr>
      </w:pPr>
      <w:bookmarkStart w:id="0" w:name="_Hlk179879773"/>
      <w:r w:rsidRPr="00464805">
        <w:rPr>
          <w:rFonts w:ascii="Open Sans" w:eastAsia="Times New Roman" w:hAnsi="Open Sans" w:cs="Open Sans"/>
          <w:b/>
          <w:bCs/>
          <w:lang w:eastAsia="pl-PL"/>
        </w:rPr>
        <w:t>Czy zabezpieczenie pożyczki z NFOŚiGW może być na funduszu remontowym?</w:t>
      </w:r>
      <w:r w:rsidR="00B86F4C" w:rsidRPr="00464805">
        <w:rPr>
          <w:rFonts w:ascii="Open Sans" w:eastAsia="Times New Roman" w:hAnsi="Open Sans" w:cs="Open Sans"/>
          <w:b/>
          <w:bCs/>
          <w:lang w:eastAsia="pl-PL"/>
        </w:rPr>
        <w:t xml:space="preserve"> </w:t>
      </w:r>
      <w:bookmarkEnd w:id="0"/>
    </w:p>
    <w:p w14:paraId="39AC7AF1" w14:textId="1EACD613" w:rsidR="00BD3965" w:rsidRPr="00185D3C" w:rsidRDefault="00BD3965" w:rsidP="00185D3C">
      <w:pPr>
        <w:spacing w:after="360" w:line="240" w:lineRule="auto"/>
        <w:rPr>
          <w:rFonts w:ascii="Open Sans" w:hAnsi="Open Sans" w:cs="Open Sans"/>
        </w:rPr>
      </w:pPr>
      <w:r w:rsidRPr="00185D3C">
        <w:rPr>
          <w:rFonts w:ascii="Open Sans" w:hAnsi="Open Sans" w:cs="Open Sans"/>
        </w:rPr>
        <w:t>Co do zasady fundusz remontowy nie może być zabezpieczeniem spłaty pożyczki, gdyż to z niego będzie spłacana pożyczka. Można sobie jednak wyobrazić sytuacje, gdy fundusz remontowy może być zabezpieczeniem a to w przypadku, gdy na rachunku będą zgromadzone znaczące kwoty, które można by zablokować na rachunku jako zabezpieczenie spłaty pożyczki.</w:t>
      </w:r>
    </w:p>
    <w:p w14:paraId="66B24522" w14:textId="77777777" w:rsidR="003E0121" w:rsidRPr="00464805" w:rsidRDefault="003E0121" w:rsidP="002D627A">
      <w:pPr>
        <w:pStyle w:val="Akapitzlist"/>
        <w:numPr>
          <w:ilvl w:val="0"/>
          <w:numId w:val="2"/>
        </w:numPr>
        <w:spacing w:after="0" w:line="240" w:lineRule="auto"/>
        <w:ind w:left="284" w:hanging="284"/>
        <w:rPr>
          <w:rFonts w:ascii="Open Sans" w:eastAsia="Times New Roman" w:hAnsi="Open Sans" w:cs="Open Sans"/>
          <w:b/>
          <w:bCs/>
          <w:lang w:eastAsia="pl-PL"/>
        </w:rPr>
      </w:pPr>
      <w:bookmarkStart w:id="1" w:name="_Hlk179891081"/>
      <w:r w:rsidRPr="00464805">
        <w:rPr>
          <w:rFonts w:ascii="Open Sans" w:eastAsia="Times New Roman" w:hAnsi="Open Sans" w:cs="Open Sans"/>
          <w:b/>
          <w:bCs/>
          <w:lang w:eastAsia="pl-PL"/>
        </w:rPr>
        <w:t>C</w:t>
      </w:r>
      <w:r w:rsidR="00BE0D16" w:rsidRPr="00464805">
        <w:rPr>
          <w:rFonts w:ascii="Open Sans" w:eastAsia="Times New Roman" w:hAnsi="Open Sans" w:cs="Open Sans"/>
          <w:b/>
          <w:bCs/>
          <w:lang w:eastAsia="pl-PL"/>
        </w:rPr>
        <w:t>zy jest zróżnicowanie otrzymania premii inwestycyjnej w ramach określonego przedziału tzn. w przedziale 30&lt;X&lt;45% premia wynosi do 29% - czy projekt z oszczędnością energii na poziomie max 45% uzyska</w:t>
      </w:r>
      <w:r w:rsidRPr="00464805">
        <w:rPr>
          <w:rFonts w:ascii="Open Sans" w:eastAsia="Times New Roman" w:hAnsi="Open Sans" w:cs="Open Sans"/>
          <w:b/>
          <w:bCs/>
          <w:lang w:eastAsia="pl-PL"/>
        </w:rPr>
        <w:t xml:space="preserve"> taką samą premię jak projekt z oszczędnością 30%?</w:t>
      </w:r>
    </w:p>
    <w:p w14:paraId="0BF9CF43" w14:textId="551E48EF" w:rsidR="00B86F4C" w:rsidRPr="00185D3C" w:rsidRDefault="00C97822" w:rsidP="00185D3C">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Premia inwestycyjna przyznawana jest zgodnie z tabelą przedstawioną w programie priorytetowym w puncie 7.3, zgodnie z potwierdzonym uzyskaniem redukcji energii pierwotnej w określonym przedziale redukcji EP. Jeśli przedsięwzięcie uzyskuje efekt w postaci redukcji EP w przedziale: 30,00%≤X&lt;45,00%, to przedsięwzięcie uzyskuje premię inwestycyjną w wysokości 29%.</w:t>
      </w:r>
    </w:p>
    <w:bookmarkEnd w:id="1"/>
    <w:p w14:paraId="60130E5A" w14:textId="77777777" w:rsidR="00BE0D16" w:rsidRPr="00132135" w:rsidRDefault="003E0121" w:rsidP="002D627A">
      <w:pPr>
        <w:pStyle w:val="Akapitzlist"/>
        <w:numPr>
          <w:ilvl w:val="0"/>
          <w:numId w:val="2"/>
        </w:numPr>
        <w:spacing w:after="0" w:line="240" w:lineRule="auto"/>
        <w:ind w:left="284" w:hanging="284"/>
        <w:rPr>
          <w:rFonts w:ascii="Open Sans" w:eastAsia="Times New Roman" w:hAnsi="Open Sans" w:cs="Open Sans"/>
          <w:b/>
          <w:bCs/>
          <w:lang w:eastAsia="pl-PL"/>
        </w:rPr>
      </w:pPr>
      <w:r w:rsidRPr="00132135">
        <w:rPr>
          <w:rFonts w:ascii="Open Sans" w:eastAsia="Times New Roman" w:hAnsi="Open Sans" w:cs="Open Sans"/>
          <w:b/>
          <w:bCs/>
          <w:lang w:eastAsia="pl-PL"/>
        </w:rPr>
        <w:t>Czy</w:t>
      </w:r>
      <w:r w:rsidR="00BE0D16" w:rsidRPr="00132135">
        <w:rPr>
          <w:rFonts w:ascii="Open Sans" w:eastAsia="Times New Roman" w:hAnsi="Open Sans" w:cs="Open Sans"/>
          <w:b/>
          <w:bCs/>
          <w:lang w:eastAsia="pl-PL"/>
        </w:rPr>
        <w:t xml:space="preserve"> koszty audytu i </w:t>
      </w:r>
      <w:r w:rsidRPr="00132135">
        <w:rPr>
          <w:rFonts w:ascii="Open Sans" w:eastAsia="Times New Roman" w:hAnsi="Open Sans" w:cs="Open Sans"/>
          <w:b/>
          <w:bCs/>
          <w:lang w:eastAsia="pl-PL"/>
        </w:rPr>
        <w:t>np.</w:t>
      </w:r>
      <w:r w:rsidR="00BE0D16" w:rsidRPr="00132135">
        <w:rPr>
          <w:rFonts w:ascii="Open Sans" w:eastAsia="Times New Roman" w:hAnsi="Open Sans" w:cs="Open Sans"/>
          <w:b/>
          <w:bCs/>
          <w:lang w:eastAsia="pl-PL"/>
        </w:rPr>
        <w:t xml:space="preserve"> studium wykonalności inwestycji nie będą kwalifikowane?</w:t>
      </w:r>
    </w:p>
    <w:p w14:paraId="3F978B9F" w14:textId="1A7B521F" w:rsidR="00B86F4C" w:rsidRPr="00185D3C" w:rsidRDefault="00B86F4C" w:rsidP="00464805">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Koszty poniesione przez Wnioskodawcę przed złożeniem wniosku o dofinansowanie stanowią koszt niekwalifikowany projektu.</w:t>
      </w:r>
    </w:p>
    <w:p w14:paraId="561A8D34" w14:textId="77777777" w:rsidR="00BE0D16" w:rsidRPr="00132135" w:rsidRDefault="00BE0D16" w:rsidP="002D627A">
      <w:pPr>
        <w:pStyle w:val="Akapitzlist"/>
        <w:numPr>
          <w:ilvl w:val="0"/>
          <w:numId w:val="2"/>
        </w:numPr>
        <w:spacing w:after="0" w:line="240" w:lineRule="auto"/>
        <w:ind w:left="284" w:hanging="284"/>
        <w:rPr>
          <w:rFonts w:ascii="Open Sans" w:eastAsia="Times New Roman" w:hAnsi="Open Sans" w:cs="Open Sans"/>
          <w:b/>
          <w:bCs/>
          <w:lang w:eastAsia="pl-PL"/>
        </w:rPr>
      </w:pPr>
      <w:r w:rsidRPr="00132135">
        <w:rPr>
          <w:rFonts w:ascii="Open Sans" w:eastAsia="Times New Roman" w:hAnsi="Open Sans" w:cs="Open Sans"/>
          <w:b/>
          <w:bCs/>
          <w:lang w:eastAsia="pl-PL"/>
        </w:rPr>
        <w:t xml:space="preserve">Czy kwalifikowalne </w:t>
      </w:r>
      <w:r w:rsidR="003E0121" w:rsidRPr="00132135">
        <w:rPr>
          <w:rFonts w:ascii="Open Sans" w:eastAsia="Times New Roman" w:hAnsi="Open Sans" w:cs="Open Sans"/>
          <w:b/>
          <w:bCs/>
          <w:lang w:eastAsia="pl-PL"/>
        </w:rPr>
        <w:t>są</w:t>
      </w:r>
      <w:r w:rsidRPr="00132135">
        <w:rPr>
          <w:rFonts w:ascii="Open Sans" w:eastAsia="Times New Roman" w:hAnsi="Open Sans" w:cs="Open Sans"/>
          <w:b/>
          <w:bCs/>
          <w:lang w:eastAsia="pl-PL"/>
        </w:rPr>
        <w:t xml:space="preserve"> koszty poniesione na dokumentację techniczn</w:t>
      </w:r>
      <w:r w:rsidR="003E0121" w:rsidRPr="00132135">
        <w:rPr>
          <w:rFonts w:ascii="Open Sans" w:eastAsia="Times New Roman" w:hAnsi="Open Sans" w:cs="Open Sans"/>
          <w:b/>
          <w:bCs/>
          <w:lang w:eastAsia="pl-PL"/>
        </w:rPr>
        <w:t>ą</w:t>
      </w:r>
      <w:r w:rsidRPr="00132135">
        <w:rPr>
          <w:rFonts w:ascii="Open Sans" w:eastAsia="Times New Roman" w:hAnsi="Open Sans" w:cs="Open Sans"/>
          <w:b/>
          <w:bCs/>
          <w:lang w:eastAsia="pl-PL"/>
        </w:rPr>
        <w:t xml:space="preserve"> (projekt budowlany) na audyt energetyczny oraz stud</w:t>
      </w:r>
      <w:r w:rsidR="003E0121" w:rsidRPr="00132135">
        <w:rPr>
          <w:rFonts w:ascii="Open Sans" w:eastAsia="Times New Roman" w:hAnsi="Open Sans" w:cs="Open Sans"/>
          <w:b/>
          <w:bCs/>
          <w:lang w:eastAsia="pl-PL"/>
        </w:rPr>
        <w:t>i</w:t>
      </w:r>
      <w:r w:rsidRPr="00132135">
        <w:rPr>
          <w:rFonts w:ascii="Open Sans" w:eastAsia="Times New Roman" w:hAnsi="Open Sans" w:cs="Open Sans"/>
          <w:b/>
          <w:bCs/>
          <w:lang w:eastAsia="pl-PL"/>
        </w:rPr>
        <w:t>um wykonalności, które poniesione zostan</w:t>
      </w:r>
      <w:r w:rsidR="003E0121" w:rsidRPr="00132135">
        <w:rPr>
          <w:rFonts w:ascii="Open Sans" w:eastAsia="Times New Roman" w:hAnsi="Open Sans" w:cs="Open Sans"/>
          <w:b/>
          <w:bCs/>
          <w:lang w:eastAsia="pl-PL"/>
        </w:rPr>
        <w:t>ą</w:t>
      </w:r>
      <w:r w:rsidRPr="00132135">
        <w:rPr>
          <w:rFonts w:ascii="Open Sans" w:eastAsia="Times New Roman" w:hAnsi="Open Sans" w:cs="Open Sans"/>
          <w:b/>
          <w:bCs/>
          <w:lang w:eastAsia="pl-PL"/>
        </w:rPr>
        <w:t xml:space="preserve"> przed złożeniem wniosku?</w:t>
      </w:r>
    </w:p>
    <w:p w14:paraId="5ABC34EC" w14:textId="15C0F990" w:rsidR="00B86F4C" w:rsidRPr="00185D3C" w:rsidRDefault="00B86F4C" w:rsidP="00464805">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Koszty poniesione przez Wnioskodawcę przed złożeniem wniosku o dofinansowanie stanowią koszt niekwalifikowany projektu.</w:t>
      </w:r>
    </w:p>
    <w:p w14:paraId="53A7DD0E" w14:textId="48448E6F" w:rsidR="00BE0D16" w:rsidRPr="00132135" w:rsidRDefault="003E0121" w:rsidP="002D627A">
      <w:pPr>
        <w:pStyle w:val="Akapitzlist"/>
        <w:numPr>
          <w:ilvl w:val="0"/>
          <w:numId w:val="2"/>
        </w:numPr>
        <w:spacing w:after="0" w:line="240" w:lineRule="auto"/>
        <w:ind w:left="284" w:hanging="284"/>
        <w:rPr>
          <w:rFonts w:ascii="Open Sans" w:eastAsia="Times New Roman" w:hAnsi="Open Sans" w:cs="Open Sans"/>
          <w:b/>
          <w:bCs/>
          <w:lang w:eastAsia="pl-PL"/>
        </w:rPr>
      </w:pPr>
      <w:bookmarkStart w:id="2" w:name="_Hlk179879791"/>
      <w:bookmarkStart w:id="3" w:name="_Hlk179890635"/>
      <w:r w:rsidRPr="00132135">
        <w:rPr>
          <w:rFonts w:ascii="Open Sans" w:eastAsia="Times New Roman" w:hAnsi="Open Sans" w:cs="Open Sans"/>
          <w:b/>
          <w:bCs/>
          <w:lang w:eastAsia="pl-PL"/>
        </w:rPr>
        <w:lastRenderedPageBreak/>
        <w:t>Czy</w:t>
      </w:r>
      <w:r w:rsidR="00BE0D16" w:rsidRPr="00132135">
        <w:rPr>
          <w:rFonts w:ascii="Open Sans" w:eastAsia="Times New Roman" w:hAnsi="Open Sans" w:cs="Open Sans"/>
          <w:b/>
          <w:bCs/>
          <w:lang w:eastAsia="pl-PL"/>
        </w:rPr>
        <w:t xml:space="preserve"> przy składaniu wniosku trzeba mieć udokumentowane zabezpieczenie środków na koszty niekwalifikowalne, np. o przedstawienie środków na koncie bankowym (zgormadzony f. rem.) albo promesę kredytową?</w:t>
      </w:r>
      <w:r w:rsidR="00B86F4C" w:rsidRPr="00132135">
        <w:rPr>
          <w:rFonts w:ascii="Open Sans" w:eastAsia="Times New Roman" w:hAnsi="Open Sans" w:cs="Open Sans"/>
          <w:b/>
          <w:bCs/>
          <w:lang w:eastAsia="pl-PL"/>
        </w:rPr>
        <w:t xml:space="preserve"> </w:t>
      </w:r>
      <w:bookmarkEnd w:id="2"/>
    </w:p>
    <w:p w14:paraId="23226693" w14:textId="06466A8F" w:rsidR="00F24731" w:rsidRPr="00185D3C" w:rsidRDefault="00F24731" w:rsidP="001D1417">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Tak, jeśli występują koszty niekwalifikowane to trzeba udokumentować zapewnienie środków na ich sfinansowanie</w:t>
      </w:r>
    </w:p>
    <w:bookmarkEnd w:id="3"/>
    <w:p w14:paraId="69D841C4" w14:textId="77777777" w:rsidR="00BE0D16" w:rsidRPr="001D1417" w:rsidRDefault="003E0121" w:rsidP="002D627A">
      <w:pPr>
        <w:pStyle w:val="Akapitzlist"/>
        <w:numPr>
          <w:ilvl w:val="0"/>
          <w:numId w:val="2"/>
        </w:numPr>
        <w:spacing w:after="0" w:line="240" w:lineRule="auto"/>
        <w:ind w:left="284" w:hanging="284"/>
        <w:rPr>
          <w:rFonts w:ascii="Open Sans" w:eastAsia="Times New Roman" w:hAnsi="Open Sans" w:cs="Open Sans"/>
          <w:b/>
          <w:bCs/>
          <w:lang w:eastAsia="pl-PL"/>
        </w:rPr>
      </w:pPr>
      <w:r w:rsidRPr="001D1417">
        <w:rPr>
          <w:rFonts w:ascii="Open Sans" w:eastAsia="Times New Roman" w:hAnsi="Open Sans" w:cs="Open Sans"/>
          <w:b/>
          <w:bCs/>
          <w:lang w:eastAsia="pl-PL"/>
        </w:rPr>
        <w:t>C</w:t>
      </w:r>
      <w:r w:rsidR="00BE0D16" w:rsidRPr="001D1417">
        <w:rPr>
          <w:rFonts w:ascii="Open Sans" w:eastAsia="Times New Roman" w:hAnsi="Open Sans" w:cs="Open Sans"/>
          <w:b/>
          <w:bCs/>
          <w:lang w:eastAsia="pl-PL"/>
        </w:rPr>
        <w:t>zy jest zróżnicowanie otrzymania premii inwest</w:t>
      </w:r>
      <w:r w:rsidRPr="001D1417">
        <w:rPr>
          <w:rFonts w:ascii="Open Sans" w:eastAsia="Times New Roman" w:hAnsi="Open Sans" w:cs="Open Sans"/>
          <w:b/>
          <w:bCs/>
          <w:lang w:eastAsia="pl-PL"/>
        </w:rPr>
        <w:t>ycyjnej</w:t>
      </w:r>
      <w:r w:rsidR="00BE0D16" w:rsidRPr="001D1417">
        <w:rPr>
          <w:rFonts w:ascii="Open Sans" w:eastAsia="Times New Roman" w:hAnsi="Open Sans" w:cs="Open Sans"/>
          <w:b/>
          <w:bCs/>
          <w:lang w:eastAsia="pl-PL"/>
        </w:rPr>
        <w:t xml:space="preserve"> w ramach </w:t>
      </w:r>
      <w:proofErr w:type="spellStart"/>
      <w:r w:rsidR="00BE0D16" w:rsidRPr="001D1417">
        <w:rPr>
          <w:rFonts w:ascii="Open Sans" w:eastAsia="Times New Roman" w:hAnsi="Open Sans" w:cs="Open Sans"/>
          <w:b/>
          <w:bCs/>
          <w:lang w:eastAsia="pl-PL"/>
        </w:rPr>
        <w:t>przedz</w:t>
      </w:r>
      <w:proofErr w:type="spellEnd"/>
      <w:r w:rsidR="00BE0D16" w:rsidRPr="001D1417">
        <w:rPr>
          <w:rFonts w:ascii="Open Sans" w:eastAsia="Times New Roman" w:hAnsi="Open Sans" w:cs="Open Sans"/>
          <w:b/>
          <w:bCs/>
          <w:lang w:eastAsia="pl-PL"/>
        </w:rPr>
        <w:t>. 30&lt;X&lt;45% premia wynosi do 29% - czy projekt z oszczędnością energii na poziomie 45% uzyska taką samą premię jak z oszczędnością 30%?</w:t>
      </w:r>
    </w:p>
    <w:p w14:paraId="30266D8D" w14:textId="2732051B" w:rsidR="00B86F4C" w:rsidRPr="00185D3C" w:rsidRDefault="00C97822" w:rsidP="001D1417">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Tak dokładnie, wyjaśniono to również w pytaniu 3.</w:t>
      </w:r>
    </w:p>
    <w:p w14:paraId="6990BF2A" w14:textId="77777777" w:rsidR="001D1417" w:rsidRDefault="00BE0D16" w:rsidP="00964071">
      <w:pPr>
        <w:pStyle w:val="Akapitzlist"/>
        <w:numPr>
          <w:ilvl w:val="0"/>
          <w:numId w:val="2"/>
        </w:numPr>
        <w:spacing w:after="0" w:line="240" w:lineRule="auto"/>
        <w:ind w:left="284" w:hanging="284"/>
        <w:rPr>
          <w:rFonts w:ascii="Open Sans" w:eastAsia="Times New Roman" w:hAnsi="Open Sans" w:cs="Open Sans"/>
          <w:b/>
          <w:bCs/>
          <w:lang w:eastAsia="pl-PL"/>
        </w:rPr>
      </w:pPr>
      <w:r w:rsidRPr="001D1417">
        <w:rPr>
          <w:rFonts w:ascii="Open Sans" w:eastAsia="Times New Roman" w:hAnsi="Open Sans" w:cs="Open Sans"/>
          <w:b/>
          <w:bCs/>
          <w:lang w:eastAsia="pl-PL"/>
        </w:rPr>
        <w:t>Podpisujemy dokumenty podpisem kwalifikowanym</w:t>
      </w:r>
      <w:r w:rsidR="003E0121" w:rsidRPr="001D1417">
        <w:rPr>
          <w:rFonts w:ascii="Open Sans" w:eastAsia="Times New Roman" w:hAnsi="Open Sans" w:cs="Open Sans"/>
          <w:b/>
          <w:bCs/>
          <w:lang w:eastAsia="pl-PL"/>
        </w:rPr>
        <w:t>,</w:t>
      </w:r>
      <w:r w:rsidRPr="001D1417">
        <w:rPr>
          <w:rFonts w:ascii="Open Sans" w:eastAsia="Times New Roman" w:hAnsi="Open Sans" w:cs="Open Sans"/>
          <w:b/>
          <w:bCs/>
          <w:lang w:eastAsia="pl-PL"/>
        </w:rPr>
        <w:t xml:space="preserve"> a czy można profilem zaufanym?</w:t>
      </w:r>
      <w:r w:rsidR="001D1417">
        <w:rPr>
          <w:rFonts w:ascii="Open Sans" w:eastAsia="Times New Roman" w:hAnsi="Open Sans" w:cs="Open Sans"/>
          <w:b/>
          <w:bCs/>
          <w:lang w:eastAsia="pl-PL"/>
        </w:rPr>
        <w:t xml:space="preserve"> </w:t>
      </w:r>
    </w:p>
    <w:p w14:paraId="76F913E5" w14:textId="69C5EFE3" w:rsidR="00B86F4C" w:rsidRPr="001D1417" w:rsidRDefault="00B86F4C" w:rsidP="001D1417">
      <w:pPr>
        <w:spacing w:after="360" w:line="240" w:lineRule="auto"/>
        <w:rPr>
          <w:rFonts w:ascii="Open Sans" w:eastAsia="Times New Roman" w:hAnsi="Open Sans" w:cs="Open Sans"/>
          <w:lang w:eastAsia="pl-PL"/>
        </w:rPr>
      </w:pPr>
      <w:r w:rsidRPr="001D1417">
        <w:rPr>
          <w:rFonts w:ascii="Open Sans" w:eastAsia="Times New Roman" w:hAnsi="Open Sans" w:cs="Open Sans"/>
          <w:lang w:eastAsia="pl-PL"/>
        </w:rPr>
        <w:t>Zgodnie z zapisami regulaminu wniosek składa się wyłącznie w wersji elektronicznej przez GWD, przy użyciu kwalifikowanego podpisu elektronicznego, który wywołuje skutki prawne równoważne podpisowi własnoręcznemu (forma elektroniczna).</w:t>
      </w:r>
    </w:p>
    <w:p w14:paraId="0520D66E" w14:textId="12A1F1E4" w:rsidR="00BE0D16" w:rsidRPr="001D1417" w:rsidRDefault="001D1417" w:rsidP="001D1417">
      <w:pPr>
        <w:spacing w:after="0" w:line="240" w:lineRule="auto"/>
        <w:rPr>
          <w:rFonts w:ascii="Open Sans" w:eastAsia="Times New Roman" w:hAnsi="Open Sans" w:cs="Open Sans"/>
          <w:b/>
          <w:bCs/>
          <w:lang w:eastAsia="pl-PL"/>
        </w:rPr>
      </w:pPr>
      <w:r>
        <w:rPr>
          <w:rFonts w:ascii="Open Sans" w:eastAsia="Times New Roman" w:hAnsi="Open Sans" w:cs="Open Sans"/>
          <w:b/>
          <w:bCs/>
          <w:lang w:eastAsia="pl-PL"/>
        </w:rPr>
        <w:t xml:space="preserve">9. </w:t>
      </w:r>
      <w:r w:rsidR="003E0121" w:rsidRPr="001D1417">
        <w:rPr>
          <w:rFonts w:ascii="Open Sans" w:eastAsia="Times New Roman" w:hAnsi="Open Sans" w:cs="Open Sans"/>
          <w:b/>
          <w:bCs/>
          <w:lang w:eastAsia="pl-PL"/>
        </w:rPr>
        <w:t>C</w:t>
      </w:r>
      <w:r w:rsidR="00BE0D16" w:rsidRPr="001D1417">
        <w:rPr>
          <w:rFonts w:ascii="Open Sans" w:eastAsia="Times New Roman" w:hAnsi="Open Sans" w:cs="Open Sans"/>
          <w:b/>
          <w:bCs/>
          <w:lang w:eastAsia="pl-PL"/>
        </w:rPr>
        <w:t>zy wysokość premii jest proporcjonalnie zmniejszana w zależności od uzyskanej oszczędności?</w:t>
      </w:r>
    </w:p>
    <w:p w14:paraId="54991518" w14:textId="77777777" w:rsidR="001D1417" w:rsidRDefault="00C97822" w:rsidP="001D1417">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Premia inwestycyjna przyznawana jest zgodnie z tabelą przedstawioną w programie priorytetowym w puncie 7.3, zgodnie z potwierdzonym uzyskaniem redukcji energii pierwotnej w określonym przedziale redukcji EP.</w:t>
      </w:r>
    </w:p>
    <w:p w14:paraId="57CEFF0B" w14:textId="72843A95" w:rsidR="00BE0D16" w:rsidRPr="001D1417" w:rsidRDefault="001D1417" w:rsidP="001D1417">
      <w:pPr>
        <w:spacing w:after="0" w:line="240" w:lineRule="auto"/>
        <w:rPr>
          <w:rFonts w:ascii="Open Sans" w:eastAsia="Times New Roman" w:hAnsi="Open Sans" w:cs="Open Sans"/>
          <w:lang w:eastAsia="pl-PL"/>
        </w:rPr>
      </w:pPr>
      <w:r w:rsidRPr="001D1417">
        <w:rPr>
          <w:rFonts w:ascii="Open Sans" w:eastAsia="Times New Roman" w:hAnsi="Open Sans" w:cs="Open Sans"/>
          <w:b/>
          <w:bCs/>
          <w:lang w:eastAsia="pl-PL"/>
        </w:rPr>
        <w:t>10.</w:t>
      </w:r>
      <w:r>
        <w:rPr>
          <w:rFonts w:ascii="Open Sans" w:eastAsia="Times New Roman" w:hAnsi="Open Sans" w:cs="Open Sans"/>
          <w:lang w:eastAsia="pl-PL"/>
        </w:rPr>
        <w:t xml:space="preserve"> </w:t>
      </w:r>
      <w:r w:rsidR="00BE0D16" w:rsidRPr="001D1417">
        <w:rPr>
          <w:rFonts w:ascii="Open Sans" w:eastAsia="Times New Roman" w:hAnsi="Open Sans" w:cs="Open Sans"/>
          <w:b/>
          <w:bCs/>
          <w:lang w:eastAsia="pl-PL"/>
        </w:rPr>
        <w:t>W przypadku spółdzielni mieszkaniowych - na każdym dokumencie, w tym na wniosku wymagane są 2 podpisy (prawo spółdzielcze)?</w:t>
      </w:r>
    </w:p>
    <w:p w14:paraId="04205384" w14:textId="3FED1E64" w:rsidR="00B86F4C" w:rsidRPr="00185D3C" w:rsidRDefault="00763920" w:rsidP="001D1417">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Zależne jest to od formy prawnej wnioskodawcy i dokumentów to regulujących.</w:t>
      </w:r>
    </w:p>
    <w:p w14:paraId="3B1B34F8" w14:textId="7B6C64C2" w:rsidR="00BE0D16" w:rsidRPr="00D15D6C" w:rsidRDefault="00D15D6C" w:rsidP="00D15D6C">
      <w:pPr>
        <w:spacing w:after="0" w:line="240" w:lineRule="auto"/>
        <w:rPr>
          <w:rFonts w:ascii="Open Sans" w:eastAsia="Times New Roman" w:hAnsi="Open Sans" w:cs="Open Sans"/>
          <w:b/>
          <w:bCs/>
          <w:lang w:eastAsia="pl-PL"/>
        </w:rPr>
      </w:pPr>
      <w:r>
        <w:rPr>
          <w:rFonts w:ascii="Open Sans" w:eastAsia="Times New Roman" w:hAnsi="Open Sans" w:cs="Open Sans"/>
          <w:b/>
          <w:bCs/>
          <w:lang w:eastAsia="pl-PL"/>
        </w:rPr>
        <w:t xml:space="preserve">11. </w:t>
      </w:r>
      <w:r w:rsidR="00BE0D16" w:rsidRPr="00D15D6C">
        <w:rPr>
          <w:rFonts w:ascii="Open Sans" w:eastAsia="Times New Roman" w:hAnsi="Open Sans" w:cs="Open Sans"/>
          <w:b/>
          <w:bCs/>
          <w:lang w:eastAsia="pl-PL"/>
        </w:rPr>
        <w:t>Proszę o potwierdzenie, rozumiem że premia pomniejsza termin spłaty kredytu? Czy tylko kapitał ale okres zostaje pierwotny 15 lat?</w:t>
      </w:r>
    </w:p>
    <w:p w14:paraId="4A8E8597" w14:textId="34FB601A" w:rsidR="00B86F4C" w:rsidRPr="00185D3C" w:rsidRDefault="00EB2194" w:rsidP="00D15D6C">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Premia inwestycyjna (umorzenie) pomniejsza kapitał do spłaty poprzez umorzenie spłat ostatnich rat kapitałowych pożyczki na warunkach preferencyjnych, skracając termin spłaty</w:t>
      </w:r>
      <w:r w:rsidR="00B86F4C" w:rsidRPr="00185D3C">
        <w:rPr>
          <w:rFonts w:ascii="Open Sans" w:eastAsia="Times New Roman" w:hAnsi="Open Sans" w:cs="Open Sans"/>
          <w:lang w:eastAsia="pl-PL"/>
        </w:rPr>
        <w:t>.</w:t>
      </w:r>
    </w:p>
    <w:p w14:paraId="1DCBDE1F" w14:textId="6FCD9898" w:rsidR="00BE0D16" w:rsidRPr="00D15D6C" w:rsidRDefault="00D15D6C" w:rsidP="00D15D6C">
      <w:pPr>
        <w:spacing w:after="0" w:line="240" w:lineRule="auto"/>
        <w:rPr>
          <w:rFonts w:ascii="Open Sans" w:eastAsia="Times New Roman" w:hAnsi="Open Sans" w:cs="Open Sans"/>
          <w:b/>
          <w:bCs/>
          <w:lang w:eastAsia="pl-PL"/>
        </w:rPr>
      </w:pPr>
      <w:r>
        <w:rPr>
          <w:rFonts w:ascii="Open Sans" w:eastAsia="Times New Roman" w:hAnsi="Open Sans" w:cs="Open Sans"/>
          <w:b/>
          <w:bCs/>
          <w:lang w:eastAsia="pl-PL"/>
        </w:rPr>
        <w:t xml:space="preserve">12. </w:t>
      </w:r>
      <w:r w:rsidR="00BE0D16" w:rsidRPr="00D15D6C">
        <w:rPr>
          <w:rFonts w:ascii="Open Sans" w:eastAsia="Times New Roman" w:hAnsi="Open Sans" w:cs="Open Sans"/>
          <w:b/>
          <w:bCs/>
          <w:lang w:eastAsia="pl-PL"/>
        </w:rPr>
        <w:t>Jaki dokument należy przedstawić w celu potwierdzenia uzyskania zgody współwłaścicieli na realizację projektu?</w:t>
      </w:r>
    </w:p>
    <w:p w14:paraId="6227F119" w14:textId="05AD59D9" w:rsidR="00B86F4C" w:rsidRPr="00D15D6C" w:rsidRDefault="00250511" w:rsidP="00D15D6C">
      <w:pPr>
        <w:spacing w:after="360" w:line="240" w:lineRule="auto"/>
        <w:rPr>
          <w:rFonts w:ascii="Open Sans" w:eastAsia="Times New Roman" w:hAnsi="Open Sans" w:cs="Open Sans"/>
          <w:lang w:eastAsia="pl-PL"/>
        </w:rPr>
      </w:pPr>
      <w:r w:rsidRPr="00D15D6C">
        <w:rPr>
          <w:rFonts w:ascii="Open Sans" w:eastAsia="Times New Roman" w:hAnsi="Open Sans" w:cs="Open Sans"/>
          <w:lang w:eastAsia="pl-PL"/>
        </w:rPr>
        <w:t xml:space="preserve">Należy sprawdzić listę załączników (załącznik nr 2 do Regulaminu). </w:t>
      </w:r>
      <w:r w:rsidR="001D0B6C" w:rsidRPr="00D15D6C">
        <w:rPr>
          <w:rFonts w:ascii="Open Sans" w:eastAsia="Times New Roman" w:hAnsi="Open Sans" w:cs="Open Sans"/>
          <w:lang w:eastAsia="pl-PL"/>
        </w:rPr>
        <w:t>Zalecamy szerokie konsultacje społeczne z mieszkańcami tak aby 100% mieszkańców wyraziło zgodę na prowadzenie prac. Niemniej kluczowe będzie powołanie się na konkretne zapisy regulaminów SM - które co do zasady powinny regulować tryb, sposób oraz procedury uzyskiwania skutecznych zgód mieszkańców na realizację prac modernizacyjnych - gwarantujących ich wykonalność w terminie realizacji projektu.</w:t>
      </w:r>
    </w:p>
    <w:p w14:paraId="3114FE70" w14:textId="132C1FC8" w:rsidR="00BE0D16" w:rsidRPr="00356A0A" w:rsidRDefault="00356A0A" w:rsidP="00356A0A">
      <w:pPr>
        <w:spacing w:after="0" w:line="240" w:lineRule="auto"/>
        <w:rPr>
          <w:rFonts w:ascii="Open Sans" w:eastAsia="Times New Roman" w:hAnsi="Open Sans" w:cs="Open Sans"/>
          <w:b/>
          <w:bCs/>
          <w:lang w:eastAsia="pl-PL"/>
        </w:rPr>
      </w:pPr>
      <w:r>
        <w:rPr>
          <w:rFonts w:ascii="Open Sans" w:eastAsia="Times New Roman" w:hAnsi="Open Sans" w:cs="Open Sans"/>
          <w:b/>
          <w:bCs/>
          <w:lang w:eastAsia="pl-PL"/>
        </w:rPr>
        <w:t xml:space="preserve">13. </w:t>
      </w:r>
      <w:r w:rsidR="00BE0D16" w:rsidRPr="00356A0A">
        <w:rPr>
          <w:rFonts w:ascii="Open Sans" w:eastAsia="Times New Roman" w:hAnsi="Open Sans" w:cs="Open Sans"/>
          <w:b/>
          <w:bCs/>
          <w:lang w:eastAsia="pl-PL"/>
        </w:rPr>
        <w:t>Czy wniosek przewiduje możliwość częściowe</w:t>
      </w:r>
      <w:r w:rsidR="003E0121" w:rsidRPr="00356A0A">
        <w:rPr>
          <w:rFonts w:ascii="Open Sans" w:eastAsia="Times New Roman" w:hAnsi="Open Sans" w:cs="Open Sans"/>
          <w:b/>
          <w:bCs/>
          <w:lang w:eastAsia="pl-PL"/>
        </w:rPr>
        <w:t>go</w:t>
      </w:r>
      <w:r w:rsidR="00BE0D16" w:rsidRPr="00356A0A">
        <w:rPr>
          <w:rFonts w:ascii="Open Sans" w:eastAsia="Times New Roman" w:hAnsi="Open Sans" w:cs="Open Sans"/>
          <w:b/>
          <w:bCs/>
          <w:lang w:eastAsia="pl-PL"/>
        </w:rPr>
        <w:t xml:space="preserve"> odliczeni</w:t>
      </w:r>
      <w:r w:rsidR="003E0121" w:rsidRPr="00356A0A">
        <w:rPr>
          <w:rFonts w:ascii="Open Sans" w:eastAsia="Times New Roman" w:hAnsi="Open Sans" w:cs="Open Sans"/>
          <w:b/>
          <w:bCs/>
          <w:lang w:eastAsia="pl-PL"/>
        </w:rPr>
        <w:t>a</w:t>
      </w:r>
      <w:r w:rsidR="00BE0D16" w:rsidRPr="00356A0A">
        <w:rPr>
          <w:rFonts w:ascii="Open Sans" w:eastAsia="Times New Roman" w:hAnsi="Open Sans" w:cs="Open Sans"/>
          <w:b/>
          <w:bCs/>
          <w:lang w:eastAsia="pl-PL"/>
        </w:rPr>
        <w:t xml:space="preserve"> Vat, tzw. strukturą w myśl art. 90 ustawy o VAT, które b</w:t>
      </w:r>
      <w:r w:rsidR="003E0121" w:rsidRPr="00356A0A">
        <w:rPr>
          <w:rFonts w:ascii="Open Sans" w:eastAsia="Times New Roman" w:hAnsi="Open Sans" w:cs="Open Sans"/>
          <w:b/>
          <w:bCs/>
          <w:lang w:eastAsia="pl-PL"/>
        </w:rPr>
        <w:t>ędzie kosztem niekwalifikowanym?</w:t>
      </w:r>
    </w:p>
    <w:p w14:paraId="44F6960F" w14:textId="20A8A11A" w:rsidR="00B86F4C" w:rsidRPr="00185D3C" w:rsidRDefault="00B86F4C" w:rsidP="009625F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lastRenderedPageBreak/>
        <w:t xml:space="preserve">Zgodnie z zapisami programu nie przewiduje się częściowego odliczania VAT. </w:t>
      </w:r>
      <w:r w:rsidR="00EB2194" w:rsidRPr="00185D3C">
        <w:rPr>
          <w:rFonts w:ascii="Open Sans" w:eastAsia="Times New Roman" w:hAnsi="Open Sans" w:cs="Open Sans"/>
          <w:lang w:eastAsia="pl-PL"/>
        </w:rPr>
        <w:t>Podatek od towarów i usług (VAT) jest kosztem kwalifikowanym tylko wówczas, gdy jest on faktycznie i ostatecznie ponoszony przez OOW, a OOW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OOW. Oznacza to, że w przypadkach, gdy OOW może odliczyć podatek VAT, ale rezygnuje z tej możliwości, podatek VAT nie jest kosztem kwalifikowanym.</w:t>
      </w:r>
    </w:p>
    <w:p w14:paraId="0D71EADA" w14:textId="627A93C4" w:rsidR="00BE0D16" w:rsidRPr="009625FF" w:rsidRDefault="009625FF" w:rsidP="009625FF">
      <w:pPr>
        <w:spacing w:after="0" w:line="240" w:lineRule="auto"/>
        <w:rPr>
          <w:rFonts w:ascii="Open Sans" w:eastAsia="Times New Roman" w:hAnsi="Open Sans" w:cs="Open Sans"/>
          <w:b/>
          <w:bCs/>
          <w:lang w:eastAsia="pl-PL"/>
        </w:rPr>
      </w:pPr>
      <w:r w:rsidRPr="009625FF">
        <w:rPr>
          <w:rFonts w:ascii="Open Sans" w:eastAsia="Times New Roman" w:hAnsi="Open Sans" w:cs="Open Sans"/>
          <w:b/>
          <w:bCs/>
          <w:lang w:eastAsia="pl-PL"/>
        </w:rPr>
        <w:t xml:space="preserve">14. </w:t>
      </w:r>
      <w:r w:rsidR="00BE0D16" w:rsidRPr="009625FF">
        <w:rPr>
          <w:rFonts w:ascii="Open Sans" w:eastAsia="Times New Roman" w:hAnsi="Open Sans" w:cs="Open Sans"/>
          <w:b/>
          <w:bCs/>
          <w:lang w:eastAsia="pl-PL"/>
        </w:rPr>
        <w:t>Czy instalacja OZE w projekcie jest obowiązkowa?</w:t>
      </w:r>
    </w:p>
    <w:p w14:paraId="62E85D9C" w14:textId="6A56E495" w:rsidR="00B86F4C" w:rsidRPr="00185D3C" w:rsidRDefault="00B86F4C" w:rsidP="009625F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Instalacja OZE nie jest obowiązkowa w projekcie. </w:t>
      </w:r>
    </w:p>
    <w:p w14:paraId="664B70B4" w14:textId="390CA334" w:rsidR="00BE0D16" w:rsidRPr="009625FF" w:rsidRDefault="003E0121" w:rsidP="009625FF">
      <w:pPr>
        <w:pStyle w:val="Akapitzlist"/>
        <w:numPr>
          <w:ilvl w:val="0"/>
          <w:numId w:val="5"/>
        </w:numPr>
        <w:spacing w:after="0" w:line="240" w:lineRule="auto"/>
        <w:rPr>
          <w:rFonts w:ascii="Open Sans" w:eastAsia="Times New Roman" w:hAnsi="Open Sans" w:cs="Open Sans"/>
          <w:b/>
          <w:bCs/>
          <w:lang w:eastAsia="pl-PL"/>
        </w:rPr>
      </w:pPr>
      <w:r w:rsidRPr="009625FF">
        <w:rPr>
          <w:rFonts w:ascii="Open Sans" w:eastAsia="Times New Roman" w:hAnsi="Open Sans" w:cs="Open Sans"/>
          <w:b/>
          <w:bCs/>
          <w:lang w:eastAsia="pl-PL"/>
        </w:rPr>
        <w:t>C</w:t>
      </w:r>
      <w:r w:rsidR="00BE0D16" w:rsidRPr="009625FF">
        <w:rPr>
          <w:rFonts w:ascii="Open Sans" w:eastAsia="Times New Roman" w:hAnsi="Open Sans" w:cs="Open Sans"/>
          <w:b/>
          <w:bCs/>
          <w:lang w:eastAsia="pl-PL"/>
        </w:rPr>
        <w:t xml:space="preserve">zy audyt ex </w:t>
      </w:r>
      <w:proofErr w:type="spellStart"/>
      <w:r w:rsidR="00BE0D16" w:rsidRPr="009625FF">
        <w:rPr>
          <w:rFonts w:ascii="Open Sans" w:eastAsia="Times New Roman" w:hAnsi="Open Sans" w:cs="Open Sans"/>
          <w:b/>
          <w:bCs/>
          <w:lang w:eastAsia="pl-PL"/>
        </w:rPr>
        <w:t>ante</w:t>
      </w:r>
      <w:proofErr w:type="spellEnd"/>
      <w:r w:rsidR="00BE0D16" w:rsidRPr="009625FF">
        <w:rPr>
          <w:rFonts w:ascii="Open Sans" w:eastAsia="Times New Roman" w:hAnsi="Open Sans" w:cs="Open Sans"/>
          <w:b/>
          <w:bCs/>
          <w:lang w:eastAsia="pl-PL"/>
        </w:rPr>
        <w:t xml:space="preserve"> musi być sporządzony przez audytora? </w:t>
      </w:r>
      <w:r w:rsidRPr="009625FF">
        <w:rPr>
          <w:rFonts w:ascii="Open Sans" w:eastAsia="Times New Roman" w:hAnsi="Open Sans" w:cs="Open Sans"/>
          <w:b/>
          <w:bCs/>
          <w:lang w:eastAsia="pl-PL"/>
        </w:rPr>
        <w:t>C</w:t>
      </w:r>
      <w:r w:rsidR="00BE0D16" w:rsidRPr="009625FF">
        <w:rPr>
          <w:rFonts w:ascii="Open Sans" w:eastAsia="Times New Roman" w:hAnsi="Open Sans" w:cs="Open Sans"/>
          <w:b/>
          <w:bCs/>
          <w:lang w:eastAsia="pl-PL"/>
        </w:rPr>
        <w:t>zy może go zrobić wnioskodawca sam na bazie audytów energetycznych?</w:t>
      </w:r>
    </w:p>
    <w:p w14:paraId="71034F74" w14:textId="284E74EF" w:rsidR="00B86F4C" w:rsidRPr="00185D3C" w:rsidRDefault="002131D0" w:rsidP="008F3EAD">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Audyt energetyczny ex-</w:t>
      </w:r>
      <w:proofErr w:type="spellStart"/>
      <w:r w:rsidRPr="00185D3C">
        <w:rPr>
          <w:rFonts w:ascii="Open Sans" w:eastAsia="Times New Roman" w:hAnsi="Open Sans" w:cs="Open Sans"/>
          <w:lang w:eastAsia="pl-PL"/>
        </w:rPr>
        <w:t>ante</w:t>
      </w:r>
      <w:proofErr w:type="spellEnd"/>
      <w:r w:rsidRPr="00185D3C">
        <w:rPr>
          <w:rFonts w:ascii="Open Sans" w:eastAsia="Times New Roman" w:hAnsi="Open Sans" w:cs="Open Sans"/>
          <w:lang w:eastAsia="pl-PL"/>
        </w:rPr>
        <w:t xml:space="preserve"> i audyt energetyczny ex-post powinien być sporządzony przez osobę wpisaną do wykazu osób uprawnionych do sporządzania świadectw charakterystyki energetycznej, o którym mowa w art. 31 ust. 1 pkt 1 Ustawy o charakterystyce energetycznej budynków z 29 sierpnia 2014 r. z późn.zm. (tekst jednolity — obwieszczenie Marszałka Sejmu RP z dnia 23 lutego 2021 r.; Dz. U. 2021 poz. 497).</w:t>
      </w:r>
    </w:p>
    <w:p w14:paraId="772F9C7A" w14:textId="318FD19F" w:rsidR="00BE0D16" w:rsidRPr="008F3EAD" w:rsidRDefault="00BE0D16" w:rsidP="008F3EAD">
      <w:pPr>
        <w:pStyle w:val="Akapitzlist"/>
        <w:numPr>
          <w:ilvl w:val="0"/>
          <w:numId w:val="5"/>
        </w:numPr>
        <w:spacing w:after="0" w:line="240" w:lineRule="auto"/>
        <w:rPr>
          <w:rFonts w:ascii="Open Sans" w:eastAsia="Times New Roman" w:hAnsi="Open Sans" w:cs="Open Sans"/>
          <w:b/>
          <w:bCs/>
          <w:lang w:eastAsia="pl-PL"/>
        </w:rPr>
      </w:pPr>
      <w:r w:rsidRPr="008F3EAD">
        <w:rPr>
          <w:rFonts w:ascii="Open Sans" w:eastAsia="Times New Roman" w:hAnsi="Open Sans" w:cs="Open Sans"/>
          <w:b/>
          <w:bCs/>
          <w:lang w:eastAsia="pl-PL"/>
        </w:rPr>
        <w:t>OŚWIADCZENIE O PRAWIE DO DYSPONOWANIA NIERUCHOMOŚCIĄ - czy wymagana jest zgoda wszystkich współwłaścicieli (jak wskazano w załączniku nr 10), czy wystarczy pow. 50%?</w:t>
      </w:r>
    </w:p>
    <w:p w14:paraId="18E628DE" w14:textId="51C3A5B7" w:rsidR="001D0B6C" w:rsidRPr="008F3EAD" w:rsidRDefault="001D0B6C" w:rsidP="00ED3A7A">
      <w:pPr>
        <w:spacing w:after="360" w:line="240" w:lineRule="auto"/>
        <w:rPr>
          <w:rFonts w:ascii="Open Sans" w:eastAsia="Times New Roman" w:hAnsi="Open Sans" w:cs="Open Sans"/>
          <w:lang w:eastAsia="pl-PL"/>
        </w:rPr>
      </w:pPr>
      <w:r w:rsidRPr="008F3EAD">
        <w:rPr>
          <w:rFonts w:ascii="Open Sans" w:eastAsia="Times New Roman" w:hAnsi="Open Sans" w:cs="Open Sans"/>
          <w:lang w:eastAsia="pl-PL"/>
        </w:rPr>
        <w:t>Zalecamy szerokie konsultacje społeczne z mieszkańcami tak aby 100% mieszkańców wyraziło zgodę na prowadzenie prac. Niemniej kluczowe będzie powołanie się na konkretne zapisy regulaminów SM - które co do zasady powinny regulować tryb, sposób oraz procedury uzyskiwania skutecznych zgód mieszkańców na realizację prac modernizacyjnych - gwarantujących ich wykonalność w terminie realizacji projektu.</w:t>
      </w:r>
    </w:p>
    <w:p w14:paraId="7892F485" w14:textId="2B180172" w:rsidR="00BE0D16" w:rsidRPr="00ED3A7A" w:rsidRDefault="00BE0D16" w:rsidP="00ED3A7A">
      <w:pPr>
        <w:pStyle w:val="Akapitzlist"/>
        <w:numPr>
          <w:ilvl w:val="0"/>
          <w:numId w:val="5"/>
        </w:numPr>
        <w:spacing w:after="0" w:line="240" w:lineRule="auto"/>
        <w:rPr>
          <w:rFonts w:ascii="Open Sans" w:eastAsia="Times New Roman" w:hAnsi="Open Sans" w:cs="Open Sans"/>
          <w:b/>
          <w:bCs/>
          <w:lang w:eastAsia="pl-PL"/>
        </w:rPr>
      </w:pPr>
      <w:r w:rsidRPr="00ED3A7A">
        <w:rPr>
          <w:rFonts w:ascii="Open Sans" w:eastAsia="Times New Roman" w:hAnsi="Open Sans" w:cs="Open Sans"/>
          <w:b/>
          <w:bCs/>
          <w:lang w:eastAsia="pl-PL"/>
        </w:rPr>
        <w:t xml:space="preserve">Jak należy udowodnić spełnienie kryterium, że projekt wpisuje się w realizację wartości Nowego Europejskiego </w:t>
      </w:r>
      <w:proofErr w:type="spellStart"/>
      <w:r w:rsidRPr="00ED3A7A">
        <w:rPr>
          <w:rFonts w:ascii="Open Sans" w:eastAsia="Times New Roman" w:hAnsi="Open Sans" w:cs="Open Sans"/>
          <w:b/>
          <w:bCs/>
          <w:lang w:eastAsia="pl-PL"/>
        </w:rPr>
        <w:t>Bauhausu</w:t>
      </w:r>
      <w:proofErr w:type="spellEnd"/>
      <w:r w:rsidRPr="00ED3A7A">
        <w:rPr>
          <w:rFonts w:ascii="Open Sans" w:eastAsia="Times New Roman" w:hAnsi="Open Sans" w:cs="Open Sans"/>
          <w:b/>
          <w:bCs/>
          <w:lang w:eastAsia="pl-PL"/>
        </w:rPr>
        <w:t>?</w:t>
      </w:r>
    </w:p>
    <w:p w14:paraId="2F6AB19E" w14:textId="6B20E0F4" w:rsidR="00A36C08" w:rsidRPr="00185D3C" w:rsidRDefault="00A36C08" w:rsidP="00ED3A7A">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W GWD zawarto informacje, co należy opisać aby spełnić kryterium oraz w opisie kryterium w załączniku 4.2 do Regulaminu wskazano</w:t>
      </w:r>
      <w:r w:rsidR="00ED3A7A">
        <w:rPr>
          <w:rFonts w:ascii="Open Sans" w:eastAsia="Times New Roman" w:hAnsi="Open Sans" w:cs="Open Sans"/>
          <w:lang w:eastAsia="pl-PL"/>
        </w:rPr>
        <w:t xml:space="preserve">, </w:t>
      </w:r>
      <w:r w:rsidRPr="00185D3C">
        <w:rPr>
          <w:rFonts w:ascii="Open Sans" w:eastAsia="Times New Roman" w:hAnsi="Open Sans" w:cs="Open Sans"/>
          <w:lang w:eastAsia="pl-PL"/>
        </w:rPr>
        <w:t>co jest w tym kryterium oceniane.</w:t>
      </w:r>
    </w:p>
    <w:p w14:paraId="38BB8A6D" w14:textId="51C91A3A" w:rsidR="00BE0D16" w:rsidRPr="00ED3A7A" w:rsidRDefault="00BE0D16" w:rsidP="00ED3A7A">
      <w:pPr>
        <w:pStyle w:val="Akapitzlist"/>
        <w:numPr>
          <w:ilvl w:val="0"/>
          <w:numId w:val="5"/>
        </w:numPr>
        <w:spacing w:after="0" w:line="240" w:lineRule="auto"/>
        <w:rPr>
          <w:rFonts w:ascii="Open Sans" w:eastAsia="Times New Roman" w:hAnsi="Open Sans" w:cs="Open Sans"/>
          <w:b/>
          <w:bCs/>
          <w:lang w:eastAsia="pl-PL"/>
        </w:rPr>
      </w:pPr>
      <w:bookmarkStart w:id="4" w:name="_Hlk179892309"/>
      <w:r w:rsidRPr="00ED3A7A">
        <w:rPr>
          <w:rFonts w:ascii="Open Sans" w:eastAsia="Times New Roman" w:hAnsi="Open Sans" w:cs="Open Sans"/>
          <w:b/>
          <w:bCs/>
          <w:lang w:eastAsia="pl-PL"/>
        </w:rPr>
        <w:t xml:space="preserve">Czy konieczne jest posiadanie przez wnioskodawcę szynki elektronicznej </w:t>
      </w:r>
      <w:proofErr w:type="spellStart"/>
      <w:r w:rsidRPr="00ED3A7A">
        <w:rPr>
          <w:rFonts w:ascii="Open Sans" w:eastAsia="Times New Roman" w:hAnsi="Open Sans" w:cs="Open Sans"/>
          <w:b/>
          <w:bCs/>
          <w:lang w:eastAsia="pl-PL"/>
        </w:rPr>
        <w:t>ePUAP</w:t>
      </w:r>
      <w:proofErr w:type="spellEnd"/>
      <w:r w:rsidRPr="00ED3A7A">
        <w:rPr>
          <w:rFonts w:ascii="Open Sans" w:eastAsia="Times New Roman" w:hAnsi="Open Sans" w:cs="Open Sans"/>
          <w:b/>
          <w:bCs/>
          <w:lang w:eastAsia="pl-PL"/>
        </w:rPr>
        <w:t>?</w:t>
      </w:r>
    </w:p>
    <w:p w14:paraId="30DD1C8F" w14:textId="77777777" w:rsidR="00BC7B36" w:rsidRPr="00185D3C" w:rsidRDefault="00BC7B36" w:rsidP="001562B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Tak, ponieważ zgodnie z zapisami regulaminu korespondencja odbywa się tylko przez skrzynkę </w:t>
      </w:r>
      <w:proofErr w:type="spellStart"/>
      <w:r w:rsidRPr="00185D3C">
        <w:rPr>
          <w:rFonts w:ascii="Open Sans" w:eastAsia="Times New Roman" w:hAnsi="Open Sans" w:cs="Open Sans"/>
          <w:lang w:eastAsia="pl-PL"/>
        </w:rPr>
        <w:t>ePUAP</w:t>
      </w:r>
      <w:proofErr w:type="spellEnd"/>
      <w:r w:rsidRPr="00185D3C">
        <w:rPr>
          <w:rFonts w:ascii="Open Sans" w:eastAsia="Times New Roman" w:hAnsi="Open Sans" w:cs="Open Sans"/>
          <w:lang w:eastAsia="pl-PL"/>
        </w:rPr>
        <w:t>.</w:t>
      </w:r>
    </w:p>
    <w:bookmarkEnd w:id="4"/>
    <w:p w14:paraId="0DBA5809" w14:textId="21D4EB8B" w:rsidR="00BE0D16" w:rsidRPr="001562BF" w:rsidRDefault="00BE0D16" w:rsidP="001562BF">
      <w:pPr>
        <w:pStyle w:val="Akapitzlist"/>
        <w:numPr>
          <w:ilvl w:val="0"/>
          <w:numId w:val="5"/>
        </w:numPr>
        <w:spacing w:after="0" w:line="240" w:lineRule="auto"/>
        <w:rPr>
          <w:rFonts w:ascii="Open Sans" w:eastAsia="Times New Roman" w:hAnsi="Open Sans" w:cs="Open Sans"/>
          <w:b/>
          <w:bCs/>
          <w:lang w:eastAsia="pl-PL"/>
        </w:rPr>
      </w:pPr>
      <w:r w:rsidRPr="001562BF">
        <w:rPr>
          <w:rFonts w:ascii="Open Sans" w:eastAsia="Times New Roman" w:hAnsi="Open Sans" w:cs="Open Sans"/>
          <w:b/>
          <w:bCs/>
          <w:lang w:eastAsia="pl-PL"/>
        </w:rPr>
        <w:t xml:space="preserve">W przypadku załącznika 17 Oświadczenie o zachowaniu form komunikacji - czy Wnioskodawca musi posiadać skrzynkę </w:t>
      </w:r>
      <w:proofErr w:type="spellStart"/>
      <w:r w:rsidRPr="001562BF">
        <w:rPr>
          <w:rFonts w:ascii="Open Sans" w:eastAsia="Times New Roman" w:hAnsi="Open Sans" w:cs="Open Sans"/>
          <w:b/>
          <w:bCs/>
          <w:lang w:eastAsia="pl-PL"/>
        </w:rPr>
        <w:t>ePUAP</w:t>
      </w:r>
      <w:proofErr w:type="spellEnd"/>
      <w:r w:rsidRPr="001562BF">
        <w:rPr>
          <w:rFonts w:ascii="Open Sans" w:eastAsia="Times New Roman" w:hAnsi="Open Sans" w:cs="Open Sans"/>
          <w:b/>
          <w:bCs/>
          <w:lang w:eastAsia="pl-PL"/>
        </w:rPr>
        <w:t>?</w:t>
      </w:r>
    </w:p>
    <w:p w14:paraId="07853848" w14:textId="1994D373" w:rsidR="00BC7B36" w:rsidRPr="00185D3C" w:rsidRDefault="00BC7B36" w:rsidP="001562B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Tak, ponieważ zgodnie z zapisami regulaminu korespondencja odbywa się tylko przez skrzynkę </w:t>
      </w:r>
      <w:proofErr w:type="spellStart"/>
      <w:r w:rsidRPr="00185D3C">
        <w:rPr>
          <w:rFonts w:ascii="Open Sans" w:eastAsia="Times New Roman" w:hAnsi="Open Sans" w:cs="Open Sans"/>
          <w:lang w:eastAsia="pl-PL"/>
        </w:rPr>
        <w:t>ePUAP</w:t>
      </w:r>
      <w:proofErr w:type="spellEnd"/>
      <w:r w:rsidRPr="00185D3C">
        <w:rPr>
          <w:rFonts w:ascii="Open Sans" w:eastAsia="Times New Roman" w:hAnsi="Open Sans" w:cs="Open Sans"/>
          <w:lang w:eastAsia="pl-PL"/>
        </w:rPr>
        <w:t>.</w:t>
      </w:r>
    </w:p>
    <w:p w14:paraId="40CFFBFB" w14:textId="12AAFB5B" w:rsidR="00BE0D16" w:rsidRPr="001562BF" w:rsidRDefault="00BE0D16" w:rsidP="001562BF">
      <w:pPr>
        <w:pStyle w:val="Akapitzlist"/>
        <w:numPr>
          <w:ilvl w:val="0"/>
          <w:numId w:val="5"/>
        </w:numPr>
        <w:spacing w:after="0" w:line="240" w:lineRule="auto"/>
        <w:rPr>
          <w:rFonts w:ascii="Open Sans" w:eastAsia="Times New Roman" w:hAnsi="Open Sans" w:cs="Open Sans"/>
          <w:lang w:eastAsia="pl-PL"/>
        </w:rPr>
      </w:pPr>
      <w:r w:rsidRPr="001562BF">
        <w:rPr>
          <w:rFonts w:ascii="Open Sans" w:eastAsia="Times New Roman" w:hAnsi="Open Sans" w:cs="Open Sans"/>
          <w:b/>
          <w:bCs/>
          <w:lang w:eastAsia="pl-PL"/>
        </w:rPr>
        <w:lastRenderedPageBreak/>
        <w:t>W jakim zakresie można realizować partnerstwo</w:t>
      </w:r>
      <w:r w:rsidR="003E0121" w:rsidRPr="001562BF">
        <w:rPr>
          <w:rFonts w:ascii="Open Sans" w:eastAsia="Times New Roman" w:hAnsi="Open Sans" w:cs="Open Sans"/>
          <w:b/>
          <w:bCs/>
          <w:lang w:eastAsia="pl-PL"/>
        </w:rPr>
        <w:t>,</w:t>
      </w:r>
      <w:r w:rsidRPr="001562BF">
        <w:rPr>
          <w:rFonts w:ascii="Open Sans" w:eastAsia="Times New Roman" w:hAnsi="Open Sans" w:cs="Open Sans"/>
          <w:b/>
          <w:bCs/>
          <w:lang w:eastAsia="pl-PL"/>
        </w:rPr>
        <w:t xml:space="preserve"> aby spełnić wymagania postawionego kryterium? Czy wystarczą działania np. wspólnej edukacji mieszkańców lub wizyt studyjnych podczas realizacji proje</w:t>
      </w:r>
      <w:r w:rsidRPr="001562BF">
        <w:rPr>
          <w:rFonts w:ascii="Open Sans" w:eastAsia="Times New Roman" w:hAnsi="Open Sans" w:cs="Open Sans"/>
          <w:lang w:eastAsia="pl-PL"/>
        </w:rPr>
        <w:t>ktu?</w:t>
      </w:r>
    </w:p>
    <w:p w14:paraId="04DCAAA4" w14:textId="77777777" w:rsidR="00A36C08" w:rsidRPr="001562BF" w:rsidRDefault="00A36C08" w:rsidP="001562BF">
      <w:pPr>
        <w:spacing w:after="0" w:line="240" w:lineRule="auto"/>
        <w:rPr>
          <w:rFonts w:ascii="Open Sans" w:eastAsia="Times New Roman" w:hAnsi="Open Sans" w:cs="Open Sans"/>
          <w:lang w:eastAsia="pl-PL"/>
        </w:rPr>
      </w:pPr>
      <w:r w:rsidRPr="001562BF">
        <w:rPr>
          <w:rFonts w:ascii="Open Sans" w:eastAsia="Times New Roman" w:hAnsi="Open Sans" w:cs="Open Sans"/>
          <w:lang w:eastAsia="pl-PL"/>
        </w:rPr>
        <w:t>Charakter przedsięwzięcia (termomodernizacja budynków) w praktyce wykluczać może uzyskanie punktacji w ww. kryterium. Jednak należy wskazać, wspólne działania mają/miały bezpośredni związek i wpływ na kształt i realizację inwestycji objętej projektem. Ważne jest też, żeby nie był to podmiot wybierany przez wnioskodawcę w trybie zamówień publicznych do realizacji np. usług związanych z przygotowaniem czy realizacją projektu nie jest to współpraca w rozumieniu niniejszego kryterium. Należy wskazać oficjalny dokument potwierdzający nawiązanie współpracy z partnerem zagranicznym, z którego będzie wynikać, że wspólne działania mają bezpośredni związek i wpływ na kształt i realizację inwestycji objętej projektem (w trakcie oceny wniosku możemy poprosić o skan dokumentu wskazanego we wniosku o dofinansowanie).</w:t>
      </w:r>
    </w:p>
    <w:p w14:paraId="208AF679" w14:textId="77777777" w:rsidR="00A36C08" w:rsidRPr="001562BF" w:rsidRDefault="00A36C08" w:rsidP="001562BF">
      <w:pPr>
        <w:spacing w:after="0" w:line="240" w:lineRule="auto"/>
        <w:rPr>
          <w:rFonts w:ascii="Open Sans" w:eastAsia="Times New Roman" w:hAnsi="Open Sans" w:cs="Open Sans"/>
          <w:lang w:eastAsia="pl-PL"/>
        </w:rPr>
      </w:pPr>
      <w:r w:rsidRPr="001562BF">
        <w:rPr>
          <w:rFonts w:ascii="Open Sans" w:eastAsia="Times New Roman" w:hAnsi="Open Sans" w:cs="Open Sans"/>
          <w:lang w:eastAsia="pl-PL"/>
        </w:rPr>
        <w:t>Podstawą oceny komplementarności projektu będą zawarte we wniosku o dofinansowanie, odpowiednio uwiarygodnione informacje potwierdzające współpracę prowadzącą do realizacji celów dla działania.</w:t>
      </w:r>
    </w:p>
    <w:p w14:paraId="0E1E4FD5" w14:textId="77777777" w:rsidR="00A36C08" w:rsidRPr="001562BF" w:rsidRDefault="00A36C08" w:rsidP="001562BF">
      <w:pPr>
        <w:spacing w:after="0" w:line="240" w:lineRule="auto"/>
        <w:rPr>
          <w:rFonts w:ascii="Open Sans" w:eastAsia="Times New Roman" w:hAnsi="Open Sans" w:cs="Open Sans"/>
          <w:lang w:eastAsia="pl-PL"/>
        </w:rPr>
      </w:pPr>
      <w:r w:rsidRPr="001562BF">
        <w:rPr>
          <w:rFonts w:ascii="Open Sans" w:eastAsia="Times New Roman" w:hAnsi="Open Sans" w:cs="Open Sans"/>
          <w:lang w:eastAsia="pl-PL"/>
        </w:rPr>
        <w:t xml:space="preserve">Projekty komplementarne mają charakter uzupełniający, wykluczający równocześnie powielanie działań i konkurencję.  </w:t>
      </w:r>
    </w:p>
    <w:p w14:paraId="149F9DBD" w14:textId="3BE969FB" w:rsidR="00F06D40" w:rsidRPr="001562BF" w:rsidRDefault="00A36C08" w:rsidP="001562BF">
      <w:pPr>
        <w:spacing w:after="360" w:line="240" w:lineRule="auto"/>
        <w:rPr>
          <w:rFonts w:ascii="Open Sans" w:eastAsia="Times New Roman" w:hAnsi="Open Sans" w:cs="Open Sans"/>
          <w:lang w:eastAsia="pl-PL"/>
        </w:rPr>
      </w:pPr>
      <w:r w:rsidRPr="001562BF">
        <w:rPr>
          <w:rFonts w:ascii="Open Sans" w:eastAsia="Times New Roman" w:hAnsi="Open Sans" w:cs="Open Sans"/>
          <w:lang w:eastAsia="pl-PL"/>
        </w:rPr>
        <w:t>Oceniając komplementarność projektu zwracać będzie uwagę na następujące, przykładowe kwestie: czy przy realizacji projektu będą wykorzystywane efekty realizacji innego projektu, czy nastąpi wzmocnienie trwałości efektów jednego przedsięwzięcia poprzez realizację innego; czy projekty są adresowane do tej samej grupy docelowej, tego samego terytorium; czy rozwiązują ten sam problem; czy realizacja jednego projektu jest uzależniona od przeprowadzenia innego przedsięwzięcia;  czy projekt stanowi ostatni etap szerszego przedsięwzięcia lub kontynuację wcześniej realizowanych przedsięwzięć.</w:t>
      </w:r>
    </w:p>
    <w:p w14:paraId="06029432" w14:textId="6FD1D08C" w:rsidR="00BE0D16" w:rsidRPr="001562BF" w:rsidRDefault="00BE0D16" w:rsidP="001562BF">
      <w:pPr>
        <w:pStyle w:val="Akapitzlist"/>
        <w:numPr>
          <w:ilvl w:val="0"/>
          <w:numId w:val="5"/>
        </w:numPr>
        <w:spacing w:after="0" w:line="240" w:lineRule="auto"/>
        <w:rPr>
          <w:rFonts w:ascii="Open Sans" w:eastAsia="Times New Roman" w:hAnsi="Open Sans" w:cs="Open Sans"/>
          <w:b/>
          <w:bCs/>
          <w:lang w:eastAsia="pl-PL"/>
        </w:rPr>
      </w:pPr>
      <w:bookmarkStart w:id="5" w:name="_Hlk179891496"/>
      <w:r w:rsidRPr="001562BF">
        <w:rPr>
          <w:rFonts w:ascii="Open Sans" w:eastAsia="Times New Roman" w:hAnsi="Open Sans" w:cs="Open Sans"/>
          <w:b/>
          <w:bCs/>
          <w:lang w:eastAsia="pl-PL"/>
        </w:rPr>
        <w:t>Czy koszty robót towarzyszących jak np. wymiana balustrad, wymiana pokrycia dachowego mogą być kosztami kwalifikowanymi?</w:t>
      </w:r>
    </w:p>
    <w:p w14:paraId="3B13E6C2" w14:textId="77777777" w:rsidR="00763920" w:rsidRPr="001562BF" w:rsidRDefault="00763920" w:rsidP="001562BF">
      <w:pPr>
        <w:spacing w:after="360" w:line="240" w:lineRule="auto"/>
        <w:rPr>
          <w:rFonts w:ascii="Open Sans" w:eastAsia="Times New Roman" w:hAnsi="Open Sans" w:cs="Open Sans"/>
          <w:lang w:eastAsia="pl-PL"/>
        </w:rPr>
      </w:pPr>
      <w:bookmarkStart w:id="6" w:name="_Hlk179893782"/>
      <w:r w:rsidRPr="001562BF">
        <w:rPr>
          <w:rFonts w:ascii="Open Sans" w:eastAsia="Times New Roman" w:hAnsi="Open Sans" w:cs="Open Sans"/>
          <w:lang w:eastAsia="pl-PL"/>
        </w:rPr>
        <w:t>Pod warunkiem, że na etapie wdrożeniowym, zostaną te prace wskazane jako niezbędne prace towarzyszące i odtworzeniowe związane z zakresem rzeczowym przedsięwzięcia. Zakres rzeczowy, co do zasady ma wynikać z opracowanego audytu energetycznego ex-</w:t>
      </w:r>
      <w:proofErr w:type="spellStart"/>
      <w:r w:rsidRPr="001562BF">
        <w:rPr>
          <w:rFonts w:ascii="Open Sans" w:eastAsia="Times New Roman" w:hAnsi="Open Sans" w:cs="Open Sans"/>
          <w:lang w:eastAsia="pl-PL"/>
        </w:rPr>
        <w:t>ante</w:t>
      </w:r>
      <w:proofErr w:type="spellEnd"/>
      <w:r w:rsidRPr="001562BF">
        <w:rPr>
          <w:rFonts w:ascii="Open Sans" w:eastAsia="Times New Roman" w:hAnsi="Open Sans" w:cs="Open Sans"/>
          <w:lang w:eastAsia="pl-PL"/>
        </w:rPr>
        <w:t xml:space="preserve"> opracowanego przez niezależnego eksperta technicznego - wpisanego do rejestru uprawniającego do wykonywania SCHE. NFOŚiGW nie zna konkretnych uwarunkować w każdym z realizowanych projektów.  Proszę jednak pamiętać, że należy jeszcze spełniać warunki brzegowe tj. W zakresie poprawy efektywności energetycznej budynków, minimalny próg wymaganych oszczędności energii pierwotnej, uwzględniający zakres projektu, wynosi 30% (z wyjątkiem zabytków).</w:t>
      </w:r>
    </w:p>
    <w:bookmarkEnd w:id="5"/>
    <w:bookmarkEnd w:id="6"/>
    <w:p w14:paraId="2BFBE4A2" w14:textId="7CAAD8E8" w:rsidR="00BE0D16" w:rsidRPr="001562BF" w:rsidRDefault="003E0121" w:rsidP="001562BF">
      <w:pPr>
        <w:pStyle w:val="Akapitzlist"/>
        <w:numPr>
          <w:ilvl w:val="0"/>
          <w:numId w:val="5"/>
        </w:numPr>
        <w:spacing w:after="0" w:line="240" w:lineRule="auto"/>
        <w:rPr>
          <w:rFonts w:ascii="Open Sans" w:eastAsia="Times New Roman" w:hAnsi="Open Sans" w:cs="Open Sans"/>
          <w:b/>
          <w:bCs/>
          <w:lang w:eastAsia="pl-PL"/>
        </w:rPr>
      </w:pPr>
      <w:r w:rsidRPr="001562BF">
        <w:rPr>
          <w:rFonts w:ascii="Open Sans" w:eastAsia="Times New Roman" w:hAnsi="Open Sans" w:cs="Open Sans"/>
          <w:b/>
          <w:bCs/>
          <w:lang w:eastAsia="pl-PL"/>
        </w:rPr>
        <w:t>K</w:t>
      </w:r>
      <w:r w:rsidR="00BE0D16" w:rsidRPr="001562BF">
        <w:rPr>
          <w:rFonts w:ascii="Open Sans" w:eastAsia="Times New Roman" w:hAnsi="Open Sans" w:cs="Open Sans"/>
          <w:b/>
          <w:bCs/>
          <w:lang w:eastAsia="pl-PL"/>
        </w:rPr>
        <w:t>ryterium "inwestor posiada zapewnione środki na sfinansowanie wkładu własnego ....." C</w:t>
      </w:r>
      <w:r w:rsidRPr="001562BF">
        <w:rPr>
          <w:rFonts w:ascii="Open Sans" w:eastAsia="Times New Roman" w:hAnsi="Open Sans" w:cs="Open Sans"/>
          <w:b/>
          <w:bCs/>
          <w:lang w:eastAsia="pl-PL"/>
        </w:rPr>
        <w:t>zy</w:t>
      </w:r>
      <w:r w:rsidR="00BE0D16" w:rsidRPr="001562BF">
        <w:rPr>
          <w:rFonts w:ascii="Open Sans" w:eastAsia="Times New Roman" w:hAnsi="Open Sans" w:cs="Open Sans"/>
          <w:b/>
          <w:bCs/>
          <w:lang w:eastAsia="pl-PL"/>
        </w:rPr>
        <w:t xml:space="preserve"> w projekcie stanowi wkład własny skoro 100% kosztów kwalifikowalnych stanowią pożyczki?</w:t>
      </w:r>
    </w:p>
    <w:p w14:paraId="38E12B60" w14:textId="6586AAA8" w:rsidR="00CC35A3" w:rsidRPr="00185D3C" w:rsidRDefault="0067278E" w:rsidP="001562B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Pożyczka w przypadku spółdzielni i spółek prawa handlowego </w:t>
      </w:r>
      <w:r w:rsidR="00AA5E21" w:rsidRPr="00185D3C">
        <w:rPr>
          <w:rFonts w:ascii="Open Sans" w:eastAsia="Times New Roman" w:hAnsi="Open Sans" w:cs="Open Sans"/>
          <w:lang w:eastAsia="pl-PL"/>
        </w:rPr>
        <w:t xml:space="preserve">ma stanowić 100% kosztów kwalifikowanych </w:t>
      </w:r>
      <w:r w:rsidR="001562BF">
        <w:rPr>
          <w:rFonts w:ascii="Open Sans" w:eastAsia="Times New Roman" w:hAnsi="Open Sans" w:cs="Open Sans"/>
          <w:lang w:eastAsia="pl-PL"/>
        </w:rPr>
        <w:t xml:space="preserve">zgodnie z zapisami </w:t>
      </w:r>
      <w:r w:rsidR="00AA5E21" w:rsidRPr="00185D3C">
        <w:rPr>
          <w:rFonts w:ascii="Open Sans" w:eastAsia="Times New Roman" w:hAnsi="Open Sans" w:cs="Open Sans"/>
          <w:lang w:eastAsia="pl-PL"/>
        </w:rPr>
        <w:t>z programu.</w:t>
      </w:r>
    </w:p>
    <w:p w14:paraId="797EE39B" w14:textId="4E7C8DC2" w:rsidR="00BE0D16" w:rsidRPr="001562BF" w:rsidRDefault="00BE0D16" w:rsidP="001562BF">
      <w:pPr>
        <w:pStyle w:val="Akapitzlist"/>
        <w:numPr>
          <w:ilvl w:val="0"/>
          <w:numId w:val="5"/>
        </w:numPr>
        <w:spacing w:after="0" w:line="240" w:lineRule="auto"/>
        <w:rPr>
          <w:rFonts w:ascii="Open Sans" w:eastAsia="Times New Roman" w:hAnsi="Open Sans" w:cs="Open Sans"/>
          <w:b/>
          <w:bCs/>
          <w:lang w:eastAsia="pl-PL"/>
        </w:rPr>
      </w:pPr>
      <w:r w:rsidRPr="001562BF">
        <w:rPr>
          <w:rFonts w:ascii="Open Sans" w:eastAsia="Times New Roman" w:hAnsi="Open Sans" w:cs="Open Sans"/>
          <w:b/>
          <w:bCs/>
          <w:lang w:eastAsia="pl-PL"/>
        </w:rPr>
        <w:lastRenderedPageBreak/>
        <w:t>B</w:t>
      </w:r>
      <w:r w:rsidR="003E0121" w:rsidRPr="001562BF">
        <w:rPr>
          <w:rFonts w:ascii="Open Sans" w:eastAsia="Times New Roman" w:hAnsi="Open Sans" w:cs="Open Sans"/>
          <w:b/>
          <w:bCs/>
          <w:lang w:eastAsia="pl-PL"/>
        </w:rPr>
        <w:t>u</w:t>
      </w:r>
      <w:r w:rsidRPr="001562BF">
        <w:rPr>
          <w:rFonts w:ascii="Open Sans" w:eastAsia="Times New Roman" w:hAnsi="Open Sans" w:cs="Open Sans"/>
          <w:b/>
          <w:bCs/>
          <w:lang w:eastAsia="pl-PL"/>
        </w:rPr>
        <w:t>dynek na potrzeby mieszkaniowe w 100%, czy VAT jest kosztem kwalifikowanym?</w:t>
      </w:r>
    </w:p>
    <w:p w14:paraId="596B3C37" w14:textId="0669C452" w:rsidR="00CC35A3" w:rsidRPr="00185D3C" w:rsidRDefault="00CC35A3" w:rsidP="00297092">
      <w:pPr>
        <w:spacing w:after="360" w:line="240" w:lineRule="auto"/>
        <w:rPr>
          <w:rFonts w:ascii="Open Sans" w:eastAsia="Times New Roman" w:hAnsi="Open Sans" w:cs="Open Sans"/>
          <w:lang w:eastAsia="pl-PL"/>
        </w:rPr>
      </w:pPr>
      <w:bookmarkStart w:id="7" w:name="_Hlk179892228"/>
      <w:r w:rsidRPr="00185D3C">
        <w:rPr>
          <w:rFonts w:ascii="Open Sans" w:eastAsia="Times New Roman" w:hAnsi="Open Sans" w:cs="Open Sans"/>
          <w:lang w:eastAsia="pl-PL"/>
        </w:rPr>
        <w:t>Podatek od towarów i usług (VAT) jest kosztem kwalifikowanym tylko wówczas, gdy jest on faktycznie i ostatecznie ponoszony przez OOW, a OOW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OOW. Oznacza to, że w przypadkach, gdy OOW może odliczyć podatek VAT, ale rezygnuje z tej możliwości, podatek VAT nie jest kosztem kwalifikowanym.</w:t>
      </w:r>
    </w:p>
    <w:bookmarkEnd w:id="7"/>
    <w:p w14:paraId="5897C144" w14:textId="18BDC0EB" w:rsidR="007F1026" w:rsidRPr="00E062F8" w:rsidRDefault="003E0121" w:rsidP="007F1026">
      <w:pPr>
        <w:pStyle w:val="Akapitzlist"/>
        <w:numPr>
          <w:ilvl w:val="0"/>
          <w:numId w:val="5"/>
        </w:numPr>
        <w:spacing w:after="0" w:line="240" w:lineRule="auto"/>
        <w:rPr>
          <w:rFonts w:ascii="Open Sans" w:eastAsia="Times New Roman" w:hAnsi="Open Sans" w:cs="Open Sans"/>
          <w:b/>
          <w:bCs/>
          <w:lang w:eastAsia="pl-PL"/>
        </w:rPr>
      </w:pPr>
      <w:r w:rsidRPr="00E062F8">
        <w:rPr>
          <w:rFonts w:ascii="Open Sans" w:eastAsia="Times New Roman" w:hAnsi="Open Sans" w:cs="Open Sans"/>
          <w:b/>
          <w:bCs/>
          <w:lang w:eastAsia="pl-PL"/>
        </w:rPr>
        <w:t>C</w:t>
      </w:r>
      <w:r w:rsidR="004D0458" w:rsidRPr="00E062F8">
        <w:rPr>
          <w:rFonts w:ascii="Open Sans" w:eastAsia="Times New Roman" w:hAnsi="Open Sans" w:cs="Open Sans"/>
          <w:b/>
          <w:bCs/>
          <w:lang w:eastAsia="pl-PL"/>
        </w:rPr>
        <w:t>zy koszty kwalifikowane obejmują tylko lokale mieszkalne, a co z kosztami dot.</w:t>
      </w:r>
      <w:r w:rsidRPr="00E062F8">
        <w:rPr>
          <w:rFonts w:ascii="Open Sans" w:eastAsia="Times New Roman" w:hAnsi="Open Sans" w:cs="Open Sans"/>
          <w:b/>
          <w:bCs/>
          <w:lang w:eastAsia="pl-PL"/>
        </w:rPr>
        <w:t xml:space="preserve"> </w:t>
      </w:r>
      <w:r w:rsidR="004D0458" w:rsidRPr="00E062F8">
        <w:rPr>
          <w:rFonts w:ascii="Open Sans" w:eastAsia="Times New Roman" w:hAnsi="Open Sans" w:cs="Open Sans"/>
          <w:b/>
          <w:bCs/>
          <w:lang w:eastAsia="pl-PL"/>
        </w:rPr>
        <w:t>lokali użytkowych (w tym przypadku dotyczy biur spółdzielni ) znajdujących się z budynku</w:t>
      </w:r>
      <w:r w:rsidRPr="00E062F8">
        <w:rPr>
          <w:rFonts w:ascii="Open Sans" w:eastAsia="Times New Roman" w:hAnsi="Open Sans" w:cs="Open Sans"/>
          <w:b/>
          <w:bCs/>
          <w:lang w:eastAsia="pl-PL"/>
        </w:rPr>
        <w:t>?</w:t>
      </w:r>
    </w:p>
    <w:p w14:paraId="3438C7AE" w14:textId="77777777" w:rsidR="007F4266" w:rsidRDefault="007F4266" w:rsidP="007F4266">
      <w:pPr>
        <w:spacing w:after="360" w:line="240" w:lineRule="auto"/>
        <w:rPr>
          <w:rFonts w:ascii="Open Sans" w:eastAsia="Times New Roman" w:hAnsi="Open Sans" w:cs="Open Sans"/>
          <w:lang w:eastAsia="pl-PL"/>
        </w:rPr>
      </w:pPr>
      <w:r w:rsidRPr="007F4266">
        <w:rPr>
          <w:rFonts w:ascii="Open Sans" w:eastAsia="Times New Roman" w:hAnsi="Open Sans" w:cs="Open Sans"/>
          <w:lang w:eastAsia="pl-PL"/>
        </w:rPr>
        <w:t>Informujemy, że:</w:t>
      </w:r>
    </w:p>
    <w:p w14:paraId="601503D5" w14:textId="506E5828" w:rsidR="007F4266" w:rsidRPr="007F4266" w:rsidRDefault="007F4266" w:rsidP="007F4266">
      <w:pPr>
        <w:spacing w:after="120" w:line="240" w:lineRule="auto"/>
        <w:rPr>
          <w:rFonts w:ascii="Open Sans" w:eastAsia="Times New Roman" w:hAnsi="Open Sans" w:cs="Open Sans"/>
          <w:lang w:eastAsia="pl-PL"/>
        </w:rPr>
      </w:pPr>
      <w:r w:rsidRPr="007F4266">
        <w:rPr>
          <w:rFonts w:ascii="Open Sans" w:eastAsia="Times New Roman" w:hAnsi="Open Sans" w:cs="Open Sans"/>
          <w:lang w:eastAsia="pl-PL"/>
        </w:rPr>
        <w:t xml:space="preserve">Samodzielne budynki biurowe spółdzielni nie kwalifikują się do dofinansowania w ramach naboru. Nabór dotyczy wyłącznie wielorodzinnych budynków mieszkalnych. </w:t>
      </w:r>
    </w:p>
    <w:p w14:paraId="50756034" w14:textId="42DF4CED" w:rsidR="007F4266" w:rsidRPr="007F4266" w:rsidRDefault="007F4266" w:rsidP="007F4266">
      <w:pPr>
        <w:spacing w:after="120" w:line="240" w:lineRule="auto"/>
        <w:rPr>
          <w:rFonts w:ascii="Open Sans" w:eastAsia="Times New Roman" w:hAnsi="Open Sans" w:cs="Open Sans"/>
          <w:lang w:eastAsia="pl-PL"/>
        </w:rPr>
      </w:pPr>
      <w:r w:rsidRPr="007F4266">
        <w:rPr>
          <w:rFonts w:ascii="Open Sans" w:eastAsia="Times New Roman" w:hAnsi="Open Sans" w:cs="Open Sans"/>
          <w:lang w:eastAsia="pl-PL"/>
        </w:rPr>
        <w:t xml:space="preserve">W ramach naboru </w:t>
      </w:r>
      <w:r w:rsidRPr="007F4266">
        <w:rPr>
          <w:rFonts w:ascii="Open Sans" w:eastAsia="Times New Roman" w:hAnsi="Open Sans" w:cs="Open Sans"/>
          <w:u w:val="single"/>
          <w:lang w:eastAsia="pl-PL"/>
        </w:rPr>
        <w:t>nie przewiduje się pomniejszania kosztów kwalifikowanych o koszty dotyczące lokali użytkowych, wykorzystywanych pod działalność gospodarczą, w tym na biura spółdzielni.</w:t>
      </w:r>
      <w:r w:rsidRPr="007F4266">
        <w:rPr>
          <w:rFonts w:ascii="Open Sans" w:eastAsia="Times New Roman" w:hAnsi="Open Sans" w:cs="Open Sans"/>
          <w:lang w:eastAsia="pl-PL"/>
        </w:rPr>
        <w:t xml:space="preserve">  </w:t>
      </w:r>
    </w:p>
    <w:p w14:paraId="78D1AB88" w14:textId="0B96FE23" w:rsidR="007F4266" w:rsidRPr="007F4266" w:rsidRDefault="007F4266" w:rsidP="007F4266">
      <w:pPr>
        <w:spacing w:after="120" w:line="240" w:lineRule="auto"/>
        <w:rPr>
          <w:rFonts w:ascii="Open Sans" w:eastAsia="Times New Roman" w:hAnsi="Open Sans" w:cs="Open Sans"/>
          <w:lang w:eastAsia="pl-PL"/>
        </w:rPr>
      </w:pPr>
      <w:r w:rsidRPr="007F4266">
        <w:rPr>
          <w:rFonts w:ascii="Open Sans" w:eastAsia="Times New Roman" w:hAnsi="Open Sans" w:cs="Open Sans"/>
          <w:lang w:eastAsia="pl-PL"/>
        </w:rPr>
        <w:t>Zwraca się ponadto uwagę na, obowiązujące dla przedmiotowego naboru, zasady dotyczące pomocy publicznej. To czy dofinansowanie danego budynku stanowi pomoc publiczną zależy od zasad funkcjonowania funduszu remontowego dot. tego budynku, a w określonych przypadkach także od wielkości powierzchni wykorzystywanej do działalności gospodarczej.</w:t>
      </w:r>
    </w:p>
    <w:p w14:paraId="1EAE6796" w14:textId="77777777" w:rsidR="007F4266" w:rsidRPr="007F4266" w:rsidRDefault="007F4266" w:rsidP="007F4266">
      <w:pPr>
        <w:spacing w:after="120" w:line="240" w:lineRule="auto"/>
        <w:rPr>
          <w:rFonts w:ascii="Open Sans" w:eastAsia="Times New Roman" w:hAnsi="Open Sans" w:cs="Open Sans"/>
          <w:lang w:eastAsia="pl-PL"/>
        </w:rPr>
      </w:pPr>
      <w:r w:rsidRPr="007F4266">
        <w:rPr>
          <w:rFonts w:ascii="Open Sans" w:eastAsia="Times New Roman" w:hAnsi="Open Sans" w:cs="Open Sans"/>
          <w:lang w:eastAsia="pl-PL"/>
        </w:rPr>
        <w:t>Jeżeli dla danego budynku prowadzony jest odrębny fundusz remontowy i zgromadzone na nim środki mogą być wykorzystane jedynie na działania dotyczące danego budynku (tj. nie mogą być wykorzystane na działania w innych budynkach), wówczas występowanie pomocy publicznej zależy od skali działalności gospodarczej prowadzonej w tym budynku:</w:t>
      </w:r>
    </w:p>
    <w:p w14:paraId="23C89D9E" w14:textId="7E55084C" w:rsidR="007F4266" w:rsidRPr="007F4266" w:rsidRDefault="007F4266" w:rsidP="007F4266">
      <w:pPr>
        <w:spacing w:after="120" w:line="240" w:lineRule="auto"/>
        <w:rPr>
          <w:rFonts w:ascii="Open Sans" w:eastAsia="Times New Roman" w:hAnsi="Open Sans" w:cs="Open Sans"/>
          <w:lang w:eastAsia="pl-PL"/>
        </w:rPr>
      </w:pPr>
      <w:r>
        <w:rPr>
          <w:rFonts w:ascii="Open Sans" w:eastAsia="Times New Roman" w:hAnsi="Open Sans" w:cs="Open Sans"/>
          <w:lang w:eastAsia="pl-PL"/>
        </w:rPr>
        <w:t xml:space="preserve">- </w:t>
      </w:r>
      <w:r w:rsidRPr="007F4266">
        <w:rPr>
          <w:rFonts w:ascii="Open Sans" w:eastAsia="Times New Roman" w:hAnsi="Open Sans" w:cs="Open Sans"/>
          <w:lang w:eastAsia="pl-PL"/>
        </w:rPr>
        <w:t xml:space="preserve">jeżeli budynek jest wykorzystywany do działalności gospodarczej w nie więcej niż 20% powierzchni, wówczas dofinansowanie tego budynku w całości nie stanowi pomocy publicznej. </w:t>
      </w:r>
    </w:p>
    <w:p w14:paraId="62536BBF" w14:textId="55357348" w:rsidR="007F4266" w:rsidRPr="007F4266" w:rsidRDefault="007F4266" w:rsidP="007F4266">
      <w:pPr>
        <w:spacing w:after="120" w:line="240" w:lineRule="auto"/>
        <w:rPr>
          <w:rFonts w:ascii="Open Sans" w:eastAsia="Times New Roman" w:hAnsi="Open Sans" w:cs="Open Sans"/>
          <w:lang w:eastAsia="pl-PL"/>
        </w:rPr>
      </w:pPr>
      <w:r>
        <w:rPr>
          <w:rFonts w:ascii="Open Sans" w:eastAsia="Times New Roman" w:hAnsi="Open Sans" w:cs="Open Sans"/>
          <w:lang w:eastAsia="pl-PL"/>
        </w:rPr>
        <w:t xml:space="preserve">- </w:t>
      </w:r>
      <w:r w:rsidRPr="007F4266">
        <w:rPr>
          <w:rFonts w:ascii="Open Sans" w:eastAsia="Times New Roman" w:hAnsi="Open Sans" w:cs="Open Sans"/>
          <w:lang w:eastAsia="pl-PL"/>
        </w:rPr>
        <w:t xml:space="preserve">jeżeli udział powierzchni budynku wykorzystywanej do działalności gospodarczej przekracza 20% (np. 25%), wówczas dofinansowanie stanowi pomoc publiczną w odniesieniu do części budynku wykorzystywanej pod działalność gospodarczą (25%). W pozostałym zakresie dofinansowanie tego budynku nie będzie stanowić pomocy publicznej. </w:t>
      </w:r>
    </w:p>
    <w:p w14:paraId="417D6504" w14:textId="60835FEB" w:rsidR="007F4266" w:rsidRPr="007F4266" w:rsidRDefault="007F4266" w:rsidP="007F4266">
      <w:pPr>
        <w:spacing w:after="120" w:line="240" w:lineRule="auto"/>
        <w:rPr>
          <w:rFonts w:ascii="Open Sans" w:eastAsia="Times New Roman" w:hAnsi="Open Sans" w:cs="Open Sans"/>
          <w:lang w:eastAsia="pl-PL"/>
        </w:rPr>
      </w:pPr>
      <w:r w:rsidRPr="007F4266">
        <w:rPr>
          <w:rFonts w:ascii="Open Sans" w:eastAsia="Times New Roman" w:hAnsi="Open Sans" w:cs="Open Sans"/>
          <w:lang w:eastAsia="pl-PL"/>
        </w:rPr>
        <w:t>Celem potwierdzenia, że dofinansowanie nie stanowi pomocy publicznej (w całości lub w części) do wniosku należy dołączyć dokument określający zasady prowadzenia i wykorzystania funduszu remontowego (np. regulamin funduszu remontowego), potwierdzający, że zasady tego funduszu wykluczają wykorzystanie środków na nim zgromadzonych na działania dotyczące innych budynków.</w:t>
      </w:r>
    </w:p>
    <w:p w14:paraId="42971E7B" w14:textId="3A10D5A1" w:rsidR="007F4266" w:rsidRPr="00E062F8" w:rsidRDefault="007F4266" w:rsidP="00E062F8">
      <w:pPr>
        <w:spacing w:after="360" w:line="240" w:lineRule="auto"/>
        <w:rPr>
          <w:rFonts w:ascii="Open Sans" w:eastAsia="Times New Roman" w:hAnsi="Open Sans" w:cs="Open Sans"/>
          <w:lang w:eastAsia="pl-PL"/>
        </w:rPr>
      </w:pPr>
      <w:r w:rsidRPr="007F4266">
        <w:rPr>
          <w:rFonts w:ascii="Open Sans" w:eastAsia="Times New Roman" w:hAnsi="Open Sans" w:cs="Open Sans"/>
          <w:lang w:eastAsia="pl-PL"/>
        </w:rPr>
        <w:lastRenderedPageBreak/>
        <w:t>W przypadku gdy zasady funduszu remontowego dot. danego budynku nie spełniają ww. warunków, dofinansowanie tego budynku w całości stanowi pomocy publiczną. Warunki dopuszczalności udzielenia pomocy publicznej nie zależą od rodzaju działalności prowadzonej w budynku.</w:t>
      </w:r>
    </w:p>
    <w:p w14:paraId="438209ED" w14:textId="788337CF" w:rsidR="003E0121" w:rsidRPr="00597559" w:rsidRDefault="004D0458" w:rsidP="00E062F8">
      <w:pPr>
        <w:pStyle w:val="Akapitzlist"/>
        <w:numPr>
          <w:ilvl w:val="0"/>
          <w:numId w:val="5"/>
        </w:numPr>
        <w:spacing w:after="0" w:line="240" w:lineRule="auto"/>
        <w:rPr>
          <w:rFonts w:ascii="Open Sans" w:eastAsia="Times New Roman" w:hAnsi="Open Sans" w:cs="Open Sans"/>
          <w:b/>
          <w:bCs/>
          <w:lang w:eastAsia="pl-PL"/>
        </w:rPr>
      </w:pPr>
      <w:r w:rsidRPr="00597559">
        <w:rPr>
          <w:rFonts w:ascii="Open Sans" w:eastAsia="Times New Roman" w:hAnsi="Open Sans" w:cs="Open Sans"/>
          <w:b/>
          <w:bCs/>
          <w:lang w:eastAsia="pl-PL"/>
        </w:rPr>
        <w:t xml:space="preserve">Czy przewidziany jest w następnych latach kolejny nabór w ramach </w:t>
      </w:r>
      <w:proofErr w:type="spellStart"/>
      <w:r w:rsidRPr="00597559">
        <w:rPr>
          <w:rFonts w:ascii="Open Sans" w:eastAsia="Times New Roman" w:hAnsi="Open Sans" w:cs="Open Sans"/>
          <w:b/>
          <w:bCs/>
          <w:lang w:eastAsia="pl-PL"/>
        </w:rPr>
        <w:t>FEnIKS</w:t>
      </w:r>
      <w:proofErr w:type="spellEnd"/>
      <w:r w:rsidRPr="00597559">
        <w:rPr>
          <w:rFonts w:ascii="Open Sans" w:eastAsia="Times New Roman" w:hAnsi="Open Sans" w:cs="Open Sans"/>
          <w:b/>
          <w:bCs/>
          <w:lang w:eastAsia="pl-PL"/>
        </w:rPr>
        <w:t xml:space="preserve"> 2021-2027 czy nie będzie powtórki</w:t>
      </w:r>
      <w:r w:rsidR="003E0121" w:rsidRPr="00597559">
        <w:rPr>
          <w:rFonts w:ascii="Open Sans" w:eastAsia="Times New Roman" w:hAnsi="Open Sans" w:cs="Open Sans"/>
          <w:b/>
          <w:bCs/>
          <w:lang w:eastAsia="pl-PL"/>
        </w:rPr>
        <w:t>?</w:t>
      </w:r>
    </w:p>
    <w:p w14:paraId="678D1B82" w14:textId="3ADED869" w:rsidR="00CC35A3" w:rsidRPr="00185D3C" w:rsidRDefault="00DC3AA5" w:rsidP="00597559">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N</w:t>
      </w:r>
      <w:r w:rsidR="00CC35A3" w:rsidRPr="00185D3C">
        <w:rPr>
          <w:rFonts w:ascii="Open Sans" w:eastAsia="Times New Roman" w:hAnsi="Open Sans" w:cs="Open Sans"/>
          <w:lang w:eastAsia="pl-PL"/>
        </w:rPr>
        <w:t xml:space="preserve">ie przewiduje się </w:t>
      </w:r>
      <w:r w:rsidR="007F1026">
        <w:rPr>
          <w:rFonts w:ascii="Open Sans" w:eastAsia="Times New Roman" w:hAnsi="Open Sans" w:cs="Open Sans"/>
          <w:lang w:eastAsia="pl-PL"/>
        </w:rPr>
        <w:t>ponownych</w:t>
      </w:r>
      <w:r w:rsidR="00CC35A3" w:rsidRPr="00185D3C">
        <w:rPr>
          <w:rFonts w:ascii="Open Sans" w:eastAsia="Times New Roman" w:hAnsi="Open Sans" w:cs="Open Sans"/>
          <w:lang w:eastAsia="pl-PL"/>
        </w:rPr>
        <w:t xml:space="preserve"> naboru.</w:t>
      </w:r>
    </w:p>
    <w:p w14:paraId="6EC39C91" w14:textId="67CEDAEA" w:rsidR="003E0121" w:rsidRPr="007F1026" w:rsidRDefault="00833C6F" w:rsidP="007F1026">
      <w:pPr>
        <w:pStyle w:val="Akapitzlist"/>
        <w:numPr>
          <w:ilvl w:val="0"/>
          <w:numId w:val="5"/>
        </w:numPr>
        <w:spacing w:after="0" w:line="240" w:lineRule="auto"/>
        <w:rPr>
          <w:rFonts w:ascii="Open Sans" w:eastAsia="Times New Roman" w:hAnsi="Open Sans" w:cs="Open Sans"/>
          <w:b/>
          <w:bCs/>
          <w:lang w:eastAsia="pl-PL"/>
        </w:rPr>
      </w:pPr>
      <w:r w:rsidRPr="007F1026">
        <w:rPr>
          <w:rFonts w:ascii="Open Sans" w:eastAsia="Times New Roman" w:hAnsi="Open Sans" w:cs="Open Sans"/>
          <w:b/>
          <w:bCs/>
          <w:lang w:eastAsia="pl-PL"/>
        </w:rPr>
        <w:t>Czy oprócz audyt</w:t>
      </w:r>
      <w:r w:rsidR="003E0121" w:rsidRPr="007F1026">
        <w:rPr>
          <w:rFonts w:ascii="Open Sans" w:eastAsia="Times New Roman" w:hAnsi="Open Sans" w:cs="Open Sans"/>
          <w:b/>
          <w:bCs/>
          <w:lang w:eastAsia="pl-PL"/>
        </w:rPr>
        <w:t>u</w:t>
      </w:r>
      <w:r w:rsidRPr="007F1026">
        <w:rPr>
          <w:rFonts w:ascii="Open Sans" w:eastAsia="Times New Roman" w:hAnsi="Open Sans" w:cs="Open Sans"/>
          <w:b/>
          <w:bCs/>
          <w:lang w:eastAsia="pl-PL"/>
        </w:rPr>
        <w:t xml:space="preserve"> ex-</w:t>
      </w:r>
      <w:proofErr w:type="spellStart"/>
      <w:r w:rsidRPr="007F1026">
        <w:rPr>
          <w:rFonts w:ascii="Open Sans" w:eastAsia="Times New Roman" w:hAnsi="Open Sans" w:cs="Open Sans"/>
          <w:b/>
          <w:bCs/>
          <w:lang w:eastAsia="pl-PL"/>
        </w:rPr>
        <w:t>ante</w:t>
      </w:r>
      <w:proofErr w:type="spellEnd"/>
      <w:r w:rsidRPr="007F1026">
        <w:rPr>
          <w:rFonts w:ascii="Open Sans" w:eastAsia="Times New Roman" w:hAnsi="Open Sans" w:cs="Open Sans"/>
          <w:b/>
          <w:bCs/>
          <w:lang w:eastAsia="pl-PL"/>
        </w:rPr>
        <w:t xml:space="preserve"> sporządzonego na załącznikach do wniosku tj. 11.1 należy dołączyć również audyt w formie tradycyjnej?</w:t>
      </w:r>
    </w:p>
    <w:p w14:paraId="29D0BE0A" w14:textId="3D3A81CF" w:rsidR="0067278E" w:rsidRPr="00185D3C" w:rsidRDefault="0067278E" w:rsidP="007F1026">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Zgodnie z listą załączników stanowiąca załącznik nr 2 do Regulaminu. </w:t>
      </w:r>
    </w:p>
    <w:p w14:paraId="615A4DDA" w14:textId="0C29C7CF" w:rsidR="003E0121" w:rsidRPr="007F1026" w:rsidRDefault="00833C6F" w:rsidP="007F1026">
      <w:pPr>
        <w:pStyle w:val="Akapitzlist"/>
        <w:numPr>
          <w:ilvl w:val="0"/>
          <w:numId w:val="5"/>
        </w:numPr>
        <w:spacing w:after="0" w:line="240" w:lineRule="auto"/>
        <w:rPr>
          <w:rFonts w:ascii="Open Sans" w:eastAsia="Times New Roman" w:hAnsi="Open Sans" w:cs="Open Sans"/>
          <w:b/>
          <w:bCs/>
          <w:lang w:eastAsia="pl-PL"/>
        </w:rPr>
      </w:pPr>
      <w:r w:rsidRPr="007F1026">
        <w:rPr>
          <w:rFonts w:ascii="Open Sans" w:eastAsia="Times New Roman" w:hAnsi="Open Sans" w:cs="Open Sans"/>
          <w:b/>
          <w:bCs/>
          <w:lang w:eastAsia="pl-PL"/>
        </w:rPr>
        <w:t>Czy pożyczka udzielana jest na całość kosztów inwestycji brutto (tzn. razem z podatkiem VAT) czy na wartość netto, a VAT należy sfinansować samemu, w przypadku gdy jest się czynnym podatnikiem VAT?</w:t>
      </w:r>
    </w:p>
    <w:p w14:paraId="13668100" w14:textId="6242CAE7" w:rsidR="00F52DC9" w:rsidRPr="00185D3C" w:rsidRDefault="00F52DC9" w:rsidP="00A10212">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Podatek od towarów i usług (VAT) jest kosztem kwalifikowanym tylko wówczas, gdy jest on faktycznie i ostatecznie ponoszony przez OOW, a OOW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OOW. Oznacza to, że w przypadkach, gdy OOW może odliczyć podatek VAT, ale rezygnuje z tej możliwości, podatek VAT nie jest kosztem kwalifikowanym.</w:t>
      </w:r>
    </w:p>
    <w:p w14:paraId="606982AE" w14:textId="146468C7" w:rsidR="003E0121" w:rsidRPr="00A10212" w:rsidRDefault="00833C6F" w:rsidP="00A10212">
      <w:pPr>
        <w:pStyle w:val="Akapitzlist"/>
        <w:numPr>
          <w:ilvl w:val="0"/>
          <w:numId w:val="5"/>
        </w:numPr>
        <w:spacing w:after="0" w:line="240" w:lineRule="auto"/>
        <w:rPr>
          <w:rFonts w:ascii="Open Sans" w:eastAsia="Times New Roman" w:hAnsi="Open Sans" w:cs="Open Sans"/>
          <w:b/>
          <w:bCs/>
          <w:lang w:eastAsia="pl-PL"/>
        </w:rPr>
      </w:pPr>
      <w:r w:rsidRPr="00A10212">
        <w:rPr>
          <w:rFonts w:ascii="Open Sans" w:eastAsia="Times New Roman" w:hAnsi="Open Sans" w:cs="Open Sans"/>
          <w:b/>
          <w:bCs/>
          <w:lang w:eastAsia="pl-PL"/>
        </w:rPr>
        <w:t xml:space="preserve">Czy można ubiegać się o dofinansowanie innego zakresu kosztów kwalifikowanych dla budynków w ramach innych dofinansowań np. z </w:t>
      </w:r>
      <w:proofErr w:type="spellStart"/>
      <w:r w:rsidRPr="00A10212">
        <w:rPr>
          <w:rFonts w:ascii="Open Sans" w:eastAsia="Times New Roman" w:hAnsi="Open Sans" w:cs="Open Sans"/>
          <w:b/>
          <w:bCs/>
          <w:lang w:eastAsia="pl-PL"/>
        </w:rPr>
        <w:t>FeNiksa</w:t>
      </w:r>
      <w:proofErr w:type="spellEnd"/>
      <w:r w:rsidRPr="00A10212">
        <w:rPr>
          <w:rFonts w:ascii="Open Sans" w:eastAsia="Times New Roman" w:hAnsi="Open Sans" w:cs="Open Sans"/>
          <w:b/>
          <w:bCs/>
          <w:lang w:eastAsia="pl-PL"/>
        </w:rPr>
        <w:t xml:space="preserve"> na docieplenie a z innego </w:t>
      </w:r>
      <w:r w:rsidR="003E0121" w:rsidRPr="00A10212">
        <w:rPr>
          <w:rFonts w:ascii="Open Sans" w:eastAsia="Times New Roman" w:hAnsi="Open Sans" w:cs="Open Sans"/>
          <w:b/>
          <w:bCs/>
          <w:lang w:eastAsia="pl-PL"/>
        </w:rPr>
        <w:t>źródła</w:t>
      </w:r>
      <w:r w:rsidRPr="00A10212">
        <w:rPr>
          <w:rFonts w:ascii="Open Sans" w:eastAsia="Times New Roman" w:hAnsi="Open Sans" w:cs="Open Sans"/>
          <w:b/>
          <w:bCs/>
          <w:lang w:eastAsia="pl-PL"/>
        </w:rPr>
        <w:t xml:space="preserve"> na OZE</w:t>
      </w:r>
      <w:r w:rsidR="003E0121" w:rsidRPr="00A10212">
        <w:rPr>
          <w:rFonts w:ascii="Open Sans" w:eastAsia="Times New Roman" w:hAnsi="Open Sans" w:cs="Open Sans"/>
          <w:b/>
          <w:bCs/>
          <w:lang w:eastAsia="pl-PL"/>
        </w:rPr>
        <w:t>?</w:t>
      </w:r>
    </w:p>
    <w:p w14:paraId="4F37BB02" w14:textId="4A4D2EF9" w:rsidR="00F52DC9" w:rsidRPr="00185D3C" w:rsidRDefault="00F52DC9" w:rsidP="00A368DD">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Nie widz</w:t>
      </w:r>
      <w:r w:rsidR="00DC3AA5" w:rsidRPr="00185D3C">
        <w:rPr>
          <w:rFonts w:ascii="Open Sans" w:eastAsia="Times New Roman" w:hAnsi="Open Sans" w:cs="Open Sans"/>
          <w:lang w:eastAsia="pl-PL"/>
        </w:rPr>
        <w:t>imy</w:t>
      </w:r>
      <w:r w:rsidRPr="00185D3C">
        <w:rPr>
          <w:rFonts w:ascii="Open Sans" w:eastAsia="Times New Roman" w:hAnsi="Open Sans" w:cs="Open Sans"/>
          <w:lang w:eastAsia="pl-PL"/>
        </w:rPr>
        <w:t xml:space="preserve"> powodu </w:t>
      </w:r>
      <w:r w:rsidR="00DC3AA5" w:rsidRPr="00185D3C">
        <w:rPr>
          <w:rFonts w:ascii="Open Sans" w:eastAsia="Times New Roman" w:hAnsi="Open Sans" w:cs="Open Sans"/>
          <w:lang w:eastAsia="pl-PL"/>
        </w:rPr>
        <w:t>rozdzielania tych działań na różne źródła finansowania</w:t>
      </w:r>
      <w:r w:rsidRPr="00185D3C">
        <w:rPr>
          <w:rFonts w:ascii="Open Sans" w:eastAsia="Times New Roman" w:hAnsi="Open Sans" w:cs="Open Sans"/>
          <w:lang w:eastAsia="pl-PL"/>
        </w:rPr>
        <w:t xml:space="preserve">, można </w:t>
      </w:r>
      <w:r w:rsidR="00A368DD">
        <w:rPr>
          <w:rFonts w:ascii="Open Sans" w:eastAsia="Times New Roman" w:hAnsi="Open Sans" w:cs="Open Sans"/>
          <w:lang w:eastAsia="pl-PL"/>
        </w:rPr>
        <w:t>sfinansować</w:t>
      </w:r>
      <w:r w:rsidRPr="00185D3C">
        <w:rPr>
          <w:rFonts w:ascii="Open Sans" w:eastAsia="Times New Roman" w:hAnsi="Open Sans" w:cs="Open Sans"/>
          <w:lang w:eastAsia="pl-PL"/>
        </w:rPr>
        <w:t xml:space="preserve"> oba działania z tego programu.</w:t>
      </w:r>
    </w:p>
    <w:p w14:paraId="4AC728EC" w14:textId="57F7C131" w:rsidR="00B225AE" w:rsidRPr="00774F0C" w:rsidRDefault="00833C6F" w:rsidP="00774F0C">
      <w:pPr>
        <w:pStyle w:val="Akapitzlist"/>
        <w:numPr>
          <w:ilvl w:val="0"/>
          <w:numId w:val="5"/>
        </w:numPr>
        <w:spacing w:after="0" w:line="240" w:lineRule="auto"/>
        <w:rPr>
          <w:rFonts w:ascii="Open Sans" w:eastAsia="Times New Roman" w:hAnsi="Open Sans" w:cs="Open Sans"/>
          <w:b/>
          <w:bCs/>
          <w:lang w:eastAsia="pl-PL"/>
        </w:rPr>
      </w:pPr>
      <w:r w:rsidRPr="00774F0C">
        <w:rPr>
          <w:rFonts w:ascii="Open Sans" w:eastAsia="Times New Roman" w:hAnsi="Open Sans" w:cs="Open Sans"/>
          <w:b/>
          <w:bCs/>
          <w:lang w:eastAsia="pl-PL"/>
        </w:rPr>
        <w:t>Czy prezentacje będą dostępne? nie było strony 25 z zasady DNSH</w:t>
      </w:r>
      <w:r w:rsidR="00B225AE" w:rsidRPr="00774F0C">
        <w:rPr>
          <w:rFonts w:ascii="Open Sans" w:eastAsia="Times New Roman" w:hAnsi="Open Sans" w:cs="Open Sans"/>
          <w:b/>
          <w:bCs/>
          <w:lang w:eastAsia="pl-PL"/>
        </w:rPr>
        <w:t>.</w:t>
      </w:r>
    </w:p>
    <w:p w14:paraId="57E4AC71" w14:textId="107DEF53" w:rsidR="00816771" w:rsidRPr="00185D3C" w:rsidRDefault="00A368DD" w:rsidP="00A368DD">
      <w:pPr>
        <w:spacing w:after="360" w:line="240" w:lineRule="auto"/>
        <w:rPr>
          <w:rFonts w:ascii="Open Sans" w:eastAsia="Times New Roman" w:hAnsi="Open Sans" w:cs="Open Sans"/>
          <w:lang w:eastAsia="pl-PL"/>
        </w:rPr>
      </w:pPr>
      <w:r>
        <w:rPr>
          <w:rFonts w:ascii="Open Sans" w:eastAsia="Times New Roman" w:hAnsi="Open Sans" w:cs="Open Sans"/>
          <w:lang w:eastAsia="pl-PL"/>
        </w:rPr>
        <w:t>Prezentacje dostępne na stronie</w:t>
      </w:r>
      <w:r w:rsidR="00816771" w:rsidRPr="00185D3C">
        <w:rPr>
          <w:rFonts w:ascii="Open Sans" w:eastAsia="Times New Roman" w:hAnsi="Open Sans" w:cs="Open Sans"/>
          <w:lang w:eastAsia="pl-PL"/>
        </w:rPr>
        <w:t>.</w:t>
      </w:r>
    </w:p>
    <w:p w14:paraId="7C4211EC" w14:textId="1E82E4FD" w:rsidR="00F51355" w:rsidRPr="00774F0C" w:rsidRDefault="00B225AE" w:rsidP="00774F0C">
      <w:pPr>
        <w:pStyle w:val="Akapitzlist"/>
        <w:numPr>
          <w:ilvl w:val="0"/>
          <w:numId w:val="5"/>
        </w:numPr>
        <w:spacing w:after="0" w:line="240" w:lineRule="auto"/>
        <w:rPr>
          <w:rFonts w:ascii="Open Sans" w:eastAsia="Times New Roman" w:hAnsi="Open Sans" w:cs="Open Sans"/>
          <w:b/>
          <w:bCs/>
          <w:lang w:eastAsia="pl-PL"/>
        </w:rPr>
      </w:pPr>
      <w:bookmarkStart w:id="8" w:name="_Hlk179885430"/>
      <w:r w:rsidRPr="00774F0C">
        <w:rPr>
          <w:rFonts w:ascii="Open Sans" w:eastAsia="Times New Roman" w:hAnsi="Open Sans" w:cs="Open Sans"/>
          <w:b/>
          <w:bCs/>
          <w:lang w:eastAsia="pl-PL"/>
        </w:rPr>
        <w:t>J</w:t>
      </w:r>
      <w:r w:rsidR="00F70ABE" w:rsidRPr="00774F0C">
        <w:rPr>
          <w:rFonts w:ascii="Open Sans" w:eastAsia="Times New Roman" w:hAnsi="Open Sans" w:cs="Open Sans"/>
          <w:b/>
          <w:bCs/>
          <w:lang w:eastAsia="pl-PL"/>
        </w:rPr>
        <w:t xml:space="preserve">ak audytor ma ująć inwestycje w dodatkowe pow. zielone? </w:t>
      </w:r>
    </w:p>
    <w:p w14:paraId="14B904D9" w14:textId="77777777" w:rsidR="00763920" w:rsidRPr="00185D3C" w:rsidRDefault="00763920" w:rsidP="00763920">
      <w:pPr>
        <w:spacing w:after="0" w:line="240" w:lineRule="auto"/>
        <w:rPr>
          <w:rFonts w:ascii="Open Sans" w:eastAsia="Times New Roman" w:hAnsi="Open Sans" w:cs="Open Sans"/>
          <w:lang w:eastAsia="pl-PL"/>
        </w:rPr>
      </w:pPr>
      <w:r w:rsidRPr="00185D3C">
        <w:rPr>
          <w:rFonts w:ascii="Open Sans" w:eastAsia="Times New Roman" w:hAnsi="Open Sans" w:cs="Open Sans"/>
          <w:lang w:eastAsia="pl-PL"/>
        </w:rPr>
        <w:t>Zostały do tego wyznaczone do tego specjalne rubryki zarówno w audycie ex-</w:t>
      </w:r>
      <w:proofErr w:type="spellStart"/>
      <w:r w:rsidRPr="00185D3C">
        <w:rPr>
          <w:rFonts w:ascii="Open Sans" w:eastAsia="Times New Roman" w:hAnsi="Open Sans" w:cs="Open Sans"/>
          <w:lang w:eastAsia="pl-PL"/>
        </w:rPr>
        <w:t>ante</w:t>
      </w:r>
      <w:proofErr w:type="spellEnd"/>
      <w:r w:rsidRPr="00185D3C">
        <w:rPr>
          <w:rFonts w:ascii="Open Sans" w:eastAsia="Times New Roman" w:hAnsi="Open Sans" w:cs="Open Sans"/>
          <w:lang w:eastAsia="pl-PL"/>
        </w:rPr>
        <w:t xml:space="preserve">, jak i w załączniku nr 5 część </w:t>
      </w:r>
      <w:proofErr w:type="spellStart"/>
      <w:r w:rsidRPr="00185D3C">
        <w:rPr>
          <w:rFonts w:ascii="Open Sans" w:eastAsia="Times New Roman" w:hAnsi="Open Sans" w:cs="Open Sans"/>
          <w:lang w:eastAsia="pl-PL"/>
        </w:rPr>
        <w:t>ekologiczno</w:t>
      </w:r>
      <w:proofErr w:type="spellEnd"/>
      <w:r w:rsidRPr="00185D3C">
        <w:rPr>
          <w:rFonts w:ascii="Open Sans" w:eastAsia="Times New Roman" w:hAnsi="Open Sans" w:cs="Open Sans"/>
          <w:lang w:eastAsia="pl-PL"/>
        </w:rPr>
        <w:t xml:space="preserve"> – techniczna oraz w osobnych wierszach w HRP. </w:t>
      </w:r>
    </w:p>
    <w:p w14:paraId="75DDF0C5" w14:textId="7D5583DF" w:rsidR="00763920" w:rsidRPr="00185D3C" w:rsidRDefault="00763920" w:rsidP="00774F0C">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Zakres ten dodatkowy jest określany jako poza audytowy – zatem nie musi wynikać z audytu energetycznego ale wskazujemy osobne pola w miejscach wniosku jak opisano powyżej.</w:t>
      </w:r>
    </w:p>
    <w:p w14:paraId="0F16DD8F" w14:textId="09AA7BC2" w:rsidR="00F51355" w:rsidRPr="00774F0C" w:rsidRDefault="00F70ABE" w:rsidP="00774F0C">
      <w:pPr>
        <w:pStyle w:val="Akapitzlist"/>
        <w:numPr>
          <w:ilvl w:val="0"/>
          <w:numId w:val="5"/>
        </w:numPr>
        <w:spacing w:after="0" w:line="240" w:lineRule="auto"/>
        <w:rPr>
          <w:rFonts w:ascii="Open Sans" w:eastAsia="Times New Roman" w:hAnsi="Open Sans" w:cs="Open Sans"/>
          <w:b/>
          <w:bCs/>
          <w:lang w:eastAsia="pl-PL"/>
        </w:rPr>
      </w:pPr>
      <w:r w:rsidRPr="00774F0C">
        <w:rPr>
          <w:rFonts w:ascii="Open Sans" w:eastAsia="Times New Roman" w:hAnsi="Open Sans" w:cs="Open Sans"/>
          <w:b/>
          <w:bCs/>
          <w:lang w:eastAsia="pl-PL"/>
        </w:rPr>
        <w:t>Czy jest odpowiednie miejsce w audycie, czy też um</w:t>
      </w:r>
      <w:r w:rsidR="00B225AE" w:rsidRPr="00774F0C">
        <w:rPr>
          <w:rFonts w:ascii="Open Sans" w:eastAsia="Times New Roman" w:hAnsi="Open Sans" w:cs="Open Sans"/>
          <w:b/>
          <w:bCs/>
          <w:lang w:eastAsia="pl-PL"/>
        </w:rPr>
        <w:t>i</w:t>
      </w:r>
      <w:r w:rsidRPr="00774F0C">
        <w:rPr>
          <w:rFonts w:ascii="Open Sans" w:eastAsia="Times New Roman" w:hAnsi="Open Sans" w:cs="Open Sans"/>
          <w:b/>
          <w:bCs/>
          <w:lang w:eastAsia="pl-PL"/>
        </w:rPr>
        <w:t>eszcza się to tylko we wniosku i studium wykonalności ale nie w audycie</w:t>
      </w:r>
      <w:r w:rsidR="002D627A" w:rsidRPr="00774F0C">
        <w:rPr>
          <w:rFonts w:ascii="Open Sans" w:eastAsia="Times New Roman" w:hAnsi="Open Sans" w:cs="Open Sans"/>
          <w:b/>
          <w:bCs/>
          <w:lang w:eastAsia="pl-PL"/>
        </w:rPr>
        <w:t>?</w:t>
      </w:r>
    </w:p>
    <w:p w14:paraId="509694BE" w14:textId="7B6DDFB2" w:rsidR="00F51355" w:rsidRPr="00774F0C" w:rsidRDefault="00763920" w:rsidP="000C04CF">
      <w:pPr>
        <w:spacing w:after="360" w:line="240" w:lineRule="auto"/>
        <w:rPr>
          <w:rFonts w:ascii="Open Sans" w:eastAsia="Times New Roman" w:hAnsi="Open Sans" w:cs="Open Sans"/>
          <w:lang w:eastAsia="pl-PL"/>
        </w:rPr>
      </w:pPr>
      <w:r w:rsidRPr="00774F0C">
        <w:rPr>
          <w:rFonts w:ascii="Open Sans" w:eastAsia="Times New Roman" w:hAnsi="Open Sans" w:cs="Open Sans"/>
          <w:lang w:eastAsia="pl-PL"/>
        </w:rPr>
        <w:t xml:space="preserve">Tak zgodnie z odpowiedzią powyżej. </w:t>
      </w:r>
    </w:p>
    <w:p w14:paraId="5579CC29" w14:textId="3F172946" w:rsidR="00B225AE" w:rsidRPr="000C04CF" w:rsidRDefault="00F70ABE" w:rsidP="000C04CF">
      <w:pPr>
        <w:pStyle w:val="Akapitzlist"/>
        <w:numPr>
          <w:ilvl w:val="0"/>
          <w:numId w:val="5"/>
        </w:numPr>
        <w:spacing w:after="0" w:line="240" w:lineRule="auto"/>
        <w:rPr>
          <w:rFonts w:ascii="Open Sans" w:eastAsia="Times New Roman" w:hAnsi="Open Sans" w:cs="Open Sans"/>
          <w:b/>
          <w:bCs/>
          <w:lang w:eastAsia="pl-PL"/>
        </w:rPr>
      </w:pPr>
      <w:bookmarkStart w:id="9" w:name="_Hlk179885496"/>
      <w:bookmarkStart w:id="10" w:name="_Hlk179891819"/>
      <w:bookmarkEnd w:id="8"/>
      <w:r w:rsidRPr="000C04CF">
        <w:rPr>
          <w:rFonts w:ascii="Open Sans" w:eastAsia="Times New Roman" w:hAnsi="Open Sans" w:cs="Open Sans"/>
          <w:b/>
          <w:bCs/>
          <w:lang w:eastAsia="pl-PL"/>
        </w:rPr>
        <w:lastRenderedPageBreak/>
        <w:t>Czy koszty do budżetu należy przyjąć z audytu, czy należy sporządzić kosztorysy inwestorskie?</w:t>
      </w:r>
    </w:p>
    <w:bookmarkEnd w:id="9"/>
    <w:p w14:paraId="0D91BDCF" w14:textId="13274A24" w:rsidR="00F51355" w:rsidRPr="000C04CF" w:rsidRDefault="003D12E7" w:rsidP="00555A8A">
      <w:pPr>
        <w:spacing w:after="360" w:line="240" w:lineRule="auto"/>
        <w:rPr>
          <w:rFonts w:ascii="Open Sans" w:eastAsia="Times New Roman" w:hAnsi="Open Sans" w:cs="Open Sans"/>
          <w:lang w:eastAsia="pl-PL"/>
        </w:rPr>
      </w:pPr>
      <w:r w:rsidRPr="000C04CF">
        <w:rPr>
          <w:rFonts w:ascii="Open Sans" w:eastAsia="Times New Roman" w:hAnsi="Open Sans" w:cs="Open Sans"/>
          <w:lang w:eastAsia="pl-PL"/>
        </w:rPr>
        <w:t>Zależnie od tego na jakim etapie jest inwestycja. Jeśli jest na etapie opracowania audytów – to koszty prac z audytu – na podstawie szacunków audytora, a jeśli jest już opracowana dokumentacja techniczna raz z kosztorysem inwestorskim – to z kosztorysu. Natomiast należy taką informację umieścić we wniosku – na jakiej podstawie oszacowano prace.</w:t>
      </w:r>
    </w:p>
    <w:p w14:paraId="3C9A2659" w14:textId="6F27C9B4" w:rsidR="00B225AE" w:rsidRPr="00555A8A" w:rsidRDefault="00926159" w:rsidP="00555A8A">
      <w:pPr>
        <w:pStyle w:val="Akapitzlist"/>
        <w:numPr>
          <w:ilvl w:val="0"/>
          <w:numId w:val="5"/>
        </w:numPr>
        <w:spacing w:after="0" w:line="240" w:lineRule="auto"/>
        <w:rPr>
          <w:rFonts w:ascii="Open Sans" w:eastAsia="Times New Roman" w:hAnsi="Open Sans" w:cs="Open Sans"/>
          <w:b/>
          <w:bCs/>
          <w:lang w:eastAsia="pl-PL"/>
        </w:rPr>
      </w:pPr>
      <w:bookmarkStart w:id="11" w:name="_Hlk179879938"/>
      <w:bookmarkEnd w:id="10"/>
      <w:r w:rsidRPr="00555A8A">
        <w:rPr>
          <w:rFonts w:ascii="Open Sans" w:eastAsia="Times New Roman" w:hAnsi="Open Sans" w:cs="Open Sans"/>
          <w:b/>
          <w:bCs/>
          <w:lang w:eastAsia="pl-PL"/>
        </w:rPr>
        <w:t>Jakie będzie żądanie zabezpieczenia pożyczek czy będzie możliwe zabezpieczenie spłaty środkami z funduszu remontowego budynku</w:t>
      </w:r>
      <w:r w:rsidR="00B225AE" w:rsidRPr="00555A8A">
        <w:rPr>
          <w:rFonts w:ascii="Open Sans" w:eastAsia="Times New Roman" w:hAnsi="Open Sans" w:cs="Open Sans"/>
          <w:b/>
          <w:bCs/>
          <w:lang w:eastAsia="pl-PL"/>
        </w:rPr>
        <w:t>?</w:t>
      </w:r>
      <w:r w:rsidR="00F06D40" w:rsidRPr="00555A8A">
        <w:rPr>
          <w:rFonts w:ascii="Open Sans" w:hAnsi="Open Sans" w:cs="Open Sans"/>
          <w:b/>
          <w:bCs/>
        </w:rPr>
        <w:t xml:space="preserve"> </w:t>
      </w:r>
      <w:bookmarkEnd w:id="11"/>
    </w:p>
    <w:p w14:paraId="4C73B1AD" w14:textId="51A535EB" w:rsidR="00F24731" w:rsidRPr="00B16982" w:rsidRDefault="00F24731" w:rsidP="00280DC4">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Zabezpieczenia są proponowane indywidulanie do każdego projektu. Podstawowym zabezpieczeniem jest weksel. Co do zasady fundusz remontowy nie może być zabezpieczeniem spłaty pożyczki, gdyż to z niego będzie spłacana pożyczka. Można sobie jednak wyobrazić sytuacje, gdy fundusz remontowy może być zabezpieczeniem a to w przypadku, gdy na rachunku będą zgromadzone znaczące kwoty, które można by </w:t>
      </w:r>
      <w:r w:rsidRPr="00B16982">
        <w:rPr>
          <w:rFonts w:ascii="Open Sans" w:eastAsia="Times New Roman" w:hAnsi="Open Sans" w:cs="Open Sans"/>
          <w:lang w:eastAsia="pl-PL"/>
        </w:rPr>
        <w:t>zablokować na rachunku jako zabezpieczenie spłaty pożyczki.</w:t>
      </w:r>
    </w:p>
    <w:p w14:paraId="00BDFBED" w14:textId="72CAE2E8" w:rsidR="00B225AE" w:rsidRPr="00B16982" w:rsidRDefault="00926159" w:rsidP="00280DC4">
      <w:pPr>
        <w:pStyle w:val="Akapitzlist"/>
        <w:numPr>
          <w:ilvl w:val="0"/>
          <w:numId w:val="5"/>
        </w:numPr>
        <w:spacing w:after="0" w:line="240" w:lineRule="auto"/>
        <w:rPr>
          <w:rFonts w:ascii="Open Sans" w:eastAsia="Times New Roman" w:hAnsi="Open Sans" w:cs="Open Sans"/>
          <w:lang w:eastAsia="pl-PL"/>
        </w:rPr>
      </w:pPr>
      <w:bookmarkStart w:id="12" w:name="_Hlk179882168"/>
      <w:r w:rsidRPr="00B16982">
        <w:rPr>
          <w:rFonts w:ascii="Open Sans" w:eastAsia="Times New Roman" w:hAnsi="Open Sans" w:cs="Open Sans"/>
          <w:b/>
          <w:bCs/>
          <w:lang w:eastAsia="pl-PL"/>
        </w:rPr>
        <w:t xml:space="preserve">A co z limitem pomocy de </w:t>
      </w:r>
      <w:proofErr w:type="spellStart"/>
      <w:r w:rsidRPr="00B16982">
        <w:rPr>
          <w:rFonts w:ascii="Open Sans" w:eastAsia="Times New Roman" w:hAnsi="Open Sans" w:cs="Open Sans"/>
          <w:b/>
          <w:bCs/>
          <w:lang w:eastAsia="pl-PL"/>
        </w:rPr>
        <w:t>minimis</w:t>
      </w:r>
      <w:proofErr w:type="spellEnd"/>
      <w:r w:rsidRPr="00B16982">
        <w:rPr>
          <w:rFonts w:ascii="Open Sans" w:eastAsia="Times New Roman" w:hAnsi="Open Sans" w:cs="Open Sans"/>
          <w:b/>
          <w:bCs/>
          <w:lang w:eastAsia="pl-PL"/>
        </w:rPr>
        <w:t xml:space="preserve"> 300.000 EURO na okres 3 lat jest ograniczenie?</w:t>
      </w:r>
    </w:p>
    <w:p w14:paraId="07AB8691" w14:textId="1696257E" w:rsidR="001771B6" w:rsidRPr="00B16982" w:rsidRDefault="001771B6" w:rsidP="001771B6">
      <w:pPr>
        <w:spacing w:after="0" w:line="240" w:lineRule="auto"/>
        <w:rPr>
          <w:rFonts w:ascii="Open Sans" w:eastAsia="Times New Roman" w:hAnsi="Open Sans" w:cs="Open Sans"/>
          <w:lang w:eastAsia="pl-PL"/>
        </w:rPr>
      </w:pPr>
      <w:r w:rsidRPr="00B16982">
        <w:rPr>
          <w:rFonts w:ascii="Open Sans" w:eastAsia="Times New Roman" w:hAnsi="Open Sans" w:cs="Open Sans"/>
          <w:lang w:eastAsia="pl-PL"/>
        </w:rPr>
        <w:t xml:space="preserve">Zgodnie z przepisami rozporządzenia Komisji (UE) nr 2023/2831 z dnia 13 grudnia 2023 r. w sprawie stosowania art. 107 i 108 Traktatu o funkcjonowaniu Unii Europejskiej do pomocy de </w:t>
      </w:r>
      <w:proofErr w:type="spellStart"/>
      <w:r w:rsidRPr="00B16982">
        <w:rPr>
          <w:rFonts w:ascii="Open Sans" w:eastAsia="Times New Roman" w:hAnsi="Open Sans" w:cs="Open Sans"/>
          <w:lang w:eastAsia="pl-PL"/>
        </w:rPr>
        <w:t>minimis</w:t>
      </w:r>
      <w:proofErr w:type="spellEnd"/>
      <w:r w:rsidRPr="00B16982">
        <w:rPr>
          <w:rFonts w:ascii="Open Sans" w:eastAsia="Times New Roman" w:hAnsi="Open Sans" w:cs="Open Sans"/>
          <w:lang w:eastAsia="pl-PL"/>
        </w:rPr>
        <w:t xml:space="preserve"> (Dz. Urz. UE L, 2023/2831 z 15.12.2023) łączna wartość pomocy de </w:t>
      </w:r>
      <w:proofErr w:type="spellStart"/>
      <w:r w:rsidRPr="00B16982">
        <w:rPr>
          <w:rFonts w:ascii="Open Sans" w:eastAsia="Times New Roman" w:hAnsi="Open Sans" w:cs="Open Sans"/>
          <w:lang w:eastAsia="pl-PL"/>
        </w:rPr>
        <w:t>minimis</w:t>
      </w:r>
      <w:proofErr w:type="spellEnd"/>
      <w:r w:rsidRPr="00B16982">
        <w:rPr>
          <w:rFonts w:ascii="Open Sans" w:eastAsia="Times New Roman" w:hAnsi="Open Sans" w:cs="Open Sans"/>
          <w:lang w:eastAsia="pl-PL"/>
        </w:rPr>
        <w:t>, jako jedno przedsiębiorstwo (wnioskodawca oraz podmioty z nim powiązane w rozumieniu art. 2 ust. 2 rozporządzenia KE nr 2023/2831) otrzymuje w okresie 3 pełnych lat (3 x 365 dni, np. 31.08.2021 - 31.08.2024), nie może przekroczyć równowartości 300 000 euro. Dostępność limitu weryfikowana jest na dzień zawarcia umowy o dofinansowanie.</w:t>
      </w:r>
    </w:p>
    <w:p w14:paraId="348165E8" w14:textId="77777777" w:rsidR="001771B6" w:rsidRPr="00B16982" w:rsidRDefault="001771B6" w:rsidP="001771B6">
      <w:pPr>
        <w:spacing w:after="0" w:line="240" w:lineRule="auto"/>
        <w:rPr>
          <w:rFonts w:ascii="Open Sans" w:eastAsia="Times New Roman" w:hAnsi="Open Sans" w:cs="Open Sans"/>
          <w:lang w:eastAsia="pl-PL"/>
        </w:rPr>
      </w:pPr>
    </w:p>
    <w:p w14:paraId="1376738A" w14:textId="1929079A" w:rsidR="00B225AE" w:rsidRPr="00B16982" w:rsidRDefault="00B225AE" w:rsidP="001771B6">
      <w:pPr>
        <w:pStyle w:val="Akapitzlist"/>
        <w:numPr>
          <w:ilvl w:val="0"/>
          <w:numId w:val="5"/>
        </w:numPr>
        <w:spacing w:after="0" w:line="240" w:lineRule="auto"/>
        <w:rPr>
          <w:rFonts w:ascii="Open Sans" w:eastAsia="Times New Roman" w:hAnsi="Open Sans" w:cs="Open Sans"/>
          <w:lang w:eastAsia="pl-PL"/>
        </w:rPr>
      </w:pPr>
      <w:r w:rsidRPr="00B16982">
        <w:rPr>
          <w:rFonts w:ascii="Open Sans" w:eastAsia="Times New Roman" w:hAnsi="Open Sans" w:cs="Open Sans"/>
          <w:b/>
          <w:bCs/>
          <w:lang w:eastAsia="pl-PL"/>
        </w:rPr>
        <w:t>C</w:t>
      </w:r>
      <w:r w:rsidR="00A17932" w:rsidRPr="00B16982">
        <w:rPr>
          <w:rFonts w:ascii="Open Sans" w:eastAsia="Times New Roman" w:hAnsi="Open Sans" w:cs="Open Sans"/>
          <w:b/>
          <w:bCs/>
          <w:lang w:eastAsia="pl-PL"/>
        </w:rPr>
        <w:t xml:space="preserve">zy zlecenie opinii </w:t>
      </w:r>
      <w:proofErr w:type="spellStart"/>
      <w:r w:rsidR="00A17932" w:rsidRPr="00B16982">
        <w:rPr>
          <w:rFonts w:ascii="Open Sans" w:eastAsia="Times New Roman" w:hAnsi="Open Sans" w:cs="Open Sans"/>
          <w:b/>
          <w:bCs/>
          <w:lang w:eastAsia="pl-PL"/>
        </w:rPr>
        <w:t>ornitologocznej</w:t>
      </w:r>
      <w:proofErr w:type="spellEnd"/>
      <w:r w:rsidR="00A17932" w:rsidRPr="00B16982">
        <w:rPr>
          <w:rFonts w:ascii="Open Sans" w:eastAsia="Times New Roman" w:hAnsi="Open Sans" w:cs="Open Sans"/>
          <w:b/>
          <w:bCs/>
          <w:lang w:eastAsia="pl-PL"/>
        </w:rPr>
        <w:t xml:space="preserve"> lub </w:t>
      </w:r>
      <w:proofErr w:type="spellStart"/>
      <w:r w:rsidR="00A17932" w:rsidRPr="00B16982">
        <w:rPr>
          <w:rFonts w:ascii="Open Sans" w:eastAsia="Times New Roman" w:hAnsi="Open Sans" w:cs="Open Sans"/>
          <w:b/>
          <w:bCs/>
          <w:lang w:eastAsia="pl-PL"/>
        </w:rPr>
        <w:t>chiropterologicznej</w:t>
      </w:r>
      <w:proofErr w:type="spellEnd"/>
      <w:r w:rsidR="00A17932" w:rsidRPr="00B16982">
        <w:rPr>
          <w:rFonts w:ascii="Open Sans" w:eastAsia="Times New Roman" w:hAnsi="Open Sans" w:cs="Open Sans"/>
          <w:b/>
          <w:bCs/>
          <w:lang w:eastAsia="pl-PL"/>
        </w:rPr>
        <w:t xml:space="preserve"> przed złożeniem wniosku konkursowego powoduje, że koszty opinii są niekwalifikow</w:t>
      </w:r>
      <w:r w:rsidRPr="00B16982">
        <w:rPr>
          <w:rFonts w:ascii="Open Sans" w:eastAsia="Times New Roman" w:hAnsi="Open Sans" w:cs="Open Sans"/>
          <w:b/>
          <w:bCs/>
          <w:lang w:eastAsia="pl-PL"/>
        </w:rPr>
        <w:t>a</w:t>
      </w:r>
      <w:r w:rsidR="00A17932" w:rsidRPr="00B16982">
        <w:rPr>
          <w:rFonts w:ascii="Open Sans" w:eastAsia="Times New Roman" w:hAnsi="Open Sans" w:cs="Open Sans"/>
          <w:b/>
          <w:bCs/>
          <w:lang w:eastAsia="pl-PL"/>
        </w:rPr>
        <w:t>lne?</w:t>
      </w:r>
      <w:r w:rsidR="0067278E" w:rsidRPr="00B16982">
        <w:rPr>
          <w:rFonts w:ascii="Open Sans" w:eastAsia="Times New Roman" w:hAnsi="Open Sans" w:cs="Open Sans"/>
          <w:lang w:eastAsia="pl-PL"/>
        </w:rPr>
        <w:t xml:space="preserve"> </w:t>
      </w:r>
    </w:p>
    <w:p w14:paraId="4F96AC20" w14:textId="084FAA40" w:rsidR="00964071" w:rsidRPr="00B16982" w:rsidRDefault="009C34FF" w:rsidP="00280DC4">
      <w:pPr>
        <w:spacing w:after="360" w:line="240" w:lineRule="auto"/>
        <w:rPr>
          <w:rFonts w:ascii="Open Sans" w:eastAsia="Times New Roman" w:hAnsi="Open Sans" w:cs="Open Sans"/>
          <w:lang w:eastAsia="pl-PL"/>
        </w:rPr>
      </w:pPr>
      <w:r w:rsidRPr="00B16982">
        <w:rPr>
          <w:rFonts w:ascii="Open Sans" w:eastAsia="Times New Roman" w:hAnsi="Open Sans" w:cs="Open Sans"/>
          <w:lang w:eastAsia="pl-PL"/>
        </w:rPr>
        <w:t>Koszty poniesione przez Wnioskodawcę przed złożeniem wniosku o dofinansowanie stanowią koszt niekwalifikowany projektu.</w:t>
      </w:r>
    </w:p>
    <w:p w14:paraId="423B30B4" w14:textId="738C2D0F" w:rsidR="00B225AE" w:rsidRPr="00B16982" w:rsidRDefault="00A17932" w:rsidP="00280DC4">
      <w:pPr>
        <w:pStyle w:val="Akapitzlist"/>
        <w:numPr>
          <w:ilvl w:val="0"/>
          <w:numId w:val="5"/>
        </w:numPr>
        <w:spacing w:after="0" w:line="240" w:lineRule="auto"/>
        <w:rPr>
          <w:rFonts w:ascii="Open Sans" w:eastAsia="Times New Roman" w:hAnsi="Open Sans" w:cs="Open Sans"/>
          <w:b/>
          <w:bCs/>
          <w:lang w:eastAsia="pl-PL"/>
        </w:rPr>
      </w:pPr>
      <w:r w:rsidRPr="00B16982">
        <w:rPr>
          <w:rFonts w:ascii="Open Sans" w:eastAsia="Times New Roman" w:hAnsi="Open Sans" w:cs="Open Sans"/>
          <w:b/>
          <w:bCs/>
          <w:lang w:eastAsia="pl-PL"/>
        </w:rPr>
        <w:t xml:space="preserve">W odniesieniu do ponoszenia kosztów po złożeniu </w:t>
      </w:r>
      <w:proofErr w:type="spellStart"/>
      <w:r w:rsidRPr="00B16982">
        <w:rPr>
          <w:rFonts w:ascii="Open Sans" w:eastAsia="Times New Roman" w:hAnsi="Open Sans" w:cs="Open Sans"/>
          <w:b/>
          <w:bCs/>
          <w:lang w:eastAsia="pl-PL"/>
        </w:rPr>
        <w:t>WoD</w:t>
      </w:r>
      <w:proofErr w:type="spellEnd"/>
      <w:r w:rsidRPr="00B16982">
        <w:rPr>
          <w:rFonts w:ascii="Open Sans" w:eastAsia="Times New Roman" w:hAnsi="Open Sans" w:cs="Open Sans"/>
          <w:b/>
          <w:bCs/>
          <w:lang w:eastAsia="pl-PL"/>
        </w:rPr>
        <w:t xml:space="preserve"> - jak należy rozumieć pojęcie "dzień, w którym wnioskodawca podjął zobowiązanie do poniesienia kosztu" - czy jest to dzień wystawienia faktury VAT?</w:t>
      </w:r>
    </w:p>
    <w:p w14:paraId="20848823" w14:textId="77777777" w:rsidR="001771B6" w:rsidRPr="00B16982" w:rsidRDefault="001771B6" w:rsidP="001771B6">
      <w:pPr>
        <w:spacing w:after="0" w:line="240" w:lineRule="auto"/>
        <w:rPr>
          <w:rFonts w:ascii="Open Sans" w:eastAsia="Times New Roman" w:hAnsi="Open Sans" w:cs="Open Sans"/>
          <w:lang w:eastAsia="pl-PL"/>
        </w:rPr>
      </w:pPr>
      <w:r w:rsidRPr="00B16982">
        <w:rPr>
          <w:rFonts w:ascii="Open Sans" w:eastAsia="Times New Roman" w:hAnsi="Open Sans" w:cs="Open Sans"/>
          <w:lang w:eastAsia="pl-PL"/>
        </w:rPr>
        <w:t>W przypadku ubiegania się o pomoc horyzontalną na ochronę środowiska pomocą mogą zostać objęte koszty inwestycji spełniające łącznie poniższe warunki:</w:t>
      </w:r>
    </w:p>
    <w:p w14:paraId="774E89AE" w14:textId="24A1E67B" w:rsidR="001771B6" w:rsidRPr="00B16982" w:rsidRDefault="001771B6" w:rsidP="001771B6">
      <w:pPr>
        <w:spacing w:after="0" w:line="240" w:lineRule="auto"/>
        <w:rPr>
          <w:rFonts w:ascii="Open Sans" w:eastAsia="Times New Roman" w:hAnsi="Open Sans" w:cs="Open Sans"/>
          <w:lang w:eastAsia="pl-PL"/>
        </w:rPr>
      </w:pPr>
      <w:r w:rsidRPr="00B16982">
        <w:rPr>
          <w:rFonts w:ascii="Open Sans" w:eastAsia="Times New Roman" w:hAnsi="Open Sans" w:cs="Open Sans"/>
          <w:lang w:eastAsia="pl-PL"/>
        </w:rPr>
        <w:t xml:space="preserve">- są ponoszone po złożeniu wniosku o dofinansowanie, przy czym jako dzień poniesienia kosztu należy rozumieć dzień, w którym wnioskodawca podjął zobowiązanie do poniesienia kosztu. Przede wszystkim należy wziąć pod uwagę w jakiej formie zostało podjęte zobowiązanie do poniesienia kosztu.  Dzień wystawienia faktury może być traktowany jako dzień poniesienia kosztu, jeżeli nie poprzedza go np. stosowna umowa pomiędzy stronami transakcji. </w:t>
      </w:r>
    </w:p>
    <w:p w14:paraId="7007066D" w14:textId="588E71E4" w:rsidR="001771B6" w:rsidRPr="00B16982" w:rsidRDefault="001771B6" w:rsidP="001771B6">
      <w:pPr>
        <w:spacing w:after="0" w:line="240" w:lineRule="auto"/>
        <w:rPr>
          <w:rFonts w:ascii="Open Sans" w:eastAsia="Times New Roman" w:hAnsi="Open Sans" w:cs="Open Sans"/>
          <w:lang w:eastAsia="pl-PL"/>
        </w:rPr>
      </w:pPr>
      <w:r w:rsidRPr="00B16982">
        <w:rPr>
          <w:rFonts w:ascii="Open Sans" w:eastAsia="Times New Roman" w:hAnsi="Open Sans" w:cs="Open Sans"/>
          <w:lang w:eastAsia="pl-PL"/>
        </w:rPr>
        <w:t>-kwalifikują się do objęcia pomocą danego rodzaju oraz do dofinansowania w ramach naboru.</w:t>
      </w:r>
    </w:p>
    <w:p w14:paraId="53E69EBC" w14:textId="77777777" w:rsidR="001771B6" w:rsidRPr="00B16982" w:rsidRDefault="001771B6" w:rsidP="001771B6">
      <w:pPr>
        <w:spacing w:after="0" w:line="240" w:lineRule="auto"/>
        <w:rPr>
          <w:rFonts w:ascii="Open Sans" w:eastAsia="Times New Roman" w:hAnsi="Open Sans" w:cs="Open Sans"/>
          <w:lang w:eastAsia="pl-PL"/>
        </w:rPr>
      </w:pPr>
    </w:p>
    <w:p w14:paraId="73C837E0" w14:textId="23ABF152" w:rsidR="00B225AE" w:rsidRPr="00B16982" w:rsidRDefault="00B225AE" w:rsidP="001771B6">
      <w:pPr>
        <w:pStyle w:val="Akapitzlist"/>
        <w:numPr>
          <w:ilvl w:val="0"/>
          <w:numId w:val="5"/>
        </w:numPr>
        <w:spacing w:after="0" w:line="240" w:lineRule="auto"/>
        <w:rPr>
          <w:rFonts w:ascii="Open Sans" w:eastAsia="Times New Roman" w:hAnsi="Open Sans" w:cs="Open Sans"/>
          <w:b/>
          <w:bCs/>
          <w:lang w:eastAsia="pl-PL"/>
        </w:rPr>
      </w:pPr>
      <w:r w:rsidRPr="00B16982">
        <w:rPr>
          <w:rFonts w:ascii="Open Sans" w:eastAsia="Times New Roman" w:hAnsi="Open Sans" w:cs="Open Sans"/>
          <w:b/>
          <w:bCs/>
          <w:lang w:eastAsia="pl-PL"/>
        </w:rPr>
        <w:t>C</w:t>
      </w:r>
      <w:r w:rsidR="00A17932" w:rsidRPr="00B16982">
        <w:rPr>
          <w:rFonts w:ascii="Open Sans" w:eastAsia="Times New Roman" w:hAnsi="Open Sans" w:cs="Open Sans"/>
          <w:b/>
          <w:bCs/>
          <w:lang w:eastAsia="pl-PL"/>
        </w:rPr>
        <w:t xml:space="preserve">zy koszty działań przygotowawczych (opracowanie projektów, audytów, ekspertyz, itp.) mogą być finansowane z pomocy de </w:t>
      </w:r>
      <w:proofErr w:type="spellStart"/>
      <w:r w:rsidR="00A17932" w:rsidRPr="00B16982">
        <w:rPr>
          <w:rFonts w:ascii="Open Sans" w:eastAsia="Times New Roman" w:hAnsi="Open Sans" w:cs="Open Sans"/>
          <w:b/>
          <w:bCs/>
          <w:lang w:eastAsia="pl-PL"/>
        </w:rPr>
        <w:t>minimis</w:t>
      </w:r>
      <w:proofErr w:type="spellEnd"/>
      <w:r w:rsidR="00A17932" w:rsidRPr="00B16982">
        <w:rPr>
          <w:rFonts w:ascii="Open Sans" w:eastAsia="Times New Roman" w:hAnsi="Open Sans" w:cs="Open Sans"/>
          <w:b/>
          <w:bCs/>
          <w:lang w:eastAsia="pl-PL"/>
        </w:rPr>
        <w:t>? Czy wówczas koszty mogą zostać poniesione przed złożeniem wniosku?</w:t>
      </w:r>
    </w:p>
    <w:p w14:paraId="1081AA88" w14:textId="0C3C7ADE" w:rsidR="00B16982" w:rsidRPr="00B16982" w:rsidRDefault="004973EE" w:rsidP="00B16982">
      <w:pPr>
        <w:spacing w:after="0" w:line="240" w:lineRule="auto"/>
        <w:rPr>
          <w:rFonts w:ascii="Open Sans" w:eastAsia="Times New Roman" w:hAnsi="Open Sans" w:cs="Open Sans"/>
          <w:lang w:eastAsia="pl-PL"/>
        </w:rPr>
      </w:pPr>
      <w:r w:rsidRPr="00B16982">
        <w:rPr>
          <w:rFonts w:ascii="Open Sans" w:eastAsia="Times New Roman" w:hAnsi="Open Sans" w:cs="Open Sans"/>
          <w:lang w:eastAsia="pl-PL"/>
        </w:rPr>
        <w:t>Koszty poniesione przez Wnioskodawcę przed złożeniem wniosku o dofinansowanie stanowią koszt niekwalifikowany projektu.</w:t>
      </w:r>
      <w:r w:rsidR="00B16982">
        <w:rPr>
          <w:rFonts w:ascii="Open Sans" w:eastAsia="Times New Roman" w:hAnsi="Open Sans" w:cs="Open Sans"/>
          <w:lang w:eastAsia="pl-PL"/>
        </w:rPr>
        <w:t xml:space="preserve"> </w:t>
      </w:r>
    </w:p>
    <w:p w14:paraId="32CAEAEB" w14:textId="2B86C821" w:rsidR="004973EE" w:rsidRPr="004E25B4" w:rsidRDefault="00B16982" w:rsidP="00B16982">
      <w:pPr>
        <w:spacing w:after="360" w:line="240" w:lineRule="auto"/>
        <w:rPr>
          <w:rFonts w:ascii="Open Sans" w:eastAsia="Times New Roman" w:hAnsi="Open Sans" w:cs="Open Sans"/>
          <w:lang w:eastAsia="pl-PL"/>
        </w:rPr>
      </w:pPr>
      <w:r w:rsidRPr="00B16982">
        <w:rPr>
          <w:rFonts w:ascii="Open Sans" w:eastAsia="Times New Roman" w:hAnsi="Open Sans" w:cs="Open Sans"/>
          <w:i/>
          <w:iCs/>
          <w:lang w:eastAsia="pl-PL"/>
        </w:rPr>
        <w:t xml:space="preserve">Rozporządzenie Komisji (UE) nr 2023/2831 z dnia 13 grudnia 2023 r. w sprawie stosowania art. 107 i 108 Traktatu o funkcjonowaniu Unii Europejskiej do pomocy de </w:t>
      </w:r>
      <w:proofErr w:type="spellStart"/>
      <w:r w:rsidRPr="00B16982">
        <w:rPr>
          <w:rFonts w:ascii="Open Sans" w:eastAsia="Times New Roman" w:hAnsi="Open Sans" w:cs="Open Sans"/>
          <w:i/>
          <w:iCs/>
          <w:lang w:eastAsia="pl-PL"/>
        </w:rPr>
        <w:t>minimis</w:t>
      </w:r>
      <w:proofErr w:type="spellEnd"/>
      <w:r w:rsidRPr="00B16982">
        <w:rPr>
          <w:rFonts w:ascii="Open Sans" w:eastAsia="Times New Roman" w:hAnsi="Open Sans" w:cs="Open Sans"/>
          <w:i/>
          <w:iCs/>
          <w:lang w:eastAsia="pl-PL"/>
        </w:rPr>
        <w:t xml:space="preserve"> (Dz. Urz. UE L, 2023/2831 z 15.12.2023) </w:t>
      </w:r>
      <w:r w:rsidRPr="00B16982">
        <w:rPr>
          <w:rFonts w:ascii="Open Sans" w:eastAsia="Times New Roman" w:hAnsi="Open Sans" w:cs="Open Sans"/>
          <w:lang w:eastAsia="pl-PL"/>
        </w:rPr>
        <w:t xml:space="preserve">nie warunkuje udzielenia pomocy od tego na co pomoc ma zostać przeznaczona. </w:t>
      </w:r>
    </w:p>
    <w:p w14:paraId="631483A9" w14:textId="6D4B674E" w:rsidR="002D627A" w:rsidRPr="004E25B4" w:rsidRDefault="00A17932" w:rsidP="00B16982">
      <w:pPr>
        <w:pStyle w:val="Akapitzlist"/>
        <w:numPr>
          <w:ilvl w:val="0"/>
          <w:numId w:val="5"/>
        </w:numPr>
        <w:spacing w:after="0" w:line="240" w:lineRule="auto"/>
        <w:rPr>
          <w:rFonts w:ascii="Open Sans" w:eastAsia="Times New Roman" w:hAnsi="Open Sans" w:cs="Open Sans"/>
          <w:b/>
          <w:bCs/>
          <w:lang w:eastAsia="pl-PL"/>
        </w:rPr>
      </w:pPr>
      <w:r w:rsidRPr="004E25B4">
        <w:rPr>
          <w:rFonts w:ascii="Open Sans" w:eastAsia="Times New Roman" w:hAnsi="Open Sans" w:cs="Open Sans"/>
          <w:b/>
          <w:bCs/>
          <w:lang w:eastAsia="pl-PL"/>
        </w:rPr>
        <w:t>Czy do objęcia pomocą na inwestycje będzie wybudowanie nowej instalacji OZE (PC+PV) dla każdego budynku zamiast dostawy ciepła z lokalnej sieci ciepłowniczej</w:t>
      </w:r>
      <w:r w:rsidR="00B225AE" w:rsidRPr="004E25B4">
        <w:rPr>
          <w:rFonts w:ascii="Open Sans" w:eastAsia="Times New Roman" w:hAnsi="Open Sans" w:cs="Open Sans"/>
          <w:b/>
          <w:bCs/>
          <w:lang w:eastAsia="pl-PL"/>
        </w:rPr>
        <w:t>?</w:t>
      </w:r>
    </w:p>
    <w:p w14:paraId="52F3290B" w14:textId="77777777" w:rsidR="004E25B4" w:rsidRPr="004E25B4" w:rsidRDefault="004E25B4" w:rsidP="004E25B4">
      <w:pPr>
        <w:spacing w:after="360" w:line="240" w:lineRule="auto"/>
        <w:rPr>
          <w:rFonts w:ascii="Open Sans" w:eastAsia="Times New Roman" w:hAnsi="Open Sans" w:cs="Open Sans"/>
          <w:b/>
          <w:bCs/>
          <w:lang w:eastAsia="pl-PL"/>
        </w:rPr>
      </w:pPr>
      <w:r w:rsidRPr="004E25B4">
        <w:rPr>
          <w:rFonts w:ascii="Open Sans" w:eastAsia="Times New Roman" w:hAnsi="Open Sans" w:cs="Open Sans"/>
          <w:lang w:eastAsia="pl-PL"/>
        </w:rPr>
        <w:t xml:space="preserve">Obowiązujące dla naboru przepisy pomocy publicznej umożliwiają udzielanie w odniesieniu do instalacji OZE zarówno pomocy horyzontalnej na ochronę środowiska jak i pomocy de </w:t>
      </w:r>
      <w:proofErr w:type="spellStart"/>
      <w:r w:rsidRPr="004E25B4">
        <w:rPr>
          <w:rFonts w:ascii="Open Sans" w:eastAsia="Times New Roman" w:hAnsi="Open Sans" w:cs="Open Sans"/>
          <w:lang w:eastAsia="pl-PL"/>
        </w:rPr>
        <w:t>minimis</w:t>
      </w:r>
      <w:proofErr w:type="spellEnd"/>
      <w:r w:rsidRPr="004E25B4">
        <w:rPr>
          <w:rFonts w:ascii="Open Sans" w:eastAsia="Times New Roman" w:hAnsi="Open Sans" w:cs="Open Sans"/>
          <w:lang w:eastAsia="pl-PL"/>
        </w:rPr>
        <w:t>.</w:t>
      </w:r>
    </w:p>
    <w:p w14:paraId="250BCAD4" w14:textId="5E1B28A5" w:rsidR="00B225AE" w:rsidRPr="0083322E" w:rsidRDefault="00B225AE" w:rsidP="004E25B4">
      <w:pPr>
        <w:pStyle w:val="Akapitzlist"/>
        <w:numPr>
          <w:ilvl w:val="0"/>
          <w:numId w:val="5"/>
        </w:numPr>
        <w:spacing w:after="0" w:line="240" w:lineRule="auto"/>
        <w:rPr>
          <w:rFonts w:ascii="Open Sans" w:eastAsia="Times New Roman" w:hAnsi="Open Sans" w:cs="Open Sans"/>
          <w:b/>
          <w:bCs/>
          <w:lang w:eastAsia="pl-PL"/>
        </w:rPr>
      </w:pPr>
      <w:r w:rsidRPr="0083322E">
        <w:rPr>
          <w:rFonts w:ascii="Open Sans" w:eastAsia="Times New Roman" w:hAnsi="Open Sans" w:cs="Open Sans"/>
          <w:b/>
          <w:bCs/>
          <w:lang w:eastAsia="pl-PL"/>
        </w:rPr>
        <w:t>C</w:t>
      </w:r>
      <w:r w:rsidR="00A17932" w:rsidRPr="0083322E">
        <w:rPr>
          <w:rFonts w:ascii="Open Sans" w:eastAsia="Times New Roman" w:hAnsi="Open Sans" w:cs="Open Sans"/>
          <w:b/>
          <w:bCs/>
          <w:lang w:eastAsia="pl-PL"/>
        </w:rPr>
        <w:t xml:space="preserve">zy można omówić szerzej warunki braku występowania pomocy publicznej w projekcie? tj. fundusz remontowy oraz ewentualną </w:t>
      </w:r>
      <w:r w:rsidRPr="0083322E">
        <w:rPr>
          <w:rFonts w:ascii="Open Sans" w:eastAsia="Times New Roman" w:hAnsi="Open Sans" w:cs="Open Sans"/>
          <w:b/>
          <w:bCs/>
          <w:lang w:eastAsia="pl-PL"/>
        </w:rPr>
        <w:t>działalność</w:t>
      </w:r>
      <w:r w:rsidR="00A17932" w:rsidRPr="0083322E">
        <w:rPr>
          <w:rFonts w:ascii="Open Sans" w:eastAsia="Times New Roman" w:hAnsi="Open Sans" w:cs="Open Sans"/>
          <w:b/>
          <w:bCs/>
          <w:lang w:eastAsia="pl-PL"/>
        </w:rPr>
        <w:t xml:space="preserve"> komercyjną prowadzoną w budynku mieszkalnym?</w:t>
      </w:r>
    </w:p>
    <w:p w14:paraId="61896B4B"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Szczegółowe informacje w powyższym zakresie podane są w pomocy kontekstowej do polecenia zawierającego oświadczenie dotyczące pomocy publicznej, w zakładce wniosku „Oświadczenia”. Zgodnie z zasadami przyjętymi dla naboru dofinansowanie wnioskowane przez spółdzielnie mieszkaniowe zasadniczo stanowi pomoc publiczną, z zastrzeżeniem szczególnej sytuacji dot. funduszu remontowego. Jak wskazano w pomocy kontekstowej:</w:t>
      </w:r>
    </w:p>
    <w:p w14:paraId="6FE61075"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 xml:space="preserve">„Spółdzielnie mieszkaniowe mogą konkurować z innymi przedsiębiorcami prowadzącymi działalność na rynku budownictwa mieszkaniowego i zarządzania nieruchomościami. Jest to rynek otwarty na konkurencję, na którym funkcjonuje wielu przedsiębiorców, w tym także z innych państw członkowskich UE. Tym samym spółdzielnie zasadniczo podlegają przepisom dotyczącym pomocy publicznej (z reguły cała kwota dofinansowania będzie stanowiła pomoc publiczną). </w:t>
      </w:r>
    </w:p>
    <w:p w14:paraId="68124E24"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Mogą jednak wystąpić przypadki, w których analiza wystąpienia pomocy publicznej powinna być prowadzona nie na poziomie spółdzielni, lecz na poziomie poszczególnych członków spółdzielni korzystających z praw do lokalu w danym budynku. Dotyczy to sytuacji, gdy dla danego budynku prowadzony jest odrębny fundusz remontowy i zgromadzone na nim środki mogą być wykorzystane jedynie na działania dotyczące danego budynku (tj. nie mogą być wykorzystane na działania w innych budynkach). Wówczas korzyści wynikające z dofinansowania można przypisać członkom spółdzielni korzystającym z praw do lokalu w danym budynku, a nie spółdzielni. Jeżeli część powierzchni w danym budynku jest wykorzystywana do działalności gospodarczej, to część dofinansowania przypadająca na tę powierzchnię należy uznać za pomoc publiczną.</w:t>
      </w:r>
    </w:p>
    <w:p w14:paraId="214C9BD0"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W ramach wyjaśnień dotyczących pomocy publicznej spółdzielnia mieszkaniowa powinna w pierwszej kolejności odpowiedzieć na pytania:</w:t>
      </w:r>
    </w:p>
    <w:p w14:paraId="13024126"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lastRenderedPageBreak/>
        <w:t>- czy dla danego budynku prowadzony jest odrębny fundusz remontowy?</w:t>
      </w:r>
    </w:p>
    <w:p w14:paraId="588A0653"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 czy zasady tego funduszu wykluczają wykorzystanie środków na nim zgromadzonych na działania dotyczące innych budynków. Jeśli tak to do wniosku należy dołączyć dokument określający zasady prowadzenia i wykorzystania funduszu remontowego (np. regulamin funduszu remontowego)?</w:t>
      </w:r>
    </w:p>
    <w:p w14:paraId="42218ED8" w14:textId="77777777" w:rsidR="004700CB" w:rsidRPr="0083322E" w:rsidRDefault="004700CB" w:rsidP="004700CB">
      <w:pPr>
        <w:spacing w:after="0" w:line="240" w:lineRule="auto"/>
        <w:rPr>
          <w:rFonts w:ascii="Open Sans" w:eastAsia="Times New Roman" w:hAnsi="Open Sans" w:cs="Open Sans"/>
          <w:lang w:eastAsia="pl-PL"/>
        </w:rPr>
      </w:pPr>
      <w:r w:rsidRPr="0083322E">
        <w:rPr>
          <w:rFonts w:ascii="Open Sans" w:eastAsia="Times New Roman" w:hAnsi="Open Sans" w:cs="Open Sans"/>
          <w:lang w:eastAsia="pl-PL"/>
        </w:rPr>
        <w:t>Jeśli odpowiedź na co najmniej jedno z powyższych pytań jest negatywna, to całe dofinansowanie danego budynku należy uznać za pomoc publiczną.</w:t>
      </w:r>
    </w:p>
    <w:p w14:paraId="02D89169" w14:textId="77777777" w:rsidR="004700CB" w:rsidRPr="0083322E" w:rsidRDefault="004700CB" w:rsidP="00E461E0">
      <w:pPr>
        <w:spacing w:after="360" w:line="240" w:lineRule="auto"/>
        <w:rPr>
          <w:rFonts w:ascii="Open Sans" w:eastAsia="Times New Roman" w:hAnsi="Open Sans" w:cs="Open Sans"/>
          <w:b/>
          <w:bCs/>
          <w:lang w:eastAsia="pl-PL"/>
        </w:rPr>
      </w:pPr>
      <w:r w:rsidRPr="0083322E">
        <w:rPr>
          <w:rFonts w:ascii="Open Sans" w:eastAsia="Times New Roman" w:hAnsi="Open Sans" w:cs="Open Sans"/>
          <w:lang w:eastAsia="pl-PL"/>
        </w:rPr>
        <w:t>Jeśli odpowiedź na oba powyższe pytania jest pozytywna (i do wniosku załączono dokument określający zasady prowadzenia i wykorzystania funduszu remontowego, o którym mowa powyżej), to należy wskazać jaki procent powierzchni w danym budynku jest wykorzystywany do działalności gospodarczej (informacja taka powinna być przedstawiona dla każdego budynku). Jeśli nie przekracza on 20% to można uznać, że dofinansowanie danego budynku nie podlega zasadom pomocy publicznej. Jeśli natomiast udział ten przekracza 20%, to dofinansowanie w części przypadającej na powierzchnię wykorzystywaną do działalności gospodarczej stanowić będzie pomoc publiczną.</w:t>
      </w:r>
    </w:p>
    <w:p w14:paraId="5070F816" w14:textId="561871F4" w:rsidR="00B225AE" w:rsidRPr="0083322E" w:rsidRDefault="00BF2007" w:rsidP="004700CB">
      <w:pPr>
        <w:pStyle w:val="Akapitzlist"/>
        <w:numPr>
          <w:ilvl w:val="0"/>
          <w:numId w:val="5"/>
        </w:numPr>
        <w:spacing w:after="0" w:line="240" w:lineRule="auto"/>
        <w:rPr>
          <w:rFonts w:ascii="Open Sans" w:eastAsia="Times New Roman" w:hAnsi="Open Sans" w:cs="Open Sans"/>
          <w:b/>
          <w:bCs/>
          <w:lang w:eastAsia="pl-PL"/>
        </w:rPr>
      </w:pPr>
      <w:r w:rsidRPr="0083322E">
        <w:rPr>
          <w:rFonts w:ascii="Open Sans" w:eastAsia="Times New Roman" w:hAnsi="Open Sans" w:cs="Open Sans"/>
          <w:b/>
          <w:bCs/>
          <w:lang w:eastAsia="pl-PL"/>
        </w:rPr>
        <w:t>Czy Spółdzielnia mieszkaniowa zakładająca termomodernizację bloków mieszkalnych będzie potraktowana jako podmiot ubiegający się o pomoc publiczną? W jaki sposób wykluczyć istnienie pomocy publicznej?</w:t>
      </w:r>
    </w:p>
    <w:p w14:paraId="0482D35A" w14:textId="4B119CA8" w:rsidR="00280DC4" w:rsidRPr="0083322E" w:rsidRDefault="0083322E" w:rsidP="00280DC4">
      <w:pPr>
        <w:spacing w:after="360" w:line="240" w:lineRule="auto"/>
        <w:rPr>
          <w:rFonts w:ascii="Open Sans" w:eastAsia="Times New Roman" w:hAnsi="Open Sans" w:cs="Open Sans"/>
          <w:lang w:eastAsia="pl-PL"/>
        </w:rPr>
      </w:pPr>
      <w:r w:rsidRPr="0083322E">
        <w:rPr>
          <w:rFonts w:ascii="Open Sans" w:eastAsia="Times New Roman" w:hAnsi="Open Sans" w:cs="Open Sans"/>
          <w:lang w:eastAsia="pl-PL"/>
        </w:rPr>
        <w:t>Odpowiedź pod pytaniem 39.</w:t>
      </w:r>
    </w:p>
    <w:p w14:paraId="18EA525D" w14:textId="4796016D" w:rsidR="00B225AE" w:rsidRPr="00665955" w:rsidRDefault="00BF2007" w:rsidP="00280DC4">
      <w:pPr>
        <w:pStyle w:val="Akapitzlist"/>
        <w:numPr>
          <w:ilvl w:val="0"/>
          <w:numId w:val="5"/>
        </w:numPr>
        <w:spacing w:after="0" w:line="240" w:lineRule="auto"/>
        <w:rPr>
          <w:rFonts w:ascii="Open Sans" w:eastAsia="Times New Roman" w:hAnsi="Open Sans" w:cs="Open Sans"/>
          <w:b/>
          <w:bCs/>
          <w:lang w:eastAsia="pl-PL"/>
        </w:rPr>
      </w:pPr>
      <w:r w:rsidRPr="00665955">
        <w:rPr>
          <w:rFonts w:ascii="Open Sans" w:eastAsia="Times New Roman" w:hAnsi="Open Sans" w:cs="Open Sans"/>
          <w:b/>
          <w:bCs/>
          <w:lang w:eastAsia="pl-PL"/>
        </w:rPr>
        <w:t xml:space="preserve">Jeżeli przekracza się tylko jedną wielkość, roczna suma bilansowa przekracza 10 mln euro, a pozostałe wielkości są w limitach małego </w:t>
      </w:r>
      <w:proofErr w:type="spellStart"/>
      <w:r w:rsidRPr="00665955">
        <w:rPr>
          <w:rFonts w:ascii="Open Sans" w:eastAsia="Times New Roman" w:hAnsi="Open Sans" w:cs="Open Sans"/>
          <w:b/>
          <w:bCs/>
          <w:lang w:eastAsia="pl-PL"/>
        </w:rPr>
        <w:t>przeds.</w:t>
      </w:r>
      <w:proofErr w:type="spellEnd"/>
      <w:r w:rsidRPr="00665955">
        <w:rPr>
          <w:rFonts w:ascii="Open Sans" w:eastAsia="Times New Roman" w:hAnsi="Open Sans" w:cs="Open Sans"/>
          <w:b/>
          <w:bCs/>
          <w:lang w:eastAsia="pl-PL"/>
        </w:rPr>
        <w:t xml:space="preserve"> to wówczas do której grupy się zalicza?</w:t>
      </w:r>
    </w:p>
    <w:p w14:paraId="76431ACC" w14:textId="77777777" w:rsidR="00665955" w:rsidRPr="00665955" w:rsidRDefault="00665955" w:rsidP="00665955">
      <w:pPr>
        <w:spacing w:after="360" w:line="240" w:lineRule="auto"/>
        <w:rPr>
          <w:rFonts w:ascii="Open Sans" w:eastAsia="Times New Roman" w:hAnsi="Open Sans" w:cs="Open Sans"/>
          <w:b/>
          <w:bCs/>
          <w:lang w:eastAsia="pl-PL"/>
        </w:rPr>
      </w:pPr>
      <w:r w:rsidRPr="00665955">
        <w:rPr>
          <w:rFonts w:ascii="Open Sans" w:eastAsia="Times New Roman" w:hAnsi="Open Sans" w:cs="Open Sans"/>
          <w:lang w:eastAsia="pl-PL"/>
        </w:rPr>
        <w:t xml:space="preserve">W takim przypadku spełnione są wielkości charakterystyczne dla małego przedsiębiorstwa (o kwalifikacji decyduje niższa z danych finansowych branych pod uwagę (suma bilansowa lub przychody netto). Więcej informacji nt. wielkości przedsiębiorstwa jest dostępne m.in. na stronie https://www.gov.pl/web/nfosigw/wielkosc-przedsiebiorstwa2  </w:t>
      </w:r>
    </w:p>
    <w:p w14:paraId="7066829D" w14:textId="1BAA7B26" w:rsidR="00B225AE" w:rsidRPr="00665955" w:rsidRDefault="00BF2007" w:rsidP="00280DC4">
      <w:pPr>
        <w:pStyle w:val="Akapitzlist"/>
        <w:numPr>
          <w:ilvl w:val="0"/>
          <w:numId w:val="5"/>
        </w:numPr>
        <w:spacing w:after="0" w:line="240" w:lineRule="auto"/>
        <w:rPr>
          <w:rFonts w:ascii="Open Sans" w:eastAsia="Times New Roman" w:hAnsi="Open Sans" w:cs="Open Sans"/>
          <w:b/>
          <w:bCs/>
          <w:lang w:eastAsia="pl-PL"/>
        </w:rPr>
      </w:pPr>
      <w:r w:rsidRPr="00665955">
        <w:rPr>
          <w:rFonts w:ascii="Open Sans" w:eastAsia="Times New Roman" w:hAnsi="Open Sans" w:cs="Open Sans"/>
          <w:b/>
          <w:bCs/>
          <w:lang w:eastAsia="pl-PL"/>
        </w:rPr>
        <w:t>Czy przy ustalaniu wielkości MŚP liczą się powiązania osobowe (np. jedna osoba w zarządzie spółdzielni jak również udziałowcem/członkiem zarządu innego przedsiębiorstwa, lub ma własną działalność?</w:t>
      </w:r>
    </w:p>
    <w:p w14:paraId="1D45496A" w14:textId="77777777" w:rsidR="00665955" w:rsidRPr="00296CC8" w:rsidRDefault="00665955" w:rsidP="00665955">
      <w:pPr>
        <w:spacing w:after="360" w:line="240" w:lineRule="auto"/>
        <w:rPr>
          <w:rFonts w:ascii="Open Sans" w:eastAsia="Times New Roman" w:hAnsi="Open Sans" w:cs="Open Sans"/>
          <w:lang w:eastAsia="pl-PL"/>
        </w:rPr>
      </w:pPr>
      <w:bookmarkStart w:id="13" w:name="_Hlk179879965"/>
      <w:bookmarkEnd w:id="12"/>
      <w:r w:rsidRPr="00296CC8">
        <w:rPr>
          <w:rFonts w:ascii="Open Sans" w:eastAsia="Times New Roman" w:hAnsi="Open Sans" w:cs="Open Sans"/>
          <w:lang w:eastAsia="pl-PL"/>
        </w:rPr>
        <w:t xml:space="preserve">Przedsiębiorstwo powiązane należy rozumieć zgodnie z art. 3 ust. 3 załącznika I do rozporządzenia Komisji nr 651/2014 z dnia 17 czerwca 2014 r. uznającego niektóre rodzaje pomocy za zgodne z rynkiem wewnętrznym w zastosowaniu art. 107 i 108 Traktatu. Dla ustalenia wielkości przedsiębiorstwa znaczenie mają więc zarówno powiązania poprzez podmioty gospodarcze, jak i poprzez osoby fizyczne (prowadzące jednoosobową działalność gospodarczą, jak również nie prowadzące takiej działalności). Powiazanie odpowiada sytuacji gospodarczej przedsiębiorstw, które tworzą grupę, w której jedno przedsiębiorstwo kontroluje, bezpośrednio lub pośrednio, większość praw głosu w innym przedsiębiorstwie (za pośrednictwem umów lub, w niektórych przypadkach, osób fizycznych jako udziałowców) lub wywiera dominujący wpływ na to przedsiębiorstwo. </w:t>
      </w:r>
    </w:p>
    <w:p w14:paraId="27ADB028" w14:textId="024146C9" w:rsidR="00B225AE" w:rsidRPr="00553526" w:rsidRDefault="00BF2007" w:rsidP="00553526">
      <w:pPr>
        <w:pStyle w:val="Akapitzlist"/>
        <w:numPr>
          <w:ilvl w:val="0"/>
          <w:numId w:val="5"/>
        </w:numPr>
        <w:spacing w:after="0" w:line="240" w:lineRule="auto"/>
        <w:rPr>
          <w:rFonts w:ascii="Open Sans" w:eastAsia="Times New Roman" w:hAnsi="Open Sans" w:cs="Open Sans"/>
          <w:b/>
          <w:bCs/>
          <w:lang w:eastAsia="pl-PL"/>
        </w:rPr>
      </w:pPr>
      <w:r w:rsidRPr="00553526">
        <w:rPr>
          <w:rFonts w:ascii="Open Sans" w:eastAsia="Times New Roman" w:hAnsi="Open Sans" w:cs="Open Sans"/>
          <w:b/>
          <w:bCs/>
          <w:lang w:eastAsia="pl-PL"/>
        </w:rPr>
        <w:lastRenderedPageBreak/>
        <w:t>Proszę odnieść się szczegółowiej do dokumentów finansowych dotyczących spółdzielni mieszkaniowej</w:t>
      </w:r>
      <w:r w:rsidR="00B225AE" w:rsidRPr="00553526">
        <w:rPr>
          <w:rFonts w:ascii="Open Sans" w:eastAsia="Times New Roman" w:hAnsi="Open Sans" w:cs="Open Sans"/>
          <w:b/>
          <w:bCs/>
          <w:lang w:eastAsia="pl-PL"/>
        </w:rPr>
        <w:t>.</w:t>
      </w:r>
      <w:r w:rsidR="00A52733" w:rsidRPr="00553526">
        <w:rPr>
          <w:rFonts w:ascii="Open Sans" w:hAnsi="Open Sans" w:cs="Open Sans"/>
          <w:b/>
          <w:bCs/>
        </w:rPr>
        <w:t xml:space="preserve"> </w:t>
      </w:r>
    </w:p>
    <w:p w14:paraId="349F9C40" w14:textId="6FB2A7FA" w:rsidR="00555A8A" w:rsidRDefault="00F24731" w:rsidP="00555A8A">
      <w:pPr>
        <w:spacing w:after="360" w:line="240" w:lineRule="auto"/>
        <w:rPr>
          <w:rFonts w:ascii="Open Sans" w:hAnsi="Open Sans" w:cs="Open Sans"/>
        </w:rPr>
      </w:pPr>
      <w:r w:rsidRPr="00185D3C">
        <w:rPr>
          <w:rFonts w:ascii="Open Sans" w:hAnsi="Open Sans" w:cs="Open Sans"/>
        </w:rPr>
        <w:t xml:space="preserve">Dla Spółdzielni mieszkaniowej należy przedstawić sprawozdania finansowe za ostatnie 3 </w:t>
      </w:r>
      <w:r w:rsidRPr="00555A8A">
        <w:rPr>
          <w:rFonts w:ascii="Open Sans" w:eastAsia="Times New Roman" w:hAnsi="Open Sans" w:cs="Open Sans"/>
          <w:lang w:eastAsia="pl-PL"/>
        </w:rPr>
        <w:t>lata</w:t>
      </w:r>
      <w:r w:rsidRPr="00185D3C">
        <w:rPr>
          <w:rFonts w:ascii="Open Sans" w:hAnsi="Open Sans" w:cs="Open Sans"/>
        </w:rPr>
        <w:t>. Ponadto należy przedłożyć dokumenty dotyczące zbilansowania (jeśli dotyczy)</w:t>
      </w:r>
      <w:bookmarkStart w:id="14" w:name="_Hlk179890945"/>
      <w:r w:rsidR="00EE4041">
        <w:rPr>
          <w:rFonts w:ascii="Open Sans" w:hAnsi="Open Sans" w:cs="Open Sans"/>
        </w:rPr>
        <w:t>.</w:t>
      </w:r>
    </w:p>
    <w:p w14:paraId="606B675F" w14:textId="77777777" w:rsidR="00555A8A" w:rsidRDefault="00BF2007" w:rsidP="00555A8A">
      <w:pPr>
        <w:pStyle w:val="Akapitzlist"/>
        <w:numPr>
          <w:ilvl w:val="0"/>
          <w:numId w:val="5"/>
        </w:numPr>
        <w:spacing w:after="0" w:line="240" w:lineRule="auto"/>
        <w:rPr>
          <w:rFonts w:ascii="Open Sans" w:hAnsi="Open Sans" w:cs="Open Sans"/>
          <w:b/>
          <w:bCs/>
        </w:rPr>
      </w:pPr>
      <w:r w:rsidRPr="00555A8A">
        <w:rPr>
          <w:rFonts w:ascii="Open Sans" w:eastAsia="Times New Roman" w:hAnsi="Open Sans" w:cs="Open Sans"/>
          <w:b/>
          <w:bCs/>
          <w:lang w:eastAsia="pl-PL"/>
        </w:rPr>
        <w:t>Czy w przypadku niesporządzania RPP - nie było takiego obowiązku, to na potrzeby wniosku należy je sporządzić z ostatnich trzech lat?</w:t>
      </w:r>
      <w:r w:rsidR="00A52733" w:rsidRPr="00555A8A">
        <w:rPr>
          <w:rFonts w:ascii="Open Sans" w:hAnsi="Open Sans" w:cs="Open Sans"/>
          <w:b/>
          <w:bCs/>
        </w:rPr>
        <w:t xml:space="preserve"> </w:t>
      </w:r>
    </w:p>
    <w:p w14:paraId="45774B87" w14:textId="42CDE40D" w:rsidR="00F24731" w:rsidRPr="00555A8A" w:rsidRDefault="00F24731" w:rsidP="00E57880">
      <w:pPr>
        <w:spacing w:after="360" w:line="240" w:lineRule="auto"/>
        <w:rPr>
          <w:rFonts w:ascii="Open Sans" w:hAnsi="Open Sans" w:cs="Open Sans"/>
          <w:b/>
          <w:bCs/>
        </w:rPr>
      </w:pPr>
      <w:r w:rsidRPr="00555A8A">
        <w:rPr>
          <w:rFonts w:ascii="Open Sans" w:eastAsia="Times New Roman" w:hAnsi="Open Sans" w:cs="Open Sans"/>
          <w:lang w:eastAsia="pl-PL"/>
        </w:rPr>
        <w:t>Tak należy sporządzić RPP na potrzeby wniosku</w:t>
      </w:r>
      <w:r w:rsidR="00EE4041">
        <w:rPr>
          <w:rFonts w:ascii="Open Sans" w:eastAsia="Times New Roman" w:hAnsi="Open Sans" w:cs="Open Sans"/>
          <w:lang w:eastAsia="pl-PL"/>
        </w:rPr>
        <w:t>.</w:t>
      </w:r>
    </w:p>
    <w:p w14:paraId="6BBADF91" w14:textId="12020330" w:rsidR="00B225AE" w:rsidRPr="00E57880" w:rsidRDefault="00322F6B" w:rsidP="00E57880">
      <w:pPr>
        <w:pStyle w:val="Akapitzlist"/>
        <w:numPr>
          <w:ilvl w:val="0"/>
          <w:numId w:val="5"/>
        </w:numPr>
        <w:spacing w:after="0" w:line="240" w:lineRule="auto"/>
        <w:rPr>
          <w:rFonts w:ascii="Open Sans" w:eastAsia="Times New Roman" w:hAnsi="Open Sans" w:cs="Open Sans"/>
          <w:b/>
          <w:bCs/>
          <w:lang w:eastAsia="pl-PL"/>
        </w:rPr>
      </w:pPr>
      <w:r w:rsidRPr="00E57880">
        <w:rPr>
          <w:rFonts w:ascii="Open Sans" w:eastAsia="Times New Roman" w:hAnsi="Open Sans" w:cs="Open Sans"/>
          <w:b/>
          <w:bCs/>
          <w:lang w:eastAsia="pl-PL"/>
        </w:rPr>
        <w:t>Czy wyciągi bankowe z konta mają być potwierdzone przez bank czy wystarczy wyciąg podpisany przez spółdzielnię</w:t>
      </w:r>
      <w:r w:rsidR="00B225AE" w:rsidRPr="00E57880">
        <w:rPr>
          <w:rFonts w:ascii="Open Sans" w:eastAsia="Times New Roman" w:hAnsi="Open Sans" w:cs="Open Sans"/>
          <w:b/>
          <w:bCs/>
          <w:lang w:eastAsia="pl-PL"/>
        </w:rPr>
        <w:t>?</w:t>
      </w:r>
      <w:r w:rsidR="00A52733" w:rsidRPr="00E57880">
        <w:rPr>
          <w:rFonts w:ascii="Open Sans" w:hAnsi="Open Sans" w:cs="Open Sans"/>
          <w:b/>
          <w:bCs/>
        </w:rPr>
        <w:t xml:space="preserve"> </w:t>
      </w:r>
    </w:p>
    <w:p w14:paraId="282AF4CC" w14:textId="3F1925DA" w:rsidR="00642F3D" w:rsidRPr="00E57880" w:rsidRDefault="00642F3D" w:rsidP="00EE4041">
      <w:pPr>
        <w:spacing w:after="360" w:line="240" w:lineRule="auto"/>
        <w:rPr>
          <w:rFonts w:ascii="Open Sans" w:eastAsia="Times New Roman" w:hAnsi="Open Sans" w:cs="Open Sans"/>
          <w:color w:val="FF0000"/>
          <w:lang w:eastAsia="pl-PL"/>
        </w:rPr>
      </w:pPr>
      <w:r w:rsidRPr="00E57880">
        <w:rPr>
          <w:rFonts w:ascii="Open Sans" w:eastAsia="Times New Roman" w:hAnsi="Open Sans" w:cs="Open Sans"/>
          <w:lang w:eastAsia="pl-PL"/>
        </w:rPr>
        <w:t>Można przedłożyć wyciąg z konta bankowego potwierdzony tylko przez spółdzielnię</w:t>
      </w:r>
      <w:r w:rsidR="00EE4041">
        <w:rPr>
          <w:rFonts w:ascii="Open Sans" w:eastAsia="Times New Roman" w:hAnsi="Open Sans" w:cs="Open Sans"/>
          <w:lang w:eastAsia="pl-PL"/>
        </w:rPr>
        <w:t>.</w:t>
      </w:r>
    </w:p>
    <w:bookmarkEnd w:id="14"/>
    <w:p w14:paraId="7B1FA573" w14:textId="40873ACB" w:rsidR="00B225AE" w:rsidRPr="00EE4041" w:rsidRDefault="00413602" w:rsidP="00EE4041">
      <w:pPr>
        <w:pStyle w:val="Akapitzlist"/>
        <w:numPr>
          <w:ilvl w:val="0"/>
          <w:numId w:val="5"/>
        </w:numPr>
        <w:spacing w:after="0" w:line="240" w:lineRule="auto"/>
        <w:rPr>
          <w:rFonts w:ascii="Open Sans" w:eastAsia="Times New Roman" w:hAnsi="Open Sans" w:cs="Open Sans"/>
          <w:b/>
          <w:bCs/>
          <w:lang w:eastAsia="pl-PL"/>
        </w:rPr>
      </w:pPr>
      <w:r w:rsidRPr="00EE4041">
        <w:rPr>
          <w:rFonts w:ascii="Open Sans" w:eastAsia="Times New Roman" w:hAnsi="Open Sans" w:cs="Open Sans"/>
          <w:b/>
          <w:bCs/>
          <w:lang w:eastAsia="pl-PL"/>
        </w:rPr>
        <w:t>Proszę o opis szczegółowy metodologii oceny wskaźników FNPV/C oraz FRR/C</w:t>
      </w:r>
      <w:r w:rsidR="00B225AE" w:rsidRPr="00EE4041">
        <w:rPr>
          <w:rFonts w:ascii="Open Sans" w:eastAsia="Times New Roman" w:hAnsi="Open Sans" w:cs="Open Sans"/>
          <w:b/>
          <w:bCs/>
          <w:lang w:eastAsia="pl-PL"/>
        </w:rPr>
        <w:t>.</w:t>
      </w:r>
      <w:r w:rsidR="00A52733" w:rsidRPr="00EE4041">
        <w:rPr>
          <w:rFonts w:ascii="Open Sans" w:eastAsia="Times New Roman" w:hAnsi="Open Sans" w:cs="Open Sans"/>
          <w:b/>
          <w:bCs/>
          <w:lang w:eastAsia="pl-PL"/>
        </w:rPr>
        <w:t xml:space="preserve"> </w:t>
      </w:r>
    </w:p>
    <w:p w14:paraId="22F9964C" w14:textId="52870CCB" w:rsidR="00642F3D" w:rsidRPr="00185D3C" w:rsidRDefault="00642F3D" w:rsidP="00EE4041">
      <w:pPr>
        <w:spacing w:after="360" w:line="240" w:lineRule="auto"/>
        <w:rPr>
          <w:rFonts w:ascii="Open Sans" w:hAnsi="Open Sans" w:cs="Open Sans"/>
        </w:rPr>
      </w:pPr>
      <w:r w:rsidRPr="00185D3C">
        <w:rPr>
          <w:rFonts w:ascii="Open Sans" w:hAnsi="Open Sans" w:cs="Open Sans"/>
        </w:rPr>
        <w:t>Dokładna sposób liczenia wskaźników FNPV/C i FRR/c jest określony w podręcznikach do ekonomii. Tabela T-5 jest przykładem do wyliczania wskaźników. Generalnie FNPV/C jest to obecna wartość przepływów netto występujących na projekcie.</w:t>
      </w:r>
    </w:p>
    <w:bookmarkEnd w:id="13"/>
    <w:p w14:paraId="081B1CA6" w14:textId="7EBBB7C6" w:rsidR="002D627A" w:rsidRPr="00EE4041" w:rsidRDefault="00413602" w:rsidP="00EE4041">
      <w:pPr>
        <w:pStyle w:val="Akapitzlist"/>
        <w:numPr>
          <w:ilvl w:val="0"/>
          <w:numId w:val="5"/>
        </w:numPr>
        <w:spacing w:after="0" w:line="240" w:lineRule="auto"/>
        <w:rPr>
          <w:rFonts w:ascii="Open Sans" w:eastAsia="Times New Roman" w:hAnsi="Open Sans" w:cs="Open Sans"/>
          <w:b/>
          <w:bCs/>
          <w:lang w:eastAsia="pl-PL"/>
        </w:rPr>
      </w:pPr>
      <w:r w:rsidRPr="00EE4041">
        <w:rPr>
          <w:rFonts w:ascii="Open Sans" w:eastAsia="Times New Roman" w:hAnsi="Open Sans" w:cs="Open Sans"/>
          <w:b/>
          <w:bCs/>
          <w:lang w:eastAsia="pl-PL"/>
        </w:rPr>
        <w:t>W jaki sposób obliczana jest wysokość marży do bazy oprocentowania pożyczki NFOŚ wynoszącej aktualnie 5,68%</w:t>
      </w:r>
      <w:r w:rsidR="00B225AE" w:rsidRPr="00EE4041">
        <w:rPr>
          <w:rFonts w:ascii="Open Sans" w:eastAsia="Times New Roman" w:hAnsi="Open Sans" w:cs="Open Sans"/>
          <w:b/>
          <w:bCs/>
          <w:lang w:eastAsia="pl-PL"/>
        </w:rPr>
        <w:t>?</w:t>
      </w:r>
      <w:r w:rsidRPr="00EE4041">
        <w:rPr>
          <w:rFonts w:ascii="Open Sans" w:eastAsia="Times New Roman" w:hAnsi="Open Sans" w:cs="Open Sans"/>
          <w:b/>
          <w:bCs/>
          <w:lang w:eastAsia="pl-PL"/>
        </w:rPr>
        <w:t xml:space="preserve"> Wnioskodawcą jest spółdzielnia mieszkaniowa.</w:t>
      </w:r>
    </w:p>
    <w:p w14:paraId="6F6ED9E5" w14:textId="77777777" w:rsidR="001E73AE" w:rsidRPr="00EE4041" w:rsidRDefault="001E73AE" w:rsidP="00EE4041">
      <w:pPr>
        <w:spacing w:after="0" w:line="240" w:lineRule="auto"/>
        <w:rPr>
          <w:rFonts w:ascii="Open Sans" w:eastAsia="Times New Roman" w:hAnsi="Open Sans" w:cs="Open Sans"/>
          <w:lang w:eastAsia="pl-PL"/>
        </w:rPr>
      </w:pPr>
      <w:r w:rsidRPr="00EE4041">
        <w:rPr>
          <w:rFonts w:ascii="Open Sans" w:eastAsia="Times New Roman" w:hAnsi="Open Sans" w:cs="Open Sans"/>
          <w:lang w:eastAsia="pl-PL"/>
        </w:rPr>
        <w:t>Pożyczka NFOŚiGW jest to pożyczka rynkowa. Zgodnie z programem priorytetowym oprocentowanie pożyczki NFOŚiGW odpowiada oprocentowaniu na poziomie stopy referencyjnej ustalanej zgodnie z komunikatem Komisji Europejskiej w sprawie zmiany metody ustalania stóp referencyjnych i dyskontowych (Dz. Urz. UE C 14, 19.01.2008,str.6). W przypadku pożyczek na warunkach rynkowych udzielanych Wnioskodawcy będącemu spółką nowoutworzoną lub specjalnego przeznaczenia, dla której nie można określić ratingu na podstawie danych finansowych dotyczących jej dotychczasowej działalności, przyjmowany jest rating najniższy. Jeżeli podmiot dominujący wobec Wnioskodawcy udziela pełnej, bezwarunkowej i płatnej na pierwsze żądanie gwarancji spłaty pożyczki, wówczas może być zastosowane oprocentowanie wynikające z ratingu, o którym mowa w ww. Komunikacie, o jedną kategorię niższego od kategorii ratingu właściwego dla podmiotu dominującego.</w:t>
      </w:r>
    </w:p>
    <w:p w14:paraId="0AAA1F81" w14:textId="77777777" w:rsidR="001E73AE" w:rsidRPr="00EE4041" w:rsidRDefault="001E73AE" w:rsidP="00EE4041">
      <w:pPr>
        <w:spacing w:after="0" w:line="240" w:lineRule="auto"/>
        <w:rPr>
          <w:rFonts w:ascii="Open Sans" w:eastAsia="Times New Roman" w:hAnsi="Open Sans" w:cs="Open Sans"/>
          <w:lang w:eastAsia="pl-PL"/>
        </w:rPr>
      </w:pPr>
      <w:r w:rsidRPr="00EE4041">
        <w:rPr>
          <w:rFonts w:ascii="Open Sans" w:eastAsia="Times New Roman" w:hAnsi="Open Sans" w:cs="Open Sans"/>
          <w:lang w:eastAsia="pl-PL"/>
        </w:rPr>
        <w:t>Stopę referencyjną ustala się poprzez dodanie do stopy bazowej odpowiedniej marży określonej w Komunikacie KE. Informacje nt. bieżącej wysokości stopy bazowej publikowane są ma stronie: https://uokik.gov.pl/wyjasnienia-wzory-oraz-pomocne-pliki. Wysokość marży, wyrażonej w punktach bazowych, ustalana jest w oparciu o dwa kryteria:</w:t>
      </w:r>
    </w:p>
    <w:p w14:paraId="3B874E56" w14:textId="77777777" w:rsidR="001E73AE" w:rsidRPr="00EE4041" w:rsidRDefault="001E73AE" w:rsidP="00EE4041">
      <w:pPr>
        <w:spacing w:after="0" w:line="240" w:lineRule="auto"/>
        <w:rPr>
          <w:rFonts w:ascii="Open Sans" w:eastAsia="Times New Roman" w:hAnsi="Open Sans" w:cs="Open Sans"/>
          <w:lang w:eastAsia="pl-PL"/>
        </w:rPr>
      </w:pPr>
      <w:r w:rsidRPr="00EE4041">
        <w:rPr>
          <w:rFonts w:ascii="Open Sans" w:eastAsia="Times New Roman" w:hAnsi="Open Sans" w:cs="Open Sans"/>
          <w:lang w:eastAsia="pl-PL"/>
        </w:rPr>
        <w:t>- tzw. rating, który może być ustalony w oparciu o sytuację ekonomiczno-finansową przedsiębiorcy (w szczególności jego zdolność kredytową, wypłacalność) oraz</w:t>
      </w:r>
    </w:p>
    <w:p w14:paraId="50D5151B" w14:textId="77777777" w:rsidR="001E73AE" w:rsidRPr="00EE4041" w:rsidRDefault="001E73AE" w:rsidP="00EE4041">
      <w:pPr>
        <w:spacing w:after="0" w:line="240" w:lineRule="auto"/>
        <w:rPr>
          <w:rFonts w:ascii="Open Sans" w:eastAsia="Times New Roman" w:hAnsi="Open Sans" w:cs="Open Sans"/>
          <w:lang w:eastAsia="pl-PL"/>
        </w:rPr>
      </w:pPr>
      <w:r w:rsidRPr="00EE4041">
        <w:rPr>
          <w:rFonts w:ascii="Open Sans" w:eastAsia="Times New Roman" w:hAnsi="Open Sans" w:cs="Open Sans"/>
          <w:lang w:eastAsia="pl-PL"/>
        </w:rPr>
        <w:t>- poziom zabezpieczeń związanych z udzieleniem pożyczki.</w:t>
      </w:r>
    </w:p>
    <w:p w14:paraId="19977AD0" w14:textId="77777777" w:rsidR="001E73AE" w:rsidRPr="00EE4041" w:rsidRDefault="001E73AE" w:rsidP="00EE4041">
      <w:pPr>
        <w:spacing w:after="0" w:line="240" w:lineRule="auto"/>
        <w:rPr>
          <w:rFonts w:ascii="Open Sans" w:eastAsia="Times New Roman" w:hAnsi="Open Sans" w:cs="Open Sans"/>
          <w:lang w:eastAsia="pl-PL"/>
        </w:rPr>
      </w:pPr>
      <w:r w:rsidRPr="00EE4041">
        <w:rPr>
          <w:rFonts w:ascii="Open Sans" w:eastAsia="Times New Roman" w:hAnsi="Open Sans" w:cs="Open Sans"/>
          <w:lang w:eastAsia="pl-PL"/>
        </w:rPr>
        <w:t>Rating ustalany jest indywidualnie dla każdego wnioskodawcy, natomiast poziom zabezpieczeń dla pożyczek NFOŚiGW jest przyjmowany jako wysoki.</w:t>
      </w:r>
    </w:p>
    <w:p w14:paraId="2E2B3489" w14:textId="634F3468" w:rsidR="001E73AE" w:rsidRPr="00EE4041" w:rsidRDefault="001E73AE" w:rsidP="00EE4041">
      <w:pPr>
        <w:spacing w:after="360" w:line="240" w:lineRule="auto"/>
        <w:rPr>
          <w:rFonts w:ascii="Open Sans" w:eastAsia="Times New Roman" w:hAnsi="Open Sans" w:cs="Open Sans"/>
          <w:lang w:eastAsia="pl-PL"/>
        </w:rPr>
      </w:pPr>
      <w:r w:rsidRPr="00EE4041">
        <w:rPr>
          <w:rFonts w:ascii="Open Sans" w:eastAsia="Times New Roman" w:hAnsi="Open Sans" w:cs="Open Sans"/>
          <w:lang w:eastAsia="pl-PL"/>
        </w:rPr>
        <w:t>Więcej informacji, w tym kalkulator ratingu jest dostępny na stronie: https://www.gov.pl/web/nfosigw/kalkulatory-pomocy-publicznej.</w:t>
      </w:r>
    </w:p>
    <w:p w14:paraId="51B1E0A7" w14:textId="54AE1E83" w:rsidR="00B225AE" w:rsidRPr="00EE4041" w:rsidRDefault="005F3901" w:rsidP="00EE4041">
      <w:pPr>
        <w:pStyle w:val="Akapitzlist"/>
        <w:numPr>
          <w:ilvl w:val="0"/>
          <w:numId w:val="5"/>
        </w:numPr>
        <w:spacing w:after="0" w:line="240" w:lineRule="auto"/>
        <w:rPr>
          <w:rFonts w:ascii="Open Sans" w:eastAsia="Times New Roman" w:hAnsi="Open Sans" w:cs="Open Sans"/>
          <w:b/>
          <w:bCs/>
          <w:lang w:eastAsia="pl-PL"/>
        </w:rPr>
      </w:pPr>
      <w:r w:rsidRPr="00EE4041">
        <w:rPr>
          <w:rFonts w:ascii="Open Sans" w:eastAsia="Times New Roman" w:hAnsi="Open Sans" w:cs="Open Sans"/>
          <w:b/>
          <w:bCs/>
          <w:lang w:eastAsia="pl-PL"/>
        </w:rPr>
        <w:lastRenderedPageBreak/>
        <w:t>Umowa z odbiorcami wsparcia - kiedy będą udostępnione wzory umowy, aby można było się z nimi zapoznać przed złożeniem wniosku?</w:t>
      </w:r>
    </w:p>
    <w:p w14:paraId="0BE3CC74" w14:textId="7AEEFF9C" w:rsidR="0067278E" w:rsidRPr="00185D3C" w:rsidRDefault="0067278E" w:rsidP="00274EE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Umowa zostanie upubliczniona po jej zatwierdzeniu. </w:t>
      </w:r>
    </w:p>
    <w:p w14:paraId="30045231" w14:textId="27E50037" w:rsidR="00B225AE" w:rsidRPr="00274EEF" w:rsidRDefault="005F3901" w:rsidP="00274EEF">
      <w:pPr>
        <w:pStyle w:val="Akapitzlist"/>
        <w:numPr>
          <w:ilvl w:val="0"/>
          <w:numId w:val="5"/>
        </w:numPr>
        <w:spacing w:after="0" w:line="240" w:lineRule="auto"/>
        <w:rPr>
          <w:rFonts w:ascii="Open Sans" w:eastAsia="Times New Roman" w:hAnsi="Open Sans" w:cs="Open Sans"/>
          <w:b/>
          <w:bCs/>
          <w:lang w:eastAsia="pl-PL"/>
        </w:rPr>
      </w:pPr>
      <w:bookmarkStart w:id="15" w:name="_Hlk179890334"/>
      <w:r w:rsidRPr="00274EEF">
        <w:rPr>
          <w:rFonts w:ascii="Open Sans" w:eastAsia="Times New Roman" w:hAnsi="Open Sans" w:cs="Open Sans"/>
          <w:b/>
          <w:bCs/>
          <w:lang w:eastAsia="pl-PL"/>
        </w:rPr>
        <w:t>Ogólnodostępna strona WWW" - proszę o informację, czy może to być strona internetowa Spółdzielni, czy np. ogólnodostępna baza zamówień?</w:t>
      </w:r>
      <w:r w:rsidR="00A52733" w:rsidRPr="00274EEF">
        <w:rPr>
          <w:rFonts w:ascii="Open Sans" w:eastAsia="Times New Roman" w:hAnsi="Open Sans" w:cs="Open Sans"/>
          <w:b/>
          <w:bCs/>
          <w:lang w:eastAsia="pl-PL"/>
        </w:rPr>
        <w:t xml:space="preserve"> </w:t>
      </w:r>
    </w:p>
    <w:p w14:paraId="39CC7F96" w14:textId="78A6D872" w:rsidR="00BD3965" w:rsidRPr="00185D3C" w:rsidRDefault="00BD3965" w:rsidP="00BD3965">
      <w:pPr>
        <w:rPr>
          <w:rFonts w:ascii="Open Sans" w:eastAsia="Times New Roman" w:hAnsi="Open Sans" w:cs="Open Sans"/>
          <w:lang w:eastAsia="pl-PL"/>
        </w:rPr>
      </w:pPr>
      <w:bookmarkStart w:id="16" w:name="_Hlk179893583"/>
      <w:r w:rsidRPr="00185D3C">
        <w:rPr>
          <w:rFonts w:ascii="Open Sans" w:eastAsia="Times New Roman" w:hAnsi="Open Sans" w:cs="Open Sans"/>
          <w:lang w:eastAsia="pl-PL"/>
        </w:rPr>
        <w:t xml:space="preserve">Rozporządzenie 2021/1060 oraz dokumenty programowe, w tym </w:t>
      </w:r>
      <w:r w:rsidRPr="00185D3C">
        <w:rPr>
          <w:rFonts w:ascii="Open Sans" w:eastAsia="Times New Roman" w:hAnsi="Open Sans" w:cs="Open Sans"/>
          <w:i/>
          <w:iCs/>
          <w:lang w:eastAsia="pl-PL"/>
        </w:rPr>
        <w:t xml:space="preserve">Wytyczne dotyczące kwalifikowalności wydatków na lata 2021-2027 </w:t>
      </w:r>
      <w:r w:rsidRPr="00185D3C">
        <w:rPr>
          <w:rFonts w:ascii="Open Sans" w:eastAsia="Times New Roman" w:hAnsi="Open Sans" w:cs="Open Sans"/>
          <w:lang w:eastAsia="pl-PL"/>
        </w:rPr>
        <w:t xml:space="preserve">nie wskazują zasad ponoszenia wydatków, w tym procedur zawierania umów, przez ostatecznych odbiorców w ramach instrumentów finansowych. Z pkt 2 lit. d) w rozdziale 1 </w:t>
      </w:r>
      <w:r w:rsidRPr="00185D3C">
        <w:rPr>
          <w:rFonts w:ascii="Open Sans" w:eastAsia="Times New Roman" w:hAnsi="Open Sans" w:cs="Open Sans"/>
          <w:i/>
          <w:iCs/>
          <w:lang w:eastAsia="pl-PL"/>
        </w:rPr>
        <w:t>Wytycznych</w:t>
      </w:r>
      <w:r w:rsidRPr="00185D3C">
        <w:rPr>
          <w:rFonts w:ascii="Open Sans" w:eastAsia="Times New Roman" w:hAnsi="Open Sans" w:cs="Open Sans"/>
          <w:lang w:eastAsia="pl-PL"/>
        </w:rPr>
        <w:t xml:space="preserve"> wynika, że </w:t>
      </w:r>
      <w:r w:rsidRPr="00185D3C">
        <w:rPr>
          <w:rFonts w:ascii="Open Sans" w:eastAsia="Times New Roman" w:hAnsi="Open Sans" w:cs="Open Sans"/>
          <w:b/>
          <w:bCs/>
          <w:lang w:eastAsia="pl-PL"/>
        </w:rPr>
        <w:t>nie mają zastosowania</w:t>
      </w:r>
      <w:r w:rsidRPr="00185D3C">
        <w:rPr>
          <w:rFonts w:ascii="Open Sans" w:eastAsia="Times New Roman" w:hAnsi="Open Sans" w:cs="Open Sans"/>
          <w:lang w:eastAsia="pl-PL"/>
        </w:rPr>
        <w:t xml:space="preserve"> do wydatków ponoszonych przez ostatecznych odbiorców, z zastrzeżeniem podrozdziału 3.5 VAT i 3.9 instrumenty finansowe. Natomiast zgodnie z wypracowanym międzyresortowo (z </w:t>
      </w:r>
      <w:proofErr w:type="spellStart"/>
      <w:r w:rsidRPr="00185D3C">
        <w:rPr>
          <w:rFonts w:ascii="Open Sans" w:eastAsia="Times New Roman" w:hAnsi="Open Sans" w:cs="Open Sans"/>
          <w:lang w:eastAsia="pl-PL"/>
        </w:rPr>
        <w:t>MFiPR</w:t>
      </w:r>
      <w:proofErr w:type="spellEnd"/>
      <w:r w:rsidRPr="00185D3C">
        <w:rPr>
          <w:rFonts w:ascii="Open Sans" w:eastAsia="Times New Roman" w:hAnsi="Open Sans" w:cs="Open Sans"/>
          <w:lang w:eastAsia="pl-PL"/>
        </w:rPr>
        <w:t xml:space="preserve"> i </w:t>
      </w:r>
      <w:proofErr w:type="spellStart"/>
      <w:r w:rsidRPr="00185D3C">
        <w:rPr>
          <w:rFonts w:ascii="Open Sans" w:eastAsia="Times New Roman" w:hAnsi="Open Sans" w:cs="Open Sans"/>
          <w:lang w:eastAsia="pl-PL"/>
        </w:rPr>
        <w:t>MKiŚ</w:t>
      </w:r>
      <w:proofErr w:type="spellEnd"/>
      <w:r w:rsidRPr="00185D3C">
        <w:rPr>
          <w:rFonts w:ascii="Open Sans" w:eastAsia="Times New Roman" w:hAnsi="Open Sans" w:cs="Open Sans"/>
          <w:lang w:eastAsia="pl-PL"/>
        </w:rPr>
        <w:t>) stanowiskiem w przypadku braku obowiązku stosowania ustawy Prawo zamówień publicznych muszą być stosowane zasady, które zobowiązują zamawiającego do: </w:t>
      </w:r>
    </w:p>
    <w:p w14:paraId="75477561" w14:textId="77777777" w:rsidR="00BD3965" w:rsidRPr="00185D3C" w:rsidRDefault="00BD3965" w:rsidP="00BD3965">
      <w:pPr>
        <w:pStyle w:val="Akapitzlist"/>
        <w:numPr>
          <w:ilvl w:val="0"/>
          <w:numId w:val="4"/>
        </w:numPr>
        <w:rPr>
          <w:rFonts w:ascii="Open Sans" w:eastAsia="Times New Roman" w:hAnsi="Open Sans" w:cs="Open Sans"/>
          <w:lang w:eastAsia="pl-PL"/>
        </w:rPr>
      </w:pPr>
      <w:r w:rsidRPr="00185D3C">
        <w:rPr>
          <w:rFonts w:ascii="Open Sans" w:eastAsia="Times New Roman" w:hAnsi="Open Sans" w:cs="Open Sans"/>
          <w:lang w:eastAsia="pl-PL"/>
        </w:rPr>
        <w:t>przygotowania i przeprowadzenia postępowania w sposób przejrzysty (</w:t>
      </w:r>
      <w:r w:rsidRPr="00185D3C">
        <w:rPr>
          <w:rFonts w:ascii="Open Sans" w:eastAsia="Times New Roman" w:hAnsi="Open Sans" w:cs="Open Sans"/>
          <w:b/>
          <w:bCs/>
          <w:lang w:eastAsia="pl-PL"/>
        </w:rPr>
        <w:t>tzn. zamawiający zobowiązany jest do zamieszczenia informacji o zamówieniu na ogólnodostępnej stronie internetowe</w:t>
      </w:r>
      <w:r w:rsidRPr="00185D3C">
        <w:rPr>
          <w:rFonts w:ascii="Open Sans" w:eastAsia="Times New Roman" w:hAnsi="Open Sans" w:cs="Open Sans"/>
          <w:lang w:eastAsia="pl-PL"/>
        </w:rPr>
        <w:t>j), proporcjonalny, zapewniający zachowanie uczciwej konkurencji oraz równe traktowanie wykonawców, </w:t>
      </w:r>
    </w:p>
    <w:p w14:paraId="516F0CEA" w14:textId="77777777" w:rsidR="00BD3965" w:rsidRPr="00185D3C" w:rsidRDefault="00BD3965" w:rsidP="00BD3965">
      <w:pPr>
        <w:pStyle w:val="Akapitzlist"/>
        <w:numPr>
          <w:ilvl w:val="0"/>
          <w:numId w:val="4"/>
        </w:numPr>
        <w:rPr>
          <w:rFonts w:ascii="Open Sans" w:eastAsia="Times New Roman" w:hAnsi="Open Sans" w:cs="Open Sans"/>
          <w:lang w:eastAsia="pl-PL"/>
        </w:rPr>
      </w:pPr>
      <w:r w:rsidRPr="00185D3C">
        <w:rPr>
          <w:rFonts w:ascii="Open Sans" w:eastAsia="Times New Roman" w:hAnsi="Open Sans" w:cs="Open Sans"/>
          <w:lang w:eastAsia="pl-PL"/>
        </w:rPr>
        <w:t xml:space="preserve">udzielenia zamówienia w sposób zapewniający uzyskanie najlepszych efektów zamówienia w stosunku do poniesionych nakładów, </w:t>
      </w:r>
    </w:p>
    <w:p w14:paraId="2C4F3E75" w14:textId="77777777" w:rsidR="00BD3965" w:rsidRPr="00185D3C" w:rsidRDefault="00BD3965" w:rsidP="00BD3965">
      <w:pPr>
        <w:pStyle w:val="Akapitzlist"/>
        <w:numPr>
          <w:ilvl w:val="0"/>
          <w:numId w:val="4"/>
        </w:numPr>
        <w:rPr>
          <w:rFonts w:ascii="Open Sans" w:eastAsia="Times New Roman" w:hAnsi="Open Sans" w:cs="Open Sans"/>
          <w:lang w:eastAsia="pl-PL"/>
        </w:rPr>
      </w:pPr>
      <w:r w:rsidRPr="00185D3C">
        <w:rPr>
          <w:rFonts w:ascii="Open Sans" w:eastAsia="Times New Roman" w:hAnsi="Open Sans" w:cs="Open Sans"/>
          <w:lang w:eastAsia="pl-PL"/>
        </w:rPr>
        <w:t>zawarcia umowy w formie pisemnej (chyba, że dla danej czynności zastrzeżona jest inna szczególna forma), </w:t>
      </w:r>
    </w:p>
    <w:p w14:paraId="017A0E81" w14:textId="0B257A72" w:rsidR="00BD3965" w:rsidRPr="00185D3C" w:rsidRDefault="00BD3965" w:rsidP="00BD3965">
      <w:pPr>
        <w:pStyle w:val="Akapitzlist"/>
        <w:numPr>
          <w:ilvl w:val="0"/>
          <w:numId w:val="4"/>
        </w:numPr>
        <w:rPr>
          <w:rFonts w:ascii="Open Sans" w:eastAsia="Times New Roman" w:hAnsi="Open Sans" w:cs="Open Sans"/>
          <w:lang w:eastAsia="pl-PL"/>
        </w:rPr>
      </w:pPr>
      <w:r w:rsidRPr="00185D3C">
        <w:rPr>
          <w:rFonts w:ascii="Open Sans" w:eastAsia="Times New Roman" w:hAnsi="Open Sans" w:cs="Open Sans"/>
          <w:lang w:eastAsia="pl-PL"/>
        </w:rPr>
        <w:t>zapewnienia, aby czynności związane z przygotowaniem oraz przeprowadzeniem postępowania o udzielenie zamówienia wykonywały osoby zapewniające bezstronność i obiektywizm.</w:t>
      </w:r>
    </w:p>
    <w:p w14:paraId="6BD31B66" w14:textId="624B5E9C" w:rsidR="00BD3965" w:rsidRPr="00185D3C" w:rsidRDefault="00BD3965" w:rsidP="00BD3965">
      <w:pPr>
        <w:rPr>
          <w:rFonts w:ascii="Open Sans" w:eastAsia="Times New Roman" w:hAnsi="Open Sans" w:cs="Open Sans"/>
          <w:lang w:eastAsia="pl-PL"/>
        </w:rPr>
      </w:pPr>
      <w:r w:rsidRPr="00185D3C">
        <w:rPr>
          <w:rFonts w:ascii="Open Sans" w:eastAsia="Times New Roman" w:hAnsi="Open Sans" w:cs="Open Sans"/>
          <w:lang w:eastAsia="pl-PL"/>
        </w:rPr>
        <w:t xml:space="preserve">Przedmiotowe zasady znajdą się w umowie z Ostatecznym Odbiorcą.  </w:t>
      </w:r>
    </w:p>
    <w:p w14:paraId="4FCE4E8E" w14:textId="0C897171" w:rsidR="00BD3965" w:rsidRPr="00185D3C" w:rsidRDefault="00BD3965" w:rsidP="00BD3965">
      <w:pPr>
        <w:rPr>
          <w:rFonts w:ascii="Open Sans" w:eastAsia="Times New Roman" w:hAnsi="Open Sans" w:cs="Open Sans"/>
          <w:lang w:eastAsia="pl-PL"/>
        </w:rPr>
      </w:pPr>
      <w:r w:rsidRPr="00185D3C">
        <w:rPr>
          <w:rFonts w:ascii="Open Sans" w:eastAsia="Times New Roman" w:hAnsi="Open Sans" w:cs="Open Sans"/>
          <w:lang w:eastAsia="pl-PL"/>
        </w:rPr>
        <w:t xml:space="preserve">Zgodnie z powyższym zamawiający zobowiązany jest do zamieszczenia informacji o zamówieniu na ogólnodostępnej stronie internetowej. Tym samym kierując się </w:t>
      </w:r>
      <w:r w:rsidRPr="00185D3C">
        <w:rPr>
          <w:rFonts w:ascii="Open Sans" w:eastAsia="Times New Roman" w:hAnsi="Open Sans" w:cs="Open Sans"/>
          <w:i/>
          <w:iCs/>
          <w:lang w:eastAsia="pl-PL"/>
        </w:rPr>
        <w:t>Komunikatem KE dot. prawa wspólnotowego obowiązującego w dziedzinie udzielania zamówień, które nie są lub są jedynie częściowo objęte dyrektywami w sprawie zamówień publicznych (2006/C 179/02)</w:t>
      </w:r>
      <w:r w:rsidRPr="00185D3C">
        <w:rPr>
          <w:rFonts w:ascii="Open Sans" w:eastAsia="Times New Roman" w:hAnsi="Open Sans" w:cs="Open Sans"/>
          <w:lang w:eastAsia="pl-PL"/>
        </w:rPr>
        <w:t xml:space="preserve"> jeżeli strona na której zostanie zamieszczone ogłoszenie będzie dostępna dla potencjalnych wykonawców, nie będzie miała ograniczeń np. technicznych dla wykonawców zagranicznych - przedmiotowy wymóg zostanie spełniony. Ogłoszenia na stronach internetowych podmiotu zamawiającego są elastyczne i efektywne pod względem kosztów. Powinny one być przedstawione w sposób zwracający uwagę potencjalnych oferentów na daną informację. Podmioty zamawiające mogą również rozważyć publikację informacji na temat przyszłego udzielania zamówień nieobjętych dyrektywami w sprawie zamówień publicznych w ramach swojego profilu nabywcy dostępnego w Internecie. Ogólna dostępność i łatwość wykorzystania Internetu sprawia, iż ogłoszenia o zamówieniach na stronach </w:t>
      </w:r>
      <w:r w:rsidRPr="00185D3C">
        <w:rPr>
          <w:rFonts w:ascii="Open Sans" w:eastAsia="Times New Roman" w:hAnsi="Open Sans" w:cs="Open Sans"/>
          <w:lang w:eastAsia="pl-PL"/>
        </w:rPr>
        <w:lastRenderedPageBreak/>
        <w:t xml:space="preserve">internetowych stają się o wiele bardziej dostępne, w szczególności dla przedsiębiorstw z innych państw członkowskich oraz MŚP poszukujących zamówień. </w:t>
      </w:r>
    </w:p>
    <w:p w14:paraId="08DB37D4" w14:textId="4007B28D" w:rsidR="00BD3965" w:rsidRPr="00185D3C" w:rsidRDefault="00BD3965" w:rsidP="00274EEF">
      <w:pPr>
        <w:spacing w:after="360" w:line="240" w:lineRule="auto"/>
        <w:rPr>
          <w:rFonts w:ascii="Open Sans" w:eastAsia="Times New Roman" w:hAnsi="Open Sans" w:cs="Open Sans"/>
          <w:lang w:eastAsia="pl-PL"/>
        </w:rPr>
      </w:pPr>
      <w:r w:rsidRPr="00185D3C">
        <w:rPr>
          <w:rFonts w:ascii="Open Sans" w:eastAsia="Times New Roman" w:hAnsi="Open Sans" w:cs="Open Sans"/>
          <w:lang w:eastAsia="pl-PL"/>
        </w:rPr>
        <w:t xml:space="preserve">Jeżeli zatem strona internetowa spółdzielni / ogólnodostępna baza zamówień będą wypełniać opisane powyżej uwarunkowania  to co do zasady mogłyby być odpowiednio zastosowane. </w:t>
      </w:r>
    </w:p>
    <w:bookmarkEnd w:id="15"/>
    <w:bookmarkEnd w:id="16"/>
    <w:p w14:paraId="30D1EE61" w14:textId="390B7E46" w:rsidR="00B225AE" w:rsidRPr="00274EEF" w:rsidRDefault="005F3901" w:rsidP="00274EEF">
      <w:pPr>
        <w:pStyle w:val="Akapitzlist"/>
        <w:numPr>
          <w:ilvl w:val="0"/>
          <w:numId w:val="5"/>
        </w:numPr>
        <w:spacing w:after="0" w:line="240" w:lineRule="auto"/>
        <w:rPr>
          <w:rFonts w:ascii="Open Sans" w:eastAsia="Times New Roman" w:hAnsi="Open Sans" w:cs="Open Sans"/>
          <w:b/>
          <w:bCs/>
          <w:lang w:eastAsia="pl-PL"/>
        </w:rPr>
      </w:pPr>
      <w:r w:rsidRPr="00274EEF">
        <w:rPr>
          <w:rFonts w:ascii="Open Sans" w:eastAsia="Times New Roman" w:hAnsi="Open Sans" w:cs="Open Sans"/>
          <w:b/>
          <w:bCs/>
          <w:lang w:eastAsia="pl-PL"/>
        </w:rPr>
        <w:t xml:space="preserve">Czy obligatoryjne jest przedstawienia uchwały Walnego Zgromadzenia Członków Spółdzielni </w:t>
      </w:r>
      <w:proofErr w:type="spellStart"/>
      <w:r w:rsidRPr="00274EEF">
        <w:rPr>
          <w:rFonts w:ascii="Open Sans" w:eastAsia="Times New Roman" w:hAnsi="Open Sans" w:cs="Open Sans"/>
          <w:b/>
          <w:bCs/>
          <w:lang w:eastAsia="pl-PL"/>
        </w:rPr>
        <w:t>ws</w:t>
      </w:r>
      <w:proofErr w:type="spellEnd"/>
      <w:r w:rsidRPr="00274EEF">
        <w:rPr>
          <w:rFonts w:ascii="Open Sans" w:eastAsia="Times New Roman" w:hAnsi="Open Sans" w:cs="Open Sans"/>
          <w:b/>
          <w:bCs/>
          <w:lang w:eastAsia="pl-PL"/>
        </w:rPr>
        <w:t>. najwyższej sumy zobowiązań, czy wystarczy uchwała Rady Nadzorczej zezwalająca na obciążenie nieruchomości</w:t>
      </w:r>
      <w:r w:rsidR="00B225AE" w:rsidRPr="00274EEF">
        <w:rPr>
          <w:rFonts w:ascii="Open Sans" w:eastAsia="Times New Roman" w:hAnsi="Open Sans" w:cs="Open Sans"/>
          <w:b/>
          <w:bCs/>
          <w:lang w:eastAsia="pl-PL"/>
        </w:rPr>
        <w:t>?</w:t>
      </w:r>
    </w:p>
    <w:p w14:paraId="3CCD1ECF" w14:textId="40B8186C" w:rsidR="00F51355" w:rsidRPr="00274EEF" w:rsidRDefault="00F51355" w:rsidP="00274EEF">
      <w:pPr>
        <w:spacing w:after="360" w:line="240" w:lineRule="auto"/>
        <w:rPr>
          <w:rFonts w:ascii="Open Sans" w:eastAsia="Times New Roman" w:hAnsi="Open Sans" w:cs="Open Sans"/>
          <w:lang w:eastAsia="pl-PL"/>
        </w:rPr>
      </w:pPr>
      <w:bookmarkStart w:id="17" w:name="_Hlk179893529"/>
      <w:r w:rsidRPr="00274EEF">
        <w:rPr>
          <w:rFonts w:ascii="Open Sans" w:eastAsia="Times New Roman" w:hAnsi="Open Sans" w:cs="Open Sans"/>
          <w:lang w:eastAsia="pl-PL"/>
        </w:rPr>
        <w:t>Proszę o dołączenie dokumentów</w:t>
      </w:r>
      <w:r w:rsidR="00906966" w:rsidRPr="00274EEF">
        <w:rPr>
          <w:rFonts w:ascii="Open Sans" w:eastAsia="Times New Roman" w:hAnsi="Open Sans" w:cs="Open Sans"/>
          <w:lang w:eastAsia="pl-PL"/>
        </w:rPr>
        <w:t xml:space="preserve">, które są w </w:t>
      </w:r>
      <w:r w:rsidRPr="00274EEF">
        <w:rPr>
          <w:rFonts w:ascii="Open Sans" w:eastAsia="Times New Roman" w:hAnsi="Open Sans" w:cs="Open Sans"/>
          <w:lang w:eastAsia="pl-PL"/>
        </w:rPr>
        <w:t>zgo</w:t>
      </w:r>
      <w:r w:rsidR="00906966" w:rsidRPr="00274EEF">
        <w:rPr>
          <w:rFonts w:ascii="Open Sans" w:eastAsia="Times New Roman" w:hAnsi="Open Sans" w:cs="Open Sans"/>
          <w:lang w:eastAsia="pl-PL"/>
        </w:rPr>
        <w:t>dzie</w:t>
      </w:r>
      <w:r w:rsidRPr="00274EEF">
        <w:rPr>
          <w:rFonts w:ascii="Open Sans" w:eastAsia="Times New Roman" w:hAnsi="Open Sans" w:cs="Open Sans"/>
          <w:lang w:eastAsia="pl-PL"/>
        </w:rPr>
        <w:t xml:space="preserve"> z</w:t>
      </w:r>
      <w:r w:rsidR="00906966" w:rsidRPr="00274EEF">
        <w:rPr>
          <w:rFonts w:ascii="Open Sans" w:eastAsia="Times New Roman" w:hAnsi="Open Sans" w:cs="Open Sans"/>
          <w:lang w:eastAsia="pl-PL"/>
        </w:rPr>
        <w:t>e</w:t>
      </w:r>
      <w:r w:rsidRPr="00274EEF">
        <w:rPr>
          <w:rFonts w:ascii="Open Sans" w:eastAsia="Times New Roman" w:hAnsi="Open Sans" w:cs="Open Sans"/>
          <w:lang w:eastAsia="pl-PL"/>
        </w:rPr>
        <w:t xml:space="preserve"> statutem Ostatecznego Odbiorcy Wsparcia. </w:t>
      </w:r>
    </w:p>
    <w:p w14:paraId="00B2CB25" w14:textId="3C3050E8" w:rsidR="005F3901" w:rsidRPr="00274EEF" w:rsidRDefault="00B225AE" w:rsidP="00274EEF">
      <w:pPr>
        <w:pStyle w:val="Akapitzlist"/>
        <w:numPr>
          <w:ilvl w:val="0"/>
          <w:numId w:val="5"/>
        </w:numPr>
        <w:spacing w:after="0" w:line="240" w:lineRule="auto"/>
        <w:rPr>
          <w:rFonts w:ascii="Open Sans" w:eastAsia="Times New Roman" w:hAnsi="Open Sans" w:cs="Open Sans"/>
          <w:b/>
          <w:bCs/>
          <w:lang w:eastAsia="pl-PL"/>
        </w:rPr>
      </w:pPr>
      <w:bookmarkStart w:id="18" w:name="_Hlk179890425"/>
      <w:bookmarkEnd w:id="17"/>
      <w:r w:rsidRPr="00274EEF">
        <w:rPr>
          <w:rFonts w:ascii="Open Sans" w:eastAsia="Times New Roman" w:hAnsi="Open Sans" w:cs="Open Sans"/>
          <w:b/>
          <w:bCs/>
          <w:lang w:eastAsia="pl-PL"/>
        </w:rPr>
        <w:t>C</w:t>
      </w:r>
      <w:r w:rsidR="005F3901" w:rsidRPr="00274EEF">
        <w:rPr>
          <w:rFonts w:ascii="Open Sans" w:eastAsia="Times New Roman" w:hAnsi="Open Sans" w:cs="Open Sans"/>
          <w:b/>
          <w:bCs/>
          <w:lang w:eastAsia="pl-PL"/>
        </w:rPr>
        <w:t>zy podanie w dokumentacji projektowej konkretnych materiałów z nazwy handlowej i producenta będzie skutkowało nałożeniem korekty finansowej?</w:t>
      </w:r>
      <w:r w:rsidR="00A52733" w:rsidRPr="00274EEF">
        <w:rPr>
          <w:rFonts w:ascii="Open Sans" w:eastAsia="Times New Roman" w:hAnsi="Open Sans" w:cs="Open Sans"/>
          <w:b/>
          <w:bCs/>
          <w:lang w:eastAsia="pl-PL"/>
        </w:rPr>
        <w:t xml:space="preserve"> </w:t>
      </w:r>
    </w:p>
    <w:bookmarkEnd w:id="18"/>
    <w:p w14:paraId="739D7FD4"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Zgodnie z art. 99 ust. 4, 5 i 6 ustawy Prawo zamówień publicznych</w:t>
      </w:r>
    </w:p>
    <w:p w14:paraId="7C3DD40F" w14:textId="77777777" w:rsidR="001A4D54" w:rsidRPr="00274EEF" w:rsidRDefault="001A4D54" w:rsidP="001A4D54">
      <w:pPr>
        <w:pStyle w:val="Akapitzlist"/>
        <w:spacing w:after="0" w:line="240" w:lineRule="auto"/>
        <w:ind w:left="284"/>
        <w:rPr>
          <w:rFonts w:ascii="Open Sans" w:eastAsia="Times New Roman" w:hAnsi="Open Sans" w:cs="Open Sans"/>
          <w:sz w:val="18"/>
          <w:szCs w:val="18"/>
          <w:lang w:eastAsia="pl-PL"/>
        </w:rPr>
      </w:pPr>
    </w:p>
    <w:p w14:paraId="6AFD40F4"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4.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10B1B413" w14:textId="77777777" w:rsidR="001A4D54" w:rsidRPr="00274EEF" w:rsidRDefault="001A4D54" w:rsidP="001A4D54">
      <w:pPr>
        <w:pStyle w:val="Akapitzlist"/>
        <w:spacing w:after="0" w:line="240" w:lineRule="auto"/>
        <w:ind w:left="284"/>
        <w:rPr>
          <w:rFonts w:ascii="Open Sans" w:eastAsia="Times New Roman" w:hAnsi="Open Sans" w:cs="Open Sans"/>
          <w:sz w:val="18"/>
          <w:szCs w:val="18"/>
          <w:lang w:eastAsia="pl-PL"/>
        </w:rPr>
      </w:pPr>
    </w:p>
    <w:p w14:paraId="0C55F1E1"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5.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582D0853" w14:textId="77777777" w:rsidR="001A4D54" w:rsidRPr="00274EEF" w:rsidRDefault="001A4D54" w:rsidP="001A4D54">
      <w:pPr>
        <w:pStyle w:val="Akapitzlist"/>
        <w:spacing w:after="0" w:line="240" w:lineRule="auto"/>
        <w:ind w:left="284"/>
        <w:rPr>
          <w:rFonts w:ascii="Open Sans" w:eastAsia="Times New Roman" w:hAnsi="Open Sans" w:cs="Open Sans"/>
          <w:sz w:val="18"/>
          <w:szCs w:val="18"/>
          <w:lang w:eastAsia="pl-PL"/>
        </w:rPr>
      </w:pPr>
    </w:p>
    <w:p w14:paraId="52A52BD9"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6. Jeżeli przedmiot zamówienia został opisany w sposób, o którym mowa w ust. 5, zamawiający wskazuje w opisie przedmiotu zamówienia kryteria stosowane w celu oceny równoważności.</w:t>
      </w:r>
    </w:p>
    <w:p w14:paraId="258FF98D" w14:textId="77777777" w:rsidR="001A4D54" w:rsidRPr="00274EEF" w:rsidRDefault="001A4D54" w:rsidP="001A4D54">
      <w:pPr>
        <w:pStyle w:val="Akapitzlist"/>
        <w:spacing w:after="0" w:line="240" w:lineRule="auto"/>
        <w:ind w:left="284"/>
        <w:rPr>
          <w:rFonts w:ascii="Open Sans" w:eastAsia="Times New Roman" w:hAnsi="Open Sans" w:cs="Open Sans"/>
          <w:sz w:val="18"/>
          <w:szCs w:val="18"/>
          <w:lang w:eastAsia="pl-PL"/>
        </w:rPr>
      </w:pPr>
    </w:p>
    <w:p w14:paraId="1F656845"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Naruszenie zasady uczciwej konkurencji może przejawiać się w sposób bezpośredni, co najczęściej dotyczy określenia w opisie zamówienia nazw własnych wskazujących na konkretnego producenta lub produkt albo pośredni np. gdy nazwy własne nie są wskazane, ale opis parametrów produktu odpowiada konkretnemu jednemu produktowi.</w:t>
      </w:r>
    </w:p>
    <w:p w14:paraId="105DF4F0"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Nie jest również dopuszczalne opisywanie przedmiotu zamówienia na podstawie katalogów jednego producenta, opis taki bowiem również narusza zasadę konkurencyjności i równego dostępu do zamówienia.</w:t>
      </w:r>
    </w:p>
    <w:p w14:paraId="7F8A54CE"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W wyjątkowych przypadkach dopuszcza się stosowanie odniesień do nazwy handlowej i producenta, jeżeli niemożliwe jest opisanie przedmiotu zamówienia w wystarczająco precyzyjny i zrozumiały sposób należy jednakże dopuścić możliwość składania ofert zawierających rozwiązania równoważne.</w:t>
      </w:r>
    </w:p>
    <w:p w14:paraId="78E456D2"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lastRenderedPageBreak/>
        <w:t>Nie można wskazać jedynie ogólnego odesłania „lub równoważne” ale należy przy każdym znaku towarowym dopisać sformułowanie „lub równoważne” i opisać zakres równoważności.</w:t>
      </w:r>
    </w:p>
    <w:p w14:paraId="6AE3BD62"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W przypadku braku obowiązku stosowania ustawy Prawo zamówień publicznych muszą być stosowane zasady, wskazane z umowie inwestycyjnej o wsparcie z Ostatecznym Odbiorcą, które zobowiązują zamawiającego m.in. do przygotowania i przeprowadzenia postępowania w sposób zapewniający zachowanie uczciwej konkurencji oraz równe traktowanie wykonawców. Rozumienie wskazanych zasad jest analogiczne jak w przepisach prawa powszechnie obowiązującego, tj. przepisach ustawy Prawo zamówień publicznych.</w:t>
      </w:r>
    </w:p>
    <w:p w14:paraId="3DE5459F"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Należy zatem każdorazowo przemyśleć, czy w danym przypadku użycie znaków towarowych jest uzasadnione i patrząc praktycznie, należy być przygotowanym na kwestionowanie tego rodzaju oznaczeń przez kontrolujących, bowiem stosowanie znaków towarowych jest wyjątkiem, a nie regułą.</w:t>
      </w:r>
    </w:p>
    <w:p w14:paraId="1FACC9B1" w14:textId="77777777" w:rsidR="001A4D54" w:rsidRPr="00185D3C" w:rsidRDefault="001A4D54" w:rsidP="001A4D54">
      <w:pPr>
        <w:pStyle w:val="Akapitzlist"/>
        <w:spacing w:after="0" w:line="240" w:lineRule="auto"/>
        <w:ind w:left="284"/>
        <w:rPr>
          <w:rFonts w:ascii="Open Sans" w:eastAsia="Times New Roman" w:hAnsi="Open Sans" w:cs="Open Sans"/>
          <w:lang w:eastAsia="pl-PL"/>
        </w:rPr>
      </w:pPr>
    </w:p>
    <w:p w14:paraId="42C2587A" w14:textId="77777777" w:rsidR="001A4D54"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W każdym przypadku, gdy obiektywnie możliwe jest opisanie przedmiotu zamówienia w sposób niewymagający wskazania znaków towarowych, należy opisać przedmiot zamówienia bez użycia znaków towarowych.</w:t>
      </w:r>
    </w:p>
    <w:p w14:paraId="34C91D9B" w14:textId="77777777" w:rsidR="001A4D54" w:rsidRPr="00185D3C" w:rsidRDefault="001A4D54" w:rsidP="001A4D54">
      <w:pPr>
        <w:pStyle w:val="Akapitzlist"/>
        <w:spacing w:after="0" w:line="240" w:lineRule="auto"/>
        <w:ind w:left="284"/>
        <w:rPr>
          <w:rFonts w:ascii="Open Sans" w:eastAsia="Times New Roman" w:hAnsi="Open Sans" w:cs="Open Sans"/>
          <w:lang w:eastAsia="pl-PL"/>
        </w:rPr>
      </w:pPr>
    </w:p>
    <w:p w14:paraId="2C981695" w14:textId="2281A29F" w:rsidR="00624CEF" w:rsidRPr="00274EEF" w:rsidRDefault="001A4D54" w:rsidP="00274EEF">
      <w:pPr>
        <w:spacing w:after="0" w:line="240" w:lineRule="auto"/>
        <w:rPr>
          <w:rFonts w:ascii="Open Sans" w:eastAsia="Times New Roman" w:hAnsi="Open Sans" w:cs="Open Sans"/>
          <w:lang w:eastAsia="pl-PL"/>
        </w:rPr>
      </w:pPr>
      <w:r w:rsidRPr="00274EEF">
        <w:rPr>
          <w:rFonts w:ascii="Open Sans" w:eastAsia="Times New Roman" w:hAnsi="Open Sans" w:cs="Open Sans"/>
          <w:lang w:eastAsia="pl-PL"/>
        </w:rPr>
        <w:t xml:space="preserve">Stwierdzenie wystąpienia nieprawidłowości, w tym naruszenie postanowień ustawy </w:t>
      </w:r>
      <w:proofErr w:type="spellStart"/>
      <w:r w:rsidRPr="00274EEF">
        <w:rPr>
          <w:rFonts w:ascii="Open Sans" w:eastAsia="Times New Roman" w:hAnsi="Open Sans" w:cs="Open Sans"/>
          <w:lang w:eastAsia="pl-PL"/>
        </w:rPr>
        <w:t>Pzp</w:t>
      </w:r>
      <w:proofErr w:type="spellEnd"/>
      <w:r w:rsidRPr="00274EEF">
        <w:rPr>
          <w:rFonts w:ascii="Open Sans" w:eastAsia="Times New Roman" w:hAnsi="Open Sans" w:cs="Open Sans"/>
          <w:lang w:eastAsia="pl-PL"/>
        </w:rPr>
        <w:t xml:space="preserve"> lub umowy inwestycyjnej o wsparcie wiążę się z koniecznością podjęcia odpowiednich działań korygujących polegających na pomniejszeniu wsparcia z Funduszu Szczegółowego dla Przedsięwzięcia i rodzi obowiązek zastosowania Taryfikatora.</w:t>
      </w:r>
    </w:p>
    <w:sectPr w:rsidR="00624CEF" w:rsidRPr="00274E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B54FE"/>
    <w:multiLevelType w:val="hybridMultilevel"/>
    <w:tmpl w:val="2B90A730"/>
    <w:lvl w:ilvl="0" w:tplc="89FAA06A">
      <w:start w:val="15"/>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E974B79"/>
    <w:multiLevelType w:val="hybridMultilevel"/>
    <w:tmpl w:val="39CC9F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5418CE"/>
    <w:multiLevelType w:val="hybridMultilevel"/>
    <w:tmpl w:val="5B7C3DBA"/>
    <w:lvl w:ilvl="0" w:tplc="83DAD504">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4B96748C"/>
    <w:multiLevelType w:val="hybridMultilevel"/>
    <w:tmpl w:val="D0C82D60"/>
    <w:lvl w:ilvl="0" w:tplc="0415000F">
      <w:start w:val="1"/>
      <w:numFmt w:val="decimal"/>
      <w:lvlText w:val="%1."/>
      <w:lvlJc w:val="left"/>
      <w:pPr>
        <w:ind w:left="574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F915E43"/>
    <w:multiLevelType w:val="hybridMultilevel"/>
    <w:tmpl w:val="D3D4133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813715986">
    <w:abstractNumId w:val="1"/>
  </w:num>
  <w:num w:numId="2" w16cid:durableId="432677345">
    <w:abstractNumId w:val="3"/>
  </w:num>
  <w:num w:numId="3" w16cid:durableId="48277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7459511">
    <w:abstractNumId w:val="4"/>
  </w:num>
  <w:num w:numId="5" w16cid:durableId="51211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16"/>
    <w:rsid w:val="000C04CF"/>
    <w:rsid w:val="00114650"/>
    <w:rsid w:val="00132135"/>
    <w:rsid w:val="001562BF"/>
    <w:rsid w:val="001771B6"/>
    <w:rsid w:val="00185D3C"/>
    <w:rsid w:val="001A4D54"/>
    <w:rsid w:val="001D0B6C"/>
    <w:rsid w:val="001D1417"/>
    <w:rsid w:val="001E73AE"/>
    <w:rsid w:val="002131D0"/>
    <w:rsid w:val="00250511"/>
    <w:rsid w:val="00260845"/>
    <w:rsid w:val="00274EEF"/>
    <w:rsid w:val="00280DC4"/>
    <w:rsid w:val="00296CC8"/>
    <w:rsid w:val="00297092"/>
    <w:rsid w:val="002D627A"/>
    <w:rsid w:val="002E5987"/>
    <w:rsid w:val="00322F6B"/>
    <w:rsid w:val="00356A0A"/>
    <w:rsid w:val="003D12E7"/>
    <w:rsid w:val="003E0121"/>
    <w:rsid w:val="00413602"/>
    <w:rsid w:val="00464805"/>
    <w:rsid w:val="0046533A"/>
    <w:rsid w:val="004700CB"/>
    <w:rsid w:val="004973EE"/>
    <w:rsid w:val="004D0458"/>
    <w:rsid w:val="004E25B4"/>
    <w:rsid w:val="00500B79"/>
    <w:rsid w:val="005070EF"/>
    <w:rsid w:val="00553526"/>
    <w:rsid w:val="00554FB7"/>
    <w:rsid w:val="00555A8A"/>
    <w:rsid w:val="00597559"/>
    <w:rsid w:val="005F3901"/>
    <w:rsid w:val="00624CEF"/>
    <w:rsid w:val="00642F3D"/>
    <w:rsid w:val="00665955"/>
    <w:rsid w:val="0067278E"/>
    <w:rsid w:val="00681CEA"/>
    <w:rsid w:val="00763920"/>
    <w:rsid w:val="00774F0C"/>
    <w:rsid w:val="007C1C3C"/>
    <w:rsid w:val="007F1026"/>
    <w:rsid w:val="007F4266"/>
    <w:rsid w:val="00816771"/>
    <w:rsid w:val="0083322E"/>
    <w:rsid w:val="00833C6F"/>
    <w:rsid w:val="008F3EAD"/>
    <w:rsid w:val="00906966"/>
    <w:rsid w:val="00926159"/>
    <w:rsid w:val="009625FF"/>
    <w:rsid w:val="00964071"/>
    <w:rsid w:val="0098535C"/>
    <w:rsid w:val="009A4FA8"/>
    <w:rsid w:val="009C34FF"/>
    <w:rsid w:val="00A10212"/>
    <w:rsid w:val="00A17932"/>
    <w:rsid w:val="00A368DD"/>
    <w:rsid w:val="00A36C08"/>
    <w:rsid w:val="00A52733"/>
    <w:rsid w:val="00AA5E21"/>
    <w:rsid w:val="00B16982"/>
    <w:rsid w:val="00B225AE"/>
    <w:rsid w:val="00B86F4C"/>
    <w:rsid w:val="00BB4F4A"/>
    <w:rsid w:val="00BC7B36"/>
    <w:rsid w:val="00BD3965"/>
    <w:rsid w:val="00BE0D16"/>
    <w:rsid w:val="00BF2007"/>
    <w:rsid w:val="00C47FD5"/>
    <w:rsid w:val="00C50076"/>
    <w:rsid w:val="00C97822"/>
    <w:rsid w:val="00CC35A3"/>
    <w:rsid w:val="00D15D6C"/>
    <w:rsid w:val="00DC3AA5"/>
    <w:rsid w:val="00DD3D54"/>
    <w:rsid w:val="00DD6EB1"/>
    <w:rsid w:val="00E062F8"/>
    <w:rsid w:val="00E21310"/>
    <w:rsid w:val="00E22A34"/>
    <w:rsid w:val="00E461E0"/>
    <w:rsid w:val="00E57880"/>
    <w:rsid w:val="00EA6D64"/>
    <w:rsid w:val="00EB2194"/>
    <w:rsid w:val="00ED3A7A"/>
    <w:rsid w:val="00ED66BB"/>
    <w:rsid w:val="00EE4041"/>
    <w:rsid w:val="00EF66F7"/>
    <w:rsid w:val="00F06D40"/>
    <w:rsid w:val="00F24731"/>
    <w:rsid w:val="00F2593F"/>
    <w:rsid w:val="00F51355"/>
    <w:rsid w:val="00F52DC9"/>
    <w:rsid w:val="00F70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4932"/>
  <w15:chartTrackingRefBased/>
  <w15:docId w15:val="{2451704F-1641-4347-8DD2-5541EABC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73EE"/>
  </w:style>
  <w:style w:type="paragraph" w:styleId="Nagwek1">
    <w:name w:val="heading 1"/>
    <w:basedOn w:val="Normalny"/>
    <w:next w:val="Normalny"/>
    <w:link w:val="Nagwek1Znak"/>
    <w:uiPriority w:val="9"/>
    <w:qFormat/>
    <w:rsid w:val="00296C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e-scope">
    <w:name w:val="style-scope"/>
    <w:basedOn w:val="Domylnaczcionkaakapitu"/>
    <w:rsid w:val="00BE0D16"/>
  </w:style>
  <w:style w:type="paragraph" w:styleId="Akapitzlist">
    <w:name w:val="List Paragraph"/>
    <w:basedOn w:val="Normalny"/>
    <w:uiPriority w:val="34"/>
    <w:qFormat/>
    <w:rsid w:val="00BE0D16"/>
    <w:pPr>
      <w:ind w:left="720"/>
      <w:contextualSpacing/>
    </w:pPr>
  </w:style>
  <w:style w:type="character" w:styleId="Hipercze">
    <w:name w:val="Hyperlink"/>
    <w:basedOn w:val="Domylnaczcionkaakapitu"/>
    <w:uiPriority w:val="99"/>
    <w:unhideWhenUsed/>
    <w:rsid w:val="00624CEF"/>
    <w:rPr>
      <w:color w:val="0563C1" w:themeColor="hyperlink"/>
      <w:u w:val="single"/>
    </w:rPr>
  </w:style>
  <w:style w:type="character" w:styleId="Nierozpoznanawzmianka">
    <w:name w:val="Unresolved Mention"/>
    <w:basedOn w:val="Domylnaczcionkaakapitu"/>
    <w:uiPriority w:val="99"/>
    <w:semiHidden/>
    <w:unhideWhenUsed/>
    <w:rsid w:val="00624CEF"/>
    <w:rPr>
      <w:color w:val="605E5C"/>
      <w:shd w:val="clear" w:color="auto" w:fill="E1DFDD"/>
    </w:rPr>
  </w:style>
  <w:style w:type="character" w:customStyle="1" w:styleId="Nagwek1Znak">
    <w:name w:val="Nagłówek 1 Znak"/>
    <w:basedOn w:val="Domylnaczcionkaakapitu"/>
    <w:link w:val="Nagwek1"/>
    <w:uiPriority w:val="9"/>
    <w:rsid w:val="00296C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0276">
      <w:bodyDiv w:val="1"/>
      <w:marLeft w:val="0"/>
      <w:marRight w:val="0"/>
      <w:marTop w:val="0"/>
      <w:marBottom w:val="0"/>
      <w:divBdr>
        <w:top w:val="none" w:sz="0" w:space="0" w:color="auto"/>
        <w:left w:val="none" w:sz="0" w:space="0" w:color="auto"/>
        <w:bottom w:val="none" w:sz="0" w:space="0" w:color="auto"/>
        <w:right w:val="none" w:sz="0" w:space="0" w:color="auto"/>
      </w:divBdr>
      <w:divsChild>
        <w:div w:id="1567565015">
          <w:marLeft w:val="0"/>
          <w:marRight w:val="0"/>
          <w:marTop w:val="0"/>
          <w:marBottom w:val="0"/>
          <w:divBdr>
            <w:top w:val="none" w:sz="0" w:space="0" w:color="auto"/>
            <w:left w:val="none" w:sz="0" w:space="0" w:color="auto"/>
            <w:bottom w:val="none" w:sz="0" w:space="0" w:color="auto"/>
            <w:right w:val="none" w:sz="0" w:space="0" w:color="auto"/>
          </w:divBdr>
          <w:divsChild>
            <w:div w:id="977804256">
              <w:marLeft w:val="0"/>
              <w:marRight w:val="0"/>
              <w:marTop w:val="0"/>
              <w:marBottom w:val="0"/>
              <w:divBdr>
                <w:top w:val="none" w:sz="0" w:space="0" w:color="auto"/>
                <w:left w:val="none" w:sz="0" w:space="0" w:color="auto"/>
                <w:bottom w:val="none" w:sz="0" w:space="0" w:color="auto"/>
                <w:right w:val="none" w:sz="0" w:space="0" w:color="auto"/>
              </w:divBdr>
              <w:divsChild>
                <w:div w:id="1153528932">
                  <w:marLeft w:val="0"/>
                  <w:marRight w:val="0"/>
                  <w:marTop w:val="0"/>
                  <w:marBottom w:val="0"/>
                  <w:divBdr>
                    <w:top w:val="none" w:sz="0" w:space="0" w:color="auto"/>
                    <w:left w:val="none" w:sz="0" w:space="0" w:color="auto"/>
                    <w:bottom w:val="none" w:sz="0" w:space="0" w:color="auto"/>
                    <w:right w:val="none" w:sz="0" w:space="0" w:color="auto"/>
                  </w:divBdr>
                  <w:divsChild>
                    <w:div w:id="1816800768">
                      <w:marLeft w:val="0"/>
                      <w:marRight w:val="0"/>
                      <w:marTop w:val="0"/>
                      <w:marBottom w:val="0"/>
                      <w:divBdr>
                        <w:top w:val="none" w:sz="0" w:space="0" w:color="auto"/>
                        <w:left w:val="none" w:sz="0" w:space="0" w:color="auto"/>
                        <w:bottom w:val="none" w:sz="0" w:space="0" w:color="auto"/>
                        <w:right w:val="none" w:sz="0" w:space="0" w:color="auto"/>
                      </w:divBdr>
                      <w:divsChild>
                        <w:div w:id="1641962218">
                          <w:marLeft w:val="0"/>
                          <w:marRight w:val="0"/>
                          <w:marTop w:val="0"/>
                          <w:marBottom w:val="0"/>
                          <w:divBdr>
                            <w:top w:val="none" w:sz="0" w:space="0" w:color="auto"/>
                            <w:left w:val="none" w:sz="0" w:space="0" w:color="auto"/>
                            <w:bottom w:val="none" w:sz="0" w:space="0" w:color="auto"/>
                            <w:right w:val="none" w:sz="0" w:space="0" w:color="auto"/>
                          </w:divBdr>
                          <w:divsChild>
                            <w:div w:id="1023871199">
                              <w:marLeft w:val="0"/>
                              <w:marRight w:val="0"/>
                              <w:marTop w:val="0"/>
                              <w:marBottom w:val="0"/>
                              <w:divBdr>
                                <w:top w:val="none" w:sz="0" w:space="0" w:color="auto"/>
                                <w:left w:val="none" w:sz="0" w:space="0" w:color="auto"/>
                                <w:bottom w:val="none" w:sz="0" w:space="0" w:color="auto"/>
                                <w:right w:val="none" w:sz="0" w:space="0" w:color="auto"/>
                              </w:divBdr>
                              <w:divsChild>
                                <w:div w:id="1260413293">
                                  <w:marLeft w:val="0"/>
                                  <w:marRight w:val="0"/>
                                  <w:marTop w:val="0"/>
                                  <w:marBottom w:val="0"/>
                                  <w:divBdr>
                                    <w:top w:val="none" w:sz="0" w:space="0" w:color="auto"/>
                                    <w:left w:val="none" w:sz="0" w:space="0" w:color="auto"/>
                                    <w:bottom w:val="none" w:sz="0" w:space="0" w:color="auto"/>
                                    <w:right w:val="none" w:sz="0" w:space="0" w:color="auto"/>
                                  </w:divBdr>
                                </w:div>
                                <w:div w:id="830564271">
                                  <w:marLeft w:val="0"/>
                                  <w:marRight w:val="0"/>
                                  <w:marTop w:val="0"/>
                                  <w:marBottom w:val="0"/>
                                  <w:divBdr>
                                    <w:top w:val="none" w:sz="0" w:space="0" w:color="auto"/>
                                    <w:left w:val="none" w:sz="0" w:space="0" w:color="auto"/>
                                    <w:bottom w:val="none" w:sz="0" w:space="0" w:color="auto"/>
                                    <w:right w:val="none" w:sz="0" w:space="0" w:color="auto"/>
                                  </w:divBdr>
                                </w:div>
                                <w:div w:id="1232278859">
                                  <w:marLeft w:val="0"/>
                                  <w:marRight w:val="0"/>
                                  <w:marTop w:val="0"/>
                                  <w:marBottom w:val="0"/>
                                  <w:divBdr>
                                    <w:top w:val="none" w:sz="0" w:space="0" w:color="auto"/>
                                    <w:left w:val="none" w:sz="0" w:space="0" w:color="auto"/>
                                    <w:bottom w:val="none" w:sz="0" w:space="0" w:color="auto"/>
                                    <w:right w:val="none" w:sz="0" w:space="0" w:color="auto"/>
                                  </w:divBdr>
                                </w:div>
                                <w:div w:id="2050568073">
                                  <w:marLeft w:val="0"/>
                                  <w:marRight w:val="0"/>
                                  <w:marTop w:val="0"/>
                                  <w:marBottom w:val="0"/>
                                  <w:divBdr>
                                    <w:top w:val="none" w:sz="0" w:space="0" w:color="auto"/>
                                    <w:left w:val="none" w:sz="0" w:space="0" w:color="auto"/>
                                    <w:bottom w:val="none" w:sz="0" w:space="0" w:color="auto"/>
                                    <w:right w:val="none" w:sz="0" w:space="0" w:color="auto"/>
                                  </w:divBdr>
                                </w:div>
                                <w:div w:id="688987516">
                                  <w:marLeft w:val="0"/>
                                  <w:marRight w:val="0"/>
                                  <w:marTop w:val="0"/>
                                  <w:marBottom w:val="0"/>
                                  <w:divBdr>
                                    <w:top w:val="none" w:sz="0" w:space="0" w:color="auto"/>
                                    <w:left w:val="none" w:sz="0" w:space="0" w:color="auto"/>
                                    <w:bottom w:val="none" w:sz="0" w:space="0" w:color="auto"/>
                                    <w:right w:val="none" w:sz="0" w:space="0" w:color="auto"/>
                                  </w:divBdr>
                                </w:div>
                                <w:div w:id="611133921">
                                  <w:marLeft w:val="0"/>
                                  <w:marRight w:val="0"/>
                                  <w:marTop w:val="0"/>
                                  <w:marBottom w:val="0"/>
                                  <w:divBdr>
                                    <w:top w:val="none" w:sz="0" w:space="0" w:color="auto"/>
                                    <w:left w:val="none" w:sz="0" w:space="0" w:color="auto"/>
                                    <w:bottom w:val="none" w:sz="0" w:space="0" w:color="auto"/>
                                    <w:right w:val="none" w:sz="0" w:space="0" w:color="auto"/>
                                  </w:divBdr>
                                </w:div>
                                <w:div w:id="874851985">
                                  <w:marLeft w:val="0"/>
                                  <w:marRight w:val="0"/>
                                  <w:marTop w:val="0"/>
                                  <w:marBottom w:val="0"/>
                                  <w:divBdr>
                                    <w:top w:val="none" w:sz="0" w:space="0" w:color="auto"/>
                                    <w:left w:val="none" w:sz="0" w:space="0" w:color="auto"/>
                                    <w:bottom w:val="none" w:sz="0" w:space="0" w:color="auto"/>
                                    <w:right w:val="none" w:sz="0" w:space="0" w:color="auto"/>
                                  </w:divBdr>
                                </w:div>
                                <w:div w:id="256906517">
                                  <w:marLeft w:val="0"/>
                                  <w:marRight w:val="0"/>
                                  <w:marTop w:val="0"/>
                                  <w:marBottom w:val="0"/>
                                  <w:divBdr>
                                    <w:top w:val="none" w:sz="0" w:space="0" w:color="auto"/>
                                    <w:left w:val="none" w:sz="0" w:space="0" w:color="auto"/>
                                    <w:bottom w:val="none" w:sz="0" w:space="0" w:color="auto"/>
                                    <w:right w:val="none" w:sz="0" w:space="0" w:color="auto"/>
                                  </w:divBdr>
                                </w:div>
                                <w:div w:id="1124352087">
                                  <w:marLeft w:val="0"/>
                                  <w:marRight w:val="0"/>
                                  <w:marTop w:val="0"/>
                                  <w:marBottom w:val="0"/>
                                  <w:divBdr>
                                    <w:top w:val="none" w:sz="0" w:space="0" w:color="auto"/>
                                    <w:left w:val="none" w:sz="0" w:space="0" w:color="auto"/>
                                    <w:bottom w:val="none" w:sz="0" w:space="0" w:color="auto"/>
                                    <w:right w:val="none" w:sz="0" w:space="0" w:color="auto"/>
                                  </w:divBdr>
                                </w:div>
                                <w:div w:id="1398437506">
                                  <w:marLeft w:val="0"/>
                                  <w:marRight w:val="0"/>
                                  <w:marTop w:val="0"/>
                                  <w:marBottom w:val="0"/>
                                  <w:divBdr>
                                    <w:top w:val="none" w:sz="0" w:space="0" w:color="auto"/>
                                    <w:left w:val="none" w:sz="0" w:space="0" w:color="auto"/>
                                    <w:bottom w:val="none" w:sz="0" w:space="0" w:color="auto"/>
                                    <w:right w:val="none" w:sz="0" w:space="0" w:color="auto"/>
                                  </w:divBdr>
                                </w:div>
                                <w:div w:id="2120249848">
                                  <w:marLeft w:val="0"/>
                                  <w:marRight w:val="0"/>
                                  <w:marTop w:val="0"/>
                                  <w:marBottom w:val="0"/>
                                  <w:divBdr>
                                    <w:top w:val="none" w:sz="0" w:space="0" w:color="auto"/>
                                    <w:left w:val="none" w:sz="0" w:space="0" w:color="auto"/>
                                    <w:bottom w:val="none" w:sz="0" w:space="0" w:color="auto"/>
                                    <w:right w:val="none" w:sz="0" w:space="0" w:color="auto"/>
                                  </w:divBdr>
                                </w:div>
                                <w:div w:id="1760177874">
                                  <w:marLeft w:val="0"/>
                                  <w:marRight w:val="0"/>
                                  <w:marTop w:val="0"/>
                                  <w:marBottom w:val="0"/>
                                  <w:divBdr>
                                    <w:top w:val="none" w:sz="0" w:space="0" w:color="auto"/>
                                    <w:left w:val="none" w:sz="0" w:space="0" w:color="auto"/>
                                    <w:bottom w:val="none" w:sz="0" w:space="0" w:color="auto"/>
                                    <w:right w:val="none" w:sz="0" w:space="0" w:color="auto"/>
                                  </w:divBdr>
                                </w:div>
                                <w:div w:id="1161386317">
                                  <w:marLeft w:val="0"/>
                                  <w:marRight w:val="0"/>
                                  <w:marTop w:val="0"/>
                                  <w:marBottom w:val="0"/>
                                  <w:divBdr>
                                    <w:top w:val="none" w:sz="0" w:space="0" w:color="auto"/>
                                    <w:left w:val="none" w:sz="0" w:space="0" w:color="auto"/>
                                    <w:bottom w:val="none" w:sz="0" w:space="0" w:color="auto"/>
                                    <w:right w:val="none" w:sz="0" w:space="0" w:color="auto"/>
                                  </w:divBdr>
                                </w:div>
                                <w:div w:id="2132626577">
                                  <w:marLeft w:val="0"/>
                                  <w:marRight w:val="0"/>
                                  <w:marTop w:val="0"/>
                                  <w:marBottom w:val="0"/>
                                  <w:divBdr>
                                    <w:top w:val="none" w:sz="0" w:space="0" w:color="auto"/>
                                    <w:left w:val="none" w:sz="0" w:space="0" w:color="auto"/>
                                    <w:bottom w:val="none" w:sz="0" w:space="0" w:color="auto"/>
                                    <w:right w:val="none" w:sz="0" w:space="0" w:color="auto"/>
                                  </w:divBdr>
                                </w:div>
                                <w:div w:id="1803303387">
                                  <w:marLeft w:val="0"/>
                                  <w:marRight w:val="0"/>
                                  <w:marTop w:val="0"/>
                                  <w:marBottom w:val="0"/>
                                  <w:divBdr>
                                    <w:top w:val="none" w:sz="0" w:space="0" w:color="auto"/>
                                    <w:left w:val="none" w:sz="0" w:space="0" w:color="auto"/>
                                    <w:bottom w:val="none" w:sz="0" w:space="0" w:color="auto"/>
                                    <w:right w:val="none" w:sz="0" w:space="0" w:color="auto"/>
                                  </w:divBdr>
                                </w:div>
                                <w:div w:id="615137291">
                                  <w:marLeft w:val="0"/>
                                  <w:marRight w:val="0"/>
                                  <w:marTop w:val="0"/>
                                  <w:marBottom w:val="0"/>
                                  <w:divBdr>
                                    <w:top w:val="none" w:sz="0" w:space="0" w:color="auto"/>
                                    <w:left w:val="none" w:sz="0" w:space="0" w:color="auto"/>
                                    <w:bottom w:val="none" w:sz="0" w:space="0" w:color="auto"/>
                                    <w:right w:val="none" w:sz="0" w:space="0" w:color="auto"/>
                                  </w:divBdr>
                                </w:div>
                                <w:div w:id="2061512733">
                                  <w:marLeft w:val="0"/>
                                  <w:marRight w:val="0"/>
                                  <w:marTop w:val="0"/>
                                  <w:marBottom w:val="0"/>
                                  <w:divBdr>
                                    <w:top w:val="none" w:sz="0" w:space="0" w:color="auto"/>
                                    <w:left w:val="none" w:sz="0" w:space="0" w:color="auto"/>
                                    <w:bottom w:val="none" w:sz="0" w:space="0" w:color="auto"/>
                                    <w:right w:val="none" w:sz="0" w:space="0" w:color="auto"/>
                                  </w:divBdr>
                                </w:div>
                                <w:div w:id="1799445849">
                                  <w:marLeft w:val="0"/>
                                  <w:marRight w:val="0"/>
                                  <w:marTop w:val="0"/>
                                  <w:marBottom w:val="0"/>
                                  <w:divBdr>
                                    <w:top w:val="none" w:sz="0" w:space="0" w:color="auto"/>
                                    <w:left w:val="none" w:sz="0" w:space="0" w:color="auto"/>
                                    <w:bottom w:val="none" w:sz="0" w:space="0" w:color="auto"/>
                                    <w:right w:val="none" w:sz="0" w:space="0" w:color="auto"/>
                                  </w:divBdr>
                                </w:div>
                                <w:div w:id="1165239247">
                                  <w:marLeft w:val="0"/>
                                  <w:marRight w:val="0"/>
                                  <w:marTop w:val="0"/>
                                  <w:marBottom w:val="0"/>
                                  <w:divBdr>
                                    <w:top w:val="none" w:sz="0" w:space="0" w:color="auto"/>
                                    <w:left w:val="none" w:sz="0" w:space="0" w:color="auto"/>
                                    <w:bottom w:val="none" w:sz="0" w:space="0" w:color="auto"/>
                                    <w:right w:val="none" w:sz="0" w:space="0" w:color="auto"/>
                                  </w:divBdr>
                                </w:div>
                                <w:div w:id="1572887342">
                                  <w:marLeft w:val="0"/>
                                  <w:marRight w:val="0"/>
                                  <w:marTop w:val="0"/>
                                  <w:marBottom w:val="0"/>
                                  <w:divBdr>
                                    <w:top w:val="none" w:sz="0" w:space="0" w:color="auto"/>
                                    <w:left w:val="none" w:sz="0" w:space="0" w:color="auto"/>
                                    <w:bottom w:val="none" w:sz="0" w:space="0" w:color="auto"/>
                                    <w:right w:val="none" w:sz="0" w:space="0" w:color="auto"/>
                                  </w:divBdr>
                                </w:div>
                                <w:div w:id="3023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22270">
      <w:bodyDiv w:val="1"/>
      <w:marLeft w:val="0"/>
      <w:marRight w:val="0"/>
      <w:marTop w:val="0"/>
      <w:marBottom w:val="0"/>
      <w:divBdr>
        <w:top w:val="none" w:sz="0" w:space="0" w:color="auto"/>
        <w:left w:val="none" w:sz="0" w:space="0" w:color="auto"/>
        <w:bottom w:val="none" w:sz="0" w:space="0" w:color="auto"/>
        <w:right w:val="none" w:sz="0" w:space="0" w:color="auto"/>
      </w:divBdr>
    </w:div>
    <w:div w:id="194346047">
      <w:bodyDiv w:val="1"/>
      <w:marLeft w:val="0"/>
      <w:marRight w:val="0"/>
      <w:marTop w:val="0"/>
      <w:marBottom w:val="0"/>
      <w:divBdr>
        <w:top w:val="none" w:sz="0" w:space="0" w:color="auto"/>
        <w:left w:val="none" w:sz="0" w:space="0" w:color="auto"/>
        <w:bottom w:val="none" w:sz="0" w:space="0" w:color="auto"/>
        <w:right w:val="none" w:sz="0" w:space="0" w:color="auto"/>
      </w:divBdr>
      <w:divsChild>
        <w:div w:id="964774603">
          <w:marLeft w:val="0"/>
          <w:marRight w:val="0"/>
          <w:marTop w:val="0"/>
          <w:marBottom w:val="0"/>
          <w:divBdr>
            <w:top w:val="none" w:sz="0" w:space="0" w:color="auto"/>
            <w:left w:val="none" w:sz="0" w:space="0" w:color="auto"/>
            <w:bottom w:val="none" w:sz="0" w:space="0" w:color="auto"/>
            <w:right w:val="none" w:sz="0" w:space="0" w:color="auto"/>
          </w:divBdr>
        </w:div>
        <w:div w:id="1922984411">
          <w:marLeft w:val="0"/>
          <w:marRight w:val="0"/>
          <w:marTop w:val="0"/>
          <w:marBottom w:val="0"/>
          <w:divBdr>
            <w:top w:val="none" w:sz="0" w:space="0" w:color="auto"/>
            <w:left w:val="none" w:sz="0" w:space="0" w:color="auto"/>
            <w:bottom w:val="none" w:sz="0" w:space="0" w:color="auto"/>
            <w:right w:val="none" w:sz="0" w:space="0" w:color="auto"/>
          </w:divBdr>
        </w:div>
      </w:divsChild>
    </w:div>
    <w:div w:id="347681447">
      <w:bodyDiv w:val="1"/>
      <w:marLeft w:val="0"/>
      <w:marRight w:val="0"/>
      <w:marTop w:val="0"/>
      <w:marBottom w:val="0"/>
      <w:divBdr>
        <w:top w:val="none" w:sz="0" w:space="0" w:color="auto"/>
        <w:left w:val="none" w:sz="0" w:space="0" w:color="auto"/>
        <w:bottom w:val="none" w:sz="0" w:space="0" w:color="auto"/>
        <w:right w:val="none" w:sz="0" w:space="0" w:color="auto"/>
      </w:divBdr>
      <w:divsChild>
        <w:div w:id="1454254306">
          <w:marLeft w:val="0"/>
          <w:marRight w:val="0"/>
          <w:marTop w:val="0"/>
          <w:marBottom w:val="0"/>
          <w:divBdr>
            <w:top w:val="none" w:sz="0" w:space="0" w:color="auto"/>
            <w:left w:val="none" w:sz="0" w:space="0" w:color="auto"/>
            <w:bottom w:val="none" w:sz="0" w:space="0" w:color="auto"/>
            <w:right w:val="none" w:sz="0" w:space="0" w:color="auto"/>
          </w:divBdr>
        </w:div>
        <w:div w:id="1748915303">
          <w:marLeft w:val="0"/>
          <w:marRight w:val="0"/>
          <w:marTop w:val="0"/>
          <w:marBottom w:val="0"/>
          <w:divBdr>
            <w:top w:val="none" w:sz="0" w:space="0" w:color="auto"/>
            <w:left w:val="none" w:sz="0" w:space="0" w:color="auto"/>
            <w:bottom w:val="none" w:sz="0" w:space="0" w:color="auto"/>
            <w:right w:val="none" w:sz="0" w:space="0" w:color="auto"/>
          </w:divBdr>
        </w:div>
      </w:divsChild>
    </w:div>
    <w:div w:id="505436871">
      <w:bodyDiv w:val="1"/>
      <w:marLeft w:val="0"/>
      <w:marRight w:val="0"/>
      <w:marTop w:val="0"/>
      <w:marBottom w:val="0"/>
      <w:divBdr>
        <w:top w:val="none" w:sz="0" w:space="0" w:color="auto"/>
        <w:left w:val="none" w:sz="0" w:space="0" w:color="auto"/>
        <w:bottom w:val="none" w:sz="0" w:space="0" w:color="auto"/>
        <w:right w:val="none" w:sz="0" w:space="0" w:color="auto"/>
      </w:divBdr>
    </w:div>
    <w:div w:id="549923073">
      <w:bodyDiv w:val="1"/>
      <w:marLeft w:val="0"/>
      <w:marRight w:val="0"/>
      <w:marTop w:val="0"/>
      <w:marBottom w:val="0"/>
      <w:divBdr>
        <w:top w:val="none" w:sz="0" w:space="0" w:color="auto"/>
        <w:left w:val="none" w:sz="0" w:space="0" w:color="auto"/>
        <w:bottom w:val="none" w:sz="0" w:space="0" w:color="auto"/>
        <w:right w:val="none" w:sz="0" w:space="0" w:color="auto"/>
      </w:divBdr>
      <w:divsChild>
        <w:div w:id="229585528">
          <w:marLeft w:val="0"/>
          <w:marRight w:val="0"/>
          <w:marTop w:val="0"/>
          <w:marBottom w:val="0"/>
          <w:divBdr>
            <w:top w:val="none" w:sz="0" w:space="0" w:color="auto"/>
            <w:left w:val="none" w:sz="0" w:space="0" w:color="auto"/>
            <w:bottom w:val="none" w:sz="0" w:space="0" w:color="auto"/>
            <w:right w:val="none" w:sz="0" w:space="0" w:color="auto"/>
          </w:divBdr>
        </w:div>
        <w:div w:id="873350860">
          <w:marLeft w:val="0"/>
          <w:marRight w:val="0"/>
          <w:marTop w:val="0"/>
          <w:marBottom w:val="0"/>
          <w:divBdr>
            <w:top w:val="none" w:sz="0" w:space="0" w:color="auto"/>
            <w:left w:val="none" w:sz="0" w:space="0" w:color="auto"/>
            <w:bottom w:val="none" w:sz="0" w:space="0" w:color="auto"/>
            <w:right w:val="none" w:sz="0" w:space="0" w:color="auto"/>
          </w:divBdr>
        </w:div>
      </w:divsChild>
    </w:div>
    <w:div w:id="992875288">
      <w:bodyDiv w:val="1"/>
      <w:marLeft w:val="0"/>
      <w:marRight w:val="0"/>
      <w:marTop w:val="0"/>
      <w:marBottom w:val="0"/>
      <w:divBdr>
        <w:top w:val="none" w:sz="0" w:space="0" w:color="auto"/>
        <w:left w:val="none" w:sz="0" w:space="0" w:color="auto"/>
        <w:bottom w:val="none" w:sz="0" w:space="0" w:color="auto"/>
        <w:right w:val="none" w:sz="0" w:space="0" w:color="auto"/>
      </w:divBdr>
    </w:div>
    <w:div w:id="1082603673">
      <w:bodyDiv w:val="1"/>
      <w:marLeft w:val="0"/>
      <w:marRight w:val="0"/>
      <w:marTop w:val="0"/>
      <w:marBottom w:val="0"/>
      <w:divBdr>
        <w:top w:val="none" w:sz="0" w:space="0" w:color="auto"/>
        <w:left w:val="none" w:sz="0" w:space="0" w:color="auto"/>
        <w:bottom w:val="none" w:sz="0" w:space="0" w:color="auto"/>
        <w:right w:val="none" w:sz="0" w:space="0" w:color="auto"/>
      </w:divBdr>
    </w:div>
    <w:div w:id="1387415985">
      <w:bodyDiv w:val="1"/>
      <w:marLeft w:val="0"/>
      <w:marRight w:val="0"/>
      <w:marTop w:val="0"/>
      <w:marBottom w:val="0"/>
      <w:divBdr>
        <w:top w:val="none" w:sz="0" w:space="0" w:color="auto"/>
        <w:left w:val="none" w:sz="0" w:space="0" w:color="auto"/>
        <w:bottom w:val="none" w:sz="0" w:space="0" w:color="auto"/>
        <w:right w:val="none" w:sz="0" w:space="0" w:color="auto"/>
      </w:divBdr>
      <w:divsChild>
        <w:div w:id="1596741066">
          <w:marLeft w:val="0"/>
          <w:marRight w:val="0"/>
          <w:marTop w:val="0"/>
          <w:marBottom w:val="0"/>
          <w:divBdr>
            <w:top w:val="none" w:sz="0" w:space="0" w:color="auto"/>
            <w:left w:val="none" w:sz="0" w:space="0" w:color="auto"/>
            <w:bottom w:val="none" w:sz="0" w:space="0" w:color="auto"/>
            <w:right w:val="none" w:sz="0" w:space="0" w:color="auto"/>
          </w:divBdr>
        </w:div>
        <w:div w:id="1130593808">
          <w:marLeft w:val="0"/>
          <w:marRight w:val="0"/>
          <w:marTop w:val="0"/>
          <w:marBottom w:val="0"/>
          <w:divBdr>
            <w:top w:val="none" w:sz="0" w:space="0" w:color="auto"/>
            <w:left w:val="none" w:sz="0" w:space="0" w:color="auto"/>
            <w:bottom w:val="none" w:sz="0" w:space="0" w:color="auto"/>
            <w:right w:val="none" w:sz="0" w:space="0" w:color="auto"/>
          </w:divBdr>
        </w:div>
      </w:divsChild>
    </w:div>
    <w:div w:id="1406757376">
      <w:bodyDiv w:val="1"/>
      <w:marLeft w:val="0"/>
      <w:marRight w:val="0"/>
      <w:marTop w:val="0"/>
      <w:marBottom w:val="0"/>
      <w:divBdr>
        <w:top w:val="none" w:sz="0" w:space="0" w:color="auto"/>
        <w:left w:val="none" w:sz="0" w:space="0" w:color="auto"/>
        <w:bottom w:val="none" w:sz="0" w:space="0" w:color="auto"/>
        <w:right w:val="none" w:sz="0" w:space="0" w:color="auto"/>
      </w:divBdr>
    </w:div>
    <w:div w:id="1488092718">
      <w:bodyDiv w:val="1"/>
      <w:marLeft w:val="0"/>
      <w:marRight w:val="0"/>
      <w:marTop w:val="0"/>
      <w:marBottom w:val="0"/>
      <w:divBdr>
        <w:top w:val="none" w:sz="0" w:space="0" w:color="auto"/>
        <w:left w:val="none" w:sz="0" w:space="0" w:color="auto"/>
        <w:bottom w:val="none" w:sz="0" w:space="0" w:color="auto"/>
        <w:right w:val="none" w:sz="0" w:space="0" w:color="auto"/>
      </w:divBdr>
    </w:div>
    <w:div w:id="1495415510">
      <w:bodyDiv w:val="1"/>
      <w:marLeft w:val="0"/>
      <w:marRight w:val="0"/>
      <w:marTop w:val="0"/>
      <w:marBottom w:val="0"/>
      <w:divBdr>
        <w:top w:val="none" w:sz="0" w:space="0" w:color="auto"/>
        <w:left w:val="none" w:sz="0" w:space="0" w:color="auto"/>
        <w:bottom w:val="none" w:sz="0" w:space="0" w:color="auto"/>
        <w:right w:val="none" w:sz="0" w:space="0" w:color="auto"/>
      </w:divBdr>
      <w:divsChild>
        <w:div w:id="742801606">
          <w:marLeft w:val="0"/>
          <w:marRight w:val="0"/>
          <w:marTop w:val="0"/>
          <w:marBottom w:val="0"/>
          <w:divBdr>
            <w:top w:val="none" w:sz="0" w:space="0" w:color="auto"/>
            <w:left w:val="none" w:sz="0" w:space="0" w:color="auto"/>
            <w:bottom w:val="none" w:sz="0" w:space="0" w:color="auto"/>
            <w:right w:val="none" w:sz="0" w:space="0" w:color="auto"/>
          </w:divBdr>
        </w:div>
      </w:divsChild>
    </w:div>
    <w:div w:id="1545873632">
      <w:bodyDiv w:val="1"/>
      <w:marLeft w:val="0"/>
      <w:marRight w:val="0"/>
      <w:marTop w:val="0"/>
      <w:marBottom w:val="0"/>
      <w:divBdr>
        <w:top w:val="none" w:sz="0" w:space="0" w:color="auto"/>
        <w:left w:val="none" w:sz="0" w:space="0" w:color="auto"/>
        <w:bottom w:val="none" w:sz="0" w:space="0" w:color="auto"/>
        <w:right w:val="none" w:sz="0" w:space="0" w:color="auto"/>
      </w:divBdr>
      <w:divsChild>
        <w:div w:id="103306588">
          <w:marLeft w:val="0"/>
          <w:marRight w:val="0"/>
          <w:marTop w:val="0"/>
          <w:marBottom w:val="0"/>
          <w:divBdr>
            <w:top w:val="none" w:sz="0" w:space="0" w:color="auto"/>
            <w:left w:val="none" w:sz="0" w:space="0" w:color="auto"/>
            <w:bottom w:val="none" w:sz="0" w:space="0" w:color="auto"/>
            <w:right w:val="none" w:sz="0" w:space="0" w:color="auto"/>
          </w:divBdr>
        </w:div>
        <w:div w:id="1086613961">
          <w:marLeft w:val="0"/>
          <w:marRight w:val="0"/>
          <w:marTop w:val="0"/>
          <w:marBottom w:val="0"/>
          <w:divBdr>
            <w:top w:val="none" w:sz="0" w:space="0" w:color="auto"/>
            <w:left w:val="none" w:sz="0" w:space="0" w:color="auto"/>
            <w:bottom w:val="none" w:sz="0" w:space="0" w:color="auto"/>
            <w:right w:val="none" w:sz="0" w:space="0" w:color="auto"/>
          </w:divBdr>
        </w:div>
      </w:divsChild>
    </w:div>
    <w:div w:id="1632201168">
      <w:bodyDiv w:val="1"/>
      <w:marLeft w:val="0"/>
      <w:marRight w:val="0"/>
      <w:marTop w:val="0"/>
      <w:marBottom w:val="0"/>
      <w:divBdr>
        <w:top w:val="none" w:sz="0" w:space="0" w:color="auto"/>
        <w:left w:val="none" w:sz="0" w:space="0" w:color="auto"/>
        <w:bottom w:val="none" w:sz="0" w:space="0" w:color="auto"/>
        <w:right w:val="none" w:sz="0" w:space="0" w:color="auto"/>
      </w:divBdr>
      <w:divsChild>
        <w:div w:id="178933146">
          <w:marLeft w:val="0"/>
          <w:marRight w:val="0"/>
          <w:marTop w:val="0"/>
          <w:marBottom w:val="0"/>
          <w:divBdr>
            <w:top w:val="none" w:sz="0" w:space="0" w:color="auto"/>
            <w:left w:val="none" w:sz="0" w:space="0" w:color="auto"/>
            <w:bottom w:val="none" w:sz="0" w:space="0" w:color="auto"/>
            <w:right w:val="none" w:sz="0" w:space="0" w:color="auto"/>
          </w:divBdr>
        </w:div>
        <w:div w:id="773400905">
          <w:marLeft w:val="0"/>
          <w:marRight w:val="0"/>
          <w:marTop w:val="0"/>
          <w:marBottom w:val="0"/>
          <w:divBdr>
            <w:top w:val="none" w:sz="0" w:space="0" w:color="auto"/>
            <w:left w:val="none" w:sz="0" w:space="0" w:color="auto"/>
            <w:bottom w:val="none" w:sz="0" w:space="0" w:color="auto"/>
            <w:right w:val="none" w:sz="0" w:space="0" w:color="auto"/>
          </w:divBdr>
        </w:div>
      </w:divsChild>
    </w:div>
    <w:div w:id="1754546259">
      <w:bodyDiv w:val="1"/>
      <w:marLeft w:val="0"/>
      <w:marRight w:val="0"/>
      <w:marTop w:val="0"/>
      <w:marBottom w:val="0"/>
      <w:divBdr>
        <w:top w:val="none" w:sz="0" w:space="0" w:color="auto"/>
        <w:left w:val="none" w:sz="0" w:space="0" w:color="auto"/>
        <w:bottom w:val="none" w:sz="0" w:space="0" w:color="auto"/>
        <w:right w:val="none" w:sz="0" w:space="0" w:color="auto"/>
      </w:divBdr>
      <w:divsChild>
        <w:div w:id="704719621">
          <w:marLeft w:val="0"/>
          <w:marRight w:val="0"/>
          <w:marTop w:val="0"/>
          <w:marBottom w:val="0"/>
          <w:divBdr>
            <w:top w:val="none" w:sz="0" w:space="0" w:color="auto"/>
            <w:left w:val="none" w:sz="0" w:space="0" w:color="auto"/>
            <w:bottom w:val="none" w:sz="0" w:space="0" w:color="auto"/>
            <w:right w:val="none" w:sz="0" w:space="0" w:color="auto"/>
          </w:divBdr>
        </w:div>
        <w:div w:id="1819150037">
          <w:marLeft w:val="0"/>
          <w:marRight w:val="0"/>
          <w:marTop w:val="0"/>
          <w:marBottom w:val="0"/>
          <w:divBdr>
            <w:top w:val="none" w:sz="0" w:space="0" w:color="auto"/>
            <w:left w:val="none" w:sz="0" w:space="0" w:color="auto"/>
            <w:bottom w:val="none" w:sz="0" w:space="0" w:color="auto"/>
            <w:right w:val="none" w:sz="0" w:space="0" w:color="auto"/>
          </w:divBdr>
        </w:div>
        <w:div w:id="448665578">
          <w:marLeft w:val="0"/>
          <w:marRight w:val="0"/>
          <w:marTop w:val="0"/>
          <w:marBottom w:val="0"/>
          <w:divBdr>
            <w:top w:val="none" w:sz="0" w:space="0" w:color="auto"/>
            <w:left w:val="none" w:sz="0" w:space="0" w:color="auto"/>
            <w:bottom w:val="none" w:sz="0" w:space="0" w:color="auto"/>
            <w:right w:val="none" w:sz="0" w:space="0" w:color="auto"/>
          </w:divBdr>
        </w:div>
      </w:divsChild>
    </w:div>
    <w:div w:id="1774472186">
      <w:bodyDiv w:val="1"/>
      <w:marLeft w:val="0"/>
      <w:marRight w:val="0"/>
      <w:marTop w:val="0"/>
      <w:marBottom w:val="0"/>
      <w:divBdr>
        <w:top w:val="none" w:sz="0" w:space="0" w:color="auto"/>
        <w:left w:val="none" w:sz="0" w:space="0" w:color="auto"/>
        <w:bottom w:val="none" w:sz="0" w:space="0" w:color="auto"/>
        <w:right w:val="none" w:sz="0" w:space="0" w:color="auto"/>
      </w:divBdr>
      <w:divsChild>
        <w:div w:id="1599606581">
          <w:marLeft w:val="0"/>
          <w:marRight w:val="0"/>
          <w:marTop w:val="0"/>
          <w:marBottom w:val="0"/>
          <w:divBdr>
            <w:top w:val="none" w:sz="0" w:space="0" w:color="auto"/>
            <w:left w:val="none" w:sz="0" w:space="0" w:color="auto"/>
            <w:bottom w:val="none" w:sz="0" w:space="0" w:color="auto"/>
            <w:right w:val="none" w:sz="0" w:space="0" w:color="auto"/>
          </w:divBdr>
        </w:div>
        <w:div w:id="1806466401">
          <w:marLeft w:val="0"/>
          <w:marRight w:val="0"/>
          <w:marTop w:val="0"/>
          <w:marBottom w:val="0"/>
          <w:divBdr>
            <w:top w:val="none" w:sz="0" w:space="0" w:color="auto"/>
            <w:left w:val="none" w:sz="0" w:space="0" w:color="auto"/>
            <w:bottom w:val="none" w:sz="0" w:space="0" w:color="auto"/>
            <w:right w:val="none" w:sz="0" w:space="0" w:color="auto"/>
          </w:divBdr>
        </w:div>
        <w:div w:id="771752569">
          <w:marLeft w:val="0"/>
          <w:marRight w:val="0"/>
          <w:marTop w:val="0"/>
          <w:marBottom w:val="0"/>
          <w:divBdr>
            <w:top w:val="none" w:sz="0" w:space="0" w:color="auto"/>
            <w:left w:val="none" w:sz="0" w:space="0" w:color="auto"/>
            <w:bottom w:val="none" w:sz="0" w:space="0" w:color="auto"/>
            <w:right w:val="none" w:sz="0" w:space="0" w:color="auto"/>
          </w:divBdr>
        </w:div>
      </w:divsChild>
    </w:div>
    <w:div w:id="1843347570">
      <w:bodyDiv w:val="1"/>
      <w:marLeft w:val="0"/>
      <w:marRight w:val="0"/>
      <w:marTop w:val="0"/>
      <w:marBottom w:val="0"/>
      <w:divBdr>
        <w:top w:val="none" w:sz="0" w:space="0" w:color="auto"/>
        <w:left w:val="none" w:sz="0" w:space="0" w:color="auto"/>
        <w:bottom w:val="none" w:sz="0" w:space="0" w:color="auto"/>
        <w:right w:val="none" w:sz="0" w:space="0" w:color="auto"/>
      </w:divBdr>
    </w:div>
    <w:div w:id="1869680803">
      <w:bodyDiv w:val="1"/>
      <w:marLeft w:val="0"/>
      <w:marRight w:val="0"/>
      <w:marTop w:val="0"/>
      <w:marBottom w:val="0"/>
      <w:divBdr>
        <w:top w:val="none" w:sz="0" w:space="0" w:color="auto"/>
        <w:left w:val="none" w:sz="0" w:space="0" w:color="auto"/>
        <w:bottom w:val="none" w:sz="0" w:space="0" w:color="auto"/>
        <w:right w:val="none" w:sz="0" w:space="0" w:color="auto"/>
      </w:divBdr>
      <w:divsChild>
        <w:div w:id="1990011147">
          <w:marLeft w:val="0"/>
          <w:marRight w:val="0"/>
          <w:marTop w:val="0"/>
          <w:marBottom w:val="0"/>
          <w:divBdr>
            <w:top w:val="none" w:sz="0" w:space="0" w:color="auto"/>
            <w:left w:val="none" w:sz="0" w:space="0" w:color="auto"/>
            <w:bottom w:val="none" w:sz="0" w:space="0" w:color="auto"/>
            <w:right w:val="none" w:sz="0" w:space="0" w:color="auto"/>
          </w:divBdr>
        </w:div>
        <w:div w:id="304506885">
          <w:marLeft w:val="0"/>
          <w:marRight w:val="0"/>
          <w:marTop w:val="0"/>
          <w:marBottom w:val="0"/>
          <w:divBdr>
            <w:top w:val="none" w:sz="0" w:space="0" w:color="auto"/>
            <w:left w:val="none" w:sz="0" w:space="0" w:color="auto"/>
            <w:bottom w:val="none" w:sz="0" w:space="0" w:color="auto"/>
            <w:right w:val="none" w:sz="0" w:space="0" w:color="auto"/>
          </w:divBdr>
        </w:div>
        <w:div w:id="945844882">
          <w:marLeft w:val="0"/>
          <w:marRight w:val="0"/>
          <w:marTop w:val="0"/>
          <w:marBottom w:val="0"/>
          <w:divBdr>
            <w:top w:val="none" w:sz="0" w:space="0" w:color="auto"/>
            <w:left w:val="none" w:sz="0" w:space="0" w:color="auto"/>
            <w:bottom w:val="none" w:sz="0" w:space="0" w:color="auto"/>
            <w:right w:val="none" w:sz="0" w:space="0" w:color="auto"/>
          </w:divBdr>
        </w:div>
      </w:divsChild>
    </w:div>
    <w:div w:id="1906451126">
      <w:bodyDiv w:val="1"/>
      <w:marLeft w:val="0"/>
      <w:marRight w:val="0"/>
      <w:marTop w:val="0"/>
      <w:marBottom w:val="0"/>
      <w:divBdr>
        <w:top w:val="none" w:sz="0" w:space="0" w:color="auto"/>
        <w:left w:val="none" w:sz="0" w:space="0" w:color="auto"/>
        <w:bottom w:val="none" w:sz="0" w:space="0" w:color="auto"/>
        <w:right w:val="none" w:sz="0" w:space="0" w:color="auto"/>
      </w:divBdr>
      <w:divsChild>
        <w:div w:id="634872834">
          <w:marLeft w:val="0"/>
          <w:marRight w:val="0"/>
          <w:marTop w:val="0"/>
          <w:marBottom w:val="0"/>
          <w:divBdr>
            <w:top w:val="none" w:sz="0" w:space="0" w:color="auto"/>
            <w:left w:val="none" w:sz="0" w:space="0" w:color="auto"/>
            <w:bottom w:val="none" w:sz="0" w:space="0" w:color="auto"/>
            <w:right w:val="none" w:sz="0" w:space="0" w:color="auto"/>
          </w:divBdr>
        </w:div>
        <w:div w:id="1197699999">
          <w:marLeft w:val="0"/>
          <w:marRight w:val="0"/>
          <w:marTop w:val="0"/>
          <w:marBottom w:val="0"/>
          <w:divBdr>
            <w:top w:val="none" w:sz="0" w:space="0" w:color="auto"/>
            <w:left w:val="none" w:sz="0" w:space="0" w:color="auto"/>
            <w:bottom w:val="none" w:sz="0" w:space="0" w:color="auto"/>
            <w:right w:val="none" w:sz="0" w:space="0" w:color="auto"/>
          </w:divBdr>
        </w:div>
      </w:divsChild>
    </w:div>
    <w:div w:id="20323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13</Pages>
  <Words>4786</Words>
  <Characters>28717</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Urzyczyn Anna</dc:creator>
  <cp:keywords/>
  <dc:description/>
  <cp:lastModifiedBy>Wojtaniec Marta</cp:lastModifiedBy>
  <cp:revision>64</cp:revision>
  <dcterms:created xsi:type="dcterms:W3CDTF">2024-10-15T07:46:00Z</dcterms:created>
  <dcterms:modified xsi:type="dcterms:W3CDTF">2024-10-30T13:11:00Z</dcterms:modified>
</cp:coreProperties>
</file>