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03" w:rsidRPr="00153CA6" w:rsidRDefault="00150603" w:rsidP="00BA3000">
      <w:pPr>
        <w:jc w:val="both"/>
        <w:rPr>
          <w:rFonts w:ascii="Fira Sans" w:hAnsi="Fira Sans"/>
          <w:b/>
          <w:bCs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Zobowiązania warunkowe sektora instytucji rządowych i samorządowych</w:t>
      </w:r>
    </w:p>
    <w:p w:rsidR="00150603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Komentarz do tablic</w:t>
      </w:r>
      <w:r w:rsidR="00150603" w:rsidRPr="00153CA6">
        <w:rPr>
          <w:rFonts w:ascii="Fira Sans" w:hAnsi="Fira Sans"/>
          <w:bCs/>
          <w:sz w:val="19"/>
          <w:szCs w:val="19"/>
          <w:u w:val="single"/>
        </w:rPr>
        <w:t>:</w:t>
      </w:r>
    </w:p>
    <w:p w:rsidR="00D56966" w:rsidRPr="00153CA6" w:rsidRDefault="001645F9" w:rsidP="00BA3000">
      <w:pPr>
        <w:jc w:val="both"/>
        <w:rPr>
          <w:rFonts w:ascii="Fira Sans" w:hAnsi="Fira Sans"/>
          <w:bCs/>
          <w:sz w:val="19"/>
          <w:szCs w:val="19"/>
          <w:highlight w:val="yellow"/>
        </w:rPr>
      </w:pPr>
      <w:r w:rsidRPr="00153CA6">
        <w:rPr>
          <w:rFonts w:ascii="Fira Sans" w:hAnsi="Fira Sans"/>
          <w:b/>
          <w:bCs/>
          <w:sz w:val="19"/>
          <w:szCs w:val="19"/>
        </w:rPr>
        <w:t>Gwarancje sektora instytucji rządowych i samorządowych</w:t>
      </w:r>
      <w:r w:rsidR="00CE1955" w:rsidRPr="00153CA6">
        <w:rPr>
          <w:rFonts w:ascii="Fira Sans" w:hAnsi="Fira Sans"/>
          <w:b/>
          <w:bCs/>
          <w:sz w:val="19"/>
          <w:szCs w:val="19"/>
        </w:rPr>
        <w:t xml:space="preserve"> </w:t>
      </w:r>
    </w:p>
    <w:p w:rsidR="00D56966" w:rsidRPr="00153CA6" w:rsidRDefault="00D56966" w:rsidP="00D56966">
      <w:pPr>
        <w:spacing w:before="120" w:line="276" w:lineRule="auto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>W ramach danych w zakresie gwarancji jednorazowych (one-off) uwzględniono nowe instrumenty tj.:</w:t>
      </w:r>
    </w:p>
    <w:p w:rsidR="00D56966" w:rsidRPr="00153CA6" w:rsidRDefault="00D56966" w:rsidP="00D56966">
      <w:pPr>
        <w:numPr>
          <w:ilvl w:val="0"/>
          <w:numId w:val="3"/>
        </w:numPr>
        <w:spacing w:before="120" w:line="276" w:lineRule="auto"/>
        <w:ind w:left="426"/>
        <w:contextualSpacing/>
        <w:jc w:val="both"/>
        <w:rPr>
          <w:rFonts w:ascii="Fira Sans" w:eastAsia="Times New Roman" w:hAnsi="Fira Sans"/>
          <w:sz w:val="19"/>
          <w:szCs w:val="19"/>
        </w:rPr>
      </w:pPr>
      <w:r w:rsidRPr="00153CA6">
        <w:rPr>
          <w:rFonts w:ascii="Fira Sans" w:eastAsia="Times New Roman" w:hAnsi="Fira Sans"/>
          <w:sz w:val="19"/>
          <w:szCs w:val="19"/>
        </w:rPr>
        <w:t xml:space="preserve">Gwarancje w ramach pomocy </w:t>
      </w:r>
      <w:proofErr w:type="spellStart"/>
      <w:r w:rsidRPr="00153CA6">
        <w:rPr>
          <w:rFonts w:ascii="Fira Sans" w:eastAsia="Times New Roman" w:hAnsi="Fira Sans"/>
          <w:sz w:val="19"/>
          <w:szCs w:val="19"/>
        </w:rPr>
        <w:t>makrofinansowej</w:t>
      </w:r>
      <w:proofErr w:type="spellEnd"/>
      <w:r w:rsidRPr="00153CA6">
        <w:rPr>
          <w:rFonts w:ascii="Fira Sans" w:eastAsia="Times New Roman" w:hAnsi="Fira Sans"/>
          <w:sz w:val="19"/>
          <w:szCs w:val="19"/>
        </w:rPr>
        <w:t xml:space="preserve"> na rzecz Ukrainy za rok 2022</w:t>
      </w:r>
      <w:r w:rsidR="005B7CC1" w:rsidRPr="00153CA6">
        <w:rPr>
          <w:rFonts w:ascii="Fira Sans" w:eastAsia="Times New Roman" w:hAnsi="Fira Sans"/>
          <w:sz w:val="19"/>
          <w:szCs w:val="19"/>
        </w:rPr>
        <w:t>,</w:t>
      </w:r>
    </w:p>
    <w:p w:rsidR="00D56966" w:rsidRPr="00153CA6" w:rsidRDefault="00D56966" w:rsidP="00D56966">
      <w:pPr>
        <w:numPr>
          <w:ilvl w:val="0"/>
          <w:numId w:val="3"/>
        </w:numPr>
        <w:spacing w:before="120" w:line="276" w:lineRule="auto"/>
        <w:ind w:left="426"/>
        <w:contextualSpacing/>
        <w:jc w:val="both"/>
        <w:rPr>
          <w:rFonts w:ascii="Fira Sans" w:eastAsia="Times New Roman" w:hAnsi="Fira Sans"/>
          <w:sz w:val="19"/>
          <w:szCs w:val="19"/>
        </w:rPr>
      </w:pPr>
      <w:r w:rsidRPr="00153CA6">
        <w:rPr>
          <w:rFonts w:ascii="Fira Sans" w:eastAsia="Times New Roman" w:hAnsi="Fira Sans"/>
          <w:sz w:val="19"/>
          <w:szCs w:val="19"/>
        </w:rPr>
        <w:t>Gwarancje w ramach Funduszu Odbudowy UE (</w:t>
      </w:r>
      <w:proofErr w:type="spellStart"/>
      <w:r w:rsidRPr="00153CA6">
        <w:rPr>
          <w:rFonts w:ascii="Fira Sans" w:eastAsia="Times New Roman" w:hAnsi="Fira Sans"/>
          <w:sz w:val="19"/>
          <w:szCs w:val="19"/>
        </w:rPr>
        <w:t>NextGenerationEU</w:t>
      </w:r>
      <w:proofErr w:type="spellEnd"/>
      <w:r w:rsidRPr="00153CA6">
        <w:rPr>
          <w:rFonts w:ascii="Fira Sans" w:eastAsia="Times New Roman" w:hAnsi="Fira Sans"/>
          <w:sz w:val="19"/>
          <w:szCs w:val="19"/>
        </w:rPr>
        <w:t>) za lata 2021-2022</w:t>
      </w:r>
      <w:r w:rsidR="005B7CC1" w:rsidRPr="00153CA6">
        <w:rPr>
          <w:rFonts w:ascii="Fira Sans" w:eastAsia="Times New Roman" w:hAnsi="Fira Sans"/>
          <w:sz w:val="19"/>
          <w:szCs w:val="19"/>
        </w:rPr>
        <w:t>,</w:t>
      </w:r>
    </w:p>
    <w:p w:rsidR="00D56966" w:rsidRPr="00153CA6" w:rsidRDefault="00D56966" w:rsidP="00D56966">
      <w:pPr>
        <w:numPr>
          <w:ilvl w:val="0"/>
          <w:numId w:val="3"/>
        </w:numPr>
        <w:spacing w:before="120" w:line="276" w:lineRule="auto"/>
        <w:ind w:left="426"/>
        <w:contextualSpacing/>
        <w:jc w:val="both"/>
        <w:rPr>
          <w:rFonts w:ascii="Fira Sans" w:eastAsia="Times New Roman" w:hAnsi="Fira Sans"/>
          <w:sz w:val="19"/>
          <w:szCs w:val="19"/>
        </w:rPr>
      </w:pPr>
      <w:r w:rsidRPr="00153CA6">
        <w:rPr>
          <w:rFonts w:ascii="Fira Sans" w:eastAsia="Times New Roman" w:hAnsi="Fira Sans"/>
          <w:sz w:val="19"/>
          <w:szCs w:val="19"/>
        </w:rPr>
        <w:t>Gwarancje w ramach Europejskiego inst</w:t>
      </w:r>
      <w:bookmarkStart w:id="0" w:name="_GoBack"/>
      <w:bookmarkEnd w:id="0"/>
      <w:r w:rsidRPr="00153CA6">
        <w:rPr>
          <w:rFonts w:ascii="Fira Sans" w:eastAsia="Times New Roman" w:hAnsi="Fira Sans"/>
          <w:sz w:val="19"/>
          <w:szCs w:val="19"/>
        </w:rPr>
        <w:t xml:space="preserve">rumentu tymczasowego wsparcia w celu zmniejszenia zagrożeń związanych z bezrobociem w sytuacji nadzwyczajnej – </w:t>
      </w:r>
      <w:proofErr w:type="spellStart"/>
      <w:r w:rsidRPr="00153CA6">
        <w:rPr>
          <w:rFonts w:ascii="Fira Sans" w:eastAsia="Times New Roman" w:hAnsi="Fira Sans"/>
          <w:sz w:val="19"/>
          <w:szCs w:val="19"/>
        </w:rPr>
        <w:t>SURE</w:t>
      </w:r>
      <w:proofErr w:type="spellEnd"/>
      <w:r w:rsidRPr="00153CA6">
        <w:rPr>
          <w:rFonts w:ascii="Fira Sans" w:eastAsia="Times New Roman" w:hAnsi="Fira Sans"/>
          <w:sz w:val="19"/>
          <w:szCs w:val="19"/>
        </w:rPr>
        <w:t xml:space="preserve"> (gwarantowane w ramach pułapu zasobów własnych)</w:t>
      </w:r>
      <w:r w:rsidRPr="00153CA6">
        <w:rPr>
          <w:rFonts w:eastAsia="Times New Roman"/>
          <w:sz w:val="19"/>
          <w:szCs w:val="19"/>
        </w:rPr>
        <w:t xml:space="preserve"> </w:t>
      </w:r>
      <w:r w:rsidRPr="00153CA6">
        <w:rPr>
          <w:rFonts w:ascii="Fira Sans" w:eastAsia="Times New Roman" w:hAnsi="Fira Sans"/>
          <w:sz w:val="19"/>
          <w:szCs w:val="19"/>
        </w:rPr>
        <w:t>za lata 2020-2022</w:t>
      </w:r>
      <w:r w:rsidR="005B7CC1" w:rsidRPr="00153CA6">
        <w:rPr>
          <w:rFonts w:ascii="Fira Sans" w:eastAsia="Times New Roman" w:hAnsi="Fira Sans"/>
          <w:sz w:val="19"/>
          <w:szCs w:val="19"/>
        </w:rPr>
        <w:t>,</w:t>
      </w:r>
    </w:p>
    <w:p w:rsidR="00D56966" w:rsidRPr="00153CA6" w:rsidRDefault="00D56966" w:rsidP="00D56966">
      <w:pPr>
        <w:numPr>
          <w:ilvl w:val="0"/>
          <w:numId w:val="3"/>
        </w:numPr>
        <w:spacing w:before="120" w:line="276" w:lineRule="auto"/>
        <w:ind w:left="426"/>
        <w:contextualSpacing/>
        <w:jc w:val="both"/>
        <w:rPr>
          <w:rFonts w:ascii="Fira Sans" w:eastAsia="Times New Roman" w:hAnsi="Fira Sans"/>
          <w:sz w:val="19"/>
          <w:szCs w:val="19"/>
        </w:rPr>
      </w:pPr>
      <w:r w:rsidRPr="00153CA6">
        <w:rPr>
          <w:rFonts w:ascii="Fira Sans" w:eastAsia="Times New Roman" w:hAnsi="Fira Sans"/>
          <w:sz w:val="19"/>
          <w:szCs w:val="19"/>
        </w:rPr>
        <w:t>Gwarancje w ramach umowy między Państwami członkowskimi Unii Europejskiej a Europejskim Bankiem Inwestycyjnym dotyczącej pożyczek, których udzielił Europejski Bank Inwestycyjny na rzecz finansowania projektów inwestycyjnych w Krajach Afryki, Karaibów i Pacyfiku oraz w krajach i na terytoriach zamorskich</w:t>
      </w:r>
      <w:r w:rsidRPr="00153CA6">
        <w:rPr>
          <w:rFonts w:eastAsia="Times New Roman"/>
          <w:sz w:val="19"/>
          <w:szCs w:val="19"/>
        </w:rPr>
        <w:t xml:space="preserve"> </w:t>
      </w:r>
      <w:r w:rsidRPr="00153CA6">
        <w:rPr>
          <w:rFonts w:ascii="Fira Sans" w:eastAsia="Times New Roman" w:hAnsi="Fira Sans"/>
          <w:sz w:val="19"/>
          <w:szCs w:val="19"/>
        </w:rPr>
        <w:t>za lata 2021-2022</w:t>
      </w:r>
      <w:r w:rsidR="005B7CC1" w:rsidRPr="00153CA6">
        <w:rPr>
          <w:rFonts w:ascii="Fira Sans" w:eastAsia="Times New Roman" w:hAnsi="Fira Sans"/>
          <w:sz w:val="19"/>
          <w:szCs w:val="19"/>
        </w:rPr>
        <w:t>,</w:t>
      </w:r>
    </w:p>
    <w:p w:rsidR="00D56966" w:rsidRPr="00153CA6" w:rsidRDefault="00D56966" w:rsidP="00D56966">
      <w:pPr>
        <w:numPr>
          <w:ilvl w:val="0"/>
          <w:numId w:val="3"/>
        </w:numPr>
        <w:spacing w:before="120" w:line="276" w:lineRule="auto"/>
        <w:ind w:left="426"/>
        <w:contextualSpacing/>
        <w:jc w:val="both"/>
        <w:rPr>
          <w:rFonts w:ascii="Fira Sans" w:eastAsia="Times New Roman" w:hAnsi="Fira Sans"/>
          <w:sz w:val="19"/>
          <w:szCs w:val="19"/>
        </w:rPr>
      </w:pPr>
      <w:r w:rsidRPr="00153CA6">
        <w:rPr>
          <w:rFonts w:ascii="Fira Sans" w:eastAsia="Times New Roman" w:hAnsi="Fira Sans"/>
          <w:sz w:val="19"/>
          <w:szCs w:val="19"/>
        </w:rPr>
        <w:t>Gwarancje na rzecz Łotwy udzielone w ramach bilansu płatniczego (</w:t>
      </w:r>
      <w:proofErr w:type="spellStart"/>
      <w:r w:rsidRPr="00153CA6">
        <w:rPr>
          <w:rFonts w:ascii="Fira Sans" w:eastAsia="Times New Roman" w:hAnsi="Fira Sans"/>
          <w:sz w:val="19"/>
          <w:szCs w:val="19"/>
        </w:rPr>
        <w:t>BoP</w:t>
      </w:r>
      <w:proofErr w:type="spellEnd"/>
      <w:r w:rsidRPr="00153CA6">
        <w:rPr>
          <w:rFonts w:ascii="Fira Sans" w:eastAsia="Times New Roman" w:hAnsi="Fira Sans"/>
          <w:sz w:val="19"/>
          <w:szCs w:val="19"/>
        </w:rPr>
        <w:t>) za lata 2019-2022</w:t>
      </w:r>
      <w:r w:rsidR="005B7CC1" w:rsidRPr="00153CA6">
        <w:rPr>
          <w:rFonts w:ascii="Fira Sans" w:eastAsia="Times New Roman" w:hAnsi="Fira Sans"/>
          <w:sz w:val="19"/>
          <w:szCs w:val="19"/>
        </w:rPr>
        <w:t>.</w:t>
      </w:r>
    </w:p>
    <w:p w:rsidR="001645F9" w:rsidRPr="00153CA6" w:rsidRDefault="001645F9" w:rsidP="00D56966">
      <w:pPr>
        <w:spacing w:before="360"/>
        <w:jc w:val="both"/>
        <w:rPr>
          <w:rFonts w:ascii="Fira Sans" w:hAnsi="Fira Sans"/>
          <w:b/>
          <w:sz w:val="19"/>
          <w:szCs w:val="19"/>
          <w:lang w:val="en-GB"/>
        </w:rPr>
      </w:pPr>
      <w:r w:rsidRPr="00153CA6">
        <w:rPr>
          <w:rFonts w:ascii="Fira Sans" w:hAnsi="Fira Sans"/>
          <w:b/>
          <w:sz w:val="19"/>
          <w:szCs w:val="19"/>
        </w:rPr>
        <w:t>Pozostałe zobowiązania ogółem wynikające z umów PPP zaklasyfikowanych poza bilansem sektora instytucji rządowych i samorządowych</w:t>
      </w:r>
      <w:r w:rsidR="00CE1955" w:rsidRPr="00153CA6">
        <w:rPr>
          <w:rFonts w:ascii="Fira Sans" w:hAnsi="Fira Sans"/>
          <w:b/>
          <w:sz w:val="19"/>
          <w:szCs w:val="19"/>
        </w:rPr>
        <w:t xml:space="preserve"> </w:t>
      </w:r>
      <w:r w:rsidR="00CE1955" w:rsidRPr="00153CA6">
        <w:rPr>
          <w:rFonts w:ascii="Fira Sans" w:hAnsi="Fira Sans"/>
          <w:sz w:val="19"/>
          <w:szCs w:val="19"/>
        </w:rPr>
        <w:t>d</w:t>
      </w:r>
      <w:r w:rsidRPr="00153CA6">
        <w:rPr>
          <w:rFonts w:ascii="Fira Sans" w:hAnsi="Fira Sans"/>
          <w:sz w:val="19"/>
          <w:szCs w:val="19"/>
        </w:rPr>
        <w:t>otycz</w:t>
      </w:r>
      <w:r w:rsidR="00CE1955" w:rsidRPr="00153CA6">
        <w:rPr>
          <w:rFonts w:ascii="Fira Sans" w:hAnsi="Fira Sans"/>
          <w:sz w:val="19"/>
          <w:szCs w:val="19"/>
        </w:rPr>
        <w:t>ą</w:t>
      </w:r>
      <w:r w:rsidRPr="00153CA6">
        <w:rPr>
          <w:rFonts w:ascii="Fira Sans" w:hAnsi="Fira Sans"/>
          <w:sz w:val="19"/>
          <w:szCs w:val="19"/>
        </w:rPr>
        <w:t xml:space="preserve"> projektów PPP w rozumieniu ESA 2010, </w:t>
      </w:r>
      <w:r w:rsidRPr="00153CA6">
        <w:rPr>
          <w:rFonts w:ascii="Fira Sans" w:hAnsi="Fira Sans"/>
          <w:i/>
          <w:iCs/>
          <w:sz w:val="19"/>
          <w:szCs w:val="19"/>
        </w:rPr>
        <w:t xml:space="preserve">Manual on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Government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Deficit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and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Debt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.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Implementation of ESA 2010</w:t>
      </w:r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proofErr w:type="spellStart"/>
      <w:r w:rsidRPr="00153CA6">
        <w:rPr>
          <w:rFonts w:ascii="Fira Sans" w:hAnsi="Fira Sans"/>
          <w:sz w:val="19"/>
          <w:szCs w:val="19"/>
          <w:lang w:val="en-GB"/>
        </w:rPr>
        <w:t>oraz</w:t>
      </w:r>
      <w:proofErr w:type="spellEnd"/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Guide to the Statistical Treatment of PPPs</w:t>
      </w:r>
    </w:p>
    <w:p w:rsidR="00BA3000" w:rsidRPr="00153CA6" w:rsidRDefault="00553075" w:rsidP="00D56966">
      <w:pPr>
        <w:spacing w:before="36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Przypis do tablic</w:t>
      </w:r>
      <w:r w:rsidR="00BA3000" w:rsidRPr="00153CA6">
        <w:rPr>
          <w:rFonts w:ascii="Fira Sans" w:hAnsi="Fira Sans"/>
          <w:bCs/>
          <w:sz w:val="19"/>
          <w:szCs w:val="19"/>
          <w:u w:val="single"/>
        </w:rPr>
        <w:t xml:space="preserve"> 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M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n</w:t>
      </w:r>
      <w:r w:rsidRPr="00153CA6">
        <w:rPr>
          <w:rFonts w:ascii="Fira Sans" w:hAnsi="Fira Sans"/>
          <w:sz w:val="19"/>
          <w:szCs w:val="19"/>
        </w:rPr>
        <w:t xml:space="preserve">ie </w:t>
      </w:r>
      <w:r w:rsidR="00B06311" w:rsidRPr="00153CA6">
        <w:rPr>
          <w:rFonts w:ascii="Fira Sans" w:hAnsi="Fira Sans"/>
          <w:sz w:val="19"/>
          <w:szCs w:val="19"/>
        </w:rPr>
        <w:t>dotyczy, nie</w:t>
      </w:r>
      <w:r w:rsidRPr="00153CA6">
        <w:rPr>
          <w:rFonts w:ascii="Fira Sans" w:hAnsi="Fira Sans"/>
          <w:sz w:val="19"/>
          <w:szCs w:val="19"/>
        </w:rPr>
        <w:t>ma możliwości wystąpienia zjawiska</w:t>
      </w:r>
      <w:r w:rsidR="00132E84" w:rsidRPr="00153CA6">
        <w:rPr>
          <w:rFonts w:ascii="Fira Sans" w:hAnsi="Fira Sans"/>
          <w:sz w:val="19"/>
          <w:szCs w:val="19"/>
        </w:rPr>
        <w:t>.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0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 xml:space="preserve">jawisko może wystąpić lecz nie zostało dotąd zaobserwowane  </w:t>
      </w:r>
      <w:r w:rsidR="00BA3000" w:rsidRPr="00153CA6">
        <w:rPr>
          <w:rFonts w:ascii="Fira Sans" w:hAnsi="Fira Sans"/>
          <w:sz w:val="19"/>
          <w:szCs w:val="19"/>
        </w:rPr>
        <w:t xml:space="preserve"> </w:t>
      </w:r>
    </w:p>
    <w:p w:rsidR="00494849" w:rsidRPr="00153CA6" w:rsidRDefault="00553075" w:rsidP="00494849">
      <w:pPr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L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5B7CC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>jawisko jest obserwowane lub mogło wystąpić lecz brak jest dostępnych, wiarygodnych danych</w:t>
      </w:r>
    </w:p>
    <w:p w:rsidR="00A87621" w:rsidRPr="00153CA6" w:rsidRDefault="00494849" w:rsidP="00D56966">
      <w:pPr>
        <w:tabs>
          <w:tab w:val="left" w:pos="2322"/>
        </w:tabs>
        <w:spacing w:before="24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 xml:space="preserve">Wycena </w:t>
      </w:r>
    </w:p>
    <w:p w:rsidR="00494849" w:rsidRPr="00153CA6" w:rsidRDefault="00A87621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Dane w tabelach dot. </w:t>
      </w:r>
      <w:r w:rsidRPr="00153CA6">
        <w:rPr>
          <w:rFonts w:ascii="Fira Sans" w:hAnsi="Fira Sans"/>
          <w:bCs/>
          <w:sz w:val="19"/>
          <w:szCs w:val="19"/>
        </w:rPr>
        <w:t>gwarancji, umów PPP oraz pożyczek zagrożonych</w:t>
      </w:r>
      <w:r w:rsidRPr="00153CA6">
        <w:rPr>
          <w:rFonts w:ascii="Fira Sans" w:hAnsi="Fira Sans"/>
          <w:sz w:val="19"/>
          <w:szCs w:val="19"/>
        </w:rPr>
        <w:t xml:space="preserve"> prezentowane są w wartościach</w:t>
      </w:r>
      <w:r w:rsidR="00494849" w:rsidRPr="00153CA6">
        <w:rPr>
          <w:rFonts w:ascii="Fira Sans" w:hAnsi="Fira Sans"/>
          <w:sz w:val="19"/>
          <w:szCs w:val="19"/>
        </w:rPr>
        <w:t xml:space="preserve"> nominaln</w:t>
      </w:r>
      <w:r w:rsidRPr="00153CA6">
        <w:rPr>
          <w:rFonts w:ascii="Fira Sans" w:hAnsi="Fira Sans"/>
          <w:sz w:val="19"/>
          <w:szCs w:val="19"/>
        </w:rPr>
        <w:t>ych</w:t>
      </w:r>
      <w:r w:rsidR="00494849" w:rsidRPr="00153CA6">
        <w:rPr>
          <w:rFonts w:ascii="Fira Sans" w:hAnsi="Fira Sans"/>
          <w:sz w:val="19"/>
          <w:szCs w:val="19"/>
        </w:rPr>
        <w:t>.</w:t>
      </w:r>
    </w:p>
    <w:p w:rsidR="000450B1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Uwagi metodyczne do tablic:</w:t>
      </w:r>
    </w:p>
    <w:p w:rsidR="00BA3000" w:rsidRPr="00153CA6" w:rsidRDefault="00494849" w:rsidP="00BA3000">
      <w:pPr>
        <w:jc w:val="both"/>
        <w:rPr>
          <w:rFonts w:ascii="Fira Sans" w:hAnsi="Fira Sans"/>
          <w:b/>
          <w:bCs/>
          <w:sz w:val="19"/>
          <w:szCs w:val="19"/>
          <w:u w:val="single"/>
        </w:rPr>
      </w:pPr>
      <w:r w:rsidRPr="00153CA6">
        <w:rPr>
          <w:rFonts w:ascii="Fira Sans" w:hAnsi="Fira Sans"/>
          <w:b/>
          <w:bCs/>
          <w:sz w:val="19"/>
          <w:szCs w:val="19"/>
          <w:u w:val="single"/>
        </w:rPr>
        <w:t>Gwarancje udzielone przez sektor instytucji rządowych i samorządowych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jednorazowe </w:t>
      </w:r>
      <w:r w:rsidRPr="00153CA6">
        <w:rPr>
          <w:rFonts w:ascii="Fira Sans" w:hAnsi="Fira Sans"/>
          <w:sz w:val="19"/>
          <w:szCs w:val="19"/>
        </w:rPr>
        <w:t>są to gwarancje indywidualne, a gwaranci nie są w stanie dokonać wiarygodnej oceny ryzyka wystąpienia żądań wypłaty z tytułu gwarancji. Gwarancje jednorazowe związane są z instrumentami dłużnymi (np. kredyty, obligacje).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standaryzowane </w:t>
      </w:r>
      <w:r w:rsidRPr="00153CA6">
        <w:rPr>
          <w:rFonts w:ascii="Fira Sans" w:hAnsi="Fira Sans"/>
          <w:bCs/>
          <w:sz w:val="19"/>
          <w:szCs w:val="19"/>
        </w:rPr>
        <w:t>to g</w:t>
      </w:r>
      <w:r w:rsidRPr="00153CA6">
        <w:rPr>
          <w:rFonts w:ascii="Fira Sans" w:hAnsi="Fira Sans"/>
          <w:sz w:val="19"/>
          <w:szCs w:val="19"/>
        </w:rPr>
        <w:t>warancje udzielane w dużych ilościach, zwykle na dość małe kwoty, na identycznych warunkach. W transakcjach tych uczestniczą trzy strony: pożyczkobiorca, pożyczkodawca i gwarant. Pożyczkobiorca albo pożyczkodawca może zawrzeć umowę z gwarantem o spłacenie pożyczkodawcy, jeśli pożyczkobiorca nie wywiąże się ze zobowiązań. Nie jest możliwe dokładne oszacowanie ryzyka dotyczącego zagrożenia spłaty kredytu, ale możliwe jest oszacowanie, ile z dużej liczby takich kredytów, będzie zagrożone niespłaceniem. Przykładem takich gwarancji są gwarancje pożyczek zabezpieczonych hipoteką  oraz gwarancje kredytów/pożyczek studenckich.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Dane dotyczące gwarancji nie obejmują </w:t>
      </w:r>
      <w:r w:rsidRPr="00153CA6">
        <w:rPr>
          <w:rFonts w:ascii="Fira Sans" w:hAnsi="Fira Sans"/>
          <w:bCs/>
          <w:sz w:val="19"/>
          <w:szCs w:val="19"/>
        </w:rPr>
        <w:t>g</w:t>
      </w:r>
      <w:r w:rsidRPr="00153CA6">
        <w:rPr>
          <w:rFonts w:ascii="Fira Sans" w:hAnsi="Fira Sans"/>
          <w:sz w:val="19"/>
          <w:szCs w:val="19"/>
        </w:rPr>
        <w:t>warancji rządowych udzielanych w ramach mechanizmu gwarancji w ramach Umowy ramowej w sprawie Europejskiego Instrumentu Stabilności Finansowej (EFSF), gwarancji mających cechy instrumentu pochodnego, tj. gwarancji, które spełniają definicję instrumentu pochodnego, gwarancji dot. ubezpieczenia depozytów bankowych i pochodnych,</w:t>
      </w:r>
      <w:r w:rsidR="00494849" w:rsidRPr="00153CA6">
        <w:rPr>
          <w:rFonts w:ascii="Fira Sans" w:hAnsi="Fira Sans"/>
          <w:sz w:val="19"/>
          <w:szCs w:val="19"/>
        </w:rPr>
        <w:t xml:space="preserve"> g</w:t>
      </w:r>
      <w:r w:rsidRPr="00153CA6">
        <w:rPr>
          <w:rFonts w:ascii="Fira Sans" w:hAnsi="Fira Sans"/>
          <w:sz w:val="19"/>
          <w:szCs w:val="19"/>
        </w:rPr>
        <w:t>warancji rządowych dot. wydarzeń, których występowanie nie jest objęte ubezpieczeniem komercyjnym (trzęsienia ziemi, powodzie na dużą skalę, wypadki nuklearne, niektóre wystawy dzieł sztuki, itp.).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Tabela obejmuje wszystkie podsektory sektora instytucji  rządowych i samorządowych, z wyjątkiem podsektora funduszy ubezpieczeń społecznych. Raportowane są tylko gwarancje udzielne jednostkom </w:t>
      </w:r>
      <w:r w:rsidRPr="00153CA6">
        <w:rPr>
          <w:rFonts w:ascii="Fira Sans" w:hAnsi="Fira Sans"/>
          <w:sz w:val="19"/>
          <w:szCs w:val="19"/>
        </w:rPr>
        <w:lastRenderedPageBreak/>
        <w:t xml:space="preserve">zaklasyfikowanym </w:t>
      </w:r>
      <w:r w:rsidRPr="00153CA6">
        <w:rPr>
          <w:rFonts w:ascii="Fira Sans" w:hAnsi="Fira Sans"/>
          <w:b/>
          <w:sz w:val="19"/>
          <w:szCs w:val="19"/>
        </w:rPr>
        <w:t>poza</w:t>
      </w:r>
      <w:r w:rsidRPr="00153CA6">
        <w:rPr>
          <w:rFonts w:ascii="Fira Sans" w:hAnsi="Fira Sans"/>
          <w:sz w:val="19"/>
          <w:szCs w:val="19"/>
        </w:rPr>
        <w:t xml:space="preserve"> sektorem instytucji rządowych i samorządowych.</w:t>
      </w:r>
      <w:r w:rsidR="00494849" w:rsidRPr="00153CA6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Wartość gwarantowanego długu nie obejmuje wartości długu już przejętego przez sektor instytucji rządowych i samorządowych, zgodnie z metodyką ESA.</w:t>
      </w:r>
      <w:r w:rsidRPr="00153CA6">
        <w:rPr>
          <w:rFonts w:ascii="Fira Sans" w:hAnsi="Fira Sans"/>
          <w:sz w:val="19"/>
          <w:szCs w:val="19"/>
        </w:rPr>
        <w:br/>
        <w:t>Terminologia tabeli wynika z terminologii ESA 2010.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  <w:t>Pozostałe zobowiązania ogółem wynikające z umów PPP zaklasyfikowanych poza bilansem sektora instytucji rządowych i samorządowych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sz w:val="19"/>
          <w:szCs w:val="19"/>
          <w:lang w:eastAsia="pl-PL"/>
        </w:rPr>
        <w:t>Początkowa wartość kapitałowa określona w umowie jest z czasem stopniowo zmniejszana o kwotę obniżenia wartości ekonomicznej, która jest obliczana na podstawie danych szacunkowych lub rzeczywistych. Skorygowana wartość kapitałowa odzwierciedla wartość bieżącą aktywów w momencie raportowania. Uważa się, że kwota ta odzwierciedla nakłady brutto na środki trwałe i wpływ na zadłużenie, w przypadku gdyby aktywa zostały przejęte przez sektor instytucji rządowych i samorządowych w trakcie trwania kontraktu.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  <w:t>Pożyczki zagrożone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t xml:space="preserve">Kredyt lub pożyczka jest zagrożona, jeżeli: a) spłata odsetek lub kwoty głównej jest opóźniona o 90 lub więcej dni w stosunku do daty wymagalności; b) odsetki do zapłacenia za okres 90 lub więcej dni zostały skapitalizowane, refinansowane lub ich spłata została opóźniona w drodze umowy; lub c) płatności są opóźnione o mniej niż 90 dni, ale są inne uzasadnione przyczyny (takie jak złożenie wniosku o upadłość dłużnika) budzące wątpliwości co do pełnej realizacji płatności (ESA 2010 § 7.101). 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</w:pPr>
    </w:p>
    <w:p w:rsidR="00090F4A" w:rsidRPr="00153CA6" w:rsidRDefault="00090F4A" w:rsidP="00BA3000">
      <w:pPr>
        <w:jc w:val="both"/>
        <w:rPr>
          <w:rFonts w:ascii="Fira Sans" w:hAnsi="Fira Sans"/>
          <w:sz w:val="19"/>
          <w:szCs w:val="19"/>
        </w:rPr>
      </w:pPr>
    </w:p>
    <w:p w:rsidR="00CE1955" w:rsidRPr="00153CA6" w:rsidRDefault="00CE1955" w:rsidP="00BA3000">
      <w:pPr>
        <w:jc w:val="both"/>
        <w:rPr>
          <w:rFonts w:ascii="Fira Sans" w:hAnsi="Fira Sans"/>
          <w:sz w:val="19"/>
          <w:szCs w:val="19"/>
        </w:rPr>
      </w:pPr>
    </w:p>
    <w:sectPr w:rsidR="00CE1955" w:rsidRPr="0015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0AA"/>
    <w:multiLevelType w:val="hybridMultilevel"/>
    <w:tmpl w:val="BC1E46D6"/>
    <w:lvl w:ilvl="0" w:tplc="5024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283B9C"/>
    <w:multiLevelType w:val="hybridMultilevel"/>
    <w:tmpl w:val="17DA5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A"/>
    <w:rsid w:val="000450B1"/>
    <w:rsid w:val="00090F4A"/>
    <w:rsid w:val="000C1AB8"/>
    <w:rsid w:val="00132E84"/>
    <w:rsid w:val="00144079"/>
    <w:rsid w:val="00150603"/>
    <w:rsid w:val="00153CA6"/>
    <w:rsid w:val="001645F9"/>
    <w:rsid w:val="003B2008"/>
    <w:rsid w:val="003C0D26"/>
    <w:rsid w:val="00494849"/>
    <w:rsid w:val="00553075"/>
    <w:rsid w:val="005B7CC1"/>
    <w:rsid w:val="009619BE"/>
    <w:rsid w:val="00A1326A"/>
    <w:rsid w:val="00A549AF"/>
    <w:rsid w:val="00A87621"/>
    <w:rsid w:val="00AB0408"/>
    <w:rsid w:val="00B06311"/>
    <w:rsid w:val="00BA3000"/>
    <w:rsid w:val="00C47101"/>
    <w:rsid w:val="00CA6FC9"/>
    <w:rsid w:val="00CE15B4"/>
    <w:rsid w:val="00CE1955"/>
    <w:rsid w:val="00D320A2"/>
    <w:rsid w:val="00D56966"/>
    <w:rsid w:val="00E13609"/>
    <w:rsid w:val="00F53E1C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193EE-9FEF-4D78-A37E-28289FD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4224</Characters>
  <Application>Microsoft Office Word</Application>
  <DocSecurity>0</DocSecurity>
  <Lines>140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2023-10-30T10:18:00Z</cp:lastPrinted>
  <dcterms:created xsi:type="dcterms:W3CDTF">2023-10-30T10:16:00Z</dcterms:created>
  <dcterms:modified xsi:type="dcterms:W3CDTF">2023-10-31T07:43:00Z</dcterms:modified>
</cp:coreProperties>
</file>