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900C" w14:textId="74BBB276" w:rsidR="004C53C5" w:rsidRPr="004C53C5" w:rsidRDefault="00F308DD" w:rsidP="004C53C5">
      <w:pPr>
        <w:rPr>
          <w:i/>
          <w:iCs/>
        </w:rPr>
      </w:pPr>
      <w:r>
        <w:rPr>
          <w:b/>
          <w:bCs/>
          <w:i/>
          <w:iCs/>
        </w:rPr>
        <w:t xml:space="preserve">      </w:t>
      </w:r>
      <w:r w:rsidR="004C53C5" w:rsidRPr="004C53C5">
        <w:rPr>
          <w:b/>
          <w:bCs/>
          <w:i/>
          <w:iCs/>
        </w:rPr>
        <w:t>Zapraszamy</w:t>
      </w:r>
      <w:r w:rsidR="004C53C5" w:rsidRPr="004C53C5">
        <w:rPr>
          <w:i/>
          <w:iCs/>
        </w:rPr>
        <w:t xml:space="preserve"> do wzięcia udziału w konsultacjach społecznych dotyczących</w:t>
      </w:r>
    </w:p>
    <w:p w14:paraId="5984F90B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 xml:space="preserve">obszarów o szczególnych wartościach ochronnych (HCV ang. High </w:t>
      </w:r>
      <w:proofErr w:type="spellStart"/>
      <w:r w:rsidRPr="004C53C5">
        <w:rPr>
          <w:i/>
          <w:iCs/>
        </w:rPr>
        <w:t>Conservation</w:t>
      </w:r>
      <w:proofErr w:type="spellEnd"/>
    </w:p>
    <w:p w14:paraId="5D530F49" w14:textId="77777777" w:rsidR="004C53C5" w:rsidRPr="004C53C5" w:rsidRDefault="004C53C5" w:rsidP="004C53C5">
      <w:pPr>
        <w:rPr>
          <w:i/>
          <w:iCs/>
        </w:rPr>
      </w:pPr>
      <w:proofErr w:type="spellStart"/>
      <w:r w:rsidRPr="004C53C5">
        <w:rPr>
          <w:i/>
          <w:iCs/>
        </w:rPr>
        <w:t>Values</w:t>
      </w:r>
      <w:proofErr w:type="spellEnd"/>
      <w:r w:rsidRPr="004C53C5">
        <w:rPr>
          <w:i/>
          <w:iCs/>
        </w:rPr>
        <w:t>) zidentyfikowanych na terenie nadleśnictw Regionalnej Dyrekcji Lasów</w:t>
      </w:r>
    </w:p>
    <w:p w14:paraId="142D7E52" w14:textId="3053DCAB" w:rsidR="00F308DD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Państwowych w Pile.</w:t>
      </w:r>
    </w:p>
    <w:p w14:paraId="437ACA4D" w14:textId="6FA66340" w:rsidR="004C53C5" w:rsidRPr="004C53C5" w:rsidRDefault="00F308DD" w:rsidP="004C53C5">
      <w:pPr>
        <w:rPr>
          <w:i/>
          <w:iCs/>
        </w:rPr>
      </w:pPr>
      <w:r>
        <w:rPr>
          <w:i/>
          <w:iCs/>
        </w:rPr>
        <w:t xml:space="preserve">      </w:t>
      </w:r>
      <w:r w:rsidR="004C53C5" w:rsidRPr="004C53C5">
        <w:rPr>
          <w:i/>
          <w:iCs/>
        </w:rPr>
        <w:t>Obszary o szczególnych wartościach ochronnych (HCV) - kryterium 9.1</w:t>
      </w:r>
    </w:p>
    <w:p w14:paraId="6B1944A9" w14:textId="28868056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standardu.</w:t>
      </w:r>
      <w:r w:rsidR="00F308DD">
        <w:rPr>
          <w:i/>
          <w:iCs/>
        </w:rPr>
        <w:t xml:space="preserve"> </w:t>
      </w:r>
      <w:r w:rsidRPr="004C53C5">
        <w:rPr>
          <w:i/>
          <w:iCs/>
        </w:rPr>
        <w:t>Są to strefy i przestrzenie fizyczne posiadające szczególne wartości ochronne</w:t>
      </w:r>
    </w:p>
    <w:p w14:paraId="436C0918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lub są potrzebne do istnienia i utrzymania szczególnych wartości ochronnych.</w:t>
      </w:r>
    </w:p>
    <w:p w14:paraId="22A5C7BF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Identyfikacja obszarów oparta jest na podstawie „Krajowych Ram</w:t>
      </w:r>
    </w:p>
    <w:p w14:paraId="4CEC9EB0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Szczególnych Wartości Ochronnych dla Polski” (załącznik I ww. standardu).</w:t>
      </w:r>
    </w:p>
    <w:p w14:paraId="2C909789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Wyróżnia następujące szczególne wartości ochronne:</w:t>
      </w:r>
    </w:p>
    <w:p w14:paraId="42123531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 xml:space="preserve">1. </w:t>
      </w:r>
      <w:r w:rsidRPr="004C53C5">
        <w:rPr>
          <w:b/>
          <w:bCs/>
          <w:i/>
          <w:iCs/>
        </w:rPr>
        <w:t xml:space="preserve">HCV 1 </w:t>
      </w:r>
      <w:r w:rsidRPr="004C53C5">
        <w:rPr>
          <w:i/>
          <w:iCs/>
        </w:rPr>
        <w:t>– Różnorodność gatunkowa. Koncentracja różnorodności</w:t>
      </w:r>
    </w:p>
    <w:p w14:paraId="4F8F6B25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biologicznej z uwzględnieniem gatunków endemicznych oraz gatunków rzadkich</w:t>
      </w:r>
    </w:p>
    <w:p w14:paraId="4C0E5C2F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i zagrożonych, która jest znacząca na poziomie globalnym, regionalnym lub</w:t>
      </w:r>
    </w:p>
    <w:p w14:paraId="2FDE55A6" w14:textId="5DF34692" w:rsidR="006D4D6A" w:rsidRDefault="004C53C5" w:rsidP="004C53C5">
      <w:pPr>
        <w:rPr>
          <w:i/>
          <w:iCs/>
        </w:rPr>
      </w:pPr>
      <w:r w:rsidRPr="004C53C5">
        <w:rPr>
          <w:i/>
          <w:iCs/>
        </w:rPr>
        <w:t>krajowym.</w:t>
      </w:r>
    </w:p>
    <w:p w14:paraId="72DC5019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 xml:space="preserve">2. </w:t>
      </w:r>
      <w:r w:rsidRPr="004C53C5">
        <w:rPr>
          <w:b/>
          <w:bCs/>
          <w:i/>
          <w:iCs/>
        </w:rPr>
        <w:t xml:space="preserve">HCV 2 </w:t>
      </w:r>
      <w:r w:rsidRPr="004C53C5">
        <w:rPr>
          <w:i/>
          <w:iCs/>
        </w:rPr>
        <w:t>– Ekosystemy i mozaiki na poziomie krajobrazu. Nienaruszone</w:t>
      </w:r>
    </w:p>
    <w:p w14:paraId="08F9CE9D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krajobrazy leśne oraz ekosystemy i mozaiki ekosystemów występujące na poziomie</w:t>
      </w:r>
    </w:p>
    <w:p w14:paraId="72781681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krajobrazu, które są znaczące na poziomie globalnym, regionalnym lub krajowym,</w:t>
      </w:r>
    </w:p>
    <w:p w14:paraId="040438EB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które dodatkowo zawierają zdolne do przeżycia populacje większości naturalnie</w:t>
      </w:r>
    </w:p>
    <w:p w14:paraId="31085222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występujących gatunków, z ich naturalnym wzorem rozmieszczenia i zagęszczenia.</w:t>
      </w:r>
    </w:p>
    <w:p w14:paraId="2743B620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 xml:space="preserve">3. </w:t>
      </w:r>
      <w:r w:rsidRPr="004C53C5">
        <w:rPr>
          <w:b/>
          <w:bCs/>
          <w:i/>
          <w:iCs/>
        </w:rPr>
        <w:t xml:space="preserve">HCV 3 </w:t>
      </w:r>
      <w:r w:rsidRPr="004C53C5">
        <w:rPr>
          <w:i/>
          <w:iCs/>
        </w:rPr>
        <w:t>– Ekosystemy i siedliska. Rzadkie lub zagrożone ekosystemy,</w:t>
      </w:r>
    </w:p>
    <w:p w14:paraId="6BAE9FF2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siedliska lub ostoje.</w:t>
      </w:r>
    </w:p>
    <w:p w14:paraId="253AFB34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 xml:space="preserve">4. </w:t>
      </w:r>
      <w:r w:rsidRPr="004C53C5">
        <w:rPr>
          <w:b/>
          <w:bCs/>
          <w:i/>
          <w:iCs/>
        </w:rPr>
        <w:t xml:space="preserve">HCV 4 </w:t>
      </w:r>
      <w:r w:rsidRPr="004C53C5">
        <w:rPr>
          <w:i/>
          <w:iCs/>
        </w:rPr>
        <w:t>– Kluczowe usługi ekosystemów. Podstawowe usługi ekosystemów</w:t>
      </w:r>
    </w:p>
    <w:p w14:paraId="62C3D022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w sytuacjach kluczowych, włączając w to ochronę zlewni wodnych i kontrolę erozji</w:t>
      </w:r>
    </w:p>
    <w:p w14:paraId="0D1484D1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wrażliwych gleb i zboczy.</w:t>
      </w:r>
    </w:p>
    <w:p w14:paraId="6737FEF2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 xml:space="preserve">5. </w:t>
      </w:r>
      <w:r w:rsidRPr="004C53C5">
        <w:rPr>
          <w:b/>
          <w:bCs/>
          <w:i/>
          <w:iCs/>
        </w:rPr>
        <w:t xml:space="preserve">HCV 5 </w:t>
      </w:r>
      <w:r w:rsidRPr="004C53C5">
        <w:rPr>
          <w:i/>
          <w:iCs/>
        </w:rPr>
        <w:t>– Potrzeby społeczności lokalnych. Miejsca i zasoby</w:t>
      </w:r>
    </w:p>
    <w:p w14:paraId="6A3C6C84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o fundamentalnym znaczeniu dla zaspokojenia podstawowych potrzeb</w:t>
      </w:r>
    </w:p>
    <w:p w14:paraId="2B1C05A8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społeczności lokalnych lub ludności rdzennej (w zakresie środków do życia,</w:t>
      </w:r>
    </w:p>
    <w:p w14:paraId="5D3D9E18" w14:textId="4C29AF4D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lastRenderedPageBreak/>
        <w:t>odżywiania, wody itp.) zidentyfikowane poprzez zaangażowanie tych społeczności</w:t>
      </w:r>
      <w:r w:rsidR="00F308DD">
        <w:rPr>
          <w:i/>
          <w:iCs/>
        </w:rPr>
        <w:t xml:space="preserve"> </w:t>
      </w:r>
      <w:r w:rsidRPr="004C53C5">
        <w:rPr>
          <w:i/>
          <w:iCs/>
        </w:rPr>
        <w:t>lub ludności rdzennej.</w:t>
      </w:r>
    </w:p>
    <w:p w14:paraId="340F2D9A" w14:textId="77777777" w:rsidR="00F308DD" w:rsidRDefault="00F308DD" w:rsidP="004C53C5">
      <w:pPr>
        <w:rPr>
          <w:i/>
          <w:iCs/>
        </w:rPr>
      </w:pPr>
    </w:p>
    <w:p w14:paraId="1FE6D484" w14:textId="7636EC2B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 xml:space="preserve">6. </w:t>
      </w:r>
      <w:r w:rsidRPr="004C53C5">
        <w:rPr>
          <w:b/>
          <w:bCs/>
          <w:i/>
          <w:iCs/>
        </w:rPr>
        <w:t xml:space="preserve">HCV 6 </w:t>
      </w:r>
      <w:r w:rsidRPr="004C53C5">
        <w:rPr>
          <w:i/>
          <w:iCs/>
        </w:rPr>
        <w:t>– Wartości kulturowe. Miejsca, zasoby, siedliska i krajobrazy</w:t>
      </w:r>
    </w:p>
    <w:p w14:paraId="75737E9A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o globalnym lub krajowym znaczeniu kulturowym, archeologicznym lub</w:t>
      </w:r>
    </w:p>
    <w:p w14:paraId="6ACCD20E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historycznym i/lub kluczowym znaczeniu kulturowym, ekologicznym,</w:t>
      </w:r>
    </w:p>
    <w:p w14:paraId="4EA34385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ekonomicznym lub religijnym/uświęconym dla tradycyjnej kultury lokalnych</w:t>
      </w:r>
    </w:p>
    <w:p w14:paraId="68621676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społeczności lub ludności rdzennej, zidentyfikowane poprzez zaangażowanie tych</w:t>
      </w:r>
    </w:p>
    <w:p w14:paraId="5DA1FAD4" w14:textId="1604A235" w:rsidR="004C53C5" w:rsidRDefault="004C53C5" w:rsidP="004C53C5">
      <w:pPr>
        <w:rPr>
          <w:i/>
          <w:iCs/>
        </w:rPr>
      </w:pPr>
      <w:r w:rsidRPr="004C53C5">
        <w:rPr>
          <w:i/>
          <w:iCs/>
        </w:rPr>
        <w:t>społeczności lub ludności rdzennej.</w:t>
      </w:r>
    </w:p>
    <w:p w14:paraId="377C28E2" w14:textId="77777777" w:rsidR="00F308DD" w:rsidRDefault="00F308DD" w:rsidP="004C53C5">
      <w:pPr>
        <w:rPr>
          <w:i/>
          <w:iCs/>
        </w:rPr>
      </w:pPr>
      <w:r>
        <w:rPr>
          <w:i/>
          <w:iCs/>
        </w:rPr>
        <w:t xml:space="preserve">            </w:t>
      </w:r>
    </w:p>
    <w:p w14:paraId="465B5754" w14:textId="7E148F76" w:rsidR="004C53C5" w:rsidRDefault="00F308DD" w:rsidP="004C53C5">
      <w:pPr>
        <w:rPr>
          <w:i/>
          <w:iCs/>
        </w:rPr>
      </w:pPr>
      <w:r>
        <w:rPr>
          <w:i/>
          <w:iCs/>
        </w:rPr>
        <w:t xml:space="preserve">              </w:t>
      </w:r>
      <w:r w:rsidR="004C53C5">
        <w:rPr>
          <w:i/>
          <w:iCs/>
        </w:rPr>
        <w:t xml:space="preserve"> </w:t>
      </w:r>
      <w:r w:rsidR="004C53C5" w:rsidRPr="004C53C5">
        <w:rPr>
          <w:i/>
          <w:iCs/>
        </w:rPr>
        <w:t xml:space="preserve">Nadleśnictwo </w:t>
      </w:r>
      <w:r w:rsidR="004C53C5">
        <w:rPr>
          <w:i/>
          <w:iCs/>
        </w:rPr>
        <w:t>Kalisz Pomorski</w:t>
      </w:r>
      <w:r w:rsidR="004C53C5" w:rsidRPr="004C53C5">
        <w:rPr>
          <w:i/>
          <w:iCs/>
        </w:rPr>
        <w:t xml:space="preserve"> dokonało wstępnej identyfikacji obszarów spełniających</w:t>
      </w:r>
      <w:r>
        <w:rPr>
          <w:i/>
          <w:iCs/>
        </w:rPr>
        <w:t xml:space="preserve"> </w:t>
      </w:r>
      <w:r w:rsidR="004C53C5" w:rsidRPr="004C53C5">
        <w:rPr>
          <w:i/>
          <w:iCs/>
        </w:rPr>
        <w:t>kryteria HCV zgodnie z Przejściowym Standardem Odpowiedzialnej Gospodarki</w:t>
      </w:r>
      <w:r>
        <w:rPr>
          <w:i/>
          <w:iCs/>
        </w:rPr>
        <w:t xml:space="preserve"> </w:t>
      </w:r>
      <w:r w:rsidR="004C53C5" w:rsidRPr="004C53C5">
        <w:rPr>
          <w:i/>
          <w:iCs/>
        </w:rPr>
        <w:t>Leśnej FSC dla Polski (FSC-STD-POL-02-2024), w którego treści znajduje się opis</w:t>
      </w:r>
      <w:r>
        <w:rPr>
          <w:i/>
          <w:iCs/>
        </w:rPr>
        <w:t xml:space="preserve"> </w:t>
      </w:r>
      <w:r w:rsidR="004C53C5" w:rsidRPr="004C53C5">
        <w:rPr>
          <w:i/>
          <w:iCs/>
        </w:rPr>
        <w:t>krajowych ram szczególnych wartości ochronnych dla Polski.</w:t>
      </w:r>
      <w:r>
        <w:rPr>
          <w:i/>
          <w:iCs/>
        </w:rPr>
        <w:t xml:space="preserve"> </w:t>
      </w:r>
      <w:r w:rsidR="004C53C5" w:rsidRPr="004C53C5">
        <w:rPr>
          <w:i/>
          <w:iCs/>
        </w:rPr>
        <w:t>Mapy zidentyfikowanych obszarów HCV oraz tekst przejściowego standardu</w:t>
      </w:r>
      <w:r>
        <w:rPr>
          <w:i/>
          <w:iCs/>
        </w:rPr>
        <w:t xml:space="preserve"> </w:t>
      </w:r>
      <w:r w:rsidR="004C53C5" w:rsidRPr="004C53C5">
        <w:rPr>
          <w:i/>
          <w:iCs/>
        </w:rPr>
        <w:t>są dostępne do pobrania jako załączniki.</w:t>
      </w:r>
      <w:r>
        <w:rPr>
          <w:i/>
          <w:iCs/>
        </w:rPr>
        <w:t xml:space="preserve"> </w:t>
      </w:r>
      <w:r w:rsidR="004C53C5" w:rsidRPr="004C53C5">
        <w:rPr>
          <w:i/>
          <w:iCs/>
        </w:rPr>
        <w:t xml:space="preserve">Proces konsultacji społecznych zostanie zakończony po upływie </w:t>
      </w:r>
      <w:r w:rsidR="004C53C5" w:rsidRPr="004C53C5">
        <w:rPr>
          <w:b/>
          <w:bCs/>
          <w:i/>
          <w:iCs/>
        </w:rPr>
        <w:t>30 dni</w:t>
      </w:r>
      <w:r w:rsidR="004C53C5" w:rsidRPr="004C53C5">
        <w:rPr>
          <w:i/>
          <w:iCs/>
        </w:rPr>
        <w:t xml:space="preserve"> od</w:t>
      </w:r>
      <w:r>
        <w:rPr>
          <w:i/>
          <w:iCs/>
        </w:rPr>
        <w:t xml:space="preserve"> </w:t>
      </w:r>
      <w:r w:rsidR="004C53C5" w:rsidRPr="004C53C5">
        <w:rPr>
          <w:i/>
          <w:iCs/>
        </w:rPr>
        <w:t xml:space="preserve">daty publikacji niniejszego ogłoszenia </w:t>
      </w:r>
      <w:r w:rsidR="004C53C5" w:rsidRPr="00F308DD">
        <w:rPr>
          <w:b/>
          <w:bCs/>
          <w:i/>
          <w:iCs/>
        </w:rPr>
        <w:t>(tj. do 16 stycznia 2026 r.).</w:t>
      </w:r>
      <w:r w:rsidR="004C53C5" w:rsidRPr="004C53C5">
        <w:rPr>
          <w:i/>
          <w:iCs/>
        </w:rPr>
        <w:t xml:space="preserve"> </w:t>
      </w:r>
    </w:p>
    <w:p w14:paraId="12143413" w14:textId="77777777" w:rsidR="00F308DD" w:rsidRDefault="00F308DD" w:rsidP="004C53C5">
      <w:pPr>
        <w:rPr>
          <w:i/>
          <w:iCs/>
        </w:rPr>
      </w:pPr>
    </w:p>
    <w:p w14:paraId="277C42E5" w14:textId="77777777" w:rsidR="00F308DD" w:rsidRDefault="00F308DD" w:rsidP="004C53C5">
      <w:pPr>
        <w:rPr>
          <w:i/>
          <w:iCs/>
        </w:rPr>
      </w:pPr>
    </w:p>
    <w:p w14:paraId="55717273" w14:textId="33893B2B" w:rsidR="004C53C5" w:rsidRDefault="004C53C5" w:rsidP="004C53C5">
      <w:pPr>
        <w:rPr>
          <w:i/>
          <w:iCs/>
        </w:rPr>
      </w:pPr>
      <w:r w:rsidRPr="004C53C5">
        <w:rPr>
          <w:i/>
          <w:iCs/>
        </w:rPr>
        <w:t>Uwagi i propozycje</w:t>
      </w:r>
    </w:p>
    <w:p w14:paraId="18125250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dotyczące identyfikacji projektowanych obszarów HCV można wnosić za pomocą</w:t>
      </w:r>
    </w:p>
    <w:p w14:paraId="11EC9584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formularza internetowego zamieszczonego pod linkiem:</w:t>
      </w:r>
    </w:p>
    <w:p w14:paraId="229B4BFE" w14:textId="287C7639" w:rsidR="004C53C5" w:rsidRDefault="004C53C5" w:rsidP="004C53C5">
      <w:pPr>
        <w:rPr>
          <w:b/>
          <w:bCs/>
          <w:i/>
          <w:iCs/>
        </w:rPr>
      </w:pPr>
      <w:hyperlink r:id="rId4" w:history="1">
        <w:r w:rsidRPr="001368F4">
          <w:rPr>
            <w:rStyle w:val="Hipercze"/>
            <w:b/>
            <w:bCs/>
            <w:i/>
            <w:iCs/>
          </w:rPr>
          <w:t>https://ankiety.pila.lasy.gov.pl/index.php/462584?lang=pl</w:t>
        </w:r>
      </w:hyperlink>
    </w:p>
    <w:p w14:paraId="3717B5A6" w14:textId="77777777" w:rsidR="004C53C5" w:rsidRDefault="004C53C5" w:rsidP="004C53C5">
      <w:pPr>
        <w:rPr>
          <w:b/>
          <w:bCs/>
          <w:i/>
          <w:iCs/>
        </w:rPr>
      </w:pPr>
    </w:p>
    <w:p w14:paraId="0DBF8DA5" w14:textId="77777777" w:rsidR="004C53C5" w:rsidRPr="004C53C5" w:rsidRDefault="004C53C5" w:rsidP="004C53C5">
      <w:pPr>
        <w:rPr>
          <w:b/>
          <w:bCs/>
          <w:i/>
          <w:iCs/>
        </w:rPr>
      </w:pPr>
      <w:r w:rsidRPr="004C53C5">
        <w:rPr>
          <w:b/>
          <w:bCs/>
          <w:i/>
          <w:iCs/>
        </w:rPr>
        <w:t>Można je również przesyłać:</w:t>
      </w:r>
    </w:p>
    <w:p w14:paraId="08A9AD3E" w14:textId="2FBB005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- na adres e-mail:</w:t>
      </w:r>
      <w:r>
        <w:rPr>
          <w:i/>
          <w:iCs/>
        </w:rPr>
        <w:t xml:space="preserve"> </w:t>
      </w:r>
      <w:r w:rsidRPr="004C53C5">
        <w:rPr>
          <w:i/>
          <w:iCs/>
        </w:rPr>
        <w:t> </w:t>
      </w:r>
      <w:r>
        <w:rPr>
          <w:i/>
          <w:iCs/>
        </w:rPr>
        <w:t>kalisz@pila.lasy.gov.pl</w:t>
      </w:r>
      <w:r w:rsidRPr="004C53C5">
        <w:rPr>
          <w:i/>
          <w:iCs/>
        </w:rPr>
        <w:t>,</w:t>
      </w:r>
    </w:p>
    <w:p w14:paraId="7067C846" w14:textId="7D4B288A" w:rsidR="004C53C5" w:rsidRPr="004C53C5" w:rsidRDefault="004C53C5" w:rsidP="004C53C5">
      <w:r w:rsidRPr="004C53C5">
        <w:rPr>
          <w:i/>
          <w:iCs/>
        </w:rPr>
        <w:t>- skrzynkę</w:t>
      </w:r>
      <w:r>
        <w:rPr>
          <w:i/>
          <w:iCs/>
        </w:rPr>
        <w:t xml:space="preserve">:  </w:t>
      </w:r>
      <w:r w:rsidR="00F308DD" w:rsidRPr="00F308DD">
        <w:rPr>
          <w:i/>
          <w:iCs/>
        </w:rPr>
        <w:t>/pgl_lp_0821/</w:t>
      </w:r>
      <w:proofErr w:type="spellStart"/>
      <w:r w:rsidR="00F308DD" w:rsidRPr="00F308DD">
        <w:rPr>
          <w:i/>
          <w:iCs/>
        </w:rPr>
        <w:t>SkrytkaESP</w:t>
      </w:r>
      <w:proofErr w:type="spellEnd"/>
      <w:r w:rsidR="00F308DD">
        <w:rPr>
          <w:i/>
          <w:iCs/>
        </w:rPr>
        <w:t>,</w:t>
      </w:r>
    </w:p>
    <w:p w14:paraId="23F82B5C" w14:textId="77777777" w:rsidR="00F308DD" w:rsidRPr="00F308DD" w:rsidRDefault="004C53C5" w:rsidP="00F308DD">
      <w:pPr>
        <w:rPr>
          <w:b/>
          <w:bCs/>
          <w:i/>
          <w:iCs/>
        </w:rPr>
      </w:pPr>
      <w:r w:rsidRPr="004C53C5">
        <w:rPr>
          <w:b/>
          <w:bCs/>
          <w:i/>
          <w:iCs/>
        </w:rPr>
        <w:t xml:space="preserve">lub pocztą tradycyjną na adres: </w:t>
      </w:r>
      <w:r w:rsidR="00F308DD" w:rsidRPr="00F308DD">
        <w:rPr>
          <w:b/>
          <w:bCs/>
          <w:i/>
          <w:iCs/>
        </w:rPr>
        <w:t> </w:t>
      </w:r>
    </w:p>
    <w:p w14:paraId="7152A43C" w14:textId="456C3209" w:rsidR="00F308DD" w:rsidRPr="00F308DD" w:rsidRDefault="00F308DD" w:rsidP="00F308DD">
      <w:pPr>
        <w:rPr>
          <w:i/>
          <w:iCs/>
        </w:rPr>
      </w:pPr>
      <w:r w:rsidRPr="00F308DD">
        <w:rPr>
          <w:i/>
          <w:iCs/>
        </w:rPr>
        <w:t>Aleja Prof. Leona Mroczkiewicza 1</w:t>
      </w:r>
      <w:r>
        <w:rPr>
          <w:i/>
          <w:iCs/>
        </w:rPr>
        <w:t xml:space="preserve">, </w:t>
      </w:r>
      <w:r w:rsidRPr="00F308DD">
        <w:rPr>
          <w:i/>
          <w:iCs/>
        </w:rPr>
        <w:t>78-540 Kalisz Pomorski</w:t>
      </w:r>
    </w:p>
    <w:p w14:paraId="587B1615" w14:textId="0A738A83" w:rsidR="004C53C5" w:rsidRPr="004C53C5" w:rsidRDefault="004C53C5" w:rsidP="004C53C5"/>
    <w:p w14:paraId="050B1466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lastRenderedPageBreak/>
        <w:t>Zapraszamy do zgłaszania uwag i propozycji.</w:t>
      </w:r>
    </w:p>
    <w:p w14:paraId="151A4EB2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Po zakończeniu konsultacji społecznych zostanie wydana Decyzja Dyrektora RDLP</w:t>
      </w:r>
    </w:p>
    <w:p w14:paraId="2D49BAA3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w Pile w sprawie wyznaczenia obszarów o szczególnych wartościach</w:t>
      </w:r>
    </w:p>
    <w:p w14:paraId="0089CCFF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przyrodniczych. Powstanie w ten sposób aktualizowany corocznie wykaz,</w:t>
      </w:r>
    </w:p>
    <w:p w14:paraId="4189F494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do którego zgłaszanie uwag i propozycji będzie miało charakter ciągły, dlatego</w:t>
      </w:r>
    </w:p>
    <w:p w14:paraId="6478B678" w14:textId="77777777" w:rsidR="004C53C5" w:rsidRPr="004C53C5" w:rsidRDefault="004C53C5" w:rsidP="004C53C5">
      <w:pPr>
        <w:rPr>
          <w:i/>
          <w:iCs/>
        </w:rPr>
      </w:pPr>
      <w:r w:rsidRPr="004C53C5">
        <w:rPr>
          <w:i/>
          <w:iCs/>
        </w:rPr>
        <w:t>nadleśnictwo nadal będzie otwarte na zgłaszane propozycje, uwagi oraz dalsze</w:t>
      </w:r>
    </w:p>
    <w:p w14:paraId="22C3CCE3" w14:textId="455529B6" w:rsidR="004C53C5" w:rsidRDefault="004C53C5" w:rsidP="004C53C5">
      <w:r w:rsidRPr="004C53C5">
        <w:rPr>
          <w:i/>
          <w:iCs/>
        </w:rPr>
        <w:t>modyfikacje obszarów HCV</w:t>
      </w:r>
      <w:r w:rsidR="00F308DD">
        <w:rPr>
          <w:i/>
          <w:iCs/>
        </w:rPr>
        <w:t>.</w:t>
      </w:r>
    </w:p>
    <w:sectPr w:rsidR="004C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C5"/>
    <w:rsid w:val="004C53C5"/>
    <w:rsid w:val="00591FCA"/>
    <w:rsid w:val="006C4EEB"/>
    <w:rsid w:val="006D4D6A"/>
    <w:rsid w:val="00F3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46DD"/>
  <w15:chartTrackingRefBased/>
  <w15:docId w15:val="{0DB6D967-6141-4385-BF81-CC25C26C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5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3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3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3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3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3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3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5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5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53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3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53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3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3C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C53C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kiety.pila.lasy.gov.pl/index.php/462584?lang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Ciechanowicz</dc:creator>
  <cp:keywords/>
  <dc:description/>
  <cp:lastModifiedBy>Mikołaj Ciechanowicz</cp:lastModifiedBy>
  <cp:revision>1</cp:revision>
  <dcterms:created xsi:type="dcterms:W3CDTF">2025-12-16T11:39:00Z</dcterms:created>
  <dcterms:modified xsi:type="dcterms:W3CDTF">2025-12-16T11:58:00Z</dcterms:modified>
</cp:coreProperties>
</file>