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B813" w14:textId="77777777" w:rsidR="00AA4C9F" w:rsidRDefault="00EC02E0">
      <w:pPr>
        <w:spacing w:after="806" w:line="259" w:lineRule="auto"/>
        <w:ind w:left="-144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C5054B" wp14:editId="3368F413">
                <wp:extent cx="1890000" cy="1112520"/>
                <wp:effectExtent l="0" t="0" r="0" b="0"/>
                <wp:docPr id="5456" name="Group 5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0000" cy="1112520"/>
                          <a:chOff x="0" y="0"/>
                          <a:chExt cx="1890000" cy="111252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000" cy="10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918210" y="960120"/>
                            <a:ext cx="4945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85CA1" w14:textId="77777777" w:rsidR="00AA4C9F" w:rsidRDefault="00EC02E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2"/>
                                </w:rPr>
                                <w:t>Miłosz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90066" y="960120"/>
                            <a:ext cx="61297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FC827" w14:textId="77777777" w:rsidR="00AA4C9F" w:rsidRDefault="00EC02E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Motyka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6" style="width:148.819pt;height:87.6pt;mso-position-horizontal-relative:char;mso-position-vertical-relative:line" coordsize="18900,11125">
                <v:shape id="Picture 7" style="position:absolute;width:18900;height:10620;left:0;top:0;" filled="f">
                  <v:imagedata r:id="rId8"/>
                </v:shape>
                <v:rect id="Rectangle 33" style="position:absolute;width:4945;height:2026;left:9182;top:9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</w:rPr>
                          <w:t xml:space="preserve">Miłosz</w:t>
                        </w:r>
                      </w:p>
                    </w:txbxContent>
                  </v:textbox>
                </v:rect>
                <v:rect id="Rectangle 34" style="position:absolute;width:6129;height:2026;left:12900;top:9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6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 xml:space="preserve">Motyka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E46A007" w14:textId="77777777" w:rsidR="00AA4C9F" w:rsidRDefault="00EC02E0">
      <w:pPr>
        <w:spacing w:after="10"/>
        <w:ind w:left="-5"/>
      </w:pPr>
      <w:r>
        <w:t>DCE-WKiC.053.2.2025.PB</w:t>
      </w:r>
    </w:p>
    <w:p w14:paraId="4675DEF8" w14:textId="77777777" w:rsidR="00AA4C9F" w:rsidRDefault="00EC02E0">
      <w:pPr>
        <w:spacing w:after="10"/>
        <w:ind w:left="-5"/>
      </w:pPr>
      <w:r>
        <w:t>3768030.15751643.12743361</w:t>
      </w:r>
    </w:p>
    <w:p w14:paraId="32F7B34D" w14:textId="77777777" w:rsidR="00AA4C9F" w:rsidRDefault="00EC02E0">
      <w:pPr>
        <w:spacing w:after="735"/>
        <w:ind w:left="-5"/>
      </w:pPr>
      <w:r>
        <w:t>Warszawa, 22-08-2025</w:t>
      </w:r>
    </w:p>
    <w:p w14:paraId="63A65754" w14:textId="77777777" w:rsidR="00AA4C9F" w:rsidRDefault="00EC02E0">
      <w:pPr>
        <w:ind w:left="-5"/>
      </w:pPr>
      <w:r>
        <w:rPr>
          <w:b/>
        </w:rPr>
        <w:t>Dotyczy:</w:t>
      </w:r>
      <w:r>
        <w:t xml:space="preserve"> Zawiadomienia o sposobie </w:t>
      </w:r>
      <w:r>
        <w:t>załatwienia</w:t>
      </w:r>
      <w:r>
        <w:t xml:space="preserve"> petycji w sprawie </w:t>
      </w:r>
      <w:r>
        <w:t>uwzględnienia</w:t>
      </w:r>
      <w:r>
        <w:t xml:space="preserve"> </w:t>
      </w:r>
      <w:r>
        <w:t xml:space="preserve">w procesie legislacyjnym postulatów regulacyjnych w obszarze taryfowania </w:t>
      </w:r>
      <w:r>
        <w:t>ciepła,</w:t>
      </w:r>
      <w:r>
        <w:t xml:space="preserve"> tj.:</w:t>
      </w:r>
    </w:p>
    <w:p w14:paraId="7F7120DB" w14:textId="77777777" w:rsidR="00AA4C9F" w:rsidRDefault="00EC02E0">
      <w:pPr>
        <w:numPr>
          <w:ilvl w:val="0"/>
          <w:numId w:val="1"/>
        </w:numPr>
        <w:ind w:hanging="360"/>
      </w:pPr>
      <w:r>
        <w:t xml:space="preserve">Uchylenia § 13 ust. 6 </w:t>
      </w:r>
      <w:r>
        <w:t>rozporządzenia</w:t>
      </w:r>
      <w:r>
        <w:t xml:space="preserve"> Ministra Klimatu z dnia 7 kwietnia 2020 r. w sprawie </w:t>
      </w:r>
      <w:r>
        <w:t>szczegółowych</w:t>
      </w:r>
      <w:r>
        <w:t xml:space="preserve"> zasad </w:t>
      </w:r>
      <w:r>
        <w:t>kształtowania</w:t>
      </w:r>
      <w:r>
        <w:t xml:space="preserve"> i kalkulacji taryf oraz </w:t>
      </w:r>
      <w:r>
        <w:t>rozliczeń</w:t>
      </w:r>
      <w:r>
        <w:t xml:space="preserve"> z </w:t>
      </w:r>
      <w:r>
        <w:t>tytułu</w:t>
      </w:r>
      <w:r>
        <w:t xml:space="preserve"> zaopatrzenia w </w:t>
      </w:r>
      <w:r>
        <w:t>ciepło</w:t>
      </w:r>
      <w:r>
        <w:t xml:space="preserve"> (Dz. U. z 2020 r. poz. 718 z </w:t>
      </w:r>
      <w:proofErr w:type="spellStart"/>
      <w:r>
        <w:t>późn</w:t>
      </w:r>
      <w:proofErr w:type="spellEnd"/>
      <w:r>
        <w:t>.</w:t>
      </w:r>
      <w:r>
        <w:t xml:space="preserve"> zm.) – dalej: </w:t>
      </w:r>
      <w:r>
        <w:t>„rozporządzenie</w:t>
      </w:r>
      <w:r>
        <w:t xml:space="preserve"> taryfowe”.</w:t>
      </w:r>
    </w:p>
    <w:p w14:paraId="32066E9D" w14:textId="77777777" w:rsidR="00AA4C9F" w:rsidRDefault="00EC02E0">
      <w:pPr>
        <w:numPr>
          <w:ilvl w:val="0"/>
          <w:numId w:val="1"/>
        </w:numPr>
        <w:ind w:hanging="360"/>
      </w:pPr>
      <w:r>
        <w:t xml:space="preserve">Zmiany wprowadzonego </w:t>
      </w:r>
      <w:r>
        <w:t>ustawą</w:t>
      </w:r>
      <w:r>
        <w:t xml:space="preserve"> z dnia 17 sierpnia 2023 r. o zmianie ustawy o odnawialnych </w:t>
      </w:r>
      <w:r>
        <w:t>źródłach</w:t>
      </w:r>
      <w:r>
        <w:t xml:space="preserve"> energii oraz niektórych innych ustaw (Dz. U. z 2023 r. poz. 1762), art. 47 ust. 2f</w:t>
      </w:r>
      <w:r>
        <w:rPr>
          <w:vertAlign w:val="superscript"/>
        </w:rPr>
        <w:t>1</w:t>
      </w:r>
      <w:r>
        <w:t xml:space="preserve"> w ustawie z dnia 10 kwietnia 1997 r. – Prawo energetyczne (Dz. U. z 2024 r. poz. 266 z </w:t>
      </w:r>
      <w:proofErr w:type="spellStart"/>
      <w:r>
        <w:t>późn</w:t>
      </w:r>
      <w:proofErr w:type="spellEnd"/>
      <w:r>
        <w:t>.</w:t>
      </w:r>
      <w:r>
        <w:t xml:space="preserve"> zm.) w kierunku </w:t>
      </w:r>
      <w:r>
        <w:t>możliwości</w:t>
      </w:r>
      <w:r>
        <w:t xml:space="preserve"> powrotu do uproszczonej metody </w:t>
      </w:r>
      <w:r>
        <w:t>kształtowania</w:t>
      </w:r>
      <w:r>
        <w:t xml:space="preserve"> taryfy.</w:t>
      </w:r>
    </w:p>
    <w:p w14:paraId="3BCE5D05" w14:textId="77777777" w:rsidR="00AA4C9F" w:rsidRDefault="00EC02E0">
      <w:pPr>
        <w:numPr>
          <w:ilvl w:val="0"/>
          <w:numId w:val="1"/>
        </w:numPr>
        <w:spacing w:after="632"/>
        <w:ind w:hanging="360"/>
      </w:pPr>
      <w:r>
        <w:t xml:space="preserve">Zwolnienia cen </w:t>
      </w:r>
      <w:r>
        <w:t>ciepła</w:t>
      </w:r>
      <w:r>
        <w:t xml:space="preserve"> w relacjach B2B z </w:t>
      </w:r>
      <w:r>
        <w:t>obowiązku</w:t>
      </w:r>
      <w:r>
        <w:t xml:space="preserve"> zatwierdzania taryfy.</w:t>
      </w:r>
    </w:p>
    <w:p w14:paraId="76D35670" w14:textId="77777777" w:rsidR="00AA4C9F" w:rsidRDefault="00EC02E0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</w:t>
      </w:r>
    </w:p>
    <w:p w14:paraId="24A80DC9" w14:textId="77777777" w:rsidR="00AA4C9F" w:rsidRDefault="00EC02E0">
      <w:pPr>
        <w:spacing w:after="0" w:line="250" w:lineRule="auto"/>
        <w:ind w:left="0" w:right="6597" w:firstLine="0"/>
        <w:jc w:val="left"/>
      </w:pPr>
      <w:r>
        <w:rPr>
          <w:rFonts w:ascii="Arial" w:eastAsia="Arial" w:hAnsi="Arial" w:cs="Arial"/>
          <w:b/>
        </w:rPr>
        <w:t xml:space="preserve">                            </w:t>
      </w:r>
    </w:p>
    <w:p w14:paraId="5E259EAD" w14:textId="77777777" w:rsidR="00AA4C9F" w:rsidRDefault="00EC02E0">
      <w:pPr>
        <w:spacing w:after="415" w:line="261" w:lineRule="auto"/>
        <w:ind w:left="-5"/>
        <w:jc w:val="left"/>
      </w:pPr>
      <w:r>
        <w:rPr>
          <w:b/>
        </w:rPr>
        <w:t>Polska Grupa Energetyczna S.A.</w:t>
      </w:r>
    </w:p>
    <w:p w14:paraId="644537B3" w14:textId="77777777" w:rsidR="00AA4C9F" w:rsidRDefault="00EC02E0">
      <w:pPr>
        <w:spacing w:after="178" w:line="261" w:lineRule="auto"/>
        <w:ind w:left="-5"/>
        <w:jc w:val="left"/>
      </w:pPr>
      <w:r>
        <w:rPr>
          <w:b/>
        </w:rPr>
        <w:t>Szanowny Panie Prezesie,</w:t>
      </w:r>
    </w:p>
    <w:p w14:paraId="4E76BA99" w14:textId="77777777" w:rsidR="00AA4C9F" w:rsidRDefault="00EC02E0">
      <w:pPr>
        <w:spacing w:after="638" w:line="239" w:lineRule="auto"/>
        <w:ind w:left="-15" w:right="-15" w:firstLine="0"/>
        <w:jc w:val="left"/>
      </w:pPr>
      <w:r>
        <w:t xml:space="preserve">po przeanalizowaniu </w:t>
      </w:r>
      <w:r>
        <w:t>przesłanej</w:t>
      </w:r>
      <w:r>
        <w:t xml:space="preserve"> przez Pana petycji </w:t>
      </w:r>
      <w:r>
        <w:t>informuję,</w:t>
      </w:r>
      <w:r>
        <w:t xml:space="preserve"> </w:t>
      </w:r>
      <w:r>
        <w:t>że</w:t>
      </w:r>
      <w:r>
        <w:t xml:space="preserve"> </w:t>
      </w:r>
      <w:r>
        <w:t>została</w:t>
      </w:r>
      <w:r>
        <w:t xml:space="preserve"> ona </w:t>
      </w:r>
      <w:r>
        <w:t>częściowo</w:t>
      </w:r>
      <w:r>
        <w:t xml:space="preserve"> </w:t>
      </w:r>
      <w:r>
        <w:t>uwzględniona.</w:t>
      </w:r>
    </w:p>
    <w:p w14:paraId="3BE160FD" w14:textId="77777777" w:rsidR="00AA4C9F" w:rsidRDefault="00EC02E0">
      <w:pPr>
        <w:spacing w:after="178" w:line="261" w:lineRule="auto"/>
        <w:ind w:left="-5"/>
        <w:jc w:val="left"/>
      </w:pPr>
      <w:r>
        <w:rPr>
          <w:b/>
        </w:rPr>
        <w:t>Uzasadnienie:</w:t>
      </w:r>
    </w:p>
    <w:p w14:paraId="5052A8D8" w14:textId="77777777" w:rsidR="00AA4C9F" w:rsidRDefault="00EC02E0">
      <w:pPr>
        <w:tabs>
          <w:tab w:val="center" w:pos="442"/>
          <w:tab w:val="center" w:pos="2913"/>
        </w:tabs>
        <w:spacing w:after="178" w:line="261" w:lineRule="auto"/>
        <w:ind w:left="0" w:firstLine="0"/>
        <w:jc w:val="left"/>
      </w:pPr>
      <w:r>
        <w:rPr>
          <w:sz w:val="22"/>
        </w:rPr>
        <w:tab/>
      </w:r>
      <w:r>
        <w:rPr>
          <w:b/>
        </w:rPr>
        <w:t>1.</w:t>
      </w:r>
      <w:r>
        <w:rPr>
          <w:b/>
        </w:rPr>
        <w:tab/>
      </w:r>
      <w:r>
        <w:rPr>
          <w:b/>
        </w:rPr>
        <w:t>Uchylenie § 13 ust. 6 rozporządzenia taryfowego.</w:t>
      </w:r>
    </w:p>
    <w:p w14:paraId="0E2445A2" w14:textId="77777777" w:rsidR="00AA4C9F" w:rsidRDefault="00EC02E0">
      <w:pPr>
        <w:spacing w:after="504"/>
        <w:ind w:left="-5"/>
      </w:pPr>
      <w:r>
        <w:t xml:space="preserve">Na podstawie art. 47 ust. 2f ustawy – Prawo energetyczne, planowane przychody ze </w:t>
      </w:r>
      <w:r>
        <w:t>sprzedaży</w:t>
      </w:r>
      <w:r>
        <w:t xml:space="preserve"> </w:t>
      </w:r>
      <w:r>
        <w:t>ciepła</w:t>
      </w:r>
      <w:r>
        <w:t xml:space="preserve"> przyjmowane do kalkulacji cen i stawek </w:t>
      </w:r>
      <w:r>
        <w:t>opłat</w:t>
      </w:r>
      <w:r>
        <w:t xml:space="preserve"> w taryfie dla </w:t>
      </w:r>
      <w:r>
        <w:t>ciepła</w:t>
      </w:r>
      <w:r>
        <w:t xml:space="preserve"> dla jednostek kogeneracji, oblicza </w:t>
      </w:r>
      <w:r>
        <w:t>się</w:t>
      </w:r>
      <w:r>
        <w:t xml:space="preserve"> przy zastosowaniu </w:t>
      </w:r>
      <w:r>
        <w:t>wskaźnika</w:t>
      </w:r>
      <w:r>
        <w:t xml:space="preserve"> referencyjnego ustalanego przez Prezesa </w:t>
      </w:r>
      <w:r>
        <w:t>Urzędu</w:t>
      </w:r>
      <w:r>
        <w:t xml:space="preserve"> Regulacji Energetyki (dalej: „Prezes URE”) zgodnie z </w:t>
      </w:r>
      <w:r>
        <w:t>metodologią</w:t>
      </w:r>
      <w:r>
        <w:t xml:space="preserve"> </w:t>
      </w:r>
      <w:r>
        <w:t>określoną</w:t>
      </w:r>
      <w:r>
        <w:t xml:space="preserve"> w przepisach wydanych na podstawie art. 46 ust. 5 i 6 i </w:t>
      </w:r>
      <w:r>
        <w:t>średnich</w:t>
      </w:r>
      <w:r>
        <w:t xml:space="preserve"> cen </w:t>
      </w:r>
      <w:r>
        <w:t>sprzedaży</w:t>
      </w:r>
      <w:r>
        <w:t xml:space="preserve"> </w:t>
      </w:r>
      <w:r>
        <w:t>ciepła,</w:t>
      </w:r>
      <w:r>
        <w:t xml:space="preserve"> o których mowa w art. 23 ust. 2 pkt 18 lit. c. W odniesieniu do </w:t>
      </w:r>
      <w:r>
        <w:t>ciepła</w:t>
      </w:r>
      <w:r>
        <w:t xml:space="preserve"> wytworzonego w instalacjach termicznego </w:t>
      </w:r>
      <w:r>
        <w:t>przekształcania</w:t>
      </w:r>
      <w:r>
        <w:t xml:space="preserve"> odpadów, przyjmuje </w:t>
      </w:r>
      <w:r>
        <w:t>się</w:t>
      </w:r>
      <w:r>
        <w:t xml:space="preserve"> </w:t>
      </w:r>
      <w:r>
        <w:t>śre</w:t>
      </w:r>
      <w:r>
        <w:t>dnią</w:t>
      </w:r>
      <w:r>
        <w:t xml:space="preserve"> </w:t>
      </w:r>
      <w:r>
        <w:t>cenę</w:t>
      </w:r>
      <w:r>
        <w:t xml:space="preserve"> </w:t>
      </w:r>
      <w:r>
        <w:t>ciepła</w:t>
      </w:r>
      <w:r>
        <w:t xml:space="preserve"> </w:t>
      </w:r>
      <w:r>
        <w:t>wskazaną</w:t>
      </w:r>
      <w:r>
        <w:t xml:space="preserve"> w art. 23 ust. 2 pkt 18 lit. c </w:t>
      </w:r>
      <w:proofErr w:type="spellStart"/>
      <w:r>
        <w:t>tiret</w:t>
      </w:r>
      <w:proofErr w:type="spellEnd"/>
      <w:r>
        <w:t xml:space="preserve"> czwarte.</w:t>
      </w:r>
    </w:p>
    <w:p w14:paraId="208FFF31" w14:textId="77777777" w:rsidR="00AA4C9F" w:rsidRDefault="00EC02E0">
      <w:pPr>
        <w:spacing w:after="100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C6850F8" wp14:editId="28F732A8">
                <wp:extent cx="5040000" cy="6350"/>
                <wp:effectExtent l="0" t="0" r="0" b="0"/>
                <wp:docPr id="5457" name="Group 5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7" style="width:396.85pt;height:0.5pt;mso-position-horizontal-relative:char;mso-position-vertical-relative:line" coordsize="50400,63">
                <v:shape id="Shape 32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3DBC23" w14:textId="77777777" w:rsidR="00AA4C9F" w:rsidRDefault="00EC02E0">
      <w:pPr>
        <w:tabs>
          <w:tab w:val="center" w:pos="6822"/>
        </w:tabs>
        <w:spacing w:after="8"/>
        <w:ind w:left="-15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>ul. Wawelska 52/54, 00-</w:t>
      </w:r>
    </w:p>
    <w:p w14:paraId="0E67738B" w14:textId="77777777" w:rsidR="00AA4C9F" w:rsidRDefault="00EC02E0">
      <w:pPr>
        <w:spacing w:after="8"/>
        <w:ind w:left="-5" w:right="5553"/>
        <w:jc w:val="left"/>
      </w:pPr>
      <w:r>
        <w:rPr>
          <w:sz w:val="16"/>
        </w:rPr>
        <w:t>922 Warszawa info@klimat.gov.pl www.gov.pl/klimat</w:t>
      </w:r>
    </w:p>
    <w:p w14:paraId="31C85365" w14:textId="77777777" w:rsidR="00AA4C9F" w:rsidRDefault="00EC02E0">
      <w:pPr>
        <w:ind w:left="-5"/>
      </w:pPr>
      <w:r>
        <w:lastRenderedPageBreak/>
        <w:t xml:space="preserve">W dniu 31 marca br., Prezes URE  </w:t>
      </w:r>
      <w:r>
        <w:t>opublikował</w:t>
      </w:r>
      <w:r>
        <w:t xml:space="preserve"> zarówno </w:t>
      </w:r>
      <w:r>
        <w:t>średnie</w:t>
      </w:r>
      <w:r>
        <w:t xml:space="preserve"> ceny </w:t>
      </w:r>
      <w:r>
        <w:t>sprzedaży</w:t>
      </w:r>
      <w:r>
        <w:t xml:space="preserve"> </w:t>
      </w:r>
      <w:r>
        <w:t>ciepła</w:t>
      </w:r>
      <w:r>
        <w:t xml:space="preserve"> wytworzonego w </w:t>
      </w:r>
      <w:r>
        <w:t>należących</w:t>
      </w:r>
      <w:r>
        <w:t xml:space="preserve"> do </w:t>
      </w:r>
      <w:r>
        <w:t>przedsiębiorstw</w:t>
      </w:r>
      <w:r>
        <w:t xml:space="preserve"> </w:t>
      </w:r>
      <w:r>
        <w:t>posiadających</w:t>
      </w:r>
      <w:r>
        <w:t xml:space="preserve"> </w:t>
      </w:r>
      <w:r>
        <w:t xml:space="preserve">koncesje jednostkach wytwórczych </w:t>
      </w:r>
      <w:r>
        <w:t>niebędących</w:t>
      </w:r>
      <w:r>
        <w:t xml:space="preserve"> jednostkami kogeneracji, jak i </w:t>
      </w:r>
      <w:r>
        <w:t>wskaźniki</w:t>
      </w:r>
      <w:r>
        <w:t xml:space="preserve"> referencyjne, zgodnie z terminem </w:t>
      </w:r>
      <w:r>
        <w:t>określonym</w:t>
      </w:r>
      <w:r>
        <w:t xml:space="preserve"> w art. 23 ust.2 pkt 18 oraz w art. 47 ust. 2g – ustawy Prawo energetyczne.</w:t>
      </w:r>
    </w:p>
    <w:p w14:paraId="6D34107F" w14:textId="77777777" w:rsidR="00AA4C9F" w:rsidRDefault="00EC02E0">
      <w:pPr>
        <w:ind w:left="-5"/>
      </w:pPr>
      <w:r>
        <w:t xml:space="preserve">Przepisy wydane na podstawie art. 46 ust. 5 i 6  </w:t>
      </w:r>
      <w:r>
        <w:t>(rozporządzenie</w:t>
      </w:r>
      <w:r>
        <w:t xml:space="preserve"> taryfowe) m. in. </w:t>
      </w:r>
      <w:r>
        <w:t>stanowią,</w:t>
      </w:r>
      <w:r>
        <w:t xml:space="preserve"> </w:t>
      </w:r>
      <w:r>
        <w:t>iż</w:t>
      </w:r>
      <w:r>
        <w:t xml:space="preserve"> </w:t>
      </w:r>
      <w:r>
        <w:t>wskaźnik</w:t>
      </w:r>
      <w:r>
        <w:t xml:space="preserve"> zmiany planowanych przychodów jest ograniczony wzorami zawartymi w § 13 ust. 6, co ma za zadanie </w:t>
      </w:r>
      <w:r>
        <w:t>ograniczać</w:t>
      </w:r>
      <w:r>
        <w:t xml:space="preserve"> i </w:t>
      </w:r>
      <w:r>
        <w:t>wytyczać</w:t>
      </w:r>
      <w:r>
        <w:t xml:space="preserve"> granice skokowych zmian planowanych przychodów, a w konsekwencji cen </w:t>
      </w:r>
      <w:r>
        <w:t>ciepła</w:t>
      </w:r>
      <w:r>
        <w:t xml:space="preserve"> wytworzonego w kogeneracji. Przy czym nie ma uzasadnienia dla przepisów, które </w:t>
      </w:r>
      <w:r>
        <w:t>funkcjonowały</w:t>
      </w:r>
      <w:r>
        <w:t xml:space="preserve"> w </w:t>
      </w:r>
      <w:r>
        <w:t>przeszłości</w:t>
      </w:r>
      <w:r>
        <w:t xml:space="preserve"> i </w:t>
      </w:r>
      <w:r>
        <w:t>umożliwiały</w:t>
      </w:r>
      <w:r>
        <w:t xml:space="preserve"> wzrost planowanych przychodów w przypadku wzrostu </w:t>
      </w:r>
      <w:r>
        <w:t>średnich</w:t>
      </w:r>
      <w:r>
        <w:t xml:space="preserve"> cen </w:t>
      </w:r>
      <w:r>
        <w:t>sprzedaży</w:t>
      </w:r>
      <w:r>
        <w:t xml:space="preserve"> </w:t>
      </w:r>
      <w:r>
        <w:t>ciepła,</w:t>
      </w:r>
      <w:r>
        <w:t xml:space="preserve"> natomiast nie </w:t>
      </w:r>
      <w:r>
        <w:t>skutkowały</w:t>
      </w:r>
      <w:r>
        <w:t xml:space="preserve"> ich </w:t>
      </w:r>
      <w:r>
        <w:t>obniżeniem</w:t>
      </w:r>
      <w:r>
        <w:t xml:space="preserve"> w przypadkach spadku</w:t>
      </w:r>
      <w:r>
        <w:t xml:space="preserve"> </w:t>
      </w:r>
      <w:r>
        <w:t>średnich</w:t>
      </w:r>
      <w:r>
        <w:t xml:space="preserve"> cen </w:t>
      </w:r>
      <w:r>
        <w:t>sprzedaży</w:t>
      </w:r>
      <w:r>
        <w:t xml:space="preserve"> </w:t>
      </w:r>
      <w:r>
        <w:t>ciepła.</w:t>
      </w:r>
      <w:r>
        <w:t xml:space="preserve"> </w:t>
      </w:r>
      <w:r>
        <w:t>Wskaźnik</w:t>
      </w:r>
      <w:r>
        <w:t xml:space="preserve"> referencyjny ma za zadanie </w:t>
      </w:r>
      <w:r>
        <w:t>uelastycznić</w:t>
      </w:r>
      <w:r>
        <w:t xml:space="preserve"> uproszczony sposób kalkulacji cen i stawek </w:t>
      </w:r>
      <w:r>
        <w:t>opłat,</w:t>
      </w:r>
      <w:r>
        <w:t xml:space="preserve"> o którym stanowi § 13 </w:t>
      </w:r>
      <w:r>
        <w:t>rozporządzenia,</w:t>
      </w:r>
      <w:r>
        <w:t xml:space="preserve"> poprzez ograniczenie inercji </w:t>
      </w:r>
      <w:r>
        <w:t>pomiędzy</w:t>
      </w:r>
      <w:r>
        <w:t xml:space="preserve"> </w:t>
      </w:r>
      <w:r>
        <w:t>kalkulacją</w:t>
      </w:r>
      <w:r>
        <w:t xml:space="preserve"> i stosowaniem opublikowanych </w:t>
      </w:r>
      <w:r>
        <w:t>średnich</w:t>
      </w:r>
      <w:r>
        <w:t xml:space="preserve"> cen </w:t>
      </w:r>
      <w:r>
        <w:t>sprzedaży</w:t>
      </w:r>
      <w:r>
        <w:t xml:space="preserve"> </w:t>
      </w:r>
      <w:r>
        <w:t>ciepła,</w:t>
      </w:r>
      <w:r>
        <w:t xml:space="preserve"> a ich </w:t>
      </w:r>
      <w:r>
        <w:t>uwzględnieniem</w:t>
      </w:r>
      <w:r>
        <w:t xml:space="preserve"> przy </w:t>
      </w:r>
      <w:r>
        <w:t>kształtowaniu</w:t>
      </w:r>
      <w:r>
        <w:t xml:space="preserve"> i kalkulacji taryf dla </w:t>
      </w:r>
      <w:r>
        <w:t>ciepła</w:t>
      </w:r>
      <w:r>
        <w:t xml:space="preserve"> wytworzonego w kogeneracji. Z tego powodu, </w:t>
      </w:r>
      <w:r>
        <w:t>zwiększono</w:t>
      </w:r>
      <w:r>
        <w:t xml:space="preserve"> </w:t>
      </w:r>
      <w:r>
        <w:t>częstość</w:t>
      </w:r>
      <w:r>
        <w:t xml:space="preserve"> publikacji </w:t>
      </w:r>
      <w:r>
        <w:t>wskaźników</w:t>
      </w:r>
      <w:r>
        <w:t xml:space="preserve"> referencyjnych, co </w:t>
      </w:r>
      <w:r>
        <w:t>pozwoliło</w:t>
      </w:r>
      <w:r>
        <w:t xml:space="preserve"> na bardziej precyzyjne odzwierciedlenie zmian w ot</w:t>
      </w:r>
      <w:r>
        <w:t>oczeniu regulacyjnym.</w:t>
      </w:r>
    </w:p>
    <w:p w14:paraId="0169CAEE" w14:textId="77777777" w:rsidR="00AA4C9F" w:rsidRDefault="00EC02E0">
      <w:pPr>
        <w:ind w:left="-5"/>
      </w:pPr>
      <w:r>
        <w:t xml:space="preserve">Natomiast w kwestii nierównoprawnego traktowania </w:t>
      </w:r>
      <w:r>
        <w:t>przedsiębiorstw</w:t>
      </w:r>
      <w:r>
        <w:t xml:space="preserve"> energetycznych, które </w:t>
      </w:r>
      <w:r>
        <w:t>eksploatują</w:t>
      </w:r>
      <w:r>
        <w:t xml:space="preserve"> jednostki kogeneracji oddane do </w:t>
      </w:r>
      <w:r>
        <w:t>użytku</w:t>
      </w:r>
      <w:r>
        <w:t xml:space="preserve"> po dniu 3 listopada 2010 r., przepis § 13 ust. 8, </w:t>
      </w:r>
      <w:r>
        <w:t>umożliwiający</w:t>
      </w:r>
      <w:r>
        <w:t xml:space="preserve"> </w:t>
      </w:r>
      <w:r>
        <w:t>odstąpienie</w:t>
      </w:r>
      <w:r>
        <w:t xml:space="preserve"> od stosowania § 13 ust. 6 </w:t>
      </w:r>
      <w:r>
        <w:t>miał</w:t>
      </w:r>
      <w:r>
        <w:t xml:space="preserve"> na celu wytworzenie </w:t>
      </w:r>
      <w:r>
        <w:t>zachęty</w:t>
      </w:r>
      <w:r>
        <w:t xml:space="preserve"> do projektowania i inwestycji w nowe jednostki kogeneracji na skutek wprowadzenia uproszczonego sposobu kalkulacji cen i stawek </w:t>
      </w:r>
      <w:r>
        <w:t>opłat.</w:t>
      </w:r>
      <w:r>
        <w:t xml:space="preserve"> </w:t>
      </w:r>
      <w:r>
        <w:t>Przypomnieć</w:t>
      </w:r>
      <w:r>
        <w:t xml:space="preserve"> </w:t>
      </w:r>
      <w:r>
        <w:t>należy,</w:t>
      </w:r>
      <w:r>
        <w:t xml:space="preserve"> </w:t>
      </w:r>
      <w:r>
        <w:t>że</w:t>
      </w:r>
      <w:r>
        <w:t xml:space="preserve"> w Polityce energetycznej Polski do 2030  r. w rozdziale 2.1. Cele w zakresie poprawy </w:t>
      </w:r>
      <w:r>
        <w:t>efektywności</w:t>
      </w:r>
      <w:r>
        <w:t xml:space="preserve"> energetycznej – </w:t>
      </w:r>
      <w:r>
        <w:t>określono</w:t>
      </w:r>
      <w:r>
        <w:t xml:space="preserve"> jako j</w:t>
      </w:r>
      <w:r>
        <w:t xml:space="preserve">eden ze </w:t>
      </w:r>
      <w:r>
        <w:t>szczegółowych</w:t>
      </w:r>
      <w:r>
        <w:t xml:space="preserve"> </w:t>
      </w:r>
      <w:r>
        <w:t>celów w tym obszarze – dwukrotny wzrost do roku 2020 produkcji energii elektrycznej wytwarzanej w technologii wysokosprawnej kogeneracji, w porównaniu do produkcji w 2006 r.</w:t>
      </w:r>
    </w:p>
    <w:p w14:paraId="529ACA6D" w14:textId="77777777" w:rsidR="00AA4C9F" w:rsidRDefault="00EC02E0">
      <w:pPr>
        <w:ind w:left="-5"/>
      </w:pPr>
      <w:r>
        <w:t xml:space="preserve">W </w:t>
      </w:r>
      <w:r>
        <w:t>związku</w:t>
      </w:r>
      <w:r>
        <w:t xml:space="preserve"> z </w:t>
      </w:r>
      <w:r>
        <w:t>powyższym,</w:t>
      </w:r>
      <w:r>
        <w:t xml:space="preserve"> </w:t>
      </w:r>
      <w:r>
        <w:t>że</w:t>
      </w:r>
      <w:r>
        <w:t xml:space="preserve"> potrzeby przepisów </w:t>
      </w:r>
      <w:r>
        <w:t>wprowadzających</w:t>
      </w:r>
      <w:r>
        <w:t xml:space="preserve"> ograniczenia zmiany planowanego przychodu przy stosowaniu uproszczonego sposób </w:t>
      </w:r>
      <w:r>
        <w:t>kształtowania</w:t>
      </w:r>
      <w:r>
        <w:t xml:space="preserve"> taryf dla </w:t>
      </w:r>
      <w:r>
        <w:t>ciepła</w:t>
      </w:r>
      <w:r>
        <w:t xml:space="preserve"> </w:t>
      </w:r>
      <w:r>
        <w:t>zostały</w:t>
      </w:r>
      <w:r>
        <w:t xml:space="preserve"> wyczerpane, obecnie przeprowadzony jest proces legislacyjny </w:t>
      </w:r>
      <w:r>
        <w:t>mający</w:t>
      </w:r>
      <w:r>
        <w:t xml:space="preserve"> na celu uchylenie § 13 ust. 6 </w:t>
      </w:r>
      <w:r>
        <w:t>rozporządzenia.</w:t>
      </w:r>
      <w:r>
        <w:t xml:space="preserve"> </w:t>
      </w:r>
      <w:r>
        <w:t>Zakończony</w:t>
      </w:r>
      <w:r>
        <w:t xml:space="preserve"> </w:t>
      </w:r>
      <w:r>
        <w:t>został</w:t>
      </w:r>
      <w:r>
        <w:t xml:space="preserve"> etap konsultacji publicznej w przedmiotowym zakresie.</w:t>
      </w:r>
    </w:p>
    <w:p w14:paraId="175499C2" w14:textId="77777777" w:rsidR="00AA4C9F" w:rsidRDefault="00EC02E0">
      <w:pPr>
        <w:numPr>
          <w:ilvl w:val="0"/>
          <w:numId w:val="2"/>
        </w:numPr>
        <w:spacing w:after="178" w:line="261" w:lineRule="auto"/>
        <w:ind w:hanging="360"/>
        <w:jc w:val="left"/>
      </w:pPr>
      <w:r>
        <w:rPr>
          <w:b/>
        </w:rPr>
        <w:t>Zmiana art. 47 ust. 2f</w:t>
      </w:r>
      <w:r>
        <w:rPr>
          <w:b/>
          <w:vertAlign w:val="superscript"/>
        </w:rPr>
        <w:t>1</w:t>
      </w:r>
      <w:r>
        <w:rPr>
          <w:b/>
        </w:rPr>
        <w:t xml:space="preserve"> ustawy – Prawo energetyczne w kierunku możliwości powrotu do uproszczonej metody kształtowania taryfy.</w:t>
      </w:r>
    </w:p>
    <w:p w14:paraId="239B6478" w14:textId="77777777" w:rsidR="00AA4C9F" w:rsidRDefault="00EC02E0">
      <w:pPr>
        <w:ind w:left="-5"/>
      </w:pPr>
      <w:r>
        <w:t>Przedsiębiorstwa</w:t>
      </w:r>
      <w:r>
        <w:t xml:space="preserve"> energetyczne </w:t>
      </w:r>
      <w:r>
        <w:t>prowadzące</w:t>
      </w:r>
      <w:r>
        <w:t xml:space="preserve"> </w:t>
      </w:r>
      <w:r>
        <w:t>działalność</w:t>
      </w:r>
      <w:r>
        <w:t xml:space="preserve"> </w:t>
      </w:r>
      <w:r>
        <w:t>gospodarczą</w:t>
      </w:r>
      <w:r>
        <w:t xml:space="preserve"> wytwarzania </w:t>
      </w:r>
      <w:r>
        <w:t>ciepła</w:t>
      </w:r>
      <w:r>
        <w:t xml:space="preserve"> w jednostkach kogeneracji </w:t>
      </w:r>
      <w:r>
        <w:t>mają</w:t>
      </w:r>
      <w:r>
        <w:t xml:space="preserve"> </w:t>
      </w:r>
      <w:r>
        <w:t>możliwość</w:t>
      </w:r>
      <w:r>
        <w:t xml:space="preserve"> na podstawie art. 47 ust. 2f</w:t>
      </w:r>
      <w:r>
        <w:rPr>
          <w:vertAlign w:val="superscript"/>
        </w:rPr>
        <w:t>1</w:t>
      </w:r>
      <w:r>
        <w:t xml:space="preserve"> ustawy – Prawo energetyczne </w:t>
      </w:r>
      <w:r>
        <w:t>opracować</w:t>
      </w:r>
      <w:r>
        <w:t xml:space="preserve"> </w:t>
      </w:r>
      <w:r>
        <w:t>taryfę</w:t>
      </w:r>
      <w:r>
        <w:t xml:space="preserve"> w sposób </w:t>
      </w:r>
      <w:r>
        <w:t>zapewniający</w:t>
      </w:r>
      <w:r>
        <w:t xml:space="preserve"> pokrycie kosztów uzasadnionych w zakresie </w:t>
      </w:r>
      <w:r>
        <w:t>określonym</w:t>
      </w:r>
      <w:r>
        <w:t xml:space="preserve"> w art. 45 ust. 1 pkt 1, 1b i 3 oraz w stosownych przepisach </w:t>
      </w:r>
      <w:r>
        <w:t>rozporządzenia</w:t>
      </w:r>
      <w:r>
        <w:t xml:space="preserve"> taryfowego. </w:t>
      </w:r>
      <w:r>
        <w:t>Konsekwencją</w:t>
      </w:r>
      <w:r>
        <w:t xml:space="preserve"> stosowania tego przepisu jest opracowywanie kolejnych taryf dla </w:t>
      </w:r>
      <w:r>
        <w:t>ciepła</w:t>
      </w:r>
      <w:r>
        <w:t xml:space="preserve"> bez </w:t>
      </w:r>
      <w:r>
        <w:t>możliwości</w:t>
      </w:r>
      <w:r>
        <w:t xml:space="preserve"> stosowania sposobu </w:t>
      </w:r>
      <w:r>
        <w:t>kształtowania</w:t>
      </w:r>
      <w:r>
        <w:t xml:space="preserve"> cen i stawek </w:t>
      </w:r>
      <w:r>
        <w:t>opłat</w:t>
      </w:r>
      <w:r>
        <w:t xml:space="preserve"> w sposób uprosz</w:t>
      </w:r>
      <w:r>
        <w:t xml:space="preserve">czony. Aktualne </w:t>
      </w:r>
      <w:r>
        <w:t>rozwiązania</w:t>
      </w:r>
      <w:r>
        <w:t xml:space="preserve"> prawne </w:t>
      </w:r>
      <w:r>
        <w:t>gwarantują,</w:t>
      </w:r>
      <w:r>
        <w:t xml:space="preserve"> </w:t>
      </w:r>
      <w:r>
        <w:t>że</w:t>
      </w:r>
      <w:r>
        <w:t xml:space="preserve"> nie </w:t>
      </w:r>
      <w:r>
        <w:t>będzie</w:t>
      </w:r>
      <w:r>
        <w:t xml:space="preserve"> </w:t>
      </w:r>
      <w:r>
        <w:t>dochodziło</w:t>
      </w:r>
      <w:r>
        <w:t xml:space="preserve"> do naprzemiennego stosowania metod co </w:t>
      </w:r>
      <w:r>
        <w:t>mogłoby</w:t>
      </w:r>
      <w:r>
        <w:t xml:space="preserve"> </w:t>
      </w:r>
      <w:r>
        <w:t>umożliwić</w:t>
      </w:r>
      <w:r>
        <w:t xml:space="preserve"> wybiórcze korzystanie z korzystniejszych warunków w danym okresie, co w konsekwencji </w:t>
      </w:r>
      <w:r>
        <w:t>mogłoby</w:t>
      </w:r>
      <w:r>
        <w:t xml:space="preserve"> </w:t>
      </w:r>
      <w:r>
        <w:t>prowadzić</w:t>
      </w:r>
      <w:r>
        <w:t xml:space="preserve"> do nieuzasadnionego wzrostu cen </w:t>
      </w:r>
      <w:r>
        <w:t>ciepła</w:t>
      </w:r>
      <w:r>
        <w:t xml:space="preserve"> </w:t>
      </w:r>
      <w:r>
        <w:t xml:space="preserve">dla odbiorców. Naprzemienne stosowanie sposobu taryfowania </w:t>
      </w:r>
      <w:r>
        <w:t>źródeł</w:t>
      </w:r>
      <w:r>
        <w:t xml:space="preserve"> </w:t>
      </w:r>
      <w:r>
        <w:t>ciepła,</w:t>
      </w:r>
      <w:r>
        <w:t xml:space="preserve"> w tym zmiana sposobu taryfowania z uproszczonego na kosztowy, bez wprowadzenia odpowiednich </w:t>
      </w:r>
      <w:r>
        <w:t>narzędzi</w:t>
      </w:r>
      <w:r>
        <w:t xml:space="preserve"> informatycznych dla Prezesa URE </w:t>
      </w:r>
      <w:r>
        <w:t>spowodowałoby</w:t>
      </w:r>
      <w:r>
        <w:t xml:space="preserve"> </w:t>
      </w:r>
      <w:r>
        <w:t>również</w:t>
      </w:r>
      <w:r>
        <w:t xml:space="preserve"> </w:t>
      </w:r>
      <w:r>
        <w:t>wydłużenie</w:t>
      </w:r>
      <w:r>
        <w:t xml:space="preserve"> czasu zatwierdzania taryf na </w:t>
      </w:r>
      <w:r>
        <w:t>ciepło</w:t>
      </w:r>
      <w:r>
        <w:t xml:space="preserve"> co </w:t>
      </w:r>
      <w:r>
        <w:t>mogłoby</w:t>
      </w:r>
      <w:r>
        <w:t xml:space="preserve"> niekorzystnie </w:t>
      </w:r>
      <w:r>
        <w:t>wpłynąć</w:t>
      </w:r>
      <w:r>
        <w:t xml:space="preserve"> na </w:t>
      </w:r>
      <w:r>
        <w:t>sytuację</w:t>
      </w:r>
      <w:r>
        <w:t xml:space="preserve"> </w:t>
      </w:r>
      <w:r>
        <w:t>finansową</w:t>
      </w:r>
      <w:r>
        <w:t xml:space="preserve"> odbiorców </w:t>
      </w:r>
      <w:r>
        <w:t>końcowych</w:t>
      </w:r>
      <w:r>
        <w:t xml:space="preserve"> jak </w:t>
      </w:r>
      <w:r>
        <w:t>również</w:t>
      </w:r>
      <w:r>
        <w:t xml:space="preserve"> </w:t>
      </w:r>
      <w:r>
        <w:t>przedsiębiorstw</w:t>
      </w:r>
      <w:r>
        <w:t xml:space="preserve"> </w:t>
      </w:r>
      <w:r>
        <w:t>ciepłowniczych.</w:t>
      </w:r>
      <w:r>
        <w:t xml:space="preserve"> W </w:t>
      </w:r>
      <w:r>
        <w:t>związku</w:t>
      </w:r>
      <w:r>
        <w:t xml:space="preserve"> z </w:t>
      </w:r>
      <w:r>
        <w:t>powyższym</w:t>
      </w:r>
      <w:r>
        <w:t xml:space="preserve"> w chwili obecnej brak jest </w:t>
      </w:r>
      <w:r>
        <w:t>możliwości</w:t>
      </w:r>
      <w:r>
        <w:t xml:space="preserve"> powrotu do uproszczonej metody </w:t>
      </w:r>
      <w:r>
        <w:t>kształtowania</w:t>
      </w:r>
      <w:r>
        <w:t xml:space="preserve"> taryfy</w:t>
      </w:r>
      <w:r>
        <w:rPr>
          <w:sz w:val="22"/>
        </w:rPr>
        <w:t xml:space="preserve"> </w:t>
      </w:r>
      <w:r>
        <w:t>po sk</w:t>
      </w:r>
      <w:r>
        <w:t>orzystaniu z przepisu art. 47 ust. 2f</w:t>
      </w:r>
      <w:r>
        <w:rPr>
          <w:vertAlign w:val="superscript"/>
        </w:rPr>
        <w:t>1</w:t>
      </w:r>
      <w:r>
        <w:t xml:space="preserve"> ustawy – Prawo energetyczne. </w:t>
      </w:r>
      <w:r>
        <w:t>Jednocześnie</w:t>
      </w:r>
      <w:r>
        <w:t xml:space="preserve"> deklarujemy </w:t>
      </w:r>
      <w:r>
        <w:t>otwartość</w:t>
      </w:r>
      <w:r>
        <w:t xml:space="preserve"> na dalszy dialog i </w:t>
      </w:r>
      <w:r>
        <w:t>współpracę</w:t>
      </w:r>
      <w:r>
        <w:t xml:space="preserve"> w zakresie wypracowywania </w:t>
      </w:r>
      <w:r>
        <w:t>rozwiązań</w:t>
      </w:r>
      <w:r>
        <w:t xml:space="preserve"> </w:t>
      </w:r>
      <w:r>
        <w:t>wspierających</w:t>
      </w:r>
      <w:r>
        <w:t xml:space="preserve"> </w:t>
      </w:r>
      <w:r>
        <w:t>transformację</w:t>
      </w:r>
      <w:r>
        <w:t xml:space="preserve"> </w:t>
      </w:r>
      <w:r>
        <w:t>energetyczną</w:t>
      </w:r>
      <w:r>
        <w:t xml:space="preserve"> i </w:t>
      </w:r>
      <w:r>
        <w:t>określenie</w:t>
      </w:r>
      <w:r>
        <w:t xml:space="preserve"> docelowego modelu funkcjonowania systemu taryfowego dla </w:t>
      </w:r>
      <w:r>
        <w:t>ciepła.</w:t>
      </w:r>
      <w:r>
        <w:t xml:space="preserve"> Zmiany zasad </w:t>
      </w:r>
      <w:r>
        <w:t>kształtowania</w:t>
      </w:r>
      <w:r>
        <w:t xml:space="preserve"> taryf dla </w:t>
      </w:r>
      <w:r>
        <w:t>ciepła,</w:t>
      </w:r>
      <w:r>
        <w:t xml:space="preserve"> szczególnie w sytuacji </w:t>
      </w:r>
      <w:r>
        <w:t>wdrażania</w:t>
      </w:r>
      <w:r>
        <w:t xml:space="preserve"> transformacji sektora </w:t>
      </w:r>
      <w:r>
        <w:t>ciepłowniczego</w:t>
      </w:r>
      <w:r>
        <w:t xml:space="preserve"> </w:t>
      </w:r>
      <w:r>
        <w:t>wymagają</w:t>
      </w:r>
      <w:r>
        <w:t xml:space="preserve"> </w:t>
      </w:r>
      <w:r>
        <w:t>pogłębionej</w:t>
      </w:r>
      <w:r>
        <w:t xml:space="preserve"> analizy i </w:t>
      </w:r>
      <w:r>
        <w:t>podjęcia</w:t>
      </w:r>
      <w:r>
        <w:t xml:space="preserve"> </w:t>
      </w:r>
      <w:r>
        <w:t>działań</w:t>
      </w:r>
      <w:r>
        <w:t xml:space="preserve"> nad opracowaniem nowego modelu taryfowania </w:t>
      </w:r>
      <w:r>
        <w:t>przedsiębiorstw</w:t>
      </w:r>
      <w:r>
        <w:t xml:space="preserve"> </w:t>
      </w:r>
      <w:r>
        <w:t>cie</w:t>
      </w:r>
      <w:r>
        <w:t>płowniczych.</w:t>
      </w:r>
    </w:p>
    <w:p w14:paraId="1B6A23E4" w14:textId="77777777" w:rsidR="00AA4C9F" w:rsidRDefault="00EC02E0">
      <w:pPr>
        <w:numPr>
          <w:ilvl w:val="0"/>
          <w:numId w:val="2"/>
        </w:numPr>
        <w:spacing w:after="178" w:line="261" w:lineRule="auto"/>
        <w:ind w:hanging="360"/>
        <w:jc w:val="left"/>
      </w:pPr>
      <w:r>
        <w:rPr>
          <w:b/>
        </w:rPr>
        <w:t>Zwolnienie cen ciepła w relacjach B2B z obowiązku zatwierdzania taryfy.</w:t>
      </w:r>
    </w:p>
    <w:p w14:paraId="51EFA291" w14:textId="77777777" w:rsidR="00AA4C9F" w:rsidRDefault="00EC02E0">
      <w:pPr>
        <w:ind w:left="-5"/>
      </w:pPr>
      <w:r>
        <w:lastRenderedPageBreak/>
        <w:t>Odnośnie</w:t>
      </w:r>
      <w:r>
        <w:t xml:space="preserve"> postulatu „zwolnienia cen </w:t>
      </w:r>
      <w:r>
        <w:t>ciepła</w:t>
      </w:r>
      <w:r>
        <w:t xml:space="preserve"> w relacjach B2B z </w:t>
      </w:r>
      <w:r>
        <w:t>obowiązku</w:t>
      </w:r>
      <w:r>
        <w:t xml:space="preserve"> zatwierdzania taryfy, co </w:t>
      </w:r>
      <w:r>
        <w:t>mogłoby</w:t>
      </w:r>
      <w:r>
        <w:t xml:space="preserve"> </w:t>
      </w:r>
      <w:r>
        <w:t>umożliwić</w:t>
      </w:r>
      <w:r>
        <w:t xml:space="preserve"> </w:t>
      </w:r>
      <w:r>
        <w:t>przedsiębiorcom</w:t>
      </w:r>
      <w:r>
        <w:t xml:space="preserve"> rozliczanie </w:t>
      </w:r>
      <w:r>
        <w:t>się</w:t>
      </w:r>
      <w:r>
        <w:t xml:space="preserve"> </w:t>
      </w:r>
      <w:r>
        <w:t xml:space="preserve">po cenach innych </w:t>
      </w:r>
      <w:r>
        <w:t>niż</w:t>
      </w:r>
      <w:r>
        <w:t xml:space="preserve"> taryfowe”, uprzejmie </w:t>
      </w:r>
      <w:r>
        <w:t>informuję,</w:t>
      </w:r>
      <w:r>
        <w:t xml:space="preserve"> </w:t>
      </w:r>
      <w:r>
        <w:t>że</w:t>
      </w:r>
      <w:r>
        <w:t xml:space="preserve"> </w:t>
      </w:r>
      <w:r>
        <w:t>mając</w:t>
      </w:r>
      <w:r>
        <w:t xml:space="preserve"> na uwadze tematy omawiane w grupie roboczej </w:t>
      </w:r>
      <w:r>
        <w:t>Zespołu</w:t>
      </w:r>
      <w:r>
        <w:t xml:space="preserve"> do spraw transformacji </w:t>
      </w:r>
      <w:r>
        <w:t>ciepłownictwa</w:t>
      </w:r>
      <w:r>
        <w:t xml:space="preserve"> oraz </w:t>
      </w:r>
      <w:r>
        <w:t>określenia</w:t>
      </w:r>
      <w:r>
        <w:t xml:space="preserve"> modelu funkcjonowania rynku </w:t>
      </w:r>
      <w:r>
        <w:t>ciepła,</w:t>
      </w:r>
      <w:r>
        <w:t xml:space="preserve"> tego rodzaju propozycja </w:t>
      </w:r>
      <w:r>
        <w:t>została</w:t>
      </w:r>
      <w:r>
        <w:t xml:space="preserve"> </w:t>
      </w:r>
      <w:r>
        <w:t>zgłoszona,</w:t>
      </w:r>
      <w:r>
        <w:t xml:space="preserve"> i na poziomie grupy roboczej –  </w:t>
      </w:r>
      <w:r>
        <w:t>przyjęta</w:t>
      </w:r>
      <w:r>
        <w:t xml:space="preserve"> pozytywnie.</w:t>
      </w:r>
    </w:p>
    <w:p w14:paraId="713C6C1D" w14:textId="77777777" w:rsidR="00AA4C9F" w:rsidRDefault="00EC02E0">
      <w:pPr>
        <w:ind w:left="-5"/>
      </w:pPr>
      <w:r>
        <w:t xml:space="preserve">Obecnie odbiorcy </w:t>
      </w:r>
      <w:r>
        <w:t>kupujący</w:t>
      </w:r>
      <w:r>
        <w:t xml:space="preserve"> </w:t>
      </w:r>
      <w:r>
        <w:t>ciepło</w:t>
      </w:r>
      <w:r>
        <w:t xml:space="preserve"> na potrzeby </w:t>
      </w:r>
      <w:r>
        <w:t>przemysłowych</w:t>
      </w:r>
      <w:r>
        <w:t xml:space="preserve"> procesów technologicznych, tak jak wszyscy inni odbiorcy, </w:t>
      </w:r>
      <w:r>
        <w:t>uwzględnieni</w:t>
      </w:r>
      <w:r>
        <w:t xml:space="preserve"> </w:t>
      </w:r>
      <w:r>
        <w:t>są</w:t>
      </w:r>
      <w:r>
        <w:t xml:space="preserve"> w odpowiedniej grupie taryfowej wnioskowanej do zatwierdzenia przez Prezesa URE taryfy dla </w:t>
      </w:r>
      <w:r>
        <w:t>ciepła.</w:t>
      </w:r>
      <w:r>
        <w:t xml:space="preserve"> W konsekwencji </w:t>
      </w:r>
      <w:r>
        <w:t>przedsiębiorstwa</w:t>
      </w:r>
      <w:r>
        <w:t xml:space="preserve"> </w:t>
      </w:r>
      <w:r>
        <w:t>mają</w:t>
      </w:r>
      <w:r>
        <w:t xml:space="preserve"> </w:t>
      </w:r>
      <w:r>
        <w:t>obowiązek</w:t>
      </w:r>
      <w:r>
        <w:t xml:space="preserve"> stosowania cen i stawek </w:t>
      </w:r>
      <w:r>
        <w:t>opłat</w:t>
      </w:r>
      <w:r>
        <w:t xml:space="preserve"> z zatwierdzonej przez Prezesa URE taryfy. </w:t>
      </w:r>
      <w:r>
        <w:t>Uniemożliwia</w:t>
      </w:r>
      <w:r>
        <w:t xml:space="preserve"> to negocjacje cen </w:t>
      </w:r>
      <w:r>
        <w:t>ciepła,</w:t>
      </w:r>
      <w:r>
        <w:t xml:space="preserve"> w tym </w:t>
      </w:r>
      <w:r>
        <w:t>ciepła</w:t>
      </w:r>
      <w:r>
        <w:t xml:space="preserve"> na potrzeby technologiczne z odbiorcami </w:t>
      </w:r>
      <w:r>
        <w:t>przemysłowymi.</w:t>
      </w:r>
      <w:r>
        <w:t xml:space="preserve"> Skutkiem takiego stanu rzeczy </w:t>
      </w:r>
      <w:r>
        <w:t>są</w:t>
      </w:r>
      <w:r>
        <w:t xml:space="preserve"> przypadki </w:t>
      </w:r>
      <w:r>
        <w:t>odłączania</w:t>
      </w:r>
      <w:r>
        <w:t xml:space="preserve"> </w:t>
      </w:r>
      <w:r>
        <w:t>się</w:t>
      </w:r>
      <w:r>
        <w:t xml:space="preserve"> przez niezado</w:t>
      </w:r>
      <w:r>
        <w:t xml:space="preserve">wolonych odbiorców </w:t>
      </w:r>
      <w:r>
        <w:t>przemysłowych</w:t>
      </w:r>
      <w:r>
        <w:t xml:space="preserve"> od </w:t>
      </w:r>
      <w:r>
        <w:t>zasilających</w:t>
      </w:r>
      <w:r>
        <w:t xml:space="preserve"> ich </w:t>
      </w:r>
      <w:r>
        <w:t>źródeł</w:t>
      </w:r>
      <w:r>
        <w:t xml:space="preserve"> </w:t>
      </w:r>
      <w:r>
        <w:t>ciepła</w:t>
      </w:r>
      <w:r>
        <w:t xml:space="preserve"> systemowego i budowanie </w:t>
      </w:r>
      <w:r>
        <w:t>własnych</w:t>
      </w:r>
      <w:r>
        <w:t xml:space="preserve"> </w:t>
      </w:r>
      <w:r>
        <w:t>źródeł</w:t>
      </w:r>
      <w:r>
        <w:t xml:space="preserve"> </w:t>
      </w:r>
      <w:r>
        <w:t>ciepła.</w:t>
      </w:r>
      <w:r>
        <w:t xml:space="preserve"> Jest to sytuacja niekorzystna z ekonomicznego i </w:t>
      </w:r>
      <w:r>
        <w:t>środowiskowego</w:t>
      </w:r>
      <w:r>
        <w:t xml:space="preserve"> punktu widzenia, zarówno dla wytwórcy </w:t>
      </w:r>
      <w:r>
        <w:t>ciepła,</w:t>
      </w:r>
      <w:r>
        <w:t xml:space="preserve"> jak i dla jego odbiorców </w:t>
      </w:r>
      <w:r>
        <w:t>przemysłowych</w:t>
      </w:r>
      <w:r>
        <w:t xml:space="preserve"> (koszty inwestycyjne, budowa nowego </w:t>
      </w:r>
      <w:r>
        <w:t>źródła</w:t>
      </w:r>
      <w:r>
        <w:t xml:space="preserve"> </w:t>
      </w:r>
      <w:r>
        <w:t>ciepła</w:t>
      </w:r>
      <w:r>
        <w:t xml:space="preserve"> przez </w:t>
      </w:r>
      <w:r>
        <w:t>przedsiębiorstwo</w:t>
      </w:r>
      <w:r>
        <w:t xml:space="preserve"> </w:t>
      </w:r>
      <w:r>
        <w:t>przemysłowe,</w:t>
      </w:r>
      <w:r>
        <w:t xml:space="preserve"> nadmiar mocy zainstalowanej w regionie). </w:t>
      </w:r>
    </w:p>
    <w:p w14:paraId="360C93C4" w14:textId="77777777" w:rsidR="00AA4C9F" w:rsidRDefault="00EC02E0">
      <w:pPr>
        <w:ind w:left="-5"/>
      </w:pPr>
      <w:r>
        <w:t xml:space="preserve">W </w:t>
      </w:r>
      <w:r>
        <w:t>związku</w:t>
      </w:r>
      <w:r>
        <w:t xml:space="preserve"> z </w:t>
      </w:r>
      <w:r>
        <w:t>powyższym,</w:t>
      </w:r>
      <w:r>
        <w:t xml:space="preserve"> </w:t>
      </w:r>
      <w:r>
        <w:t>trwają</w:t>
      </w:r>
      <w:r>
        <w:t xml:space="preserve"> prace nad </w:t>
      </w:r>
      <w:r>
        <w:t>rozwiązaniem</w:t>
      </w:r>
      <w:r>
        <w:t xml:space="preserve"> </w:t>
      </w:r>
      <w:r>
        <w:t>zwalniającym</w:t>
      </w:r>
      <w:r>
        <w:t xml:space="preserve"> od zatwierdzania przez Prezesa URE cen i stawek </w:t>
      </w:r>
      <w:r>
        <w:t>opłat</w:t>
      </w:r>
      <w:r>
        <w:t xml:space="preserve"> w taryfach dla </w:t>
      </w:r>
      <w:r>
        <w:t>ciepła</w:t>
      </w:r>
      <w:r>
        <w:t xml:space="preserve"> ustalanych przez </w:t>
      </w:r>
      <w:r>
        <w:t>przedsiębiorstwa</w:t>
      </w:r>
      <w:r>
        <w:t xml:space="preserve"> energetyczne </w:t>
      </w:r>
      <w:r>
        <w:t>posiadające</w:t>
      </w:r>
      <w:r>
        <w:t xml:space="preserve"> </w:t>
      </w:r>
      <w:r>
        <w:t>koncesję</w:t>
      </w:r>
      <w:r>
        <w:t xml:space="preserve"> na wytwarzanie </w:t>
      </w:r>
      <w:r>
        <w:t>ciepła,</w:t>
      </w:r>
      <w:r>
        <w:t xml:space="preserve"> w </w:t>
      </w:r>
      <w:r>
        <w:t>części</w:t>
      </w:r>
      <w:r>
        <w:t xml:space="preserve"> </w:t>
      </w:r>
      <w:r>
        <w:t>spełniającej</w:t>
      </w:r>
      <w:r>
        <w:t xml:space="preserve"> </w:t>
      </w:r>
      <w:r>
        <w:t>łącznie</w:t>
      </w:r>
      <w:r>
        <w:t xml:space="preserve"> </w:t>
      </w:r>
      <w:r>
        <w:t>następujące</w:t>
      </w:r>
      <w:r>
        <w:t xml:space="preserve"> warunki:</w:t>
      </w:r>
    </w:p>
    <w:p w14:paraId="1B8D8A2A" w14:textId="77777777" w:rsidR="00AA4C9F" w:rsidRDefault="00EC02E0">
      <w:pPr>
        <w:numPr>
          <w:ilvl w:val="0"/>
          <w:numId w:val="3"/>
        </w:numPr>
        <w:spacing w:after="201" w:line="239" w:lineRule="auto"/>
        <w:ind w:hanging="360"/>
      </w:pPr>
      <w:r>
        <w:t>bezpośredniego</w:t>
      </w:r>
      <w:r>
        <w:t xml:space="preserve"> dostarczania </w:t>
      </w:r>
      <w:r>
        <w:t>ciepła</w:t>
      </w:r>
      <w:r>
        <w:t xml:space="preserve"> do odbiorcy, który prowadzi </w:t>
      </w:r>
      <w:r>
        <w:t>działalność</w:t>
      </w:r>
      <w:r>
        <w:t xml:space="preserve"> </w:t>
      </w:r>
      <w:r>
        <w:t>gospodarczą,</w:t>
      </w:r>
      <w:r>
        <w:t xml:space="preserve"> </w:t>
      </w:r>
    </w:p>
    <w:p w14:paraId="1FFA3D6F" w14:textId="77777777" w:rsidR="00AA4C9F" w:rsidRDefault="00EC02E0">
      <w:pPr>
        <w:numPr>
          <w:ilvl w:val="0"/>
          <w:numId w:val="3"/>
        </w:numPr>
        <w:ind w:hanging="360"/>
      </w:pPr>
      <w:r>
        <w:t xml:space="preserve">braku uprawnienia lub </w:t>
      </w:r>
      <w:r>
        <w:t>zobowiązania</w:t>
      </w:r>
      <w:r>
        <w:t xml:space="preserve"> odbiorcy do zapewnienia </w:t>
      </w:r>
      <w:r>
        <w:t>ciepła</w:t>
      </w:r>
      <w:r>
        <w:t xml:space="preserve"> w lokalach mieszkalnych na potrzeby gospodarstw domowych i </w:t>
      </w:r>
    </w:p>
    <w:p w14:paraId="5E138C6F" w14:textId="77777777" w:rsidR="00AA4C9F" w:rsidRDefault="00EC02E0">
      <w:pPr>
        <w:numPr>
          <w:ilvl w:val="0"/>
          <w:numId w:val="3"/>
        </w:numPr>
        <w:ind w:hanging="360"/>
      </w:pPr>
      <w:r>
        <w:t xml:space="preserve">zgodnej woli dwóch stron na zakup </w:t>
      </w:r>
      <w:r>
        <w:t>ciepła</w:t>
      </w:r>
      <w:r>
        <w:t xml:space="preserve"> na podstawie umowy, z </w:t>
      </w:r>
      <w:r>
        <w:t>pominięciem</w:t>
      </w:r>
      <w:r>
        <w:t xml:space="preserve"> cen i stawek </w:t>
      </w:r>
      <w:r>
        <w:t>opłat</w:t>
      </w:r>
      <w:r>
        <w:t xml:space="preserve"> zawartych w taryfie dla </w:t>
      </w:r>
      <w:r>
        <w:t>ciepła.</w:t>
      </w:r>
      <w:r>
        <w:t xml:space="preserve"> </w:t>
      </w:r>
    </w:p>
    <w:p w14:paraId="2EFF789C" w14:textId="77777777" w:rsidR="00AA4C9F" w:rsidRDefault="00EC02E0">
      <w:pPr>
        <w:ind w:left="-5"/>
      </w:pPr>
      <w:r>
        <w:t xml:space="preserve">Dodatkowo </w:t>
      </w:r>
      <w:r>
        <w:t>rozważa</w:t>
      </w:r>
      <w:r>
        <w:t xml:space="preserve"> </w:t>
      </w:r>
      <w:r>
        <w:t>się</w:t>
      </w:r>
      <w:r>
        <w:t xml:space="preserve"> rozszerzenie art. 32 ust. 4 ustawy – Prawo energetyczne o brak wymogu uzyskania koncesji dla nowego </w:t>
      </w:r>
      <w:r>
        <w:t>źródła</w:t>
      </w:r>
      <w:r>
        <w:t xml:space="preserve"> w zakresie wytwarzania </w:t>
      </w:r>
      <w:r>
        <w:t>ciepła</w:t>
      </w:r>
      <w:r>
        <w:t xml:space="preserve"> dostarczanego przez to jedno </w:t>
      </w:r>
      <w:r>
        <w:t>źródło</w:t>
      </w:r>
      <w:r>
        <w:t xml:space="preserve"> do jednego odbiorcy, </w:t>
      </w:r>
      <w:r>
        <w:t>wyłącznie</w:t>
      </w:r>
      <w:r>
        <w:t xml:space="preserve"> na potrzeby </w:t>
      </w:r>
      <w:r>
        <w:t>przemysłowych</w:t>
      </w:r>
      <w:r>
        <w:t xml:space="preserve"> procesów technologicznych.</w:t>
      </w:r>
    </w:p>
    <w:p w14:paraId="19C2BCEF" w14:textId="77777777" w:rsidR="00AA4C9F" w:rsidRDefault="00EC02E0">
      <w:pPr>
        <w:spacing w:after="178" w:line="261" w:lineRule="auto"/>
        <w:ind w:left="-5"/>
        <w:jc w:val="left"/>
      </w:pPr>
      <w:r>
        <w:rPr>
          <w:b/>
        </w:rPr>
        <w:t>Podstawa prawna:</w:t>
      </w:r>
    </w:p>
    <w:p w14:paraId="5ED6E282" w14:textId="77777777" w:rsidR="00AA4C9F" w:rsidRDefault="00EC02E0">
      <w:pPr>
        <w:ind w:left="-5"/>
      </w:pPr>
      <w:r>
        <w:t>Art. 12 i 13 ustawy z dnia 11 lipca 2014 r. o petycjach (Dz. U. z 2018 r. poz. 870).</w:t>
      </w:r>
    </w:p>
    <w:p w14:paraId="74BC6C37" w14:textId="77777777" w:rsidR="00AA4C9F" w:rsidRDefault="00EC02E0">
      <w:pPr>
        <w:spacing w:after="178" w:line="261" w:lineRule="auto"/>
        <w:ind w:left="-5"/>
        <w:jc w:val="left"/>
      </w:pPr>
      <w:r>
        <w:rPr>
          <w:b/>
        </w:rPr>
        <w:t>Pouczenie:</w:t>
      </w:r>
    </w:p>
    <w:p w14:paraId="7B9075C2" w14:textId="77777777" w:rsidR="00AA4C9F" w:rsidRDefault="00EC02E0">
      <w:pPr>
        <w:ind w:left="-5"/>
      </w:pPr>
      <w:r>
        <w:t>Informuję,</w:t>
      </w:r>
      <w:r>
        <w:t xml:space="preserve"> </w:t>
      </w:r>
      <w:r>
        <w:t>że</w:t>
      </w:r>
      <w:r>
        <w:t xml:space="preserve"> na sposób </w:t>
      </w:r>
      <w:r>
        <w:t>załatwienia</w:t>
      </w:r>
      <w:r>
        <w:t xml:space="preserve"> petycji nie </w:t>
      </w:r>
      <w:r>
        <w:t>służy</w:t>
      </w:r>
      <w:r>
        <w:t xml:space="preserve"> </w:t>
      </w:r>
      <w:r>
        <w:t>Pani/Panu/Państwu</w:t>
      </w:r>
      <w:r>
        <w:t xml:space="preserve"> prawo wniesienia skargi w trybie </w:t>
      </w:r>
      <w:r>
        <w:t>określonym</w:t>
      </w:r>
      <w:r>
        <w:t xml:space="preserve"> w Rozdziale 2 </w:t>
      </w:r>
      <w:r>
        <w:t>Działu</w:t>
      </w:r>
      <w:r>
        <w:t xml:space="preserve"> VIII Kodeksu </w:t>
      </w:r>
      <w:r>
        <w:t>postępowania</w:t>
      </w:r>
      <w:r>
        <w:t xml:space="preserve"> administracyjnego.</w:t>
      </w:r>
    </w:p>
    <w:p w14:paraId="70029660" w14:textId="77777777" w:rsidR="00AA4C9F" w:rsidRDefault="00EC02E0">
      <w:pPr>
        <w:spacing w:after="630"/>
        <w:ind w:left="-5"/>
      </w:pPr>
      <w:r>
        <w:t xml:space="preserve">Minister Energii </w:t>
      </w:r>
      <w:r>
        <w:t>może</w:t>
      </w:r>
      <w:r>
        <w:t xml:space="preserve"> </w:t>
      </w:r>
      <w:r>
        <w:t>pozostawić</w:t>
      </w:r>
      <w:r>
        <w:t xml:space="preserve"> bez rozpatrzenia </w:t>
      </w:r>
      <w:r>
        <w:t>petycję</w:t>
      </w:r>
      <w:r>
        <w:t xml:space="preserve"> </w:t>
      </w:r>
      <w:r>
        <w:t>złożoną</w:t>
      </w:r>
      <w:r>
        <w:t xml:space="preserve"> w sprawie, która </w:t>
      </w:r>
      <w:r>
        <w:t>była</w:t>
      </w:r>
      <w:r>
        <w:t xml:space="preserve"> </w:t>
      </w:r>
      <w:r>
        <w:t xml:space="preserve">przedmiotem petycji </w:t>
      </w:r>
      <w:r>
        <w:t>już</w:t>
      </w:r>
      <w:r>
        <w:t xml:space="preserve"> rozpatrzonej, </w:t>
      </w:r>
      <w:r>
        <w:t>jeżeli</w:t>
      </w:r>
      <w:r>
        <w:t xml:space="preserve"> w petycji nie </w:t>
      </w:r>
      <w:r>
        <w:t>powołano</w:t>
      </w:r>
      <w:r>
        <w:t xml:space="preserve"> </w:t>
      </w:r>
      <w:r>
        <w:t>się</w:t>
      </w:r>
      <w:r>
        <w:t xml:space="preserve"> na nowe fakty lub dowody nieznane Ministrowi Energii.</w:t>
      </w:r>
    </w:p>
    <w:p w14:paraId="2E4FC74E" w14:textId="77777777" w:rsidR="00AA4C9F" w:rsidRDefault="00EC02E0">
      <w:pPr>
        <w:ind w:left="-5"/>
      </w:pPr>
      <w:r>
        <w:t>Z wyrazami szacunku</w:t>
      </w:r>
    </w:p>
    <w:p w14:paraId="459DBA80" w14:textId="77777777" w:rsidR="00AA4C9F" w:rsidRDefault="00EC02E0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</w:t>
      </w:r>
    </w:p>
    <w:p w14:paraId="4F089F0F" w14:textId="77777777" w:rsidR="00AA4C9F" w:rsidRDefault="00EC02E0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</w:t>
      </w:r>
    </w:p>
    <w:p w14:paraId="18CAE522" w14:textId="77777777" w:rsidR="00AA4C9F" w:rsidRDefault="00EC02E0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</w:t>
      </w:r>
    </w:p>
    <w:sectPr w:rsidR="00AA4C9F">
      <w:footerReference w:type="even" r:id="rId9"/>
      <w:footerReference w:type="default" r:id="rId10"/>
      <w:footerReference w:type="first" r:id="rId11"/>
      <w:pgSz w:w="11906" w:h="16838"/>
      <w:pgMar w:top="601" w:right="1985" w:bottom="709" w:left="19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E9E9" w14:textId="77777777" w:rsidR="00EC02E0" w:rsidRDefault="00EC02E0">
      <w:pPr>
        <w:spacing w:after="0" w:line="240" w:lineRule="auto"/>
      </w:pPr>
      <w:r>
        <w:separator/>
      </w:r>
    </w:p>
  </w:endnote>
  <w:endnote w:type="continuationSeparator" w:id="0">
    <w:p w14:paraId="0E21DEB7" w14:textId="77777777" w:rsidR="00EC02E0" w:rsidRDefault="00EC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F154" w14:textId="77777777" w:rsidR="00AA4C9F" w:rsidRDefault="00EC02E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40A5" w14:textId="77777777" w:rsidR="00AA4C9F" w:rsidRDefault="00EC02E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AFB4" w14:textId="77777777" w:rsidR="00AA4C9F" w:rsidRDefault="00AA4C9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3DB4" w14:textId="77777777" w:rsidR="00EC02E0" w:rsidRDefault="00EC02E0">
      <w:pPr>
        <w:spacing w:after="0" w:line="240" w:lineRule="auto"/>
      </w:pPr>
      <w:r>
        <w:separator/>
      </w:r>
    </w:p>
  </w:footnote>
  <w:footnote w:type="continuationSeparator" w:id="0">
    <w:p w14:paraId="7609AB1B" w14:textId="77777777" w:rsidR="00EC02E0" w:rsidRDefault="00EC0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30CF"/>
    <w:multiLevelType w:val="hybridMultilevel"/>
    <w:tmpl w:val="40D81C98"/>
    <w:lvl w:ilvl="0" w:tplc="32AEB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A88B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4884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68BD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1AC5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E6DB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AD7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A814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1451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5A741C"/>
    <w:multiLevelType w:val="hybridMultilevel"/>
    <w:tmpl w:val="295AC520"/>
    <w:lvl w:ilvl="0" w:tplc="F91C308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B63F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D2A0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C6EC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D0B53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D69A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8A34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40C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C97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4A6A20"/>
    <w:multiLevelType w:val="hybridMultilevel"/>
    <w:tmpl w:val="20AA7E90"/>
    <w:lvl w:ilvl="0" w:tplc="CA8AB3F4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670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EF8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2A18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9A9C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EA7E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78836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B613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680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4647836">
    <w:abstractNumId w:val="1"/>
  </w:num>
  <w:num w:numId="2" w16cid:durableId="796997114">
    <w:abstractNumId w:val="2"/>
  </w:num>
  <w:num w:numId="3" w16cid:durableId="44507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9F"/>
    <w:rsid w:val="000721CE"/>
    <w:rsid w:val="00AA4C9F"/>
    <w:rsid w:val="00EC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6B77"/>
  <w15:docId w15:val="{1D2C9C49-15EB-4279-AE73-13ADA62C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0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8058</Characters>
  <Application>Microsoft Office Word</Application>
  <DocSecurity>0</DocSecurity>
  <Lines>67</Lines>
  <Paragraphs>18</Paragraphs>
  <ScaleCrop>false</ScaleCrop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Energii Miłosz Motyka kolor</dc:title>
  <dc:subject/>
  <dc:creator>Nowakowski Adam</dc:creator>
  <cp:keywords>KIEROWNICTWO</cp:keywords>
  <cp:lastModifiedBy>Wierzbicka Sylwia</cp:lastModifiedBy>
  <cp:revision>2</cp:revision>
  <dcterms:created xsi:type="dcterms:W3CDTF">2025-08-25T08:09:00Z</dcterms:created>
  <dcterms:modified xsi:type="dcterms:W3CDTF">2025-08-25T08:09:00Z</dcterms:modified>
</cp:coreProperties>
</file>