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50" w:rsidRPr="000E2E50" w:rsidRDefault="000E2E50" w:rsidP="000E2E50">
      <w:pPr>
        <w:tabs>
          <w:tab w:val="right" w:pos="9072"/>
        </w:tabs>
        <w:spacing w:after="0" w:line="240" w:lineRule="auto"/>
        <w:rPr>
          <w:rFonts w:ascii="Lato" w:hAnsi="Lato"/>
        </w:rPr>
      </w:pPr>
    </w:p>
    <w:p w:rsidR="000E2E50" w:rsidRPr="000E2E50" w:rsidRDefault="000E2E50" w:rsidP="000E2E50">
      <w:pPr>
        <w:tabs>
          <w:tab w:val="right" w:pos="9072"/>
        </w:tabs>
        <w:spacing w:after="0" w:line="240" w:lineRule="auto"/>
        <w:rPr>
          <w:rFonts w:ascii="Lato" w:hAnsi="Lato" w:cstheme="minorHAnsi"/>
          <w:b/>
        </w:rPr>
      </w:pPr>
      <w:r w:rsidRPr="000E2E50">
        <w:rPr>
          <w:b/>
          <w:bCs/>
          <w:lang w:val="pl"/>
        </w:rPr>
        <w:tab/>
      </w:r>
    </w:p>
    <w:p w:rsidR="000E2E50" w:rsidRPr="000E2E50" w:rsidRDefault="000E2E50" w:rsidP="000E2E50">
      <w:pPr>
        <w:jc w:val="center"/>
        <w:rPr>
          <w:rFonts w:ascii="Lato" w:hAnsi="Lato"/>
          <w:b/>
        </w:rPr>
      </w:pPr>
      <w:r w:rsidRPr="000E2E50">
        <w:rPr>
          <w:rFonts w:ascii="Lato" w:hAnsi="Lato"/>
          <w:b/>
          <w:noProof/>
          <w:lang w:eastAsia="pl-PL"/>
        </w:rPr>
        <w:drawing>
          <wp:inline distT="0" distB="0" distL="0" distR="0" wp14:anchorId="679731E5" wp14:editId="2E61F9C1">
            <wp:extent cx="5364480" cy="5692462"/>
            <wp:effectExtent l="0" t="0" r="762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6" cy="569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E50" w:rsidRPr="000E2E50" w:rsidRDefault="000E2E50" w:rsidP="000E2E50">
      <w:pPr>
        <w:tabs>
          <w:tab w:val="left" w:pos="142"/>
        </w:tabs>
        <w:jc w:val="center"/>
        <w:rPr>
          <w:rFonts w:ascii="Lato" w:hAnsi="Lato"/>
          <w:b/>
          <w:color w:val="FF0000"/>
          <w:sz w:val="40"/>
          <w:szCs w:val="40"/>
        </w:rPr>
      </w:pPr>
      <w:r w:rsidRPr="000E2E50">
        <w:rPr>
          <w:rFonts w:ascii="Lato" w:hAnsi="Lato"/>
          <w:b/>
          <w:color w:val="FF0000"/>
          <w:sz w:val="40"/>
          <w:szCs w:val="40"/>
        </w:rPr>
        <w:t>PR</w:t>
      </w:r>
      <w:r w:rsidR="00814D3B">
        <w:rPr>
          <w:rFonts w:ascii="Lato" w:hAnsi="Lato"/>
          <w:b/>
          <w:color w:val="FF0000"/>
          <w:sz w:val="40"/>
          <w:szCs w:val="40"/>
        </w:rPr>
        <w:t>IORYTETY</w:t>
      </w:r>
      <w:r w:rsidRPr="000E2E50">
        <w:rPr>
          <w:rFonts w:ascii="Lato" w:hAnsi="Lato"/>
          <w:b/>
          <w:color w:val="FF0000"/>
          <w:sz w:val="40"/>
          <w:szCs w:val="40"/>
        </w:rPr>
        <w:t xml:space="preserve"> PREZYDENCJI</w:t>
      </w:r>
    </w:p>
    <w:p w:rsidR="000E2E50" w:rsidRPr="000E2E50" w:rsidRDefault="000E2E50" w:rsidP="000E2E50">
      <w:pPr>
        <w:jc w:val="center"/>
        <w:rPr>
          <w:rFonts w:ascii="Lato" w:hAnsi="Lato"/>
          <w:b/>
        </w:rPr>
      </w:pPr>
      <w:r w:rsidRPr="000E2E50">
        <w:rPr>
          <w:noProof/>
          <w:color w:val="000000"/>
          <w:lang w:eastAsia="pl-PL"/>
        </w:rPr>
        <w:drawing>
          <wp:inline distT="0" distB="0" distL="0" distR="0" wp14:anchorId="7FB7399A" wp14:editId="3329B6A4">
            <wp:extent cx="5366995" cy="796925"/>
            <wp:effectExtent l="0" t="0" r="5715" b="3175"/>
            <wp:docPr id="3" name="Obraz 3" descr="re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268" cy="80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E50" w:rsidRPr="000E2E50" w:rsidRDefault="000E2E50" w:rsidP="000E2E50">
      <w:pPr>
        <w:jc w:val="center"/>
        <w:rPr>
          <w:rFonts w:ascii="Lato" w:hAnsi="Lato"/>
          <w:b/>
          <w:bCs/>
          <w:lang w:val="pl"/>
        </w:rPr>
      </w:pPr>
    </w:p>
    <w:p w:rsidR="000E2E50" w:rsidRPr="000E2E50" w:rsidRDefault="000E2E50" w:rsidP="000E2E50">
      <w:pPr>
        <w:jc w:val="center"/>
        <w:rPr>
          <w:rFonts w:ascii="Lato" w:hAnsi="Lato"/>
          <w:b/>
          <w:bCs/>
          <w:lang w:val="pl"/>
        </w:rPr>
      </w:pPr>
    </w:p>
    <w:p w:rsidR="000E2E50" w:rsidRPr="000E2E50" w:rsidRDefault="000E2E50" w:rsidP="000E2E50">
      <w:pPr>
        <w:jc w:val="center"/>
        <w:rPr>
          <w:rFonts w:ascii="Lato" w:hAnsi="Lato"/>
          <w:b/>
          <w:bCs/>
          <w:lang w:val="pl"/>
        </w:rPr>
      </w:pPr>
    </w:p>
    <w:p w:rsidR="000E2E50" w:rsidRDefault="000E2E50" w:rsidP="000E2E50">
      <w:pPr>
        <w:tabs>
          <w:tab w:val="right" w:pos="9072"/>
        </w:tabs>
        <w:spacing w:after="0" w:line="240" w:lineRule="auto"/>
        <w:jc w:val="right"/>
        <w:rPr>
          <w:rFonts w:ascii="Lato" w:hAnsi="Lato"/>
          <w:lang w:val="pl"/>
        </w:rPr>
      </w:pPr>
      <w:r w:rsidRPr="00A6597E">
        <w:rPr>
          <w:rFonts w:ascii="Lato" w:hAnsi="Lato"/>
          <w:lang w:val="pl"/>
        </w:rPr>
        <w:t xml:space="preserve">                                                                    </w:t>
      </w:r>
    </w:p>
    <w:p w:rsidR="000E2E50" w:rsidRDefault="000E2E50" w:rsidP="000E2E50">
      <w:pPr>
        <w:tabs>
          <w:tab w:val="right" w:pos="9072"/>
        </w:tabs>
        <w:spacing w:after="0" w:line="240" w:lineRule="auto"/>
        <w:jc w:val="right"/>
        <w:rPr>
          <w:rFonts w:ascii="Lato" w:hAnsi="Lato"/>
          <w:lang w:val="pl"/>
        </w:rPr>
      </w:pPr>
    </w:p>
    <w:p w:rsidR="000E2E50" w:rsidRDefault="000E2E50" w:rsidP="000E2E50">
      <w:pPr>
        <w:tabs>
          <w:tab w:val="right" w:pos="9072"/>
        </w:tabs>
        <w:spacing w:after="0" w:line="240" w:lineRule="auto"/>
        <w:jc w:val="right"/>
        <w:rPr>
          <w:rFonts w:ascii="Lato" w:hAnsi="Lato"/>
          <w:lang w:val="pl"/>
        </w:rPr>
      </w:pPr>
    </w:p>
    <w:p w:rsidR="00A712D3" w:rsidRPr="00A6597E" w:rsidRDefault="00A712D3" w:rsidP="000E2E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b/>
        </w:rPr>
      </w:pPr>
    </w:p>
    <w:p w:rsidR="00814D3B" w:rsidRPr="00A6597E" w:rsidRDefault="00814D3B" w:rsidP="00814D3B">
      <w:pPr>
        <w:tabs>
          <w:tab w:val="right" w:pos="9072"/>
        </w:tabs>
        <w:spacing w:after="0" w:line="240" w:lineRule="auto"/>
        <w:jc w:val="right"/>
        <w:rPr>
          <w:rFonts w:ascii="Lato" w:hAnsi="Lato"/>
        </w:rPr>
      </w:pPr>
      <w:r w:rsidRPr="00A6597E">
        <w:rPr>
          <w:rFonts w:ascii="Lato" w:hAnsi="Lato"/>
          <w:lang w:val="pl"/>
        </w:rPr>
        <w:t xml:space="preserve">Warszawa, </w:t>
      </w:r>
      <w:r>
        <w:rPr>
          <w:rFonts w:ascii="Lato" w:hAnsi="Lato"/>
          <w:lang w:val="pl"/>
        </w:rPr>
        <w:t>wrzesień</w:t>
      </w:r>
      <w:r w:rsidRPr="00A6597E">
        <w:rPr>
          <w:rFonts w:ascii="Lato" w:hAnsi="Lato"/>
          <w:lang w:val="pl"/>
        </w:rPr>
        <w:t xml:space="preserve"> 2024</w:t>
      </w:r>
    </w:p>
    <w:p w:rsidR="00814D3B" w:rsidRDefault="00814D3B" w:rsidP="00814D3B">
      <w:pPr>
        <w:jc w:val="center"/>
        <w:rPr>
          <w:rFonts w:ascii="Lato" w:hAnsi="Lato"/>
          <w:b/>
          <w:bCs/>
          <w:lang w:val="pl"/>
        </w:rPr>
      </w:pPr>
    </w:p>
    <w:p w:rsidR="00814D3B" w:rsidRDefault="00814D3B" w:rsidP="00814D3B">
      <w:pPr>
        <w:jc w:val="center"/>
        <w:rPr>
          <w:rFonts w:ascii="Lato" w:hAnsi="Lato"/>
          <w:b/>
          <w:bCs/>
          <w:lang w:val="pl"/>
        </w:rPr>
      </w:pPr>
    </w:p>
    <w:p w:rsidR="00814D3B" w:rsidRPr="002402DE" w:rsidRDefault="00814D3B" w:rsidP="00814D3B">
      <w:pPr>
        <w:jc w:val="center"/>
        <w:rPr>
          <w:rFonts w:ascii="Lato" w:hAnsi="Lato"/>
          <w:b/>
        </w:rPr>
      </w:pPr>
      <w:r w:rsidRPr="002402DE">
        <w:rPr>
          <w:rFonts w:ascii="Lato" w:hAnsi="Lato"/>
          <w:b/>
          <w:bCs/>
          <w:lang w:val="pl"/>
        </w:rPr>
        <w:t>PRIORYTETY POLSKIEJ PREZYDENCJI W GRUPIE WYSZEHRADZKIEJ (V4)</w:t>
      </w:r>
    </w:p>
    <w:p w:rsidR="00814D3B" w:rsidRPr="002402DE" w:rsidRDefault="00814D3B" w:rsidP="00814D3B">
      <w:pPr>
        <w:jc w:val="center"/>
        <w:rPr>
          <w:rFonts w:ascii="Lato" w:hAnsi="Lato"/>
          <w:b/>
        </w:rPr>
      </w:pPr>
      <w:r w:rsidRPr="002402DE">
        <w:rPr>
          <w:rFonts w:ascii="Lato" w:hAnsi="Lato"/>
          <w:b/>
          <w:bCs/>
          <w:lang w:val="pl"/>
        </w:rPr>
        <w:t xml:space="preserve"> 1.07.2024-30.06.2025</w:t>
      </w:r>
    </w:p>
    <w:p w:rsidR="00814D3B" w:rsidRPr="00376C0F" w:rsidRDefault="00814D3B" w:rsidP="00814D3B">
      <w:pPr>
        <w:jc w:val="center"/>
        <w:rPr>
          <w:rFonts w:ascii="Lato" w:hAnsi="Lato" w:cstheme="minorHAnsi"/>
          <w:b/>
          <w:i/>
        </w:rPr>
      </w:pPr>
      <w:r w:rsidRPr="002402DE">
        <w:rPr>
          <w:rFonts w:ascii="Lato" w:hAnsi="Lato"/>
          <w:b/>
          <w:bCs/>
          <w:i/>
          <w:iCs/>
          <w:lang w:val="pl"/>
        </w:rPr>
        <w:t>V4: powrót do korzeni (Back to Basics</w:t>
      </w:r>
      <w:r w:rsidRPr="00A6597E">
        <w:rPr>
          <w:rFonts w:ascii="Lato" w:hAnsi="Lato"/>
          <w:b/>
          <w:bCs/>
          <w:i/>
          <w:iCs/>
          <w:lang w:val="pl"/>
        </w:rPr>
        <w:t>)</w:t>
      </w:r>
    </w:p>
    <w:p w:rsidR="00814D3B" w:rsidRPr="00F607B7" w:rsidRDefault="00814D3B" w:rsidP="00814D3B">
      <w:pPr>
        <w:tabs>
          <w:tab w:val="left" w:pos="142"/>
          <w:tab w:val="left" w:pos="284"/>
        </w:tabs>
        <w:spacing w:after="120" w:line="240" w:lineRule="auto"/>
        <w:jc w:val="both"/>
        <w:rPr>
          <w:rFonts w:ascii="Lato" w:eastAsia="Times New Roman" w:hAnsi="Lato"/>
          <w:bCs/>
        </w:rPr>
      </w:pPr>
      <w:r w:rsidRPr="00F607B7">
        <w:rPr>
          <w:rFonts w:ascii="Lato" w:hAnsi="Lato"/>
          <w:lang w:val="pl"/>
        </w:rPr>
        <w:t>1 lipca 2024 r. Polska obejmuje po raz siódmy roczne przewodnictwo w Grupie Wyszehradzkiej (V4).</w:t>
      </w:r>
      <w:r>
        <w:rPr>
          <w:rFonts w:ascii="Lato" w:hAnsi="Lato"/>
        </w:rPr>
        <w:t xml:space="preserve"> </w:t>
      </w:r>
      <w:r w:rsidRPr="00F607B7">
        <w:rPr>
          <w:rFonts w:ascii="Lato" w:hAnsi="Lato" w:cs="Calibri"/>
        </w:rPr>
        <w:t>Celem polskiego przewodnictwa</w:t>
      </w:r>
      <w:r>
        <w:rPr>
          <w:rFonts w:ascii="Lato" w:hAnsi="Lato" w:cs="Calibri"/>
        </w:rPr>
        <w:t xml:space="preserve"> jest</w:t>
      </w:r>
      <w:r w:rsidRPr="00F607B7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>kontynuacja współpracy służącej</w:t>
      </w:r>
      <w:r w:rsidRPr="00F607B7">
        <w:rPr>
          <w:rFonts w:ascii="Lato" w:hAnsi="Lato" w:cs="Calibri"/>
        </w:rPr>
        <w:t xml:space="preserve"> naszym obywatelom</w:t>
      </w:r>
      <w:r>
        <w:rPr>
          <w:rFonts w:ascii="Lato" w:hAnsi="Lato" w:cs="Calibri"/>
        </w:rPr>
        <w:t xml:space="preserve"> </w:t>
      </w:r>
      <w:r>
        <w:rPr>
          <w:rFonts w:ascii="Lato" w:hAnsi="Lato" w:cs="Calibri"/>
          <w:lang w:val="pl"/>
        </w:rPr>
        <w:t>poprzez</w:t>
      </w:r>
      <w:r w:rsidRPr="00F607B7">
        <w:rPr>
          <w:rFonts w:ascii="Lato" w:hAnsi="Lato" w:cs="Calibri"/>
          <w:lang w:val="pl"/>
        </w:rPr>
        <w:t xml:space="preserve"> </w:t>
      </w:r>
      <w:r>
        <w:rPr>
          <w:rFonts w:ascii="Lato" w:hAnsi="Lato"/>
        </w:rPr>
        <w:t>utrzymanie platformy dialogu</w:t>
      </w:r>
      <w:r>
        <w:rPr>
          <w:rFonts w:ascii="Lato" w:hAnsi="Lato" w:cs="Calibri"/>
        </w:rPr>
        <w:t xml:space="preserve"> </w:t>
      </w:r>
      <w:r w:rsidRPr="00F607B7">
        <w:rPr>
          <w:rFonts w:ascii="Lato" w:hAnsi="Lato" w:cs="Calibri"/>
        </w:rPr>
        <w:t>tam, gdzie dążenia państw członkowskich pozostają zbieżne</w:t>
      </w:r>
      <w:r w:rsidRPr="004F176B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>oraz zachowanie cennego dorobku V4</w:t>
      </w:r>
      <w:r w:rsidRPr="00F607B7">
        <w:rPr>
          <w:rFonts w:ascii="Lato" w:hAnsi="Lato" w:cs="Calibri"/>
        </w:rPr>
        <w:t xml:space="preserve">. </w:t>
      </w:r>
    </w:p>
    <w:p w:rsidR="00814D3B" w:rsidRPr="00040262" w:rsidRDefault="00814D3B" w:rsidP="00814D3B">
      <w:pPr>
        <w:tabs>
          <w:tab w:val="left" w:pos="142"/>
          <w:tab w:val="left" w:pos="284"/>
        </w:tabs>
        <w:jc w:val="both"/>
        <w:rPr>
          <w:rFonts w:ascii="Lato" w:hAnsi="Lato" w:cstheme="minorHAnsi"/>
          <w:b/>
        </w:rPr>
      </w:pPr>
      <w:r w:rsidRPr="00F607B7">
        <w:rPr>
          <w:rFonts w:ascii="Lato" w:hAnsi="Lato"/>
          <w:lang w:val="pl"/>
        </w:rPr>
        <w:t xml:space="preserve">Hasło przewodnie polskiego przewodnictwa w Grupie Wyszehradzkiej to: </w:t>
      </w:r>
      <w:r w:rsidRPr="00F607B7">
        <w:rPr>
          <w:rFonts w:ascii="Lato" w:hAnsi="Lato"/>
          <w:b/>
          <w:bCs/>
          <w:i/>
          <w:iCs/>
          <w:lang w:val="pl"/>
        </w:rPr>
        <w:t>„V4: Back to Basics”</w:t>
      </w:r>
      <w:r w:rsidRPr="00F607B7">
        <w:rPr>
          <w:rFonts w:ascii="Lato" w:hAnsi="Lato"/>
          <w:i/>
          <w:iCs/>
          <w:lang w:val="pl"/>
        </w:rPr>
        <w:t>.</w:t>
      </w:r>
      <w:r w:rsidRPr="00F607B7">
        <w:rPr>
          <w:rFonts w:ascii="Lato" w:hAnsi="Lato"/>
          <w:lang w:val="pl"/>
        </w:rPr>
        <w:t xml:space="preserve"> </w:t>
      </w:r>
      <w:r>
        <w:rPr>
          <w:rFonts w:ascii="Lato" w:hAnsi="Lato"/>
          <w:lang w:val="pl"/>
        </w:rPr>
        <w:t xml:space="preserve">Nawiązuje ono </w:t>
      </w:r>
      <w:r>
        <w:rPr>
          <w:rFonts w:ascii="Lato" w:hAnsi="Lato" w:cs="Arial"/>
          <w:bCs/>
          <w:color w:val="1B1B1B"/>
          <w:shd w:val="clear" w:color="auto" w:fill="FFFFFF"/>
        </w:rPr>
        <w:t>d</w:t>
      </w:r>
      <w:r w:rsidRPr="00485135">
        <w:rPr>
          <w:rFonts w:ascii="Lato" w:hAnsi="Lato" w:cs="Arial"/>
          <w:bCs/>
          <w:color w:val="1B1B1B"/>
          <w:shd w:val="clear" w:color="auto" w:fill="FFFFFF"/>
        </w:rPr>
        <w:t>o fundamentów współpracy wyszehradzkiej, takich jak: wolność, prawa człowieka, rządy prawa</w:t>
      </w:r>
      <w:r>
        <w:rPr>
          <w:rFonts w:ascii="Lato" w:hAnsi="Lato" w:cs="Arial"/>
          <w:bCs/>
          <w:color w:val="1B1B1B"/>
          <w:shd w:val="clear" w:color="auto" w:fill="FFFFFF"/>
        </w:rPr>
        <w:t xml:space="preserve">. </w:t>
      </w:r>
      <w:r w:rsidRPr="00040262">
        <w:rPr>
          <w:rFonts w:ascii="Lato" w:hAnsi="Lato"/>
          <w:lang w:val="pl"/>
        </w:rPr>
        <w:t>Program prezydencji jest oparty na następujących filarach:</w:t>
      </w:r>
    </w:p>
    <w:p w:rsidR="00814D3B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Cs/>
          <w:lang w:val="pl"/>
        </w:rPr>
      </w:pPr>
      <w:r w:rsidRPr="00F607B7">
        <w:rPr>
          <w:rFonts w:ascii="Lato" w:hAnsi="Lato"/>
          <w:b/>
          <w:bCs/>
          <w:iCs/>
          <w:lang w:val="pl"/>
        </w:rPr>
        <w:t>„Bezpieczeństwo obywateli”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–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 xml:space="preserve">obejmujący </w:t>
      </w:r>
      <w:r w:rsidRPr="00F607B7">
        <w:rPr>
          <w:rFonts w:ascii="Lato" w:hAnsi="Lato"/>
          <w:iCs/>
          <w:lang w:val="pl"/>
        </w:rPr>
        <w:t xml:space="preserve">wyzwania dotyczące bezpieczeństwa </w:t>
      </w:r>
      <w:r>
        <w:rPr>
          <w:rFonts w:ascii="Lato" w:hAnsi="Lato"/>
          <w:iCs/>
          <w:lang w:val="pl"/>
        </w:rPr>
        <w:t>w wymiarach wewnętrznym i zewnętrznym, w szczególności w aspektach takich jak: wsparcie dla Ukrainy; kryzysy</w:t>
      </w:r>
      <w:r w:rsidRPr="00F607B7">
        <w:rPr>
          <w:rFonts w:ascii="Lato" w:hAnsi="Lato"/>
          <w:iCs/>
          <w:lang w:val="pl"/>
        </w:rPr>
        <w:t xml:space="preserve"> uchodźcz</w:t>
      </w:r>
      <w:r>
        <w:rPr>
          <w:rFonts w:ascii="Lato" w:hAnsi="Lato"/>
          <w:iCs/>
          <w:lang w:val="pl"/>
        </w:rPr>
        <w:t>e i migracyjne;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bezpieczeństwo granic;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ratownictwo i ochrona ludności; przeciwdziałanie zagrożeniom hybrydowym; współpraca konsularna, policyjna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oraz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obronna;</w:t>
      </w:r>
      <w:r w:rsidRPr="00F607B7">
        <w:rPr>
          <w:rFonts w:ascii="Lato" w:hAnsi="Lato"/>
          <w:iCs/>
          <w:lang w:val="pl"/>
        </w:rPr>
        <w:t xml:space="preserve"> współprac</w:t>
      </w:r>
      <w:r>
        <w:rPr>
          <w:rFonts w:ascii="Lato" w:hAnsi="Lato"/>
          <w:iCs/>
          <w:lang w:val="pl"/>
        </w:rPr>
        <w:t>a</w:t>
      </w:r>
      <w:r w:rsidRPr="00F607B7">
        <w:rPr>
          <w:rFonts w:ascii="Lato" w:hAnsi="Lato"/>
          <w:iCs/>
          <w:lang w:val="pl"/>
        </w:rPr>
        <w:t xml:space="preserve"> w </w:t>
      </w:r>
      <w:r w:rsidRPr="00F607B7">
        <w:rPr>
          <w:rFonts w:ascii="Lato" w:hAnsi="Lato"/>
          <w:iCs/>
          <w:color w:val="000000"/>
          <w:lang w:val="pl"/>
        </w:rPr>
        <w:t>zakresie wymiaru sprawiedliwości</w:t>
      </w:r>
      <w:r w:rsidRPr="007C3900">
        <w:rPr>
          <w:rFonts w:ascii="Lato" w:hAnsi="Lato"/>
          <w:lang w:val="pl"/>
        </w:rPr>
        <w:t xml:space="preserve"> </w:t>
      </w:r>
      <w:r>
        <w:rPr>
          <w:rFonts w:ascii="Lato" w:hAnsi="Lato"/>
          <w:lang w:val="pl"/>
        </w:rPr>
        <w:t xml:space="preserve">oraz </w:t>
      </w:r>
      <w:r w:rsidRPr="007C3900">
        <w:rPr>
          <w:rFonts w:ascii="Lato" w:hAnsi="Lato"/>
          <w:lang w:val="pl"/>
        </w:rPr>
        <w:t>wymian</w:t>
      </w:r>
      <w:r>
        <w:rPr>
          <w:rFonts w:ascii="Lato" w:hAnsi="Lato"/>
          <w:lang w:val="pl"/>
        </w:rPr>
        <w:t>a</w:t>
      </w:r>
      <w:r w:rsidRPr="007C3900">
        <w:rPr>
          <w:rFonts w:ascii="Lato" w:hAnsi="Lato"/>
          <w:lang w:val="pl"/>
        </w:rPr>
        <w:t xml:space="preserve"> doświadczeń pomiędzy instytucjami krajowymi </w:t>
      </w:r>
      <w:r>
        <w:rPr>
          <w:rFonts w:ascii="Lato" w:hAnsi="Lato"/>
          <w:lang w:val="pl"/>
        </w:rPr>
        <w:t>w</w:t>
      </w:r>
      <w:r w:rsidRPr="007C3900">
        <w:rPr>
          <w:rFonts w:ascii="Lato" w:hAnsi="Lato"/>
          <w:lang w:val="pl"/>
        </w:rPr>
        <w:t xml:space="preserve"> </w:t>
      </w:r>
      <w:r>
        <w:rPr>
          <w:rFonts w:ascii="Lato" w:hAnsi="Lato"/>
          <w:lang w:val="pl"/>
        </w:rPr>
        <w:t>dziedzinie</w:t>
      </w:r>
      <w:r w:rsidRPr="007C3900">
        <w:rPr>
          <w:rFonts w:ascii="Lato" w:hAnsi="Lato"/>
          <w:lang w:val="pl"/>
        </w:rPr>
        <w:t xml:space="preserve"> cyberbezpieczeństwa</w:t>
      </w:r>
      <w:r w:rsidRPr="00F607B7">
        <w:rPr>
          <w:rFonts w:ascii="Lato" w:hAnsi="Lato"/>
          <w:iCs/>
          <w:lang w:val="pl"/>
        </w:rPr>
        <w:t>.</w:t>
      </w:r>
      <w:r w:rsidRPr="00F607B7">
        <w:rPr>
          <w:rFonts w:ascii="Lato" w:hAnsi="Lato"/>
          <w:iCs/>
          <w:color w:val="000000"/>
          <w:lang w:val="pl"/>
        </w:rPr>
        <w:t xml:space="preserve"> </w:t>
      </w:r>
      <w:r>
        <w:rPr>
          <w:rFonts w:ascii="Lato" w:hAnsi="Lato"/>
          <w:iCs/>
          <w:lang w:val="pl"/>
        </w:rPr>
        <w:t>P</w:t>
      </w:r>
      <w:r w:rsidRPr="00F607B7">
        <w:rPr>
          <w:rFonts w:ascii="Lato" w:hAnsi="Lato"/>
          <w:iCs/>
          <w:lang w:val="pl"/>
        </w:rPr>
        <w:t>rezydencja będzie</w:t>
      </w:r>
      <w:r>
        <w:rPr>
          <w:rFonts w:ascii="Lato" w:hAnsi="Lato"/>
          <w:iCs/>
          <w:lang w:val="pl"/>
        </w:rPr>
        <w:t xml:space="preserve"> także </w:t>
      </w:r>
      <w:r w:rsidRPr="00F607B7">
        <w:rPr>
          <w:rFonts w:ascii="Lato" w:hAnsi="Lato"/>
          <w:iCs/>
          <w:lang w:val="pl"/>
        </w:rPr>
        <w:t xml:space="preserve">promować inicjatywy </w:t>
      </w:r>
      <w:r>
        <w:rPr>
          <w:rFonts w:ascii="Lato" w:hAnsi="Lato"/>
          <w:iCs/>
          <w:lang w:val="pl"/>
        </w:rPr>
        <w:t>w obszarach: ochrony zdrowia;</w:t>
      </w:r>
      <w:r w:rsidRPr="00F607B7">
        <w:rPr>
          <w:rFonts w:ascii="Lato" w:hAnsi="Lato"/>
          <w:iCs/>
          <w:lang w:val="pl"/>
        </w:rPr>
        <w:t xml:space="preserve"> bezpieczeństwa danych medycznych</w:t>
      </w:r>
      <w:r>
        <w:rPr>
          <w:rFonts w:ascii="Lato" w:hAnsi="Lato"/>
          <w:iCs/>
          <w:lang w:val="pl"/>
        </w:rPr>
        <w:t xml:space="preserve"> i nowoczesnych technologii w tej dziedzinie;</w:t>
      </w:r>
      <w:r w:rsidRPr="00F607B7">
        <w:rPr>
          <w:rFonts w:ascii="Lato" w:hAnsi="Lato"/>
          <w:iCs/>
          <w:lang w:val="pl"/>
        </w:rPr>
        <w:t xml:space="preserve"> wsparcia małych i średnich przedsiębiorstw w zakresie transformacji cyfrowej</w:t>
      </w:r>
      <w:r>
        <w:rPr>
          <w:rFonts w:ascii="Lato" w:hAnsi="Lato"/>
          <w:iCs/>
          <w:lang w:val="pl"/>
        </w:rPr>
        <w:t xml:space="preserve">. </w:t>
      </w:r>
      <w:r w:rsidRPr="00F607B7">
        <w:rPr>
          <w:rFonts w:ascii="Lato" w:hAnsi="Lato"/>
          <w:iCs/>
          <w:lang w:val="pl"/>
        </w:rPr>
        <w:t>Ważną rolę odegra dalsz</w:t>
      </w:r>
      <w:r>
        <w:rPr>
          <w:rFonts w:ascii="Lato" w:hAnsi="Lato"/>
          <w:iCs/>
          <w:lang w:val="pl"/>
        </w:rPr>
        <w:t>a</w:t>
      </w:r>
      <w:r w:rsidRPr="00F607B7">
        <w:rPr>
          <w:rFonts w:ascii="Lato" w:hAnsi="Lato"/>
          <w:iCs/>
          <w:lang w:val="pl"/>
        </w:rPr>
        <w:t xml:space="preserve"> współprac</w:t>
      </w:r>
      <w:r>
        <w:rPr>
          <w:rFonts w:ascii="Lato" w:hAnsi="Lato"/>
          <w:iCs/>
          <w:lang w:val="pl"/>
        </w:rPr>
        <w:t>a</w:t>
      </w:r>
      <w:r w:rsidRPr="00F607B7">
        <w:rPr>
          <w:rFonts w:ascii="Lato" w:hAnsi="Lato"/>
          <w:iCs/>
          <w:lang w:val="pl"/>
        </w:rPr>
        <w:t xml:space="preserve"> parlamentarn</w:t>
      </w:r>
      <w:r>
        <w:rPr>
          <w:rFonts w:ascii="Lato" w:hAnsi="Lato"/>
          <w:iCs/>
          <w:lang w:val="pl"/>
        </w:rPr>
        <w:t>a</w:t>
      </w:r>
      <w:r w:rsidRPr="00F607B7">
        <w:rPr>
          <w:rFonts w:ascii="Lato" w:hAnsi="Lato"/>
          <w:iCs/>
          <w:lang w:val="pl"/>
        </w:rPr>
        <w:t xml:space="preserve">. </w:t>
      </w:r>
    </w:p>
    <w:p w:rsidR="00814D3B" w:rsidRPr="00B65350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Calibri-Bold"/>
          <w:bCs/>
          <w:color w:val="000000"/>
        </w:rPr>
      </w:pPr>
      <w:r>
        <w:rPr>
          <w:rFonts w:ascii="Lato" w:hAnsi="Lato"/>
          <w:lang w:val="pl"/>
        </w:rPr>
        <w:t xml:space="preserve">Polskie przewodnictwo w Grupie Wyszehradzkiej </w:t>
      </w:r>
      <w:bookmarkStart w:id="0" w:name="_GoBack"/>
      <w:r>
        <w:rPr>
          <w:rFonts w:ascii="Lato" w:hAnsi="Lato"/>
          <w:lang w:val="pl"/>
        </w:rPr>
        <w:t>w I połowie 2025 r. będzie równolegle sprawowane z polską prezydencją w Radzie UE (1.01-30.06.2025), której centralnym priorytetem programowym ma być bezpieczeństwo w różnych aspektach</w:t>
      </w:r>
      <w:bookmarkEnd w:id="0"/>
      <w:r>
        <w:rPr>
          <w:rFonts w:ascii="Lato" w:hAnsi="Lato"/>
          <w:lang w:val="pl"/>
        </w:rPr>
        <w:t xml:space="preserve">. </w:t>
      </w:r>
    </w:p>
    <w:p w:rsidR="00814D3B" w:rsidRPr="00FC489E" w:rsidRDefault="00814D3B" w:rsidP="00814D3B">
      <w:pPr>
        <w:spacing w:after="0" w:line="240" w:lineRule="auto"/>
        <w:jc w:val="both"/>
        <w:rPr>
          <w:rFonts w:ascii="Lato" w:hAnsi="Lato" w:cstheme="minorHAnsi"/>
        </w:rPr>
      </w:pPr>
    </w:p>
    <w:p w:rsidR="00814D3B" w:rsidRPr="002402DE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Cs/>
          <w:lang w:val="pl"/>
        </w:rPr>
      </w:pPr>
      <w:r w:rsidRPr="00F607B7">
        <w:rPr>
          <w:rFonts w:ascii="Lato" w:hAnsi="Lato"/>
          <w:b/>
          <w:bCs/>
          <w:iCs/>
          <w:lang w:val="pl"/>
        </w:rPr>
        <w:t xml:space="preserve"> „Konektywność”</w:t>
      </w:r>
      <w:r w:rsidRPr="00F607B7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–</w:t>
      </w:r>
      <w:r w:rsidRPr="00F607B7">
        <w:rPr>
          <w:rFonts w:ascii="Lato" w:hAnsi="Lato"/>
          <w:b/>
          <w:bCs/>
          <w:iCs/>
          <w:lang w:val="pl"/>
        </w:rPr>
        <w:t xml:space="preserve"> </w:t>
      </w:r>
      <w:r w:rsidRPr="00B06B1D">
        <w:rPr>
          <w:rFonts w:ascii="Lato" w:hAnsi="Lato"/>
          <w:bCs/>
          <w:iCs/>
          <w:lang w:val="pl"/>
        </w:rPr>
        <w:t>obejmujący</w:t>
      </w:r>
      <w:r>
        <w:rPr>
          <w:rFonts w:ascii="Lato" w:hAnsi="Lato"/>
          <w:b/>
          <w:bCs/>
          <w:iCs/>
          <w:lang w:val="pl"/>
        </w:rPr>
        <w:t xml:space="preserve"> </w:t>
      </w:r>
      <w:r w:rsidRPr="00F607B7">
        <w:rPr>
          <w:rFonts w:ascii="Lato" w:hAnsi="Lato"/>
          <w:iCs/>
          <w:color w:val="000000"/>
          <w:lang w:val="pl"/>
        </w:rPr>
        <w:t>inicjatyw</w:t>
      </w:r>
      <w:r>
        <w:rPr>
          <w:rFonts w:ascii="Lato" w:hAnsi="Lato"/>
          <w:iCs/>
          <w:color w:val="000000"/>
          <w:lang w:val="pl"/>
        </w:rPr>
        <w:t>y</w:t>
      </w:r>
      <w:r w:rsidRPr="00F607B7">
        <w:rPr>
          <w:rFonts w:ascii="Lato" w:hAnsi="Lato"/>
          <w:iCs/>
          <w:color w:val="000000"/>
          <w:lang w:val="pl"/>
        </w:rPr>
        <w:t xml:space="preserve"> wzmacniając</w:t>
      </w:r>
      <w:r>
        <w:rPr>
          <w:rFonts w:ascii="Lato" w:hAnsi="Lato"/>
          <w:iCs/>
          <w:color w:val="000000"/>
          <w:lang w:val="pl"/>
        </w:rPr>
        <w:t>e</w:t>
      </w:r>
      <w:r w:rsidRPr="00F607B7">
        <w:rPr>
          <w:rFonts w:ascii="Lato" w:hAnsi="Lato"/>
          <w:iCs/>
          <w:color w:val="000000"/>
          <w:lang w:val="pl"/>
        </w:rPr>
        <w:t xml:space="preserve"> regionalne połączenia infrastrukturalne i energetyczne. Szczególna uwaga zostanie poświęcona zagadnieniom takim jak</w:t>
      </w:r>
      <w:r>
        <w:rPr>
          <w:rFonts w:ascii="Lato" w:hAnsi="Lato"/>
          <w:iCs/>
          <w:color w:val="000000"/>
          <w:lang w:val="pl"/>
        </w:rPr>
        <w:t>:</w:t>
      </w:r>
      <w:r w:rsidRPr="00F607B7">
        <w:rPr>
          <w:rFonts w:ascii="Lato" w:hAnsi="Lato"/>
          <w:iCs/>
          <w:color w:val="000000"/>
          <w:lang w:val="pl"/>
        </w:rPr>
        <w:t xml:space="preserve"> </w:t>
      </w:r>
      <w:r w:rsidRPr="002402DE">
        <w:rPr>
          <w:rFonts w:ascii="Lato" w:hAnsi="Lato"/>
          <w:iCs/>
          <w:lang w:val="pl"/>
        </w:rPr>
        <w:t>bezpieczeństwo ruchu drogowego</w:t>
      </w:r>
      <w:r>
        <w:rPr>
          <w:rFonts w:ascii="Lato" w:hAnsi="Lato"/>
          <w:iCs/>
          <w:color w:val="000000"/>
          <w:lang w:val="pl"/>
        </w:rPr>
        <w:t xml:space="preserve">, </w:t>
      </w:r>
      <w:r w:rsidRPr="00F607B7">
        <w:rPr>
          <w:rFonts w:ascii="Lato" w:hAnsi="Lato"/>
          <w:iCs/>
          <w:color w:val="000000"/>
          <w:lang w:val="pl"/>
        </w:rPr>
        <w:t>transport</w:t>
      </w:r>
      <w:r>
        <w:rPr>
          <w:rFonts w:ascii="Lato" w:hAnsi="Lato"/>
          <w:iCs/>
          <w:color w:val="000000"/>
          <w:lang w:val="pl"/>
        </w:rPr>
        <w:t xml:space="preserve"> </w:t>
      </w:r>
      <w:r w:rsidRPr="00F607B7">
        <w:rPr>
          <w:rFonts w:ascii="Lato" w:hAnsi="Lato"/>
          <w:iCs/>
          <w:color w:val="000000"/>
          <w:lang w:val="pl"/>
        </w:rPr>
        <w:t xml:space="preserve">na </w:t>
      </w:r>
      <w:r w:rsidRPr="002402DE">
        <w:rPr>
          <w:rFonts w:ascii="Lato" w:hAnsi="Lato"/>
          <w:iCs/>
          <w:lang w:val="pl"/>
        </w:rPr>
        <w:t>osi północ – południe, w tym w kontekście Europejskich Korytarzy Transportowych;</w:t>
      </w:r>
      <w:r w:rsidRPr="002402DE">
        <w:rPr>
          <w:rFonts w:ascii="Lato" w:hAnsi="Lato"/>
          <w:lang w:val="pl"/>
        </w:rPr>
        <w:t xml:space="preserve"> transport kolejowy, intermodalny transport towarowy i transport publiczny; propagowanie połączeń polskich portów morskich z rynkami V4</w:t>
      </w:r>
      <w:r w:rsidRPr="002402DE">
        <w:rPr>
          <w:rFonts w:ascii="Lato" w:hAnsi="Lato"/>
          <w:iCs/>
          <w:lang w:val="pl"/>
        </w:rPr>
        <w:t xml:space="preserve">; problemy, szanse i wyzwania, przed którymi stoi branża w dobie przechodzenia na transport bezemisyjny. Prezydencja polska skoncentruje się także na zagadnieniach bezpieczeństwa surowcowego państw V4, energetyce jądrowej, elektroenergetyce i gazie, ropie i paliwach transportowych. Do istotnych obszarów współpracy w tym filarze należą także: cyfryzacja; transformacja terenów przemysłowych; gospodarka odpadami; gospodarka o obiegu zamkniętym. </w:t>
      </w:r>
    </w:p>
    <w:p w:rsidR="00814D3B" w:rsidRPr="0087025F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b/>
          <w:bCs/>
          <w:iCs/>
        </w:rPr>
      </w:pPr>
    </w:p>
    <w:p w:rsidR="00814D3B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Cs/>
          <w:lang w:val="pl"/>
        </w:rPr>
      </w:pPr>
      <w:r w:rsidRPr="002402DE">
        <w:rPr>
          <w:rFonts w:ascii="Lato" w:hAnsi="Lato"/>
          <w:b/>
          <w:bCs/>
          <w:iCs/>
          <w:lang w:val="pl"/>
        </w:rPr>
        <w:lastRenderedPageBreak/>
        <w:t xml:space="preserve"> „Wyzwalanie potencjału”</w:t>
      </w:r>
      <w:r w:rsidRPr="002402DE">
        <w:rPr>
          <w:rFonts w:ascii="Lato" w:hAnsi="Lato"/>
          <w:iCs/>
          <w:lang w:val="pl"/>
        </w:rPr>
        <w:t xml:space="preserve"> – obejmujący </w:t>
      </w:r>
      <w:r w:rsidRPr="00F607B7">
        <w:rPr>
          <w:rFonts w:ascii="Lato" w:hAnsi="Lato"/>
          <w:iCs/>
          <w:color w:val="000000"/>
          <w:lang w:val="pl"/>
        </w:rPr>
        <w:t>dyskusj</w:t>
      </w:r>
      <w:r>
        <w:rPr>
          <w:rFonts w:ascii="Lato" w:hAnsi="Lato"/>
          <w:iCs/>
          <w:color w:val="000000"/>
          <w:lang w:val="pl"/>
        </w:rPr>
        <w:t>ę</w:t>
      </w:r>
      <w:r w:rsidRPr="00F607B7">
        <w:rPr>
          <w:rFonts w:ascii="Lato" w:hAnsi="Lato"/>
          <w:iCs/>
          <w:color w:val="000000"/>
          <w:lang w:val="pl"/>
        </w:rPr>
        <w:t xml:space="preserve"> na tematy horyzontalne </w:t>
      </w:r>
      <w:r>
        <w:rPr>
          <w:rFonts w:ascii="Lato" w:hAnsi="Lato"/>
          <w:iCs/>
          <w:color w:val="000000"/>
          <w:lang w:val="pl"/>
        </w:rPr>
        <w:t>państw regionu</w:t>
      </w:r>
      <w:r w:rsidRPr="00F607B7">
        <w:rPr>
          <w:rFonts w:ascii="Lato" w:hAnsi="Lato"/>
          <w:iCs/>
          <w:color w:val="000000"/>
          <w:lang w:val="pl"/>
        </w:rPr>
        <w:t xml:space="preserve"> dot. </w:t>
      </w:r>
      <w:r>
        <w:rPr>
          <w:rFonts w:ascii="Lato" w:hAnsi="Lato"/>
          <w:iCs/>
          <w:color w:val="000000"/>
          <w:lang w:val="pl"/>
        </w:rPr>
        <w:t xml:space="preserve">obszarów takich jak: polityka spójności; polityka rolna; leśnictwo; współpraca finansowa i skarbowa państw V4; </w:t>
      </w:r>
      <w:r w:rsidRPr="00F607B7">
        <w:rPr>
          <w:rFonts w:ascii="Lato" w:hAnsi="Lato"/>
          <w:iCs/>
          <w:color w:val="000000"/>
          <w:lang w:val="pl"/>
        </w:rPr>
        <w:t>promowanie Agendy ONZ 2030</w:t>
      </w:r>
      <w:r>
        <w:rPr>
          <w:rFonts w:ascii="Lato" w:hAnsi="Lato"/>
          <w:iCs/>
          <w:color w:val="000000"/>
          <w:lang w:val="pl"/>
        </w:rPr>
        <w:t xml:space="preserve">. Położony zostanie również nacisk na: </w:t>
      </w:r>
      <w:r w:rsidRPr="00F607B7">
        <w:rPr>
          <w:rFonts w:ascii="Lato" w:hAnsi="Lato"/>
          <w:iCs/>
          <w:color w:val="000000"/>
          <w:lang w:val="pl"/>
        </w:rPr>
        <w:t>wspieranie r</w:t>
      </w:r>
      <w:r>
        <w:rPr>
          <w:rFonts w:ascii="Lato" w:hAnsi="Lato"/>
          <w:iCs/>
          <w:color w:val="000000"/>
          <w:lang w:val="pl"/>
        </w:rPr>
        <w:t>ozwoju obszarów przygranicznych;</w:t>
      </w:r>
      <w:r w:rsidRPr="00F607B7">
        <w:rPr>
          <w:rFonts w:ascii="Lato" w:hAnsi="Lato"/>
          <w:iCs/>
          <w:color w:val="000000"/>
          <w:lang w:val="pl"/>
        </w:rPr>
        <w:t xml:space="preserve"> wzmacnianie współpracy naukowej, </w:t>
      </w:r>
      <w:r>
        <w:rPr>
          <w:rFonts w:ascii="Lato" w:hAnsi="Lato"/>
          <w:iCs/>
          <w:color w:val="000000"/>
          <w:lang w:val="pl"/>
        </w:rPr>
        <w:t xml:space="preserve">w obszarze badań i rozwoju; </w:t>
      </w:r>
      <w:r w:rsidRPr="00EF1867">
        <w:rPr>
          <w:rFonts w:ascii="Lato" w:hAnsi="Lato"/>
          <w:sz w:val="20"/>
        </w:rPr>
        <w:t>współpracę pomiędzy instytutami badawczymi w kontekście wzmocnienia działalności</w:t>
      </w:r>
      <w:r w:rsidRPr="00C87AE9">
        <w:rPr>
          <w:rFonts w:ascii="Lato" w:hAnsi="Lato"/>
          <w:sz w:val="20"/>
        </w:rPr>
        <w:t xml:space="preserve"> B+R</w:t>
      </w:r>
      <w:r w:rsidRPr="00F607B7">
        <w:rPr>
          <w:rFonts w:ascii="Lato" w:hAnsi="Lato"/>
          <w:iCs/>
          <w:color w:val="000000"/>
          <w:lang w:val="pl"/>
        </w:rPr>
        <w:t xml:space="preserve"> aktywizacj</w:t>
      </w:r>
      <w:r>
        <w:rPr>
          <w:rFonts w:ascii="Lato" w:hAnsi="Lato"/>
          <w:iCs/>
          <w:color w:val="000000"/>
          <w:lang w:val="pl"/>
        </w:rPr>
        <w:t>a</w:t>
      </w:r>
      <w:r w:rsidRPr="00F607B7">
        <w:rPr>
          <w:rFonts w:ascii="Lato" w:hAnsi="Lato"/>
          <w:iCs/>
          <w:color w:val="000000"/>
          <w:lang w:val="pl"/>
        </w:rPr>
        <w:t xml:space="preserve"> młodzieży</w:t>
      </w:r>
      <w:r>
        <w:rPr>
          <w:rFonts w:ascii="Lato" w:hAnsi="Lato"/>
          <w:iCs/>
          <w:color w:val="000000"/>
          <w:lang w:val="pl"/>
        </w:rPr>
        <w:t>;</w:t>
      </w:r>
      <w:r w:rsidRPr="00F607B7">
        <w:rPr>
          <w:rFonts w:ascii="Lato" w:hAnsi="Lato"/>
          <w:iCs/>
          <w:color w:val="000000"/>
          <w:lang w:val="pl"/>
        </w:rPr>
        <w:t xml:space="preserve"> wymian</w:t>
      </w:r>
      <w:r>
        <w:rPr>
          <w:rFonts w:ascii="Lato" w:hAnsi="Lato"/>
          <w:iCs/>
          <w:color w:val="000000"/>
          <w:lang w:val="pl"/>
        </w:rPr>
        <w:t>a</w:t>
      </w:r>
      <w:r w:rsidRPr="00F607B7">
        <w:rPr>
          <w:rFonts w:ascii="Lato" w:hAnsi="Lato"/>
          <w:iCs/>
          <w:color w:val="000000"/>
          <w:lang w:val="pl"/>
        </w:rPr>
        <w:t xml:space="preserve"> doświadczeń w zakresie zapewniania edukacji d</w:t>
      </w:r>
      <w:r>
        <w:rPr>
          <w:rFonts w:ascii="Lato" w:hAnsi="Lato"/>
          <w:iCs/>
          <w:color w:val="000000"/>
          <w:lang w:val="pl"/>
        </w:rPr>
        <w:t>la dzieci potrzebujących wsparcia,</w:t>
      </w:r>
      <w:r w:rsidRPr="00F607B7">
        <w:rPr>
          <w:rFonts w:ascii="Lato" w:hAnsi="Lato"/>
          <w:iCs/>
          <w:color w:val="000000"/>
          <w:lang w:val="pl"/>
        </w:rPr>
        <w:t xml:space="preserve"> w szcz</w:t>
      </w:r>
      <w:r>
        <w:rPr>
          <w:rFonts w:ascii="Lato" w:hAnsi="Lato"/>
          <w:iCs/>
          <w:color w:val="000000"/>
          <w:lang w:val="pl"/>
        </w:rPr>
        <w:t>ególności ukraińskich uchodźców;</w:t>
      </w:r>
      <w:r w:rsidRPr="00F607B7">
        <w:rPr>
          <w:rFonts w:ascii="Lato" w:hAnsi="Lato"/>
          <w:iCs/>
          <w:color w:val="000000"/>
          <w:lang w:val="pl"/>
        </w:rPr>
        <w:t xml:space="preserve"> działania w obszarze</w:t>
      </w:r>
      <w:r>
        <w:rPr>
          <w:rFonts w:ascii="Lato" w:hAnsi="Lato"/>
          <w:iCs/>
          <w:color w:val="000000"/>
          <w:lang w:val="pl"/>
        </w:rPr>
        <w:t xml:space="preserve"> wymiaru sprawiedliwości,</w:t>
      </w:r>
      <w:r w:rsidRPr="00F607B7">
        <w:rPr>
          <w:rFonts w:ascii="Lato" w:hAnsi="Lato"/>
          <w:iCs/>
          <w:color w:val="000000"/>
          <w:lang w:val="pl"/>
        </w:rPr>
        <w:t xml:space="preserve"> polityki społecznej</w:t>
      </w:r>
      <w:r>
        <w:rPr>
          <w:rFonts w:ascii="Lato" w:hAnsi="Lato"/>
          <w:iCs/>
          <w:color w:val="000000"/>
          <w:lang w:val="pl"/>
        </w:rPr>
        <w:t>,</w:t>
      </w:r>
      <w:r w:rsidRPr="00F607B7">
        <w:rPr>
          <w:rFonts w:ascii="Lato" w:hAnsi="Lato"/>
          <w:iCs/>
          <w:color w:val="000000"/>
          <w:lang w:val="pl"/>
        </w:rPr>
        <w:t xml:space="preserve"> rodzinnej</w:t>
      </w:r>
      <w:r w:rsidRPr="001228EE">
        <w:rPr>
          <w:rFonts w:ascii="Lato" w:hAnsi="Lato"/>
          <w:b/>
          <w:bCs/>
          <w:color w:val="000000"/>
          <w:lang w:val="pl"/>
        </w:rPr>
        <w:t xml:space="preserve"> </w:t>
      </w:r>
      <w:r w:rsidRPr="00040262">
        <w:rPr>
          <w:rFonts w:ascii="Lato" w:hAnsi="Lato"/>
          <w:bCs/>
          <w:color w:val="000000"/>
          <w:lang w:val="pl"/>
        </w:rPr>
        <w:t>i wobec osób z niepełnosprawnościami</w:t>
      </w:r>
      <w:r>
        <w:rPr>
          <w:rFonts w:ascii="Lato" w:hAnsi="Lato"/>
          <w:iCs/>
          <w:color w:val="000000"/>
          <w:lang w:val="pl"/>
        </w:rPr>
        <w:t xml:space="preserve">. Filar ten to także </w:t>
      </w:r>
      <w:r w:rsidRPr="00F607B7">
        <w:rPr>
          <w:rFonts w:ascii="Lato" w:hAnsi="Lato"/>
          <w:iCs/>
          <w:color w:val="000000"/>
          <w:lang w:val="pl"/>
        </w:rPr>
        <w:t>współpraca w obszar</w:t>
      </w:r>
      <w:r>
        <w:rPr>
          <w:rFonts w:ascii="Lato" w:hAnsi="Lato"/>
          <w:iCs/>
          <w:color w:val="000000"/>
          <w:lang w:val="pl"/>
        </w:rPr>
        <w:t>ach:</w:t>
      </w:r>
      <w:r w:rsidRPr="00F607B7">
        <w:rPr>
          <w:rFonts w:ascii="Lato" w:hAnsi="Lato"/>
          <w:iCs/>
          <w:color w:val="000000"/>
          <w:lang w:val="pl"/>
        </w:rPr>
        <w:t xml:space="preserve"> </w:t>
      </w:r>
      <w:r w:rsidRPr="00F607B7">
        <w:rPr>
          <w:rFonts w:ascii="Lato" w:hAnsi="Lato"/>
          <w:iCs/>
          <w:lang w:val="pl"/>
        </w:rPr>
        <w:t>kultury</w:t>
      </w:r>
      <w:r w:rsidRPr="00664053">
        <w:rPr>
          <w:rFonts w:ascii="Lato" w:hAnsi="Lato"/>
          <w:iCs/>
          <w:lang w:val="pl"/>
        </w:rPr>
        <w:t xml:space="preserve"> </w:t>
      </w:r>
      <w:r>
        <w:rPr>
          <w:rFonts w:ascii="Lato" w:hAnsi="Lato"/>
          <w:iCs/>
          <w:lang w:val="pl"/>
        </w:rPr>
        <w:t>i dziedzictwa kulturowego regionu V4;</w:t>
      </w:r>
      <w:r w:rsidRPr="00F607B7">
        <w:rPr>
          <w:rFonts w:ascii="Lato" w:hAnsi="Lato"/>
          <w:iCs/>
          <w:lang w:val="pl"/>
        </w:rPr>
        <w:t xml:space="preserve"> </w:t>
      </w:r>
      <w:r w:rsidRPr="00F607B7">
        <w:rPr>
          <w:rFonts w:ascii="Lato" w:hAnsi="Lato"/>
          <w:iCs/>
          <w:color w:val="000000"/>
          <w:lang w:val="pl"/>
        </w:rPr>
        <w:t>własności intelektualnej</w:t>
      </w:r>
      <w:r w:rsidRPr="001228EE">
        <w:rPr>
          <w:rFonts w:ascii="Lato" w:hAnsi="Lato"/>
          <w:color w:val="000000"/>
          <w:lang w:val="pl"/>
        </w:rPr>
        <w:t xml:space="preserve"> </w:t>
      </w:r>
      <w:r>
        <w:rPr>
          <w:rFonts w:ascii="Lato" w:hAnsi="Lato"/>
          <w:color w:val="000000"/>
          <w:lang w:val="pl"/>
        </w:rPr>
        <w:t>(</w:t>
      </w:r>
      <w:r w:rsidRPr="00063637">
        <w:rPr>
          <w:rFonts w:ascii="Lato" w:hAnsi="Lato"/>
          <w:color w:val="000000"/>
          <w:lang w:val="pl"/>
        </w:rPr>
        <w:t>Wyszehradzki</w:t>
      </w:r>
      <w:r>
        <w:rPr>
          <w:rFonts w:ascii="Lato" w:hAnsi="Lato"/>
          <w:color w:val="000000"/>
          <w:lang w:val="pl"/>
        </w:rPr>
        <w:t xml:space="preserve"> Instytut Patentowy)</w:t>
      </w:r>
      <w:r w:rsidRPr="00F607B7">
        <w:rPr>
          <w:rFonts w:ascii="Lato" w:hAnsi="Lato"/>
          <w:iCs/>
          <w:color w:val="000000"/>
          <w:lang w:val="pl"/>
        </w:rPr>
        <w:t xml:space="preserve">, </w:t>
      </w:r>
      <w:r w:rsidRPr="00F607B7">
        <w:rPr>
          <w:rFonts w:ascii="Lato" w:hAnsi="Lato"/>
          <w:iCs/>
          <w:lang w:val="pl"/>
        </w:rPr>
        <w:t>sportu</w:t>
      </w:r>
      <w:r w:rsidRPr="001228EE">
        <w:rPr>
          <w:rFonts w:ascii="Lato" w:hAnsi="Lato"/>
          <w:lang w:val="pl"/>
        </w:rPr>
        <w:t xml:space="preserve"> </w:t>
      </w:r>
      <w:r>
        <w:rPr>
          <w:rFonts w:ascii="Lato" w:hAnsi="Lato"/>
          <w:lang w:val="pl"/>
        </w:rPr>
        <w:t>(</w:t>
      </w:r>
      <w:r w:rsidRPr="00063637">
        <w:rPr>
          <w:rFonts w:ascii="Lato" w:hAnsi="Lato"/>
          <w:lang w:val="pl"/>
        </w:rPr>
        <w:t>m.in. w ramach coroczneg</w:t>
      </w:r>
      <w:r>
        <w:rPr>
          <w:rFonts w:ascii="Lato" w:hAnsi="Lato"/>
          <w:lang w:val="pl"/>
        </w:rPr>
        <w:t>o</w:t>
      </w:r>
      <w:r w:rsidRPr="00063637">
        <w:rPr>
          <w:rFonts w:ascii="Lato" w:hAnsi="Lato"/>
          <w:lang w:val="pl"/>
        </w:rPr>
        <w:t xml:space="preserve"> spotkania Komitetu Sterującego Turnieju Nadziei Olimp</w:t>
      </w:r>
      <w:r>
        <w:rPr>
          <w:rFonts w:ascii="Lato" w:hAnsi="Lato"/>
          <w:lang w:val="pl"/>
        </w:rPr>
        <w:t>ijskich Grupy Wyszehradzkiej</w:t>
      </w:r>
      <w:r w:rsidRPr="00063637">
        <w:rPr>
          <w:rFonts w:ascii="Lato" w:hAnsi="Lato"/>
          <w:lang w:val="pl"/>
        </w:rPr>
        <w:t>)</w:t>
      </w:r>
      <w:r w:rsidRPr="00F607B7">
        <w:rPr>
          <w:rFonts w:ascii="Lato" w:hAnsi="Lato"/>
          <w:iCs/>
          <w:lang w:val="pl"/>
        </w:rPr>
        <w:t xml:space="preserve">, </w:t>
      </w:r>
      <w:r w:rsidRPr="00F607B7">
        <w:rPr>
          <w:rFonts w:ascii="Lato" w:hAnsi="Lato"/>
          <w:iCs/>
          <w:color w:val="000000"/>
          <w:lang w:val="pl"/>
        </w:rPr>
        <w:t>t</w:t>
      </w:r>
      <w:r>
        <w:rPr>
          <w:rFonts w:ascii="Lato" w:hAnsi="Lato"/>
          <w:iCs/>
          <w:lang w:val="pl"/>
        </w:rPr>
        <w:t xml:space="preserve">urystyki </w:t>
      </w:r>
      <w:r w:rsidRPr="00F607B7">
        <w:rPr>
          <w:rFonts w:ascii="Lato" w:hAnsi="Lato"/>
          <w:iCs/>
          <w:lang w:val="pl"/>
        </w:rPr>
        <w:t>oraz statystyki</w:t>
      </w:r>
      <w:r>
        <w:rPr>
          <w:rFonts w:ascii="Lato" w:hAnsi="Lato"/>
          <w:iCs/>
          <w:lang w:val="pl"/>
        </w:rPr>
        <w:t xml:space="preserve"> (współpraca krajowych </w:t>
      </w:r>
      <w:r w:rsidRPr="00063637">
        <w:rPr>
          <w:rFonts w:ascii="Lato" w:hAnsi="Lato"/>
          <w:lang w:val="pl"/>
        </w:rPr>
        <w:t>urzęd</w:t>
      </w:r>
      <w:r>
        <w:rPr>
          <w:rFonts w:ascii="Lato" w:hAnsi="Lato"/>
          <w:lang w:val="pl"/>
        </w:rPr>
        <w:t xml:space="preserve">ów </w:t>
      </w:r>
      <w:r w:rsidRPr="00063637">
        <w:rPr>
          <w:rFonts w:ascii="Lato" w:hAnsi="Lato"/>
          <w:lang w:val="pl"/>
        </w:rPr>
        <w:t>statystyczny</w:t>
      </w:r>
      <w:r>
        <w:rPr>
          <w:rFonts w:ascii="Lato" w:hAnsi="Lato"/>
          <w:lang w:val="pl"/>
        </w:rPr>
        <w:t>ch</w:t>
      </w:r>
      <w:r w:rsidRPr="00063637">
        <w:rPr>
          <w:rFonts w:ascii="Lato" w:hAnsi="Lato"/>
          <w:lang w:val="pl"/>
        </w:rPr>
        <w:t xml:space="preserve"> państw V4</w:t>
      </w:r>
      <w:r>
        <w:rPr>
          <w:rFonts w:ascii="Lato" w:hAnsi="Lato"/>
          <w:lang w:val="pl"/>
        </w:rPr>
        <w:t>)</w:t>
      </w:r>
      <w:r w:rsidRPr="00F607B7">
        <w:rPr>
          <w:rFonts w:ascii="Lato" w:hAnsi="Lato"/>
          <w:iCs/>
          <w:lang w:val="pl"/>
        </w:rPr>
        <w:t xml:space="preserve">. </w:t>
      </w:r>
    </w:p>
    <w:p w:rsidR="00814D3B" w:rsidRPr="002560BE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</w:rPr>
      </w:pPr>
    </w:p>
    <w:p w:rsidR="00814D3B" w:rsidRPr="00040262" w:rsidRDefault="00814D3B" w:rsidP="00814D3B">
      <w:pPr>
        <w:spacing w:after="0" w:line="240" w:lineRule="auto"/>
        <w:jc w:val="both"/>
        <w:rPr>
          <w:rFonts w:ascii="Lato" w:hAnsi="Lato"/>
          <w:iCs/>
          <w:lang w:val="pl"/>
        </w:rPr>
      </w:pPr>
      <w:r w:rsidRPr="00040262">
        <w:rPr>
          <w:rFonts w:ascii="Lato" w:hAnsi="Lato"/>
          <w:iCs/>
          <w:lang w:val="pl"/>
        </w:rPr>
        <w:t xml:space="preserve">Elementem nierozerwalnie splecionym z tymi trzema priorytetami będzie </w:t>
      </w:r>
      <w:r w:rsidRPr="00040262">
        <w:rPr>
          <w:rFonts w:ascii="Lato" w:hAnsi="Lato"/>
          <w:b/>
          <w:bCs/>
          <w:iCs/>
          <w:lang w:val="pl"/>
        </w:rPr>
        <w:t>wsparcie Ukrainy</w:t>
      </w:r>
      <w:r w:rsidRPr="00040262">
        <w:rPr>
          <w:rFonts w:ascii="Lato" w:hAnsi="Lato"/>
          <w:iCs/>
          <w:lang w:val="pl"/>
        </w:rPr>
        <w:t>, które jest strategicznym interesem Grupy Wyszehradzkiej.</w:t>
      </w:r>
      <w:r>
        <w:rPr>
          <w:rFonts w:ascii="Lato" w:hAnsi="Lato"/>
          <w:iCs/>
          <w:lang w:val="pl"/>
        </w:rPr>
        <w:t xml:space="preserve"> </w:t>
      </w:r>
      <w:r w:rsidRPr="00040262">
        <w:rPr>
          <w:rFonts w:ascii="Lato" w:hAnsi="Lato"/>
          <w:iCs/>
          <w:lang w:val="pl"/>
        </w:rPr>
        <w:t>P</w:t>
      </w:r>
      <w:r w:rsidRPr="00040262">
        <w:rPr>
          <w:rFonts w:ascii="Lato" w:hAnsi="Lato"/>
          <w:lang w:val="pl"/>
        </w:rPr>
        <w:t xml:space="preserve">olskie przewodnictwo w Grupie Wyszehradzkiej będzie też zaangażowane we </w:t>
      </w:r>
      <w:r w:rsidRPr="00040262">
        <w:rPr>
          <w:rFonts w:ascii="Lato" w:hAnsi="Lato"/>
          <w:b/>
          <w:bCs/>
          <w:lang w:val="pl"/>
        </w:rPr>
        <w:t>wspieranie procesu rozszerzenia Unii Europejskiej zarówno o państwa Bałkanów Zachodnich, jak też Partnerstwa Wschodniego.</w:t>
      </w:r>
    </w:p>
    <w:p w:rsidR="00814D3B" w:rsidRDefault="00814D3B" w:rsidP="00814D3B">
      <w:pPr>
        <w:spacing w:after="0" w:line="240" w:lineRule="auto"/>
        <w:jc w:val="both"/>
        <w:rPr>
          <w:rFonts w:ascii="Lato" w:hAnsi="Lato"/>
          <w:b/>
          <w:bCs/>
          <w:color w:val="000000"/>
        </w:rPr>
      </w:pPr>
    </w:p>
    <w:p w:rsidR="00814D3B" w:rsidRPr="005C4AF2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Calibri-Bold"/>
          <w:bCs/>
          <w:color w:val="000000"/>
        </w:rPr>
      </w:pPr>
      <w:r>
        <w:rPr>
          <w:rFonts w:ascii="Lato" w:hAnsi="Lato"/>
          <w:color w:val="000000"/>
          <w:lang w:val="pl"/>
        </w:rPr>
        <w:t xml:space="preserve">Polska prezydencja w V4 będzie także wspierała działania </w:t>
      </w:r>
      <w:r w:rsidRPr="00914489">
        <w:rPr>
          <w:rFonts w:ascii="Lato" w:hAnsi="Lato"/>
          <w:b/>
          <w:bCs/>
          <w:color w:val="000000"/>
          <w:lang w:val="pl"/>
        </w:rPr>
        <w:t>Międzynarodowego Funduszu Wyszehradzkiego</w:t>
      </w:r>
      <w:r w:rsidRPr="005C4AF2">
        <w:rPr>
          <w:rFonts w:ascii="Lato" w:hAnsi="Lato"/>
          <w:bCs/>
          <w:color w:val="000000"/>
          <w:lang w:val="pl"/>
        </w:rPr>
        <w:t xml:space="preserve"> (</w:t>
      </w:r>
      <w:r w:rsidRPr="005C4AF2">
        <w:rPr>
          <w:rFonts w:ascii="Lato" w:hAnsi="Lato"/>
          <w:i/>
          <w:iCs/>
          <w:lang w:val="pl"/>
        </w:rPr>
        <w:t>International Visegrad Fund</w:t>
      </w:r>
      <w:r w:rsidRPr="005C4AF2">
        <w:rPr>
          <w:rFonts w:ascii="Lato" w:hAnsi="Lato"/>
          <w:bCs/>
          <w:color w:val="000000"/>
          <w:lang w:val="pl"/>
        </w:rPr>
        <w:t>, IVF)</w:t>
      </w:r>
      <w:r>
        <w:rPr>
          <w:rFonts w:ascii="Lato" w:hAnsi="Lato"/>
          <w:bCs/>
          <w:color w:val="000000"/>
          <w:lang w:val="pl"/>
        </w:rPr>
        <w:t>, który</w:t>
      </w:r>
      <w:r w:rsidRPr="00914489">
        <w:rPr>
          <w:rFonts w:ascii="Lato" w:hAnsi="Lato"/>
          <w:lang w:val="pl"/>
        </w:rPr>
        <w:t xml:space="preserve"> </w:t>
      </w:r>
      <w:r>
        <w:rPr>
          <w:rFonts w:ascii="Lato" w:hAnsi="Lato"/>
          <w:lang w:val="pl"/>
        </w:rPr>
        <w:t>d</w:t>
      </w:r>
      <w:r w:rsidRPr="00A6597E">
        <w:rPr>
          <w:rFonts w:ascii="Lato" w:hAnsi="Lato"/>
          <w:lang w:val="pl"/>
        </w:rPr>
        <w:t>zięki udanej i efektywnej realizacji programów grantowych i stypendialnych, wydatnie przyczynia się do pogłębiania współpracy pomiędzy społeczeństwami państw V4</w:t>
      </w:r>
      <w:r>
        <w:rPr>
          <w:rFonts w:ascii="Lato" w:hAnsi="Lato"/>
          <w:lang w:val="pl"/>
        </w:rPr>
        <w:t>. Od 2025 r. IVF będzie dysponował zwiększonym rocznym budżetem w wysokości 11 mln euro.</w:t>
      </w:r>
    </w:p>
    <w:p w:rsidR="00814D3B" w:rsidRPr="00B65350" w:rsidRDefault="00814D3B" w:rsidP="00814D3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Calibri-Bold"/>
          <w:bCs/>
          <w:color w:val="000000"/>
        </w:rPr>
      </w:pPr>
      <w:r w:rsidRPr="00063637">
        <w:rPr>
          <w:rFonts w:ascii="Lato" w:hAnsi="Lato"/>
          <w:color w:val="000000"/>
          <w:lang w:val="pl"/>
        </w:rPr>
        <w:t xml:space="preserve">W 2024 r. Polska sprawuje </w:t>
      </w:r>
      <w:r>
        <w:rPr>
          <w:rFonts w:ascii="Lato" w:hAnsi="Lato"/>
          <w:color w:val="000000"/>
          <w:lang w:val="pl"/>
        </w:rPr>
        <w:t xml:space="preserve">także </w:t>
      </w:r>
      <w:r w:rsidRPr="00063637">
        <w:rPr>
          <w:rFonts w:ascii="Lato" w:hAnsi="Lato"/>
          <w:color w:val="000000"/>
          <w:lang w:val="pl"/>
        </w:rPr>
        <w:t>roczne przewodnictwo w IVF, którego kierunkowymi priorytetami są: zapewnienie sprawnej implementacji kluczowych programów grantowych i stypendialnych IVF, kontynuacja wsparcia Funduszu dla społeczeństwa ukraińskiego oraz jego zaangażowania w państwach Partnerstwa Wschodniego i Bałkanów Zachodnich.</w:t>
      </w:r>
      <w:r>
        <w:rPr>
          <w:rFonts w:ascii="Lato" w:hAnsi="Lato"/>
          <w:color w:val="000000"/>
          <w:lang w:val="pl"/>
        </w:rPr>
        <w:t xml:space="preserve"> </w:t>
      </w:r>
      <w:r w:rsidRPr="00063637">
        <w:rPr>
          <w:rFonts w:ascii="Lato" w:hAnsi="Lato"/>
          <w:color w:val="000000"/>
          <w:lang w:val="pl"/>
        </w:rPr>
        <w:t>W ramach grantów strategicznych IVF na 2024 r. realizowane są działania ukierunkowane na: wsparcie Ukrainy i sąsiedztwa UE, zwalczanie dezinformacji i rozpowszechniania mylnych informacji, promowanie rozwoju kontaktów międzyludzkich. Ponadto prezydencja będzie dążyć do realizacji działań na rzecz wymiany doświadczeń dot. roli społeczeństwa obywatelskiego, w tym w sytuacjach kryzysowych.</w:t>
      </w:r>
      <w:r w:rsidRPr="000C09A0">
        <w:rPr>
          <w:rFonts w:ascii="Lato" w:hAnsi="Lato"/>
          <w:lang w:val="pl"/>
        </w:rPr>
        <w:t xml:space="preserve"> </w:t>
      </w:r>
    </w:p>
    <w:p w:rsidR="000E2E50" w:rsidRPr="00A6597E" w:rsidRDefault="000E2E50" w:rsidP="000E2E50"/>
    <w:p w:rsidR="000E2E50" w:rsidRPr="00A6597E" w:rsidRDefault="000E2E50" w:rsidP="000E2E50"/>
    <w:p w:rsidR="000E2E50" w:rsidRDefault="000E2E50" w:rsidP="000E2E50"/>
    <w:p w:rsidR="00540BD2" w:rsidRDefault="00540BD2"/>
    <w:sectPr w:rsidR="00540BD2" w:rsidSect="00A712D3">
      <w:footerReference w:type="default" r:id="rId9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7E" w:rsidRDefault="00AC2F7E" w:rsidP="000E2E50">
      <w:pPr>
        <w:spacing w:after="0" w:line="240" w:lineRule="auto"/>
      </w:pPr>
      <w:r>
        <w:separator/>
      </w:r>
    </w:p>
  </w:endnote>
  <w:endnote w:type="continuationSeparator" w:id="0">
    <w:p w:rsidR="00AC2F7E" w:rsidRDefault="00AC2F7E" w:rsidP="000E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890725"/>
      <w:docPartObj>
        <w:docPartGallery w:val="Page Numbers (Bottom of Page)"/>
        <w:docPartUnique/>
      </w:docPartObj>
    </w:sdtPr>
    <w:sdtEndPr/>
    <w:sdtContent>
      <w:p w:rsidR="00481F2F" w:rsidRDefault="00A712D3">
        <w:pPr>
          <w:pStyle w:val="Stopka"/>
        </w:pPr>
        <w:r>
          <w:t xml:space="preserve">               </w:t>
        </w:r>
        <w:r w:rsidR="000E2E50">
          <w:rPr>
            <w:noProof/>
            <w:lang w:val="pl-PL" w:eastAsia="pl-PL"/>
          </w:rPr>
          <w:drawing>
            <wp:inline distT="0" distB="0" distL="0" distR="0" wp14:anchorId="502E2F6F" wp14:editId="16DE9FE0">
              <wp:extent cx="2181225" cy="828675"/>
              <wp:effectExtent l="0" t="0" r="0" b="0"/>
              <wp:docPr id="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8122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lang w:val="pl"/>
          </w:rPr>
          <w:fldChar w:fldCharType="begin"/>
        </w:r>
        <w:r>
          <w:rPr>
            <w:lang w:val="pl"/>
          </w:rPr>
          <w:instrText>PAGE   \* MERGEFORMAT</w:instrText>
        </w:r>
        <w:r>
          <w:rPr>
            <w:lang w:val="pl"/>
          </w:rPr>
          <w:fldChar w:fldCharType="separate"/>
        </w:r>
        <w:r w:rsidR="00826827">
          <w:rPr>
            <w:noProof/>
            <w:lang w:val="pl"/>
          </w:rPr>
          <w:t>2</w:t>
        </w:r>
        <w:r>
          <w:rPr>
            <w:lang w:val="pl"/>
          </w:rPr>
          <w:fldChar w:fldCharType="end"/>
        </w:r>
        <w:r w:rsidR="000E2E50">
          <w:rPr>
            <w:noProof/>
            <w:lang w:val="pl-PL" w:eastAsia="pl-PL"/>
          </w:rPr>
          <w:drawing>
            <wp:inline distT="0" distB="0" distL="0" distR="0">
              <wp:extent cx="2499360" cy="833120"/>
              <wp:effectExtent l="0" t="0" r="0" b="5080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1500x500 logo PL.jpe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9360" cy="833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7E" w:rsidRDefault="00AC2F7E" w:rsidP="000E2E50">
      <w:pPr>
        <w:spacing w:after="0" w:line="240" w:lineRule="auto"/>
      </w:pPr>
      <w:r>
        <w:separator/>
      </w:r>
    </w:p>
  </w:footnote>
  <w:footnote w:type="continuationSeparator" w:id="0">
    <w:p w:rsidR="00AC2F7E" w:rsidRDefault="00AC2F7E" w:rsidP="000E2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EB"/>
    <w:rsid w:val="000E2E50"/>
    <w:rsid w:val="00540BD2"/>
    <w:rsid w:val="00814D3B"/>
    <w:rsid w:val="00826827"/>
    <w:rsid w:val="00A712D3"/>
    <w:rsid w:val="00AC2F7E"/>
    <w:rsid w:val="00EF6DEB"/>
    <w:rsid w:val="00F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0C54BF-C308-41AC-BFA8-C291BA2A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2E50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0E2E50"/>
    <w:rPr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0E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1073-1C93-4752-92D5-5FBA817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Moryksiewicz Magdalena</dc:creator>
  <cp:keywords/>
  <dc:description/>
  <cp:lastModifiedBy>Modrzyńska Magda</cp:lastModifiedBy>
  <cp:revision>2</cp:revision>
  <dcterms:created xsi:type="dcterms:W3CDTF">2024-10-30T13:54:00Z</dcterms:created>
  <dcterms:modified xsi:type="dcterms:W3CDTF">2024-10-30T13:54:00Z</dcterms:modified>
</cp:coreProperties>
</file>