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BC0396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46434504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BC0396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10 maja 2023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BC0396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PN.I.431.2.9.2023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3"/>
    </w:p>
    <w:p w:rsidR="00585DD2" w:rsidRPr="00516F3D" w:rsidRDefault="00BC0396" w:rsidP="00585DD2">
      <w:pPr>
        <w:spacing w:before="840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85DD2" w:rsidRPr="00516F3D" w:rsidRDefault="00BC0396" w:rsidP="00585DD2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hAnsi="Arial" w:cs="Arial"/>
          <w:b/>
          <w:sz w:val="24"/>
          <w:szCs w:val="24"/>
        </w:rPr>
        <w:t>Jacek Fior</w:t>
      </w:r>
    </w:p>
    <w:p w:rsidR="00585DD2" w:rsidRPr="00516F3D" w:rsidRDefault="00BC0396" w:rsidP="00585DD2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 w:rsidRPr="00516F3D">
        <w:rPr>
          <w:rFonts w:ascii="Arial" w:eastAsia="Calibri" w:hAnsi="Arial" w:cs="Arial"/>
          <w:b/>
          <w:bCs/>
          <w:sz w:val="24"/>
          <w:szCs w:val="24"/>
        </w:rPr>
        <w:br/>
        <w:t>języka angielskiego</w:t>
      </w:r>
    </w:p>
    <w:p w:rsidR="00585DD2" w:rsidRPr="00516F3D" w:rsidRDefault="00BC0396" w:rsidP="00585DD2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Pr="00516F3D">
        <w:rPr>
          <w:rFonts w:ascii="Arial" w:hAnsi="Arial" w:cs="Arial"/>
          <w:b/>
          <w:sz w:val="24"/>
          <w:szCs w:val="24"/>
        </w:rPr>
        <w:t>Krasickiego 6</w:t>
      </w:r>
    </w:p>
    <w:p w:rsidR="00585DD2" w:rsidRPr="00516F3D" w:rsidRDefault="00BC0396" w:rsidP="00585DD2">
      <w:pPr>
        <w:ind w:left="5103"/>
        <w:rPr>
          <w:rFonts w:ascii="Arial" w:eastAsia="Calibri" w:hAnsi="Arial" w:cs="Arial"/>
          <w:b/>
          <w:sz w:val="24"/>
          <w:szCs w:val="24"/>
        </w:rPr>
      </w:pPr>
      <w:r w:rsidRPr="00516F3D">
        <w:rPr>
          <w:rFonts w:ascii="Arial" w:eastAsia="Calibri" w:hAnsi="Arial" w:cs="Arial"/>
          <w:b/>
          <w:sz w:val="24"/>
          <w:szCs w:val="24"/>
        </w:rPr>
        <w:t>46-</w:t>
      </w:r>
      <w:r w:rsidRPr="00516F3D">
        <w:rPr>
          <w:rFonts w:ascii="Arial" w:hAnsi="Arial" w:cs="Arial"/>
          <w:b/>
          <w:sz w:val="24"/>
          <w:szCs w:val="24"/>
        </w:rPr>
        <w:t>100 Namysłów</w:t>
      </w:r>
    </w:p>
    <w:p w:rsidR="00585DD2" w:rsidRPr="00516F3D" w:rsidRDefault="00BC0396" w:rsidP="00585DD2">
      <w:pPr>
        <w:ind w:left="5103"/>
        <w:rPr>
          <w:rFonts w:ascii="Arial" w:eastAsia="Calibri" w:hAnsi="Arial" w:cs="Arial"/>
          <w:b/>
          <w:sz w:val="24"/>
          <w:szCs w:val="24"/>
        </w:rPr>
      </w:pPr>
      <w:r w:rsidRPr="00516F3D">
        <w:rPr>
          <w:rFonts w:ascii="Arial" w:eastAsia="Calibri" w:hAnsi="Arial" w:cs="Arial"/>
          <w:b/>
          <w:sz w:val="24"/>
          <w:szCs w:val="24"/>
        </w:rPr>
        <w:t>e-mail: jacek@betterhorizons.pl</w:t>
      </w:r>
    </w:p>
    <w:p w:rsidR="00585DD2" w:rsidRPr="00516F3D" w:rsidRDefault="00BC0396" w:rsidP="00585DD2">
      <w:pPr>
        <w:spacing w:before="720" w:after="1080"/>
        <w:jc w:val="center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SPRAWOZDANIE Z KONTROLI</w:t>
      </w:r>
    </w:p>
    <w:p w:rsidR="00585DD2" w:rsidRPr="00516F3D" w:rsidRDefault="00BC0396" w:rsidP="00BA0610">
      <w:pPr>
        <w:spacing w:after="120" w:line="360" w:lineRule="auto"/>
        <w:rPr>
          <w:rFonts w:ascii="Arial" w:eastAsiaTheme="minorEastAsia" w:hAnsi="Arial" w:cs="Arial"/>
          <w:b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 xml:space="preserve">I. Dane </w:t>
      </w:r>
      <w:r w:rsidRPr="00516F3D">
        <w:rPr>
          <w:rFonts w:ascii="Arial" w:eastAsiaTheme="minorEastAsia" w:hAnsi="Arial" w:cs="Arial"/>
          <w:b/>
          <w:sz w:val="24"/>
          <w:szCs w:val="24"/>
        </w:rPr>
        <w:t>identyfikacyjne kontroli</w:t>
      </w:r>
    </w:p>
    <w:p w:rsidR="004C50D5" w:rsidRDefault="00BC0396" w:rsidP="004C50D5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eastAsiaTheme="minorEastAsia" w:hAnsi="Arial" w:cs="Arial"/>
          <w:w w:val="90"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Nazwa i adres podmiotu kontrolowanego:</w:t>
      </w:r>
      <w:r w:rsidRPr="00516F3D">
        <w:rPr>
          <w:rFonts w:ascii="Arial" w:hAnsi="Arial" w:cs="Arial"/>
          <w:sz w:val="24"/>
          <w:szCs w:val="24"/>
        </w:rPr>
        <w:t xml:space="preserve"> Jacek Fior – tłumacz przysięgły języka angielskiego, ul. Krasickiego 6, 46-100 Namysłów</w:t>
      </w:r>
      <w:r w:rsidRPr="00516F3D">
        <w:rPr>
          <w:rFonts w:ascii="Arial" w:eastAsiaTheme="minorEastAsia" w:hAnsi="Arial" w:cs="Arial"/>
          <w:sz w:val="24"/>
          <w:szCs w:val="24"/>
        </w:rPr>
        <w:t>.</w:t>
      </w:r>
    </w:p>
    <w:p w:rsidR="00585DD2" w:rsidRPr="004C50D5" w:rsidRDefault="00BC0396" w:rsidP="004C50D5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eastAsiaTheme="minorEastAsia" w:hAnsi="Arial" w:cs="Arial"/>
          <w:w w:val="90"/>
          <w:sz w:val="24"/>
          <w:szCs w:val="24"/>
        </w:rPr>
      </w:pPr>
      <w:r w:rsidRPr="004C50D5">
        <w:rPr>
          <w:rFonts w:ascii="Arial" w:eastAsiaTheme="minorEastAsia" w:hAnsi="Arial" w:cs="Arial"/>
          <w:b/>
          <w:sz w:val="24"/>
          <w:szCs w:val="24"/>
        </w:rPr>
        <w:t xml:space="preserve">Podstawa prawna podjęcia kontroli: </w:t>
      </w:r>
      <w:r w:rsidRPr="004C50D5">
        <w:rPr>
          <w:rFonts w:ascii="Arial" w:eastAsiaTheme="minorEastAsia" w:hAnsi="Arial" w:cs="Arial"/>
          <w:sz w:val="24"/>
          <w:szCs w:val="24"/>
        </w:rPr>
        <w:t xml:space="preserve">art. 20 ust. 1 ustawy z dnia 25 listopada 2004 r. o zawodzie </w:t>
      </w:r>
      <w:r w:rsidRPr="004C50D5">
        <w:rPr>
          <w:rFonts w:ascii="Arial" w:eastAsiaTheme="minorEastAsia" w:hAnsi="Arial" w:cs="Arial"/>
          <w:sz w:val="24"/>
          <w:szCs w:val="24"/>
        </w:rPr>
        <w:t>tłumacza przysięgłego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id="1"/>
      </w:r>
      <w:r w:rsidRPr="004C50D5">
        <w:rPr>
          <w:rFonts w:ascii="Arial" w:eastAsiaTheme="minorEastAsia" w:hAnsi="Arial" w:cs="Arial"/>
          <w:sz w:val="24"/>
          <w:szCs w:val="24"/>
        </w:rPr>
        <w:t>;</w:t>
      </w:r>
    </w:p>
    <w:p w:rsidR="00585DD2" w:rsidRPr="00516F3D" w:rsidRDefault="00BC0396" w:rsidP="00BA0610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Theme="minorEastAsia" w:hAnsi="Arial" w:cs="Arial"/>
          <w:b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Zakres kontroli:</w:t>
      </w:r>
    </w:p>
    <w:p w:rsidR="00585DD2" w:rsidRPr="00516F3D" w:rsidRDefault="00BC0396" w:rsidP="00BA0610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Przedmiot kontroli:</w:t>
      </w:r>
      <w:r w:rsidRPr="00516F3D">
        <w:rPr>
          <w:rFonts w:ascii="Arial" w:eastAsiaTheme="minorEastAsia" w:hAnsi="Arial" w:cs="Arial"/>
          <w:sz w:val="24"/>
          <w:szCs w:val="24"/>
        </w:rPr>
        <w:t xml:space="preserve"> Prawidłowość i rzetelność prowadzenia repertorium </w:t>
      </w:r>
      <w:r w:rsidRPr="00516F3D">
        <w:rPr>
          <w:rFonts w:ascii="Arial" w:eastAsiaTheme="minorEastAsia" w:hAnsi="Arial" w:cs="Arial"/>
          <w:sz w:val="24"/>
          <w:szCs w:val="24"/>
        </w:rPr>
        <w:br/>
        <w:t xml:space="preserve">oraz pobierania wynagrodzenia za czynności tłumacza przysięgłego, wykonane na rzecz sądów, prokuratora, Policji oraz organów administracji </w:t>
      </w:r>
      <w:r w:rsidRPr="00516F3D">
        <w:rPr>
          <w:rFonts w:ascii="Arial" w:eastAsiaTheme="minorEastAsia" w:hAnsi="Arial" w:cs="Arial"/>
          <w:sz w:val="24"/>
          <w:szCs w:val="24"/>
        </w:rPr>
        <w:t>publicznej.</w:t>
      </w:r>
    </w:p>
    <w:p w:rsidR="00585DD2" w:rsidRPr="00516F3D" w:rsidRDefault="00BC0396" w:rsidP="00BA0610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Okres objęty kontrolą:</w:t>
      </w:r>
      <w:r w:rsidRPr="00516F3D">
        <w:rPr>
          <w:rFonts w:ascii="Arial" w:eastAsiaTheme="minorEastAsia" w:hAnsi="Arial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 stycznia 2022 r. do dnia 31 grudnia 2022 r.</w:t>
      </w:r>
    </w:p>
    <w:p w:rsidR="00585DD2" w:rsidRPr="00516F3D" w:rsidRDefault="00BC0396" w:rsidP="00BA0610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bCs/>
          <w:sz w:val="24"/>
          <w:szCs w:val="24"/>
        </w:rPr>
        <w:t>Rodzaj kontroli: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sz w:val="24"/>
          <w:szCs w:val="24"/>
        </w:rPr>
        <w:t>problemowa</w:t>
      </w:r>
    </w:p>
    <w:p w:rsidR="00585DD2" w:rsidRPr="00516F3D" w:rsidRDefault="00BC0396" w:rsidP="00BA0610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bCs/>
          <w:sz w:val="24"/>
          <w:szCs w:val="24"/>
        </w:rPr>
        <w:t>Tryb kontroli: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sz w:val="24"/>
          <w:szCs w:val="24"/>
        </w:rPr>
        <w:t>uproszczony</w:t>
      </w:r>
    </w:p>
    <w:p w:rsidR="00585DD2" w:rsidRPr="00516F3D" w:rsidRDefault="00BC0396" w:rsidP="00BA0610">
      <w:pPr>
        <w:numPr>
          <w:ilvl w:val="0"/>
          <w:numId w:val="1"/>
        </w:numPr>
        <w:spacing w:before="120" w:after="120" w:line="360" w:lineRule="auto"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Termin kontroli:</w:t>
      </w:r>
      <w:r w:rsidRPr="00516F3D">
        <w:rPr>
          <w:rFonts w:ascii="Arial" w:eastAsiaTheme="minorEastAsia" w:hAnsi="Arial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17 kwietnia do dnia 28 kwietnia 2023 r.</w:t>
      </w:r>
    </w:p>
    <w:p w:rsidR="00585DD2" w:rsidRPr="00516F3D" w:rsidRDefault="00BC0396" w:rsidP="00BA0610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eastAsiaTheme="minorEastAsia" w:hAnsi="Arial" w:cs="Arial"/>
          <w:b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sz w:val="24"/>
          <w:szCs w:val="24"/>
        </w:rPr>
        <w:t>Skład zespołu kontrolnego:</w:t>
      </w:r>
    </w:p>
    <w:p w:rsidR="00585DD2" w:rsidRPr="00516F3D" w:rsidRDefault="00BC0396" w:rsidP="00BA0610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Cs/>
          <w:sz w:val="24"/>
          <w:szCs w:val="24"/>
        </w:rPr>
        <w:t>Danuta Rajkowska</w:t>
      </w:r>
      <w:r w:rsidRPr="00516F3D">
        <w:rPr>
          <w:rFonts w:ascii="Arial" w:eastAsiaTheme="minorEastAsia" w:hAnsi="Arial" w:cs="Arial"/>
          <w:bCs/>
          <w:i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– </w:t>
      </w:r>
      <w:r w:rsidRPr="00516F3D">
        <w:rPr>
          <w:rFonts w:ascii="Arial" w:eastAsiaTheme="minorEastAsia" w:hAnsi="Arial" w:cs="Arial"/>
          <w:sz w:val="24"/>
          <w:szCs w:val="24"/>
        </w:rPr>
        <w:t>Starszy Inspektor Wojewódzki</w:t>
      </w: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>w</w:t>
      </w: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Oddziale Organizacji, Kontroli i Skarg </w:t>
      </w:r>
      <w:r w:rsidRPr="00516F3D">
        <w:rPr>
          <w:rFonts w:ascii="Arial" w:eastAsiaTheme="minorEastAsia" w:hAnsi="Arial" w:cs="Arial"/>
          <w:sz w:val="24"/>
          <w:szCs w:val="24"/>
        </w:rPr>
        <w:t>Wydziału Prawnego i Nadzoru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sz w:val="24"/>
          <w:szCs w:val="24"/>
        </w:rPr>
        <w:t>– Kierownik zespołu kontrolnego;</w:t>
      </w:r>
    </w:p>
    <w:p w:rsidR="00585DD2" w:rsidRPr="00516F3D" w:rsidRDefault="00BC0396" w:rsidP="00BA0610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bCs/>
          <w:sz w:val="24"/>
          <w:szCs w:val="24"/>
        </w:rPr>
        <w:lastRenderedPageBreak/>
        <w:t>Natalia Lenart – Starszy Inspektor w</w:t>
      </w: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>Oddziale</w:t>
      </w: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Organizacji, Kontroli </w:t>
      </w:r>
      <w:r w:rsidRPr="00516F3D">
        <w:rPr>
          <w:rFonts w:ascii="Arial" w:eastAsiaTheme="minorEastAsia" w:hAnsi="Arial" w:cs="Arial"/>
          <w:bCs/>
          <w:sz w:val="24"/>
          <w:szCs w:val="24"/>
        </w:rPr>
        <w:br/>
        <w:t xml:space="preserve">i Skarg </w:t>
      </w:r>
      <w:r w:rsidRPr="00516F3D">
        <w:rPr>
          <w:rFonts w:ascii="Arial" w:eastAsiaTheme="minorEastAsia" w:hAnsi="Arial" w:cs="Arial"/>
          <w:sz w:val="24"/>
          <w:szCs w:val="24"/>
        </w:rPr>
        <w:t>Wydziału Prawnego i Nadzoru –</w:t>
      </w:r>
      <w:r w:rsidRPr="00516F3D">
        <w:rPr>
          <w:rFonts w:ascii="Arial" w:eastAsiaTheme="minorEastAsia" w:hAnsi="Arial" w:cs="Arial"/>
          <w:bCs/>
          <w:sz w:val="24"/>
          <w:szCs w:val="24"/>
        </w:rPr>
        <w:t xml:space="preserve"> Członek zespołu ko</w:t>
      </w:r>
      <w:r w:rsidRPr="00516F3D">
        <w:rPr>
          <w:rFonts w:ascii="Arial" w:eastAsiaTheme="minorEastAsia" w:hAnsi="Arial" w:cs="Arial"/>
          <w:bCs/>
          <w:sz w:val="24"/>
          <w:szCs w:val="24"/>
        </w:rPr>
        <w:t>ntrolnego</w:t>
      </w:r>
      <w:r w:rsidRPr="00516F3D">
        <w:rPr>
          <w:rFonts w:ascii="Arial" w:eastAsiaTheme="minorEastAsia" w:hAnsi="Arial" w:cs="Arial"/>
          <w:sz w:val="24"/>
          <w:szCs w:val="24"/>
        </w:rPr>
        <w:t>.</w:t>
      </w:r>
    </w:p>
    <w:p w:rsidR="00585DD2" w:rsidRPr="00516F3D" w:rsidRDefault="00BC0396" w:rsidP="00BA0610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bCs/>
          <w:sz w:val="24"/>
          <w:szCs w:val="24"/>
        </w:rPr>
        <w:t xml:space="preserve">Kierownik </w:t>
      </w:r>
      <w:r w:rsidRPr="00516F3D">
        <w:rPr>
          <w:rFonts w:ascii="Arial" w:eastAsiaTheme="minorEastAsia" w:hAnsi="Arial" w:cs="Arial"/>
          <w:b/>
          <w:sz w:val="24"/>
          <w:szCs w:val="24"/>
        </w:rPr>
        <w:t>podmiotu kontrolowanego:</w:t>
      </w:r>
      <w:r w:rsidRPr="00516F3D">
        <w:rPr>
          <w:rFonts w:ascii="Arial" w:eastAsiaTheme="minorEastAsia" w:hAnsi="Arial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 xml:space="preserve">Jacek Fior – tłumacz przysięgły </w:t>
      </w:r>
      <w:r w:rsidRPr="00516F3D">
        <w:rPr>
          <w:rFonts w:ascii="Arial" w:hAnsi="Arial" w:cs="Arial"/>
          <w:sz w:val="24"/>
          <w:szCs w:val="24"/>
        </w:rPr>
        <w:br/>
        <w:t xml:space="preserve">języka angielskiego. Uprawnienia do wykonywania czynności tłumacza przysięgłego języka angielskiego </w:t>
      </w:r>
      <w:r w:rsidRPr="00516F3D">
        <w:rPr>
          <w:rFonts w:ascii="Arial" w:hAnsi="Arial" w:cs="Arial"/>
          <w:sz w:val="24"/>
          <w:szCs w:val="24"/>
        </w:rPr>
        <w:t>nabył</w:t>
      </w:r>
      <w:r w:rsidRPr="00516F3D">
        <w:rPr>
          <w:rFonts w:ascii="Arial" w:hAnsi="Arial" w:cs="Arial"/>
          <w:sz w:val="24"/>
          <w:szCs w:val="24"/>
        </w:rPr>
        <w:t xml:space="preserve"> z dniem </w:t>
      </w:r>
      <w:r w:rsidRPr="00516F3D">
        <w:rPr>
          <w:rFonts w:ascii="Arial" w:hAnsi="Arial" w:cs="Arial"/>
          <w:sz w:val="24"/>
          <w:szCs w:val="24"/>
        </w:rPr>
        <w:t>13 grudnia 200</w:t>
      </w:r>
      <w:r w:rsidRPr="00516F3D">
        <w:rPr>
          <w:rFonts w:ascii="Arial" w:hAnsi="Arial" w:cs="Arial"/>
          <w:sz w:val="24"/>
          <w:szCs w:val="24"/>
        </w:rPr>
        <w:t xml:space="preserve">4 r. Na listę tłumaczy przysięgłych, prowadzoną przez Ministra Sprawiedliwości, 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został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 xml:space="preserve"> wpisany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 xml:space="preserve"> pod </w:t>
      </w:r>
      <w:r w:rsidRPr="00BA0610">
        <w:rPr>
          <w:rFonts w:ascii="Arial" w:eastAsiaTheme="minorEastAsia" w:hAnsi="Arial" w:cs="Arial"/>
          <w:bCs/>
          <w:color w:val="000000" w:themeColor="text1"/>
          <w:sz w:val="24"/>
          <w:szCs w:val="24"/>
        </w:rPr>
        <w:br/>
      </w:r>
      <w:r w:rsidRPr="00BA0610">
        <w:rPr>
          <w:rFonts w:ascii="Arial" w:hAnsi="Arial" w:cs="Arial"/>
          <w:color w:val="000000" w:themeColor="text1"/>
          <w:sz w:val="24"/>
          <w:szCs w:val="24"/>
        </w:rPr>
        <w:t>Nr TP/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1861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/0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6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2"/>
      </w:r>
      <w:r w:rsidRPr="00BA06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5DD2" w:rsidRPr="00516F3D" w:rsidRDefault="00BC0396" w:rsidP="00BA0610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516F3D">
        <w:rPr>
          <w:rFonts w:ascii="Arial" w:eastAsiaTheme="minorEastAsia" w:hAnsi="Arial" w:cs="Arial"/>
          <w:spacing w:val="8"/>
          <w:sz w:val="24"/>
          <w:szCs w:val="24"/>
        </w:rPr>
        <w:t xml:space="preserve"> </w:t>
      </w:r>
    </w:p>
    <w:p w:rsidR="00585DD2" w:rsidRPr="00516F3D" w:rsidRDefault="00BC0396" w:rsidP="00BA0610">
      <w:pPr>
        <w:spacing w:before="120" w:after="120" w:line="360" w:lineRule="auto"/>
        <w:ind w:left="113"/>
        <w:contextualSpacing/>
        <w:rPr>
          <w:rFonts w:ascii="Arial" w:eastAsiaTheme="minorEastAsia" w:hAnsi="Arial" w:cs="Arial"/>
          <w:bCs/>
          <w:sz w:val="24"/>
          <w:szCs w:val="24"/>
        </w:rPr>
      </w:pPr>
      <w:r w:rsidRPr="00516F3D">
        <w:rPr>
          <w:rFonts w:ascii="Arial" w:eastAsiaTheme="minorEastAsia" w:hAnsi="Arial" w:cs="Arial"/>
          <w:spacing w:val="8"/>
          <w:sz w:val="24"/>
          <w:szCs w:val="24"/>
        </w:rPr>
        <w:t>nie dotyczy</w:t>
      </w:r>
    </w:p>
    <w:p w:rsidR="00585DD2" w:rsidRPr="00516F3D" w:rsidRDefault="00BC0396" w:rsidP="00DF50B8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eastAsiaTheme="minorEastAsia" w:hAnsi="Arial" w:cs="Arial"/>
          <w:b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 xml:space="preserve">Ocena działalności podmiotu </w:t>
      </w:r>
      <w:r w:rsidRPr="00516F3D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>kontrolowanego i opis ustalonego stanu faktycznego.</w:t>
      </w:r>
    </w:p>
    <w:p w:rsidR="00585DD2" w:rsidRPr="00516F3D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sz w:val="24"/>
          <w:szCs w:val="24"/>
        </w:rPr>
        <w:t xml:space="preserve">Prawidłowość i rzetelność prowadzenia repertorium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oceni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ono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pozytywnie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br/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z nieprawidłowościami.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Nie dokonano oceny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pobierania wynagrodzenia za czynności tłumacza przysięgłego, wykonane na rzecz podmiotów, o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których mowa w art. 15 ustawy o zawodzie tłumacza przysięgłego, tj. sądu, prokuratora, Policji oraz or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ganów administracji publicznej.</w:t>
      </w:r>
    </w:p>
    <w:p w:rsidR="00E31D03" w:rsidRPr="00516F3D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hAnsi="Arial" w:cs="Arial"/>
          <w:sz w:val="24"/>
          <w:szCs w:val="24"/>
        </w:rPr>
        <w:t>Szczegóły w dalszej części sprawozdania z kontroli.</w:t>
      </w:r>
    </w:p>
    <w:p w:rsidR="00585DD2" w:rsidRPr="00516F3D" w:rsidRDefault="00BC0396" w:rsidP="00BA0610">
      <w:pPr>
        <w:spacing w:before="120" w:after="120" w:line="360" w:lineRule="auto"/>
        <w:rPr>
          <w:rFonts w:ascii="Arial" w:eastAsiaTheme="minorEastAsia" w:hAnsi="Arial" w:cs="Arial"/>
          <w:b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b/>
          <w:color w:val="000000" w:themeColor="text1"/>
          <w:sz w:val="24"/>
          <w:szCs w:val="24"/>
        </w:rPr>
        <w:t>Ustalenia kontroli:</w:t>
      </w:r>
    </w:p>
    <w:p w:rsidR="00585DD2" w:rsidRPr="008768DB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70C0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okresie objętym kontrolą repertorium prowadzone było w formie papierowej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br/>
        <w:t xml:space="preserve">i obejmowało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184 wpisy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Zgodnie z założeniami do kontroli z dnia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30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marc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a 2023 r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, analizie prawidłowości i rzetelności prowadzenia repertorium poddano ostatnie 50 wpisów repertori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um –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tj.: wpisy za rok </w:t>
      </w:r>
      <w:r w:rsidRPr="00887C03">
        <w:rPr>
          <w:rFonts w:ascii="Arial" w:eastAsiaTheme="minorEastAsia" w:hAnsi="Arial" w:cs="Arial"/>
          <w:sz w:val="24"/>
          <w:szCs w:val="24"/>
        </w:rPr>
        <w:t xml:space="preserve">2022 rok od lp. </w:t>
      </w:r>
      <w:r w:rsidRPr="00887C03">
        <w:rPr>
          <w:rFonts w:ascii="Arial" w:eastAsiaTheme="minorEastAsia" w:hAnsi="Arial" w:cs="Arial"/>
          <w:sz w:val="24"/>
          <w:szCs w:val="24"/>
        </w:rPr>
        <w:t xml:space="preserve">134 do </w:t>
      </w:r>
      <w:r w:rsidRPr="00887C03">
        <w:rPr>
          <w:rFonts w:ascii="Arial" w:eastAsiaTheme="minorEastAsia" w:hAnsi="Arial" w:cs="Arial"/>
          <w:sz w:val="24"/>
          <w:szCs w:val="24"/>
        </w:rPr>
        <w:t>lp. 184</w:t>
      </w:r>
      <w:r>
        <w:rPr>
          <w:rFonts w:ascii="Arial" w:eastAsiaTheme="minorEastAsia" w:hAnsi="Arial" w:cs="Arial"/>
          <w:sz w:val="24"/>
          <w:szCs w:val="24"/>
        </w:rPr>
        <w:t>.</w:t>
      </w:r>
    </w:p>
    <w:p w:rsidR="00585DD2" w:rsidRPr="008768DB" w:rsidRDefault="00BC0396" w:rsidP="00BA0610">
      <w:pPr>
        <w:spacing w:before="120" w:after="120" w:line="360" w:lineRule="auto"/>
        <w:ind w:firstLine="709"/>
        <w:jc w:val="right"/>
        <w:rPr>
          <w:rFonts w:ascii="Arial" w:eastAsiaTheme="minorEastAsia" w:hAnsi="Arial" w:cs="Arial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[Dowód: akta kontroli, </w:t>
      </w:r>
      <w:r w:rsidRPr="008768DB">
        <w:rPr>
          <w:rFonts w:ascii="Arial" w:eastAsiaTheme="minorEastAsia" w:hAnsi="Arial" w:cs="Arial"/>
          <w:sz w:val="24"/>
          <w:szCs w:val="24"/>
        </w:rPr>
        <w:t>str. 2-</w:t>
      </w:r>
      <w:r w:rsidRPr="008768DB">
        <w:rPr>
          <w:rFonts w:ascii="Arial" w:eastAsiaTheme="minorEastAsia" w:hAnsi="Arial" w:cs="Arial"/>
          <w:sz w:val="24"/>
          <w:szCs w:val="24"/>
        </w:rPr>
        <w:t>8</w:t>
      </w:r>
      <w:r w:rsidRPr="008768DB">
        <w:rPr>
          <w:rFonts w:ascii="Arial" w:eastAsiaTheme="minorEastAsia" w:hAnsi="Arial" w:cs="Arial"/>
          <w:sz w:val="24"/>
          <w:szCs w:val="24"/>
        </w:rPr>
        <w:t>]</w:t>
      </w:r>
    </w:p>
    <w:p w:rsidR="00585DD2" w:rsidRPr="00516F3D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Zgodnie z treścią przedłożonego oświadczenia, w okresie objętym kontrolą nie miały miejsca przypadki pisemnej odmowy wykonania tłumaczenia na żądanie sądu, prokuratora,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Policji oraz organów administracji publicznej, o których mowa w art. 15 ustawy o zawodzie tłumacza przysięgłego.</w:t>
      </w:r>
    </w:p>
    <w:p w:rsidR="00585DD2" w:rsidRPr="00516F3D" w:rsidRDefault="00BC0396" w:rsidP="00BA0610">
      <w:pPr>
        <w:spacing w:before="120" w:after="120" w:line="360" w:lineRule="auto"/>
        <w:ind w:firstLine="709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[Dowód: akta kontroli, str.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9-10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]</w:t>
      </w:r>
    </w:p>
    <w:p w:rsidR="00585DD2" w:rsidRPr="00516F3D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>Od dnia ostatniego wpisu tłumacz przysięgły nie przerywał wykonywania czynności na okres dłuższy niż 3 lata</w:t>
      </w:r>
      <w:r>
        <w:rPr>
          <w:rFonts w:ascii="Arial" w:eastAsiaTheme="minorEastAsia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</w:t>
      </w:r>
    </w:p>
    <w:p w:rsidR="00585DD2" w:rsidRPr="00516F3D" w:rsidRDefault="00BC0396" w:rsidP="00BA0610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[Dowód: akta kontroli, str. 13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pkt 4]</w:t>
      </w:r>
    </w:p>
    <w:p w:rsidR="00585DD2" w:rsidRPr="00516F3D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Tłumacz przysięgły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nie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spełnił ustawow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ego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obowiązk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u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złożenia Wojewodzie Opolskiemu wzoru podpisu i odcisku pieczęci, o którym mowa w art. 19 ustawy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br/>
        <w:t>o zawodzie tłumacza przysięgłego.</w:t>
      </w:r>
    </w:p>
    <w:p w:rsidR="00585DD2" w:rsidRPr="00516F3D" w:rsidRDefault="00BC0396" w:rsidP="00BA0610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color w:val="000000" w:themeColor="text1"/>
          <w:sz w:val="24"/>
          <w:szCs w:val="24"/>
        </w:rPr>
        <w:t>[Dowód: akta kontroli, str. 13 p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kt 5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]</w:t>
      </w:r>
    </w:p>
    <w:p w:rsidR="005B1128" w:rsidRDefault="00BC0396" w:rsidP="00BA0610">
      <w:pPr>
        <w:spacing w:before="120" w:after="120" w:line="360" w:lineRule="auto"/>
        <w:ind w:firstLine="567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516F3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W toku kontroli </w:t>
      </w:r>
      <w:r w:rsidRPr="00516F3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została stwierdzona nieprawidłowość, </w:t>
      </w:r>
      <w:r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dotycząca wszystkich zbadanych wpisów, </w:t>
      </w:r>
      <w:r w:rsidRPr="00516F3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polegająca na niewypełniani</w:t>
      </w:r>
      <w:r w:rsidRPr="00516F3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</w:t>
      </w:r>
      <w:r w:rsidRPr="00516F3D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kolumny dotyczącej daty zwrotu dokumentu, co narusza art. 17 ust. 2 pkt 1 ustawy o zawodzie tłumacza </w:t>
      </w:r>
      <w:r w:rsidRPr="00887C03">
        <w:rPr>
          <w:rFonts w:ascii="Arial" w:eastAsiaTheme="minorHAnsi" w:hAnsi="Arial" w:cs="Arial"/>
          <w:sz w:val="24"/>
          <w:szCs w:val="24"/>
          <w:lang w:eastAsia="en-US"/>
        </w:rPr>
        <w:t>przysięgłego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Pr="00887C0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585DD2" w:rsidRPr="00516F3D" w:rsidRDefault="00BC0396" w:rsidP="00BA0610">
      <w:pPr>
        <w:spacing w:before="120" w:after="120" w:line="360" w:lineRule="auto"/>
        <w:ind w:firstLine="567"/>
        <w:contextualSpacing/>
        <w:rPr>
          <w:rFonts w:ascii="Arial" w:eastAsiaTheme="minorEastAsia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Rekomendacje w tym zakresie zawarto w </w:t>
      </w:r>
      <w:r w:rsidRPr="00887C03">
        <w:rPr>
          <w:rFonts w:ascii="Arial" w:eastAsiaTheme="minorHAnsi" w:hAnsi="Arial" w:cs="Arial"/>
          <w:sz w:val="24"/>
          <w:szCs w:val="24"/>
          <w:lang w:eastAsia="en-US"/>
        </w:rPr>
        <w:t>stanowisk</w:t>
      </w:r>
      <w:r>
        <w:rPr>
          <w:rFonts w:ascii="Arial" w:eastAsiaTheme="minorHAnsi" w:hAnsi="Arial" w:cs="Arial"/>
          <w:sz w:val="24"/>
          <w:szCs w:val="24"/>
          <w:lang w:eastAsia="en-US"/>
        </w:rPr>
        <w:t>u</w:t>
      </w:r>
      <w:r w:rsidRPr="00887C0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87C03">
        <w:rPr>
          <w:rFonts w:ascii="Arial" w:eastAsiaTheme="minorEastAsia" w:hAnsi="Arial" w:cs="Arial"/>
          <w:sz w:val="24"/>
          <w:szCs w:val="24"/>
        </w:rPr>
        <w:t xml:space="preserve">Komisji Odpowiedzialności Zawodowej Tłumaczy Przysięgłych przy Ministrze </w:t>
      </w:r>
      <w:r>
        <w:rPr>
          <w:rFonts w:ascii="Arial" w:eastAsiaTheme="minorEastAsia" w:hAnsi="Arial" w:cs="Arial"/>
          <w:sz w:val="24"/>
          <w:szCs w:val="24"/>
        </w:rPr>
        <w:t>S</w:t>
      </w:r>
      <w:r w:rsidRPr="00887C03">
        <w:rPr>
          <w:rFonts w:ascii="Arial" w:eastAsiaTheme="minorEastAsia" w:hAnsi="Arial" w:cs="Arial"/>
          <w:sz w:val="24"/>
          <w:szCs w:val="24"/>
        </w:rPr>
        <w:t>prawiedliwości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887C03">
        <w:rPr>
          <w:rFonts w:ascii="Arial" w:eastAsiaTheme="minorEastAsia" w:hAnsi="Arial" w:cs="Arial"/>
          <w:sz w:val="24"/>
          <w:szCs w:val="24"/>
        </w:rPr>
        <w:t>z dnia 21 listopada 2019 r.</w:t>
      </w:r>
      <w:r>
        <w:rPr>
          <w:rFonts w:ascii="Arial" w:eastAsiaTheme="minorEastAsia" w:hAnsi="Arial" w:cs="Arial"/>
          <w:sz w:val="24"/>
          <w:szCs w:val="24"/>
          <w:vertAlign w:val="superscript"/>
        </w:rPr>
        <w:footnoteReference w:id="4"/>
      </w:r>
      <w:r w:rsidRPr="00887C03">
        <w:rPr>
          <w:rFonts w:ascii="Arial" w:eastAsiaTheme="minorEastAsia" w:hAnsi="Arial" w:cs="Arial"/>
          <w:sz w:val="24"/>
          <w:szCs w:val="24"/>
        </w:rPr>
        <w:t xml:space="preserve">, </w:t>
      </w:r>
      <w:r>
        <w:rPr>
          <w:rFonts w:ascii="Arial" w:eastAsiaTheme="minorEastAsia" w:hAnsi="Arial" w:cs="Arial"/>
          <w:sz w:val="24"/>
          <w:szCs w:val="24"/>
        </w:rPr>
        <w:t>zgodnie z którymi</w:t>
      </w:r>
      <w:r w:rsidRPr="00887C0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887C03">
        <w:rPr>
          <w:rFonts w:ascii="Arial" w:eastAsiaTheme="minorEastAsia" w:hAnsi="Arial" w:cs="Arial"/>
          <w:sz w:val="24"/>
          <w:szCs w:val="24"/>
          <w:shd w:val="clear" w:color="auto" w:fill="FFFFFF"/>
        </w:rPr>
        <w:t>„</w:t>
      </w:r>
      <w:r>
        <w:rPr>
          <w:rFonts w:ascii="Arial" w:eastAsiaTheme="minorEastAsia" w:hAnsi="Arial" w:cs="Arial"/>
          <w:sz w:val="24"/>
          <w:szCs w:val="24"/>
          <w:shd w:val="clear" w:color="auto" w:fill="FFFFFF"/>
        </w:rPr>
        <w:t>z</w:t>
      </w:r>
      <w:r w:rsidRPr="00887C03">
        <w:rPr>
          <w:rFonts w:ascii="Arial" w:eastAsiaTheme="minorEastAsia" w:hAnsi="Arial" w:cs="Arial"/>
          <w:sz w:val="24"/>
          <w:szCs w:val="24"/>
          <w:shd w:val="clear" w:color="auto" w:fill="FFFFFF"/>
        </w:rPr>
        <w:t>arówno </w:t>
      </w:r>
      <w:r w:rsidRPr="00887C03">
        <w:rPr>
          <w:rFonts w:ascii="Arial" w:eastAsiaTheme="minorEastAsia" w:hAnsi="Arial" w:cs="Arial"/>
          <w:bCs/>
          <w:sz w:val="24"/>
          <w:szCs w:val="24"/>
          <w:shd w:val="clear" w:color="auto" w:fill="FFFFFF"/>
        </w:rPr>
        <w:t>data zlecenia</w:t>
      </w:r>
      <w:r w:rsidRPr="00887C03">
        <w:rPr>
          <w:rFonts w:ascii="Arial" w:eastAsiaTheme="minorEastAsia" w:hAnsi="Arial" w:cs="Arial"/>
          <w:sz w:val="24"/>
          <w:szCs w:val="24"/>
          <w:shd w:val="clear" w:color="auto" w:fill="FFFFFF"/>
        </w:rPr>
        <w:t>, jak i </w:t>
      </w:r>
      <w:r w:rsidRPr="00887C03">
        <w:rPr>
          <w:rFonts w:ascii="Arial" w:eastAsiaTheme="minorEastAsia" w:hAnsi="Arial" w:cs="Arial"/>
          <w:bCs/>
          <w:sz w:val="24"/>
          <w:szCs w:val="24"/>
          <w:shd w:val="clear" w:color="auto" w:fill="FFFFFF"/>
        </w:rPr>
        <w:t>data zwrotu</w:t>
      </w:r>
      <w:r w:rsidRPr="00887C03">
        <w:rPr>
          <w:rFonts w:ascii="Arial" w:eastAsiaTheme="minorEastAsia" w:hAnsi="Arial" w:cs="Arial"/>
          <w:b/>
          <w:bCs/>
          <w:sz w:val="24"/>
          <w:szCs w:val="24"/>
          <w:shd w:val="clear" w:color="auto" w:fill="FFFFFF"/>
        </w:rPr>
        <w:t> </w:t>
      </w:r>
      <w:r w:rsidRPr="00887C03"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dokumentu wraz z </w:t>
      </w:r>
      <w:r w:rsidRPr="00887C03">
        <w:rPr>
          <w:rFonts w:ascii="Arial" w:eastAsiaTheme="minorEastAsia" w:hAnsi="Arial" w:cs="Arial"/>
          <w:sz w:val="24"/>
          <w:szCs w:val="24"/>
          <w:shd w:val="clear" w:color="auto" w:fill="FFFFFF"/>
        </w:rPr>
        <w:t>tłumaczeniem, powinny być pełne…”</w:t>
      </w:r>
    </w:p>
    <w:p w:rsidR="00585DD2" w:rsidRPr="00CB1996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FF0000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Dodatkowo w zakresie poprawności prowadzenia repertorium stwierdzono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następujące powtarzające się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uchybienia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, wynikające z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nierzetelnego prowadzenia repertorium: </w:t>
      </w:r>
    </w:p>
    <w:p w:rsidR="00CB1996" w:rsidRDefault="00BC0396" w:rsidP="00DF50B8">
      <w:pPr>
        <w:pStyle w:val="Akapitzlist"/>
        <w:numPr>
          <w:ilvl w:val="0"/>
          <w:numId w:val="9"/>
        </w:numPr>
        <w:spacing w:before="120" w:after="120" w:line="360" w:lineRule="auto"/>
        <w:ind w:left="851" w:hanging="284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kolumnie „Nazwisko (nazwa) i adres zleceniodawcy”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stosowan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o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znak powtórzenia tekstu,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zaś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w wierszu nr 142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wy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stąpił </w:t>
      </w:r>
      <w:r w:rsidRPr="00887C03">
        <w:rPr>
          <w:rFonts w:ascii="Arial" w:eastAsiaTheme="minorEastAsia" w:hAnsi="Arial" w:cs="Arial"/>
          <w:sz w:val="24"/>
          <w:szCs w:val="24"/>
        </w:rPr>
        <w:t xml:space="preserve">brak </w:t>
      </w:r>
      <w:r w:rsidRPr="00887C03">
        <w:rPr>
          <w:rFonts w:ascii="Arial" w:eastAsiaTheme="minorEastAsia" w:hAnsi="Arial" w:cs="Arial"/>
          <w:sz w:val="24"/>
          <w:szCs w:val="24"/>
        </w:rPr>
        <w:t xml:space="preserve">zapisu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imienia zleceniodawcy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. </w:t>
      </w:r>
    </w:p>
    <w:p w:rsidR="00DF50B8" w:rsidRPr="005B1128" w:rsidRDefault="00BC0396" w:rsidP="005B1128">
      <w:pPr>
        <w:spacing w:before="120" w:after="12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B1128">
        <w:rPr>
          <w:rFonts w:ascii="Arial" w:eastAsiaTheme="minorEastAsia" w:hAnsi="Arial" w:cs="Arial"/>
          <w:sz w:val="24"/>
          <w:szCs w:val="24"/>
        </w:rPr>
        <w:t>KOZT</w:t>
      </w:r>
      <w:r w:rsidRPr="005B1128">
        <w:rPr>
          <w:rFonts w:ascii="Arial" w:eastAsiaTheme="minorEastAsia" w:hAnsi="Arial" w:cs="Arial"/>
          <w:sz w:val="24"/>
          <w:szCs w:val="24"/>
        </w:rPr>
        <w:t xml:space="preserve"> </w:t>
      </w:r>
      <w:r w:rsidRPr="005B1128">
        <w:rPr>
          <w:rFonts w:ascii="Arial" w:eastAsiaTheme="minorEastAsia" w:hAnsi="Arial" w:cs="Arial"/>
          <w:sz w:val="24"/>
          <w:szCs w:val="24"/>
        </w:rPr>
        <w:t>sprecyzowała</w:t>
      </w:r>
      <w:r w:rsidRPr="005B1128">
        <w:rPr>
          <w:rFonts w:ascii="Arial" w:eastAsiaTheme="minorEastAsia" w:hAnsi="Arial" w:cs="Arial"/>
          <w:sz w:val="24"/>
          <w:szCs w:val="24"/>
        </w:rPr>
        <w:t xml:space="preserve">, </w:t>
      </w:r>
      <w:r w:rsidRPr="005B1128">
        <w:rPr>
          <w:rFonts w:ascii="Arial" w:eastAsiaTheme="minorEastAsia" w:hAnsi="Arial" w:cs="Arial"/>
          <w:color w:val="000000" w:themeColor="text1"/>
          <w:sz w:val="24"/>
          <w:szCs w:val="24"/>
        </w:rPr>
        <w:t>iż w czę</w:t>
      </w:r>
      <w:r w:rsidRPr="005B1128">
        <w:rPr>
          <w:rFonts w:ascii="Arial" w:eastAsiaTheme="minorEastAsia" w:hAnsi="Arial" w:cs="Arial"/>
          <w:color w:val="000000" w:themeColor="text1"/>
          <w:sz w:val="24"/>
          <w:szCs w:val="24"/>
        </w:rPr>
        <w:t>ści</w:t>
      </w:r>
      <w:r w:rsidRPr="005B112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„</w:t>
      </w:r>
      <w:r w:rsidRPr="005B1128">
        <w:rPr>
          <w:rFonts w:ascii="Arial" w:eastAsiaTheme="minorEastAsia" w:hAnsi="Arial" w:cs="Arial"/>
          <w:bCs/>
          <w:color w:val="000000" w:themeColor="text1"/>
          <w:sz w:val="24"/>
          <w:szCs w:val="24"/>
          <w:shd w:val="clear" w:color="auto" w:fill="FFFFFF"/>
        </w:rPr>
        <w:t>Oznaczenie zleceniodawcy albo zamawiającego wykonanie oznaczonego tłumaczenia</w:t>
      </w:r>
      <w:r w:rsidRPr="005B1128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- …termin „oznaczenie” należy rozumieć wyłącznie jako imię i nazwisko osoby fizycznej lub nazwę osoby prawnej lub podmiotu nieposiadającego osobowości prawnej. Można podać imię i nazwisko osoby będącej przedstawicielem osoby prawnej lub podmiotu nieposiad</w:t>
      </w:r>
      <w:r w:rsidRPr="005B1128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ającego osobowości prawnej…”.</w:t>
      </w:r>
    </w:p>
    <w:p w:rsidR="008768DB" w:rsidRPr="00DF50B8" w:rsidRDefault="00BC0396" w:rsidP="00DF50B8">
      <w:pPr>
        <w:pStyle w:val="Akapitzlist"/>
        <w:numPr>
          <w:ilvl w:val="0"/>
          <w:numId w:val="9"/>
        </w:numPr>
        <w:spacing w:before="120" w:after="120" w:line="360" w:lineRule="auto"/>
        <w:ind w:left="851" w:hanging="284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DF50B8">
        <w:rPr>
          <w:rFonts w:ascii="Arial" w:eastAsiaTheme="minorEastAsia" w:hAnsi="Arial" w:cs="Arial"/>
          <w:color w:val="000000" w:themeColor="text1"/>
          <w:sz w:val="24"/>
          <w:szCs w:val="24"/>
        </w:rPr>
        <w:t>Cz</w:t>
      </w:r>
      <w:r w:rsidRPr="00DF50B8">
        <w:rPr>
          <w:rFonts w:ascii="Arial" w:eastAsiaTheme="minorEastAsia" w:hAnsi="Arial" w:cs="Arial"/>
          <w:color w:val="000000" w:themeColor="text1"/>
          <w:sz w:val="24"/>
          <w:szCs w:val="24"/>
        </w:rPr>
        <w:t>ęś</w:t>
      </w:r>
      <w:r w:rsidRPr="00DF50B8">
        <w:rPr>
          <w:rFonts w:ascii="Arial" w:eastAsiaTheme="minorEastAsia" w:hAnsi="Arial" w:cs="Arial"/>
          <w:color w:val="000000" w:themeColor="text1"/>
          <w:sz w:val="24"/>
          <w:szCs w:val="24"/>
        </w:rPr>
        <w:t>ć</w:t>
      </w:r>
      <w:r w:rsidRPr="00DF50B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dotycząc</w:t>
      </w:r>
      <w:r w:rsidRPr="00DF50B8">
        <w:rPr>
          <w:rFonts w:ascii="Arial" w:eastAsiaTheme="minorEastAsia" w:hAnsi="Arial" w:cs="Arial"/>
          <w:color w:val="000000" w:themeColor="text1"/>
          <w:sz w:val="24"/>
          <w:szCs w:val="24"/>
        </w:rPr>
        <w:t>a</w:t>
      </w:r>
      <w:r w:rsidRPr="00DF50B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opisu tłumaczonego dokumentu, </w:t>
      </w:r>
      <w:r w:rsidRPr="00DF50B8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zawiera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uchybienia </w:t>
      </w:r>
      <w:r w:rsidRPr="00DF50B8">
        <w:rPr>
          <w:rFonts w:ascii="Arial" w:eastAsiaTheme="minorEastAsia" w:hAnsi="Arial" w:cs="Arial"/>
          <w:color w:val="000000" w:themeColor="text1"/>
          <w:sz w:val="24"/>
          <w:szCs w:val="24"/>
        </w:rPr>
        <w:t>zlokalizowane w trzech kolumnach:</w:t>
      </w:r>
    </w:p>
    <w:p w:rsidR="005B1128" w:rsidRPr="005B1128" w:rsidRDefault="00BC0396" w:rsidP="00BA061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357E33">
        <w:rPr>
          <w:rFonts w:ascii="Arial" w:eastAsiaTheme="minorEastAsia" w:hAnsi="Arial" w:cs="Arial"/>
        </w:rPr>
        <w:lastRenderedPageBreak/>
        <w:t>„</w:t>
      </w:r>
      <w:r w:rsidRPr="00357E33">
        <w:rPr>
          <w:rFonts w:ascii="Arial" w:eastAsiaTheme="minorEastAsia" w:hAnsi="Arial" w:cs="Arial"/>
        </w:rPr>
        <w:t>N</w:t>
      </w:r>
      <w:r w:rsidRPr="00357E33">
        <w:rPr>
          <w:rFonts w:ascii="Arial" w:eastAsiaTheme="minorEastAsia" w:hAnsi="Arial" w:cs="Arial"/>
        </w:rPr>
        <w:t>azwa, data i numer dokumentu”</w:t>
      </w:r>
      <w:r w:rsidRPr="00357E33">
        <w:rPr>
          <w:rFonts w:ascii="Arial" w:eastAsiaTheme="minorEastAsia" w:hAnsi="Arial" w:cs="Arial"/>
        </w:rPr>
        <w:t xml:space="preserve"> – podobnie jak w pkt 1, kolumna ta zawiera </w:t>
      </w:r>
      <w:r w:rsidRPr="00357E33">
        <w:rPr>
          <w:rFonts w:ascii="Arial" w:eastAsiaTheme="minorEastAsia" w:hAnsi="Arial" w:cs="Arial"/>
        </w:rPr>
        <w:t>znak</w:t>
      </w:r>
      <w:r w:rsidRPr="00357E33">
        <w:rPr>
          <w:rFonts w:ascii="Arial" w:eastAsiaTheme="minorEastAsia" w:hAnsi="Arial" w:cs="Arial"/>
        </w:rPr>
        <w:t xml:space="preserve"> powtórzenia tekstu. Ponadto</w:t>
      </w:r>
      <w:r w:rsidRPr="00357E33">
        <w:rPr>
          <w:rFonts w:ascii="Arial" w:eastAsiaTheme="minorEastAsia" w:hAnsi="Arial" w:cs="Arial"/>
        </w:rPr>
        <w:t xml:space="preserve"> w 34</w:t>
      </w:r>
      <w:r w:rsidRPr="00357E33">
        <w:rPr>
          <w:rFonts w:ascii="Arial" w:eastAsiaTheme="minorEastAsia" w:hAnsi="Arial" w:cs="Arial"/>
        </w:rPr>
        <w:t xml:space="preserve"> </w:t>
      </w:r>
      <w:r w:rsidRPr="00357E33">
        <w:rPr>
          <w:rFonts w:ascii="Arial" w:eastAsiaTheme="minorEastAsia" w:hAnsi="Arial" w:cs="Arial"/>
        </w:rPr>
        <w:t xml:space="preserve">przypadkach </w:t>
      </w:r>
      <w:r w:rsidRPr="00357E33">
        <w:rPr>
          <w:rFonts w:ascii="Arial" w:eastAsiaTheme="minorEastAsia" w:hAnsi="Arial" w:cs="Arial"/>
        </w:rPr>
        <w:t>nie została</w:t>
      </w:r>
      <w:r w:rsidRPr="00357E33">
        <w:rPr>
          <w:rFonts w:ascii="Arial" w:eastAsiaTheme="minorEastAsia" w:hAnsi="Arial" w:cs="Arial"/>
        </w:rPr>
        <w:t xml:space="preserve"> uzupełniana </w:t>
      </w:r>
      <w:r w:rsidRPr="00357E33">
        <w:rPr>
          <w:rFonts w:ascii="Arial" w:eastAsiaTheme="minorEastAsia" w:hAnsi="Arial" w:cs="Arial"/>
        </w:rPr>
        <w:t>data lub</w:t>
      </w:r>
      <w:r w:rsidRPr="00357E33">
        <w:rPr>
          <w:rFonts w:ascii="Arial" w:eastAsiaTheme="minorEastAsia" w:hAnsi="Arial" w:cs="Arial"/>
        </w:rPr>
        <w:t xml:space="preserve"> numer dokumentu</w:t>
      </w:r>
      <w:r>
        <w:rPr>
          <w:rFonts w:ascii="Arial" w:eastAsiaTheme="minorEastAsia" w:hAnsi="Arial" w:cs="Arial"/>
        </w:rPr>
        <w:t>.</w:t>
      </w:r>
      <w:r w:rsidRPr="00357E33">
        <w:rPr>
          <w:rFonts w:ascii="Arial" w:eastAsiaTheme="minorEastAsia" w:hAnsi="Arial" w:cs="Arial"/>
        </w:rPr>
        <w:t xml:space="preserve"> </w:t>
      </w:r>
    </w:p>
    <w:p w:rsidR="00930E43" w:rsidRPr="00357E33" w:rsidRDefault="00BC0396" w:rsidP="005B112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</w:rPr>
        <w:t>KOZT zaleca</w:t>
      </w:r>
      <w:r>
        <w:rPr>
          <w:rFonts w:ascii="Arial" w:eastAsiaTheme="minorEastAsia" w:hAnsi="Arial" w:cs="Arial"/>
        </w:rPr>
        <w:t>:</w:t>
      </w:r>
      <w:r w:rsidRPr="00357E33">
        <w:rPr>
          <w:rFonts w:ascii="Arial" w:eastAsiaTheme="minorEastAsia" w:hAnsi="Arial" w:cs="Arial"/>
        </w:rPr>
        <w:t xml:space="preserve"> </w:t>
      </w:r>
      <w:r w:rsidRPr="00357E33">
        <w:rPr>
          <w:rFonts w:ascii="Arial" w:hAnsi="Arial" w:cs="Arial"/>
          <w:b/>
        </w:rPr>
        <w:t>„</w:t>
      </w:r>
      <w:r w:rsidRPr="005B1128">
        <w:rPr>
          <w:rFonts w:ascii="Arial" w:hAnsi="Arial" w:cs="Arial"/>
        </w:rPr>
        <w:t>d</w:t>
      </w:r>
      <w:r w:rsidRPr="00357E33">
        <w:rPr>
          <w:rStyle w:val="Pogrubienie"/>
          <w:rFonts w:ascii="Arial" w:hAnsi="Arial" w:cs="Arial"/>
          <w:b w:val="0"/>
        </w:rPr>
        <w:t>ata dokumentu</w:t>
      </w:r>
      <w:r w:rsidRPr="00357E33">
        <w:rPr>
          <w:rFonts w:ascii="Arial" w:hAnsi="Arial" w:cs="Arial"/>
        </w:rPr>
        <w:t>, podobnie jak w innych rubrykach, powinna być pełna i podana</w:t>
      </w:r>
      <w:r w:rsidRPr="00357E33">
        <w:rPr>
          <w:rFonts w:ascii="Arial" w:hAnsi="Arial" w:cs="Arial"/>
        </w:rPr>
        <w:t xml:space="preserve"> </w:t>
      </w:r>
      <w:r w:rsidRPr="00357E33">
        <w:rPr>
          <w:rFonts w:ascii="Arial" w:hAnsi="Arial" w:cs="Arial"/>
        </w:rPr>
        <w:t>zgodnie ze zwyczajem zapisu dat w Polsce.</w:t>
      </w:r>
      <w:r w:rsidRPr="00357E33">
        <w:rPr>
          <w:rFonts w:ascii="Arial" w:hAnsi="Arial" w:cs="Arial"/>
        </w:rPr>
        <w:t xml:space="preserve"> </w:t>
      </w:r>
      <w:r w:rsidRPr="00357E33">
        <w:rPr>
          <w:rFonts w:ascii="Arial" w:hAnsi="Arial" w:cs="Arial"/>
        </w:rPr>
        <w:t xml:space="preserve">Natomiast </w:t>
      </w:r>
      <w:r w:rsidRPr="00357E33">
        <w:rPr>
          <w:rFonts w:ascii="Arial" w:hAnsi="Arial" w:cs="Arial"/>
        </w:rPr>
        <w:t>(…)</w:t>
      </w:r>
      <w:r w:rsidRPr="00357E33">
        <w:rPr>
          <w:rFonts w:ascii="Arial" w:hAnsi="Arial" w:cs="Arial"/>
        </w:rPr>
        <w:t xml:space="preserve"> numer dokumentu może być w tej rubryce wpisany jako oznacze</w:t>
      </w:r>
      <w:r w:rsidRPr="00357E33">
        <w:rPr>
          <w:rFonts w:ascii="Arial" w:hAnsi="Arial" w:cs="Arial"/>
        </w:rPr>
        <w:t>nie dokumentu, jeśli dokument jest opatrzony numerem, jeśli jednak dokument nie ma swojego numeru – należy wpisać każde inne oznaczenie, na przykład składające się</w:t>
      </w:r>
      <w:r w:rsidRPr="00357E33">
        <w:rPr>
          <w:rFonts w:ascii="Arial" w:hAnsi="Arial" w:cs="Arial"/>
        </w:rPr>
        <w:t xml:space="preserve"> </w:t>
      </w:r>
      <w:r w:rsidRPr="00357E33">
        <w:rPr>
          <w:rFonts w:ascii="Arial" w:hAnsi="Arial" w:cs="Arial"/>
        </w:rPr>
        <w:t xml:space="preserve">z samych liter lub liter i cyfr. W razie braku daty lub oznaczenia dokumentu, należy ten </w:t>
      </w:r>
      <w:r w:rsidRPr="00357E33">
        <w:rPr>
          <w:rFonts w:ascii="Arial" w:hAnsi="Arial" w:cs="Arial"/>
        </w:rPr>
        <w:t>fakt odnotować zwrotem „bez oznaczenia” lub skrótami „b.d.” albo „b.o.”.</w:t>
      </w:r>
      <w:r w:rsidRPr="00357E33">
        <w:rPr>
          <w:rFonts w:ascii="Arial" w:hAnsi="Arial" w:cs="Arial"/>
        </w:rPr>
        <w:t>”</w:t>
      </w:r>
    </w:p>
    <w:p w:rsidR="00CB1996" w:rsidRDefault="00BC0396" w:rsidP="00BA061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357E33">
        <w:rPr>
          <w:rFonts w:ascii="Arial" w:eastAsiaTheme="minorEastAsia" w:hAnsi="Arial" w:cs="Arial"/>
        </w:rPr>
        <w:t>„Osoba lub instytucja, która sporządziła dokument” –</w:t>
      </w:r>
      <w:r w:rsidRPr="00357E33">
        <w:rPr>
          <w:rFonts w:ascii="Arial" w:hAnsi="Arial" w:cs="Arial"/>
        </w:rPr>
        <w:t xml:space="preserve"> tak jak w poprzednich kolumnach, uchybieniem w tej części jest wpisywanie znaku powtórzenia </w:t>
      </w:r>
      <w:r w:rsidRPr="00357E33">
        <w:rPr>
          <w:rFonts w:ascii="Arial" w:hAnsi="Arial" w:cs="Arial"/>
        </w:rPr>
        <w:br/>
      </w:r>
      <w:r w:rsidRPr="00357E33">
        <w:rPr>
          <w:rFonts w:ascii="Arial" w:hAnsi="Arial" w:cs="Arial"/>
        </w:rPr>
        <w:t>w rubryki.</w:t>
      </w:r>
      <w:r w:rsidRPr="00357E33">
        <w:rPr>
          <w:rFonts w:ascii="Arial" w:hAnsi="Arial" w:cs="Arial"/>
        </w:rPr>
        <w:t xml:space="preserve"> </w:t>
      </w:r>
    </w:p>
    <w:p w:rsidR="00CB1996" w:rsidRDefault="00BC0396" w:rsidP="00BA061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357E33">
        <w:rPr>
          <w:rFonts w:ascii="Arial" w:hAnsi="Arial" w:cs="Arial"/>
        </w:rPr>
        <w:t xml:space="preserve"> </w:t>
      </w:r>
      <w:r w:rsidRPr="00357E33">
        <w:rPr>
          <w:rFonts w:ascii="Arial" w:hAnsi="Arial" w:cs="Arial"/>
        </w:rPr>
        <w:t>„Uwagi o rodzaju treści</w:t>
      </w:r>
      <w:r w:rsidRPr="00357E33">
        <w:rPr>
          <w:rFonts w:ascii="Arial" w:hAnsi="Arial" w:cs="Arial"/>
        </w:rPr>
        <w:t xml:space="preserve">, o formie i stanie dokumentu” – kolumna ta, w każdym zbadanym przypadku, nie została uzupełniona przez tłumacza przysięgłego. </w:t>
      </w:r>
    </w:p>
    <w:p w:rsidR="00B9140E" w:rsidRPr="00357E33" w:rsidRDefault="00BC0396" w:rsidP="005B112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KOZT rekomenduje </w:t>
      </w:r>
      <w:r>
        <w:rPr>
          <w:rFonts w:ascii="Arial" w:hAnsi="Arial" w:cs="Arial"/>
        </w:rPr>
        <w:t>aby</w:t>
      </w:r>
      <w:r w:rsidRPr="00357E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357E33">
        <w:rPr>
          <w:rFonts w:ascii="Arial" w:eastAsiaTheme="minorEastAsia" w:hAnsi="Arial" w:cs="Arial"/>
          <w:shd w:val="clear" w:color="auto" w:fill="FFFFFF"/>
        </w:rPr>
        <w:t>awsze w tej rubryce stwierdzić, czy dokument jest</w:t>
      </w:r>
      <w:r w:rsidRPr="00357E33">
        <w:rPr>
          <w:rFonts w:ascii="Arial" w:eastAsiaTheme="minorEastAsia" w:hAnsi="Arial" w:cs="Arial"/>
        </w:rPr>
        <w:t xml:space="preserve"> </w:t>
      </w:r>
      <w:r w:rsidRPr="00357E33">
        <w:rPr>
          <w:rFonts w:ascii="Arial" w:eastAsiaTheme="minorEastAsia" w:hAnsi="Arial" w:cs="Arial"/>
          <w:shd w:val="clear" w:color="auto" w:fill="FFFFFF"/>
        </w:rPr>
        <w:t>w formie oryginału lub tekstu niesygnowanego.</w:t>
      </w:r>
    </w:p>
    <w:p w:rsidR="00585DD2" w:rsidRPr="00357E33" w:rsidRDefault="00BC0396" w:rsidP="00DF50B8">
      <w:pPr>
        <w:autoSpaceDE w:val="0"/>
        <w:autoSpaceDN w:val="0"/>
        <w:adjustRightInd w:val="0"/>
        <w:spacing w:line="360" w:lineRule="auto"/>
        <w:ind w:firstLine="567"/>
        <w:rPr>
          <w:rFonts w:ascii="Arial" w:eastAsiaTheme="minorHAnsi" w:hAnsi="Arial" w:cs="Arial"/>
          <w:sz w:val="24"/>
          <w:szCs w:val="24"/>
          <w:lang w:eastAsia="en-US"/>
        </w:rPr>
      </w:pPr>
      <w:r w:rsidRPr="00357E33">
        <w:rPr>
          <w:rFonts w:ascii="Arial" w:eastAsiaTheme="minorHAnsi" w:hAnsi="Arial" w:cs="Arial"/>
          <w:sz w:val="24"/>
          <w:szCs w:val="24"/>
          <w:lang w:eastAsia="en-US"/>
        </w:rPr>
        <w:t>Reasumując</w:t>
      </w:r>
      <w:r w:rsidRPr="00357E33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357E33">
        <w:rPr>
          <w:rFonts w:ascii="Arial" w:eastAsiaTheme="minorHAnsi" w:hAnsi="Arial" w:cs="Arial"/>
          <w:sz w:val="24"/>
          <w:szCs w:val="24"/>
          <w:lang w:eastAsia="en-US"/>
        </w:rPr>
        <w:t>w materiale zbadanym przez zespół kontrolerów stwierdzono nieprawidłowoś</w:t>
      </w:r>
      <w:r>
        <w:rPr>
          <w:rFonts w:ascii="Arial" w:eastAsiaTheme="minorHAnsi" w:hAnsi="Arial" w:cs="Arial"/>
          <w:sz w:val="24"/>
          <w:szCs w:val="24"/>
          <w:lang w:eastAsia="en-US"/>
        </w:rPr>
        <w:t>ci</w:t>
      </w:r>
      <w:r w:rsidRPr="00357E33">
        <w:rPr>
          <w:rFonts w:ascii="Arial" w:eastAsiaTheme="minorHAnsi" w:hAnsi="Arial" w:cs="Arial"/>
          <w:sz w:val="24"/>
          <w:szCs w:val="24"/>
          <w:lang w:eastAsia="en-US"/>
        </w:rPr>
        <w:t xml:space="preserve"> oraz uchybienia, które miały charakter powtarzalny, ale nie miały</w:t>
      </w:r>
      <w:r w:rsidRPr="00357E3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357E33">
        <w:rPr>
          <w:rFonts w:ascii="Arial" w:hAnsi="Arial" w:cs="Arial"/>
          <w:sz w:val="24"/>
          <w:szCs w:val="24"/>
        </w:rPr>
        <w:t>one zasadniczego wpływu na kontrolowaną działalność</w:t>
      </w:r>
      <w:r w:rsidRPr="00357E33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585DD2" w:rsidRPr="00516F3D" w:rsidRDefault="00BC0396" w:rsidP="00DF50B8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eastAsiaTheme="minorEastAsia" w:hAnsi="Arial" w:cs="Arial"/>
          <w:b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 xml:space="preserve">Zakres, przyczyny i skutki stwierdzonych nieprawidłowości </w:t>
      </w:r>
      <w:r w:rsidRPr="00516F3D">
        <w:rPr>
          <w:rFonts w:ascii="Arial" w:eastAsiaTheme="minorEastAsia" w:hAnsi="Arial" w:cs="Arial"/>
          <w:b/>
          <w:bCs/>
          <w:color w:val="000000" w:themeColor="text1"/>
          <w:sz w:val="24"/>
          <w:szCs w:val="24"/>
        </w:rPr>
        <w:t>oraz osoby odpowiedzialne za nieprawidłowości.</w:t>
      </w:r>
    </w:p>
    <w:p w:rsidR="00585DD2" w:rsidRPr="00516F3D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W wyniku kontroli ujawniono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nieprawidłowoś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ć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oraz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uchybienia w prowadzeniu repertorium w zakresie stosowania art. 17 ust. 2 ustawy o zawodzie tłumacza przysięgłego.</w:t>
      </w:r>
    </w:p>
    <w:p w:rsidR="00585DD2" w:rsidRPr="00516F3D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Za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ich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przyczynę uznano niezachowanie należytej staranności przy odnotowywaniu wymaganych danych w prowadzonym repertorium. </w:t>
      </w:r>
    </w:p>
    <w:p w:rsidR="00585DD2" w:rsidRPr="00516F3D" w:rsidRDefault="00BC0396" w:rsidP="00BA0610">
      <w:pPr>
        <w:spacing w:before="120" w:after="120" w:line="360" w:lineRule="auto"/>
        <w:ind w:firstLine="567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Skutkiem 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natomiast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jest odstępstwo od stanu pożądanego w postaci </w:t>
      </w:r>
      <w:r w:rsidRPr="00DF50B8">
        <w:rPr>
          <w:rFonts w:ascii="Arial" w:eastAsiaTheme="minorEastAsia" w:hAnsi="Arial" w:cs="Arial"/>
          <w:sz w:val="24"/>
          <w:szCs w:val="24"/>
        </w:rPr>
        <w:t>nierzetelnego</w:t>
      </w:r>
      <w:r w:rsidRPr="00DF50B8">
        <w:rPr>
          <w:rFonts w:ascii="Arial" w:eastAsiaTheme="minorEastAsia" w:hAnsi="Arial" w:cs="Arial"/>
          <w:sz w:val="24"/>
          <w:szCs w:val="24"/>
        </w:rPr>
        <w:t xml:space="preserve"> dokonywania wpisów</w:t>
      </w:r>
      <w:r w:rsidRPr="00DF50B8">
        <w:rPr>
          <w:rFonts w:ascii="Arial" w:eastAsiaTheme="minorEastAsia" w:hAnsi="Arial" w:cs="Arial"/>
          <w:sz w:val="24"/>
          <w:szCs w:val="24"/>
        </w:rPr>
        <w:t xml:space="preserve">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w repertorium poprzez stosowanie znaku p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owtórzenia tekstu w kolumnie, a także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niewypełnianie rubryk dotyczących daty zwrotu dokumentu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.</w:t>
      </w:r>
    </w:p>
    <w:p w:rsidR="00585DD2" w:rsidRPr="00516F3D" w:rsidRDefault="00BC0396" w:rsidP="00DF50B8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516F3D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585DD2" w:rsidRPr="00516F3D" w:rsidRDefault="00BC0396" w:rsidP="00BA0610">
      <w:pPr>
        <w:spacing w:before="120" w:after="120" w:line="360" w:lineRule="auto"/>
        <w:ind w:firstLine="210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związku z ustaleniami kontroli zalecam: </w:t>
      </w:r>
    </w:p>
    <w:p w:rsidR="00585DD2" w:rsidRDefault="00BC0396" w:rsidP="00BA0610">
      <w:pPr>
        <w:numPr>
          <w:ilvl w:val="0"/>
          <w:numId w:val="7"/>
        </w:numPr>
        <w:spacing w:before="120" w:after="120" w:line="36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lastRenderedPageBreak/>
        <w:t xml:space="preserve">Rzetelne prowadzenie repertorium dla każdej wykonanej czynności tłumaczenia poprzez wypełnianie każdej rubryki repertorium,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w tym także </w:t>
      </w:r>
      <w:r w:rsidRPr="00516F3D">
        <w:rPr>
          <w:rFonts w:ascii="Arial" w:eastAsiaTheme="minorEastAsia" w:hAnsi="Arial" w:cs="Arial"/>
          <w:color w:val="000000" w:themeColor="text1"/>
          <w:sz w:val="24"/>
          <w:szCs w:val="24"/>
        </w:rPr>
        <w:t>niestosowanie znaku powtórzenia.</w:t>
      </w:r>
    </w:p>
    <w:p w:rsidR="00DF50B8" w:rsidRPr="00357E33" w:rsidRDefault="00BC0396" w:rsidP="00DF50B8">
      <w:pPr>
        <w:numPr>
          <w:ilvl w:val="0"/>
          <w:numId w:val="5"/>
        </w:numPr>
        <w:spacing w:before="240" w:after="240" w:line="360" w:lineRule="auto"/>
        <w:ind w:left="709" w:hanging="709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>Na podstawie art. 49 oraz art. 52 ust. 1 ustawy z dnia 15 lipca 2011 r. o kontroli</w:t>
      </w:r>
    </w:p>
    <w:p w:rsidR="00585DD2" w:rsidRPr="00357E33" w:rsidRDefault="00BC0396" w:rsidP="00357E33">
      <w:pPr>
        <w:spacing w:before="240" w:after="240" w:line="360" w:lineRule="auto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>w ad</w:t>
      </w: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ministracji rządowej (tj. Dz.U. z 2020 r., poz. 224), proszę o przekazanie pisemnej informacji o sposobie wykonania zaleceń, wykorzystaniu wniosków lub przyczynach ich niewykorzystania, o podjętych działaniach lub przyczynach ich niepodjęcia, </w:t>
      </w: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albo o innym </w:t>
      </w: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sposobie usunięcia </w:t>
      </w: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stwierdzonych nieprawidłowości (uchybień), </w:t>
      </w: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w terminie 14 dni od dnia </w:t>
      </w: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>otrzymania niniejszego dokumentu.</w:t>
      </w:r>
    </w:p>
    <w:p w:rsidR="00A936F9" w:rsidRPr="00357E33" w:rsidRDefault="00BC0396" w:rsidP="00357E33">
      <w:pPr>
        <w:numPr>
          <w:ilvl w:val="0"/>
          <w:numId w:val="5"/>
        </w:numPr>
        <w:spacing w:before="240" w:after="240" w:line="360" w:lineRule="auto"/>
        <w:ind w:left="0" w:firstLine="0"/>
        <w:contextualSpacing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357E33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357E33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357E33">
        <w:rPr>
          <w:rFonts w:ascii="Arial" w:eastAsiaTheme="minorEastAsia" w:hAnsi="Arial" w:cs="Arial"/>
          <w:b/>
          <w:bCs/>
          <w:spacing w:val="-2"/>
          <w:sz w:val="24"/>
          <w:szCs w:val="24"/>
        </w:rPr>
        <w:t xml:space="preserve">52 ust. 5 </w:t>
      </w:r>
      <w:r w:rsidRPr="00357E33">
        <w:rPr>
          <w:rFonts w:ascii="Arial" w:eastAsiaTheme="minorEastAsia" w:hAnsi="Arial" w:cs="Arial"/>
          <w:b/>
          <w:iCs/>
          <w:spacing w:val="-2"/>
          <w:sz w:val="24"/>
          <w:szCs w:val="24"/>
        </w:rPr>
        <w:t xml:space="preserve">ustawy </w:t>
      </w:r>
      <w:r w:rsidRPr="00357E33">
        <w:rPr>
          <w:rFonts w:ascii="Arial" w:eastAsiaTheme="minorEastAsia" w:hAnsi="Arial" w:cs="Arial"/>
          <w:b/>
          <w:spacing w:val="-2"/>
          <w:sz w:val="24"/>
          <w:szCs w:val="24"/>
        </w:rPr>
        <w:t>o kontroli w administracji rządowej,</w:t>
      </w:r>
      <w:r w:rsidRPr="00357E33">
        <w:rPr>
          <w:rFonts w:ascii="Arial" w:eastAsiaTheme="minorEastAsia" w:hAnsi="Arial" w:cs="Arial"/>
          <w:sz w:val="24"/>
          <w:szCs w:val="24"/>
        </w:rPr>
        <w:t xml:space="preserve"> </w:t>
      </w:r>
      <w:r w:rsidRPr="00357E33">
        <w:rPr>
          <w:rFonts w:ascii="Arial" w:eastAsiaTheme="minorEastAsia" w:hAnsi="Arial" w:cs="Arial"/>
          <w:b/>
          <w:spacing w:val="-2"/>
          <w:sz w:val="24"/>
          <w:szCs w:val="24"/>
        </w:rPr>
        <w:t xml:space="preserve">kierownik jednostki kontrolowanej w terminie 3 dni roboczych od </w:t>
      </w:r>
      <w:r w:rsidRPr="00357E33">
        <w:rPr>
          <w:rFonts w:ascii="Arial" w:eastAsiaTheme="minorEastAsia" w:hAnsi="Arial" w:cs="Arial"/>
          <w:b/>
          <w:spacing w:val="-2"/>
          <w:sz w:val="24"/>
          <w:szCs w:val="24"/>
        </w:rPr>
        <w:t>dnia otrzymania sprawozdania ma prawo przedstawić do niego stanowisko. Przedstawienie stanowiska nie wstrzymuje realizacji ustaleń kontroli.</w:t>
      </w:r>
    </w:p>
    <w:p w:rsidR="00A74D53" w:rsidRPr="00E249A1" w:rsidRDefault="00BC0396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BC0396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4"/>
    </w:p>
    <w:p w:rsidR="00A74D53" w:rsidRPr="00E249A1" w:rsidRDefault="00BC0396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C65DE0" w:rsidRPr="00E31D03" w:rsidRDefault="00BC0396" w:rsidP="00E31D03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R="00C65DE0" w:rsidRPr="00E31D03" w:rsidSect="00000183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C0396">
      <w:r>
        <w:separator/>
      </w:r>
    </w:p>
  </w:endnote>
  <w:endnote w:type="continuationSeparator" w:id="0">
    <w:p w:rsidR="00000000" w:rsidRDefault="00BC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7A" w:rsidRDefault="00BC0396" w:rsidP="00585DD2">
      <w:r>
        <w:separator/>
      </w:r>
    </w:p>
  </w:footnote>
  <w:footnote w:type="continuationSeparator" w:id="0">
    <w:p w:rsidR="0096357A" w:rsidRDefault="00BC0396" w:rsidP="00585DD2">
      <w:r>
        <w:continuationSeparator/>
      </w:r>
    </w:p>
  </w:footnote>
  <w:footnote w:id="1">
    <w:p w:rsidR="00585DD2" w:rsidRPr="00C61DFB" w:rsidRDefault="00BC0396" w:rsidP="00585DD2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9405D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, dalej: ustawa o zawodzie tłumacza przysięgłego. </w:t>
      </w:r>
    </w:p>
  </w:footnote>
  <w:footnote w:id="2">
    <w:p w:rsidR="00585DD2" w:rsidRPr="005E2399" w:rsidRDefault="00BC0396" w:rsidP="00585DD2">
      <w:pPr>
        <w:pStyle w:val="Tekstprzypisudolnego"/>
        <w:rPr>
          <w:rStyle w:val="Hipercze"/>
        </w:rPr>
      </w:pPr>
      <w:r w:rsidRPr="005E2399">
        <w:rPr>
          <w:rStyle w:val="Odwoanieprzypisudolnego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hyperlink r:id="rId1" w:history="1">
        <w:r w:rsidRPr="005E2399">
          <w:rPr>
            <w:rStyle w:val="Hipercze"/>
          </w:rPr>
          <w:t>https://www.gov.pl/web/sprawiedliwosc/tlumacze-przysiegli</w:t>
        </w:r>
      </w:hyperlink>
      <w:r w:rsidRPr="005E2399">
        <w:rPr>
          <w:rStyle w:val="Hipercze"/>
        </w:rPr>
        <w:t>,</w:t>
      </w:r>
    </w:p>
    <w:p w:rsidR="00585DD2" w:rsidRPr="005E2399" w:rsidRDefault="00BC0396" w:rsidP="00585DD2">
      <w:pPr>
        <w:pStyle w:val="Tekstprzypisudolnego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3">
    <w:p w:rsidR="00585DD2" w:rsidRPr="0005007B" w:rsidRDefault="00BC0396" w:rsidP="00585DD2">
      <w:pPr>
        <w:pStyle w:val="Tekstprzypisudolnego"/>
        <w:rPr>
          <w:rFonts w:ascii="Arial" w:hAnsi="Arial" w:cs="Arial"/>
        </w:rPr>
      </w:pPr>
      <w:r w:rsidRPr="0005007B">
        <w:rPr>
          <w:rStyle w:val="Odwoanieprzypisudolnego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 xml:space="preserve">Wojewoda, w przypadku stwierdzenia niewykonywania czynności tłumacza </w:t>
      </w:r>
      <w:r w:rsidRPr="00A81205">
        <w:rPr>
          <w:rFonts w:ascii="Arial" w:hAnsi="Arial" w:cs="Arial"/>
          <w:shd w:val="clear" w:color="auto" w:fill="FFFFFF"/>
        </w:rPr>
        <w:t>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  <w:footnote w:id="4">
    <w:p w:rsidR="008C72F8" w:rsidRPr="0005007B" w:rsidRDefault="00BC0396" w:rsidP="008C72F8">
      <w:pPr>
        <w:pStyle w:val="Tekstprzypisudolnego"/>
        <w:rPr>
          <w:rFonts w:ascii="Arial" w:hAnsi="Arial" w:cs="Arial"/>
          <w:sz w:val="18"/>
          <w:szCs w:val="18"/>
        </w:rPr>
      </w:pPr>
      <w:r w:rsidRPr="0005007B">
        <w:rPr>
          <w:rStyle w:val="Odwoanieprzypisudolnego"/>
        </w:rPr>
        <w:footnoteRef/>
      </w:r>
      <w:r w:rsidRPr="0005007B">
        <w:rPr>
          <w:rFonts w:ascii="Arial" w:hAnsi="Arial" w:cs="Arial"/>
        </w:rPr>
        <w:t xml:space="preserve"> Udostępnionym na stronie internetowej </w:t>
      </w:r>
      <w:hyperlink r:id="rId2" w:history="1">
        <w:r w:rsidRPr="0005007B">
          <w:rPr>
            <w:rStyle w:val="Hipercze"/>
          </w:rPr>
          <w:t>www.gov.pl/web/sprawiedliwosc</w:t>
        </w:r>
      </w:hyperlink>
      <w:r w:rsidRPr="0005007B">
        <w:rPr>
          <w:rFonts w:ascii="Arial" w:hAnsi="Arial" w:cs="Arial"/>
        </w:rPr>
        <w:t>, w zakładce – Co robimy, podzakładce Dla o</w:t>
      </w:r>
      <w:r w:rsidRPr="0005007B">
        <w:rPr>
          <w:rFonts w:ascii="Arial" w:hAnsi="Arial" w:cs="Arial"/>
        </w:rPr>
        <w:t>bywateli » Tłumacze przysięgli » Komisja Odpowiedzialności Zawodowej Tłumaczy Przysięgłych</w:t>
      </w:r>
      <w:r>
        <w:rPr>
          <w:rFonts w:ascii="Arial" w:hAnsi="Arial" w:cs="Arial"/>
        </w:rPr>
        <w:t>, dalej KOZT.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77F"/>
    <w:multiLevelType w:val="hybridMultilevel"/>
    <w:tmpl w:val="05527E40"/>
    <w:lvl w:ilvl="0" w:tplc="B212D0B4">
      <w:start w:val="1"/>
      <w:numFmt w:val="decimal"/>
      <w:lvlText w:val="%1."/>
      <w:lvlJc w:val="left"/>
      <w:pPr>
        <w:ind w:left="-3138" w:hanging="360"/>
      </w:pPr>
    </w:lvl>
    <w:lvl w:ilvl="1" w:tplc="1138FE7C">
      <w:start w:val="1"/>
      <w:numFmt w:val="lowerLetter"/>
      <w:lvlText w:val="%2."/>
      <w:lvlJc w:val="left"/>
      <w:pPr>
        <w:ind w:left="-2418" w:hanging="360"/>
      </w:pPr>
    </w:lvl>
    <w:lvl w:ilvl="2" w:tplc="8CDC6588">
      <w:start w:val="1"/>
      <w:numFmt w:val="lowerRoman"/>
      <w:lvlText w:val="%3."/>
      <w:lvlJc w:val="right"/>
      <w:pPr>
        <w:ind w:left="-1698" w:hanging="180"/>
      </w:pPr>
    </w:lvl>
    <w:lvl w:ilvl="3" w:tplc="989AB9E2">
      <w:start w:val="1"/>
      <w:numFmt w:val="decimal"/>
      <w:lvlText w:val="%4."/>
      <w:lvlJc w:val="left"/>
      <w:pPr>
        <w:ind w:left="-978" w:hanging="360"/>
      </w:pPr>
    </w:lvl>
    <w:lvl w:ilvl="4" w:tplc="C23C1D42" w:tentative="1">
      <w:start w:val="1"/>
      <w:numFmt w:val="lowerLetter"/>
      <w:lvlText w:val="%5."/>
      <w:lvlJc w:val="left"/>
      <w:pPr>
        <w:ind w:left="-258" w:hanging="360"/>
      </w:pPr>
    </w:lvl>
    <w:lvl w:ilvl="5" w:tplc="E54C53B8" w:tentative="1">
      <w:start w:val="1"/>
      <w:numFmt w:val="lowerRoman"/>
      <w:lvlText w:val="%6."/>
      <w:lvlJc w:val="right"/>
      <w:pPr>
        <w:ind w:left="462" w:hanging="180"/>
      </w:pPr>
    </w:lvl>
    <w:lvl w:ilvl="6" w:tplc="1F789C24" w:tentative="1">
      <w:start w:val="1"/>
      <w:numFmt w:val="decimal"/>
      <w:lvlText w:val="%7."/>
      <w:lvlJc w:val="left"/>
      <w:pPr>
        <w:ind w:left="1182" w:hanging="360"/>
      </w:pPr>
    </w:lvl>
    <w:lvl w:ilvl="7" w:tplc="80687DC2" w:tentative="1">
      <w:start w:val="1"/>
      <w:numFmt w:val="lowerLetter"/>
      <w:lvlText w:val="%8."/>
      <w:lvlJc w:val="left"/>
      <w:pPr>
        <w:ind w:left="1902" w:hanging="360"/>
      </w:pPr>
    </w:lvl>
    <w:lvl w:ilvl="8" w:tplc="DDB29E2A" w:tentative="1">
      <w:start w:val="1"/>
      <w:numFmt w:val="lowerRoman"/>
      <w:lvlText w:val="%9."/>
      <w:lvlJc w:val="right"/>
      <w:pPr>
        <w:ind w:left="2622" w:hanging="180"/>
      </w:pPr>
    </w:lvl>
  </w:abstractNum>
  <w:abstractNum w:abstractNumId="1" w15:restartNumberingAfterBreak="0">
    <w:nsid w:val="07091603"/>
    <w:multiLevelType w:val="hybridMultilevel"/>
    <w:tmpl w:val="86B8C3E0"/>
    <w:lvl w:ilvl="0" w:tplc="5532B3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25EC3274" w:tentative="1">
      <w:start w:val="1"/>
      <w:numFmt w:val="lowerLetter"/>
      <w:lvlText w:val="%2."/>
      <w:lvlJc w:val="left"/>
      <w:pPr>
        <w:ind w:left="1440" w:hanging="360"/>
      </w:pPr>
    </w:lvl>
    <w:lvl w:ilvl="2" w:tplc="DEB6961C" w:tentative="1">
      <w:start w:val="1"/>
      <w:numFmt w:val="lowerRoman"/>
      <w:lvlText w:val="%3."/>
      <w:lvlJc w:val="right"/>
      <w:pPr>
        <w:ind w:left="2160" w:hanging="180"/>
      </w:pPr>
    </w:lvl>
    <w:lvl w:ilvl="3" w:tplc="448C07AE" w:tentative="1">
      <w:start w:val="1"/>
      <w:numFmt w:val="decimal"/>
      <w:lvlText w:val="%4."/>
      <w:lvlJc w:val="left"/>
      <w:pPr>
        <w:ind w:left="2880" w:hanging="360"/>
      </w:pPr>
    </w:lvl>
    <w:lvl w:ilvl="4" w:tplc="0D92D9D8" w:tentative="1">
      <w:start w:val="1"/>
      <w:numFmt w:val="lowerLetter"/>
      <w:lvlText w:val="%5."/>
      <w:lvlJc w:val="left"/>
      <w:pPr>
        <w:ind w:left="3600" w:hanging="360"/>
      </w:pPr>
    </w:lvl>
    <w:lvl w:ilvl="5" w:tplc="F58EFD76" w:tentative="1">
      <w:start w:val="1"/>
      <w:numFmt w:val="lowerRoman"/>
      <w:lvlText w:val="%6."/>
      <w:lvlJc w:val="right"/>
      <w:pPr>
        <w:ind w:left="4320" w:hanging="180"/>
      </w:pPr>
    </w:lvl>
    <w:lvl w:ilvl="6" w:tplc="379E2C06" w:tentative="1">
      <w:start w:val="1"/>
      <w:numFmt w:val="decimal"/>
      <w:lvlText w:val="%7."/>
      <w:lvlJc w:val="left"/>
      <w:pPr>
        <w:ind w:left="5040" w:hanging="360"/>
      </w:pPr>
    </w:lvl>
    <w:lvl w:ilvl="7" w:tplc="2A4627E6" w:tentative="1">
      <w:start w:val="1"/>
      <w:numFmt w:val="lowerLetter"/>
      <w:lvlText w:val="%8."/>
      <w:lvlJc w:val="left"/>
      <w:pPr>
        <w:ind w:left="5760" w:hanging="360"/>
      </w:pPr>
    </w:lvl>
    <w:lvl w:ilvl="8" w:tplc="09927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4958"/>
    <w:multiLevelType w:val="hybridMultilevel"/>
    <w:tmpl w:val="F574EFDA"/>
    <w:lvl w:ilvl="0" w:tplc="61B0373E">
      <w:start w:val="1"/>
      <w:numFmt w:val="lowerLetter"/>
      <w:lvlText w:val="%1)"/>
      <w:lvlJc w:val="left"/>
      <w:pPr>
        <w:ind w:left="927" w:hanging="360"/>
      </w:pPr>
    </w:lvl>
    <w:lvl w:ilvl="1" w:tplc="BB345E96" w:tentative="1">
      <w:start w:val="1"/>
      <w:numFmt w:val="lowerLetter"/>
      <w:lvlText w:val="%2."/>
      <w:lvlJc w:val="left"/>
      <w:pPr>
        <w:ind w:left="1647" w:hanging="360"/>
      </w:pPr>
    </w:lvl>
    <w:lvl w:ilvl="2" w:tplc="2166982E" w:tentative="1">
      <w:start w:val="1"/>
      <w:numFmt w:val="lowerRoman"/>
      <w:lvlText w:val="%3."/>
      <w:lvlJc w:val="right"/>
      <w:pPr>
        <w:ind w:left="2367" w:hanging="180"/>
      </w:pPr>
    </w:lvl>
    <w:lvl w:ilvl="3" w:tplc="B8A07F4E" w:tentative="1">
      <w:start w:val="1"/>
      <w:numFmt w:val="decimal"/>
      <w:lvlText w:val="%4."/>
      <w:lvlJc w:val="left"/>
      <w:pPr>
        <w:ind w:left="3087" w:hanging="360"/>
      </w:pPr>
    </w:lvl>
    <w:lvl w:ilvl="4" w:tplc="6A56E340" w:tentative="1">
      <w:start w:val="1"/>
      <w:numFmt w:val="lowerLetter"/>
      <w:lvlText w:val="%5."/>
      <w:lvlJc w:val="left"/>
      <w:pPr>
        <w:ind w:left="3807" w:hanging="360"/>
      </w:pPr>
    </w:lvl>
    <w:lvl w:ilvl="5" w:tplc="C8B446B2" w:tentative="1">
      <w:start w:val="1"/>
      <w:numFmt w:val="lowerRoman"/>
      <w:lvlText w:val="%6."/>
      <w:lvlJc w:val="right"/>
      <w:pPr>
        <w:ind w:left="4527" w:hanging="180"/>
      </w:pPr>
    </w:lvl>
    <w:lvl w:ilvl="6" w:tplc="9F621DD8" w:tentative="1">
      <w:start w:val="1"/>
      <w:numFmt w:val="decimal"/>
      <w:lvlText w:val="%7."/>
      <w:lvlJc w:val="left"/>
      <w:pPr>
        <w:ind w:left="5247" w:hanging="360"/>
      </w:pPr>
    </w:lvl>
    <w:lvl w:ilvl="7" w:tplc="3D2AD6B8" w:tentative="1">
      <w:start w:val="1"/>
      <w:numFmt w:val="lowerLetter"/>
      <w:lvlText w:val="%8."/>
      <w:lvlJc w:val="left"/>
      <w:pPr>
        <w:ind w:left="5967" w:hanging="360"/>
      </w:pPr>
    </w:lvl>
    <w:lvl w:ilvl="8" w:tplc="FEFCC2E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593D10"/>
    <w:multiLevelType w:val="hybridMultilevel"/>
    <w:tmpl w:val="49D4D142"/>
    <w:lvl w:ilvl="0" w:tplc="7FC6319C">
      <w:start w:val="1"/>
      <w:numFmt w:val="lowerLetter"/>
      <w:lvlText w:val="%1)"/>
      <w:lvlJc w:val="left"/>
      <w:pPr>
        <w:ind w:left="615" w:hanging="360"/>
      </w:pPr>
      <w:rPr>
        <w:b/>
      </w:rPr>
    </w:lvl>
    <w:lvl w:ilvl="1" w:tplc="A866BA26" w:tentative="1">
      <w:start w:val="1"/>
      <w:numFmt w:val="lowerLetter"/>
      <w:lvlText w:val="%2."/>
      <w:lvlJc w:val="left"/>
      <w:pPr>
        <w:ind w:left="1335" w:hanging="360"/>
      </w:pPr>
    </w:lvl>
    <w:lvl w:ilvl="2" w:tplc="F29010A4" w:tentative="1">
      <w:start w:val="1"/>
      <w:numFmt w:val="lowerRoman"/>
      <w:lvlText w:val="%3."/>
      <w:lvlJc w:val="right"/>
      <w:pPr>
        <w:ind w:left="2055" w:hanging="180"/>
      </w:pPr>
    </w:lvl>
    <w:lvl w:ilvl="3" w:tplc="AE1E56B4" w:tentative="1">
      <w:start w:val="1"/>
      <w:numFmt w:val="decimal"/>
      <w:lvlText w:val="%4."/>
      <w:lvlJc w:val="left"/>
      <w:pPr>
        <w:ind w:left="2775" w:hanging="360"/>
      </w:pPr>
    </w:lvl>
    <w:lvl w:ilvl="4" w:tplc="92CAEB4E" w:tentative="1">
      <w:start w:val="1"/>
      <w:numFmt w:val="lowerLetter"/>
      <w:lvlText w:val="%5."/>
      <w:lvlJc w:val="left"/>
      <w:pPr>
        <w:ind w:left="3495" w:hanging="360"/>
      </w:pPr>
    </w:lvl>
    <w:lvl w:ilvl="5" w:tplc="C5981158" w:tentative="1">
      <w:start w:val="1"/>
      <w:numFmt w:val="lowerRoman"/>
      <w:lvlText w:val="%6."/>
      <w:lvlJc w:val="right"/>
      <w:pPr>
        <w:ind w:left="4215" w:hanging="180"/>
      </w:pPr>
    </w:lvl>
    <w:lvl w:ilvl="6" w:tplc="B4B4150C" w:tentative="1">
      <w:start w:val="1"/>
      <w:numFmt w:val="decimal"/>
      <w:lvlText w:val="%7."/>
      <w:lvlJc w:val="left"/>
      <w:pPr>
        <w:ind w:left="4935" w:hanging="360"/>
      </w:pPr>
    </w:lvl>
    <w:lvl w:ilvl="7" w:tplc="C33088DC" w:tentative="1">
      <w:start w:val="1"/>
      <w:numFmt w:val="lowerLetter"/>
      <w:lvlText w:val="%8."/>
      <w:lvlJc w:val="left"/>
      <w:pPr>
        <w:ind w:left="5655" w:hanging="360"/>
      </w:pPr>
    </w:lvl>
    <w:lvl w:ilvl="8" w:tplc="C022700A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520336"/>
    <w:multiLevelType w:val="hybridMultilevel"/>
    <w:tmpl w:val="D1846BA6"/>
    <w:lvl w:ilvl="0" w:tplc="46CEC516">
      <w:start w:val="1"/>
      <w:numFmt w:val="lowerLetter"/>
      <w:lvlText w:val="%1)"/>
      <w:lvlJc w:val="left"/>
      <w:pPr>
        <w:ind w:left="1222" w:hanging="360"/>
      </w:pPr>
    </w:lvl>
    <w:lvl w:ilvl="1" w:tplc="845AD1F6" w:tentative="1">
      <w:start w:val="1"/>
      <w:numFmt w:val="lowerLetter"/>
      <w:lvlText w:val="%2."/>
      <w:lvlJc w:val="left"/>
      <w:pPr>
        <w:ind w:left="1942" w:hanging="360"/>
      </w:pPr>
    </w:lvl>
    <w:lvl w:ilvl="2" w:tplc="4E28D6A8" w:tentative="1">
      <w:start w:val="1"/>
      <w:numFmt w:val="lowerRoman"/>
      <w:lvlText w:val="%3."/>
      <w:lvlJc w:val="right"/>
      <w:pPr>
        <w:ind w:left="2662" w:hanging="180"/>
      </w:pPr>
    </w:lvl>
    <w:lvl w:ilvl="3" w:tplc="92AEBE90" w:tentative="1">
      <w:start w:val="1"/>
      <w:numFmt w:val="decimal"/>
      <w:lvlText w:val="%4."/>
      <w:lvlJc w:val="left"/>
      <w:pPr>
        <w:ind w:left="3382" w:hanging="360"/>
      </w:pPr>
    </w:lvl>
    <w:lvl w:ilvl="4" w:tplc="2D3A6B3A" w:tentative="1">
      <w:start w:val="1"/>
      <w:numFmt w:val="lowerLetter"/>
      <w:lvlText w:val="%5."/>
      <w:lvlJc w:val="left"/>
      <w:pPr>
        <w:ind w:left="4102" w:hanging="360"/>
      </w:pPr>
    </w:lvl>
    <w:lvl w:ilvl="5" w:tplc="0EAADAB6" w:tentative="1">
      <w:start w:val="1"/>
      <w:numFmt w:val="lowerRoman"/>
      <w:lvlText w:val="%6."/>
      <w:lvlJc w:val="right"/>
      <w:pPr>
        <w:ind w:left="4822" w:hanging="180"/>
      </w:pPr>
    </w:lvl>
    <w:lvl w:ilvl="6" w:tplc="21ECAA0A" w:tentative="1">
      <w:start w:val="1"/>
      <w:numFmt w:val="decimal"/>
      <w:lvlText w:val="%7."/>
      <w:lvlJc w:val="left"/>
      <w:pPr>
        <w:ind w:left="5542" w:hanging="360"/>
      </w:pPr>
    </w:lvl>
    <w:lvl w:ilvl="7" w:tplc="ABF675C0" w:tentative="1">
      <w:start w:val="1"/>
      <w:numFmt w:val="lowerLetter"/>
      <w:lvlText w:val="%8."/>
      <w:lvlJc w:val="left"/>
      <w:pPr>
        <w:ind w:left="6262" w:hanging="360"/>
      </w:pPr>
    </w:lvl>
    <w:lvl w:ilvl="8" w:tplc="C5640D06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3F0E42DF"/>
    <w:multiLevelType w:val="hybridMultilevel"/>
    <w:tmpl w:val="33EEB0BC"/>
    <w:lvl w:ilvl="0" w:tplc="F822F162">
      <w:start w:val="1"/>
      <w:numFmt w:val="lowerLetter"/>
      <w:lvlText w:val="%1)"/>
      <w:lvlJc w:val="left"/>
      <w:pPr>
        <w:ind w:left="1287" w:hanging="360"/>
      </w:pPr>
    </w:lvl>
    <w:lvl w:ilvl="1" w:tplc="E72C0EE2" w:tentative="1">
      <w:start w:val="1"/>
      <w:numFmt w:val="lowerLetter"/>
      <w:lvlText w:val="%2."/>
      <w:lvlJc w:val="left"/>
      <w:pPr>
        <w:ind w:left="2007" w:hanging="360"/>
      </w:pPr>
    </w:lvl>
    <w:lvl w:ilvl="2" w:tplc="54001D3E" w:tentative="1">
      <w:start w:val="1"/>
      <w:numFmt w:val="lowerRoman"/>
      <w:lvlText w:val="%3."/>
      <w:lvlJc w:val="right"/>
      <w:pPr>
        <w:ind w:left="2727" w:hanging="180"/>
      </w:pPr>
    </w:lvl>
    <w:lvl w:ilvl="3" w:tplc="213A2390" w:tentative="1">
      <w:start w:val="1"/>
      <w:numFmt w:val="decimal"/>
      <w:lvlText w:val="%4."/>
      <w:lvlJc w:val="left"/>
      <w:pPr>
        <w:ind w:left="3447" w:hanging="360"/>
      </w:pPr>
    </w:lvl>
    <w:lvl w:ilvl="4" w:tplc="B77EE310" w:tentative="1">
      <w:start w:val="1"/>
      <w:numFmt w:val="lowerLetter"/>
      <w:lvlText w:val="%5."/>
      <w:lvlJc w:val="left"/>
      <w:pPr>
        <w:ind w:left="4167" w:hanging="360"/>
      </w:pPr>
    </w:lvl>
    <w:lvl w:ilvl="5" w:tplc="5D48EBB2" w:tentative="1">
      <w:start w:val="1"/>
      <w:numFmt w:val="lowerRoman"/>
      <w:lvlText w:val="%6."/>
      <w:lvlJc w:val="right"/>
      <w:pPr>
        <w:ind w:left="4887" w:hanging="180"/>
      </w:pPr>
    </w:lvl>
    <w:lvl w:ilvl="6" w:tplc="A87C157E" w:tentative="1">
      <w:start w:val="1"/>
      <w:numFmt w:val="decimal"/>
      <w:lvlText w:val="%7."/>
      <w:lvlJc w:val="left"/>
      <w:pPr>
        <w:ind w:left="5607" w:hanging="360"/>
      </w:pPr>
    </w:lvl>
    <w:lvl w:ilvl="7" w:tplc="C13C8C2A" w:tentative="1">
      <w:start w:val="1"/>
      <w:numFmt w:val="lowerLetter"/>
      <w:lvlText w:val="%8."/>
      <w:lvlJc w:val="left"/>
      <w:pPr>
        <w:ind w:left="6327" w:hanging="360"/>
      </w:pPr>
    </w:lvl>
    <w:lvl w:ilvl="8" w:tplc="8A96417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5E787A0B"/>
    <w:multiLevelType w:val="hybridMultilevel"/>
    <w:tmpl w:val="07128578"/>
    <w:lvl w:ilvl="0" w:tplc="242C25B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FF04EEFA" w:tentative="1">
      <w:start w:val="1"/>
      <w:numFmt w:val="lowerLetter"/>
      <w:lvlText w:val="%2."/>
      <w:lvlJc w:val="left"/>
      <w:pPr>
        <w:ind w:left="1290" w:hanging="360"/>
      </w:pPr>
    </w:lvl>
    <w:lvl w:ilvl="2" w:tplc="A8E83DA2" w:tentative="1">
      <w:start w:val="1"/>
      <w:numFmt w:val="lowerRoman"/>
      <w:lvlText w:val="%3."/>
      <w:lvlJc w:val="right"/>
      <w:pPr>
        <w:ind w:left="2010" w:hanging="180"/>
      </w:pPr>
    </w:lvl>
    <w:lvl w:ilvl="3" w:tplc="EFA4E9E6" w:tentative="1">
      <w:start w:val="1"/>
      <w:numFmt w:val="decimal"/>
      <w:lvlText w:val="%4."/>
      <w:lvlJc w:val="left"/>
      <w:pPr>
        <w:ind w:left="2730" w:hanging="360"/>
      </w:pPr>
    </w:lvl>
    <w:lvl w:ilvl="4" w:tplc="E56615C2" w:tentative="1">
      <w:start w:val="1"/>
      <w:numFmt w:val="lowerLetter"/>
      <w:lvlText w:val="%5."/>
      <w:lvlJc w:val="left"/>
      <w:pPr>
        <w:ind w:left="3450" w:hanging="360"/>
      </w:pPr>
    </w:lvl>
    <w:lvl w:ilvl="5" w:tplc="F97EFB08" w:tentative="1">
      <w:start w:val="1"/>
      <w:numFmt w:val="lowerRoman"/>
      <w:lvlText w:val="%6."/>
      <w:lvlJc w:val="right"/>
      <w:pPr>
        <w:ind w:left="4170" w:hanging="180"/>
      </w:pPr>
    </w:lvl>
    <w:lvl w:ilvl="6" w:tplc="0D909B26" w:tentative="1">
      <w:start w:val="1"/>
      <w:numFmt w:val="decimal"/>
      <w:lvlText w:val="%7."/>
      <w:lvlJc w:val="left"/>
      <w:pPr>
        <w:ind w:left="4890" w:hanging="360"/>
      </w:pPr>
    </w:lvl>
    <w:lvl w:ilvl="7" w:tplc="85BE3ADC" w:tentative="1">
      <w:start w:val="1"/>
      <w:numFmt w:val="lowerLetter"/>
      <w:lvlText w:val="%8."/>
      <w:lvlJc w:val="left"/>
      <w:pPr>
        <w:ind w:left="5610" w:hanging="360"/>
      </w:pPr>
    </w:lvl>
    <w:lvl w:ilvl="8" w:tplc="5E8A61F6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96"/>
    <w:rsid w:val="00BC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0EF1679-7CA2-43A7-9485-E26DA562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85DD2"/>
  </w:style>
  <w:style w:type="paragraph" w:styleId="Tekstprzypisudolnego">
    <w:name w:val="footnote text"/>
    <w:basedOn w:val="Normalny"/>
    <w:link w:val="TekstprzypisudolnegoZnak"/>
    <w:unhideWhenUsed/>
    <w:rsid w:val="00585DD2"/>
  </w:style>
  <w:style w:type="character" w:customStyle="1" w:styleId="TekstprzypisudolnegoZnak1">
    <w:name w:val="Tekst przypisu dolnego Znak1"/>
    <w:basedOn w:val="Domylnaczcionkaakapitu"/>
    <w:semiHidden/>
    <w:rsid w:val="00585DD2"/>
  </w:style>
  <w:style w:type="character" w:styleId="Odwoanieprzypisudolnego">
    <w:name w:val="footnote reference"/>
    <w:basedOn w:val="Domylnaczcionkaakapitu"/>
    <w:uiPriority w:val="99"/>
    <w:semiHidden/>
    <w:unhideWhenUsed/>
    <w:rsid w:val="00585DD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72F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C7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sprawiedliwosc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Marzena Janiszewska</cp:lastModifiedBy>
  <cp:revision>2</cp:revision>
  <dcterms:created xsi:type="dcterms:W3CDTF">2023-05-24T09:55:00Z</dcterms:created>
  <dcterms:modified xsi:type="dcterms:W3CDTF">2023-05-24T09:55:00Z</dcterms:modified>
</cp:coreProperties>
</file>